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832" w:rsidRDefault="00AC0832">
      <w:pPr>
        <w:pStyle w:val="Heading1"/>
      </w:pPr>
      <w:r>
        <w:t>010 HRVATSKI SABOR</w:t>
      </w:r>
    </w:p>
    <w:p w:rsidR="00AC0832" w:rsidRDefault="00AC0832">
      <w:pPr>
        <w:pStyle w:val="Heading4"/>
      </w:pPr>
      <w:r>
        <w:t>Uvod</w:t>
      </w:r>
    </w:p>
    <w:p w:rsidR="00AC0832" w:rsidRDefault="00AC0832">
      <w:pPr>
        <w:pStyle w:val="Normal3"/>
      </w:pPr>
      <w:r>
        <w:t xml:space="preserve">Razdjel 010 Hrvatski sabor organizacijski je klasificiran u tri (3) glave: Hrvatski sabor, Ured Povjerenstva za odlučivanje o sukobu interesa, Državno izborno povjerenstvo Republike Hrvatske.  </w:t>
      </w:r>
    </w:p>
    <w:p w:rsidR="00AC0832" w:rsidRDefault="00AC0832">
      <w:pPr>
        <w:pStyle w:val="Normal3"/>
      </w:pPr>
      <w:r>
        <w:t xml:space="preserve">Najznačajniji poslovi i zadaci na razini razdjela obuhvaćaju obavljanje stručno administrativnih poslova za potrebe zastupnika Hrvatskoga sabora kao predstavničkog tijela građana i nositelja zakonodavne vlasti u Republici Hrvatskoj,  obavljanje stručno-analitičkih poslova za nesmetano djelovanje Povjerenstva za odlučivanje o sukobu interesa te zakonita, učinkovita i transparentna provedba izbora i referenduma. </w:t>
      </w:r>
    </w:p>
    <w:p w:rsidR="00AC0832" w:rsidRDefault="00AC0832">
      <w:pPr>
        <w:pStyle w:val="Normal3"/>
      </w:pPr>
      <w:r>
        <w:t>Najznačajnija specifičnost u izvršenju financijskog plana razdjela 010 Hrvatski sabor za 2012. godinu je završetak isplate troškova izbora za zastupnike u Hrvatski sabor (isplata izborne promidžbe) te održavanje referenduma o pristupanju RH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01005-Hrvatski sabor</w:t>
            </w:r>
          </w:p>
        </w:tc>
        <w:tc>
          <w:tcPr>
            <w:tcW w:w="2322" w:type="dxa"/>
          </w:tcPr>
          <w:p w:rsidR="00AC0832" w:rsidRDefault="00AC0832">
            <w:pPr>
              <w:pStyle w:val="CellColumn"/>
            </w:pPr>
            <w:r>
              <w:t>145.480.000</w:t>
            </w:r>
          </w:p>
        </w:tc>
        <w:tc>
          <w:tcPr>
            <w:tcW w:w="2322" w:type="dxa"/>
          </w:tcPr>
          <w:p w:rsidR="00AC0832" w:rsidRDefault="00AC0832">
            <w:pPr>
              <w:pStyle w:val="CellColumn"/>
            </w:pPr>
            <w:r>
              <w:t>134.362.862</w:t>
            </w:r>
          </w:p>
        </w:tc>
        <w:tc>
          <w:tcPr>
            <w:tcW w:w="2322" w:type="dxa"/>
          </w:tcPr>
          <w:p w:rsidR="00AC0832" w:rsidRDefault="00AC0832">
            <w:pPr>
              <w:pStyle w:val="CellColumn"/>
            </w:pPr>
            <w:r>
              <w:t>92,4</w:t>
            </w:r>
          </w:p>
        </w:tc>
      </w:tr>
      <w:tr w:rsidR="00AC0832" w:rsidTr="00BE20ED">
        <w:trPr>
          <w:jc w:val="center"/>
        </w:trPr>
        <w:tc>
          <w:tcPr>
            <w:tcW w:w="2322" w:type="dxa"/>
          </w:tcPr>
          <w:p w:rsidR="00AC0832" w:rsidRDefault="00AC0832">
            <w:pPr>
              <w:pStyle w:val="CellColumn"/>
            </w:pPr>
            <w:r>
              <w:t>01015-Ured Povjerenstva za odlučivanje o sukobu interesa</w:t>
            </w:r>
          </w:p>
        </w:tc>
        <w:tc>
          <w:tcPr>
            <w:tcW w:w="2322" w:type="dxa"/>
          </w:tcPr>
          <w:p w:rsidR="00AC0832" w:rsidRDefault="00AC0832">
            <w:pPr>
              <w:pStyle w:val="CellColumn"/>
            </w:pPr>
            <w:r>
              <w:t>4.419.000</w:t>
            </w:r>
          </w:p>
        </w:tc>
        <w:tc>
          <w:tcPr>
            <w:tcW w:w="2322" w:type="dxa"/>
          </w:tcPr>
          <w:p w:rsidR="00AC0832" w:rsidRDefault="00AC0832">
            <w:pPr>
              <w:pStyle w:val="CellColumn"/>
            </w:pPr>
            <w:r>
              <w:t>2.854.924</w:t>
            </w:r>
          </w:p>
        </w:tc>
        <w:tc>
          <w:tcPr>
            <w:tcW w:w="2322" w:type="dxa"/>
          </w:tcPr>
          <w:p w:rsidR="00AC0832" w:rsidRDefault="00AC0832">
            <w:pPr>
              <w:pStyle w:val="CellColumn"/>
            </w:pPr>
            <w:r>
              <w:t>64,6</w:t>
            </w:r>
          </w:p>
        </w:tc>
      </w:tr>
      <w:tr w:rsidR="00AC0832" w:rsidTr="00BE20ED">
        <w:trPr>
          <w:jc w:val="center"/>
        </w:trPr>
        <w:tc>
          <w:tcPr>
            <w:tcW w:w="2322" w:type="dxa"/>
          </w:tcPr>
          <w:p w:rsidR="00AC0832" w:rsidRDefault="00AC0832">
            <w:pPr>
              <w:pStyle w:val="CellColumn"/>
            </w:pPr>
            <w:r>
              <w:t>01020-Državno izborno povjerenstvo Republike Hrvatske</w:t>
            </w:r>
          </w:p>
        </w:tc>
        <w:tc>
          <w:tcPr>
            <w:tcW w:w="2322" w:type="dxa"/>
          </w:tcPr>
          <w:p w:rsidR="00AC0832" w:rsidRDefault="00AC0832">
            <w:pPr>
              <w:pStyle w:val="CellColumn"/>
            </w:pPr>
            <w:r>
              <w:t>52.873.500</w:t>
            </w:r>
          </w:p>
        </w:tc>
        <w:tc>
          <w:tcPr>
            <w:tcW w:w="2322" w:type="dxa"/>
          </w:tcPr>
          <w:p w:rsidR="00AC0832" w:rsidRDefault="00AC0832">
            <w:pPr>
              <w:pStyle w:val="CellColumn"/>
            </w:pPr>
            <w:r>
              <w:t>52.417.761</w:t>
            </w:r>
          </w:p>
        </w:tc>
        <w:tc>
          <w:tcPr>
            <w:tcW w:w="2322" w:type="dxa"/>
          </w:tcPr>
          <w:p w:rsidR="00AC0832" w:rsidRDefault="00AC0832">
            <w:pPr>
              <w:pStyle w:val="CellColumn"/>
            </w:pPr>
            <w:r>
              <w:t>99,1</w:t>
            </w:r>
          </w:p>
        </w:tc>
      </w:tr>
      <w:tr w:rsidR="00AC0832" w:rsidTr="00BE20ED">
        <w:trPr>
          <w:jc w:val="center"/>
        </w:trPr>
        <w:tc>
          <w:tcPr>
            <w:tcW w:w="2322" w:type="dxa"/>
            <w:shd w:val="clear" w:color="auto" w:fill="B5C0D8"/>
          </w:tcPr>
          <w:p w:rsidR="00AC0832" w:rsidRDefault="00AC0832">
            <w:pPr>
              <w:pStyle w:val="CellColumn"/>
            </w:pPr>
            <w:r>
              <w:t>Ukupno 010-HRVATSKI SABOR</w:t>
            </w:r>
          </w:p>
        </w:tc>
        <w:tc>
          <w:tcPr>
            <w:tcW w:w="2322" w:type="dxa"/>
            <w:shd w:val="clear" w:color="auto" w:fill="B5C0D8"/>
          </w:tcPr>
          <w:p w:rsidR="00AC0832" w:rsidRDefault="00AC0832">
            <w:pPr>
              <w:pStyle w:val="CellColumn"/>
            </w:pPr>
            <w:r>
              <w:t>202.772.500</w:t>
            </w:r>
          </w:p>
        </w:tc>
        <w:tc>
          <w:tcPr>
            <w:tcW w:w="2322" w:type="dxa"/>
            <w:shd w:val="clear" w:color="auto" w:fill="B5C0D8"/>
          </w:tcPr>
          <w:p w:rsidR="00AC0832" w:rsidRDefault="00AC0832">
            <w:pPr>
              <w:pStyle w:val="CellColumn"/>
            </w:pPr>
            <w:r>
              <w:t>189.635.546</w:t>
            </w:r>
          </w:p>
        </w:tc>
        <w:tc>
          <w:tcPr>
            <w:tcW w:w="2322" w:type="dxa"/>
            <w:shd w:val="clear" w:color="auto" w:fill="B5C0D8"/>
          </w:tcPr>
          <w:p w:rsidR="00AC0832" w:rsidRDefault="00AC0832">
            <w:pPr>
              <w:pStyle w:val="CellColumn"/>
            </w:pPr>
            <w:r>
              <w:t>93,5</w:t>
            </w:r>
          </w:p>
        </w:tc>
      </w:tr>
    </w:tbl>
    <w:p w:rsidR="00AC0832" w:rsidRDefault="00AC0832">
      <w:pPr>
        <w:jc w:val="left"/>
      </w:pPr>
    </w:p>
    <w:p w:rsidR="00AC0832" w:rsidRDefault="00AC0832">
      <w:pPr>
        <w:pStyle w:val="Heading2"/>
      </w:pPr>
      <w:r>
        <w:t>01005 Hrvatski sabor</w:t>
      </w:r>
    </w:p>
    <w:p w:rsidR="00AC0832" w:rsidRDefault="00AC0832">
      <w:pPr>
        <w:pStyle w:val="Heading4"/>
      </w:pPr>
      <w:r>
        <w:t>Uvod</w:t>
      </w:r>
    </w:p>
    <w:p w:rsidR="00AC0832" w:rsidRDefault="00AC0832">
      <w:pPr>
        <w:pStyle w:val="Normal3"/>
      </w:pPr>
      <w:r>
        <w:t xml:space="preserve">Hrvatski sabor je predstavničko tijelo građana i nositelj zakonodavne vlasti u Republici Hrvatskoj. U ostvarivanju svojih Ustavnih zadaća Hrvatski sabor redovito zasjeda između 15. siječnja i 15. srpnja te između 15. rujna i 15. prosinca, a može, na zahtjev Predsjednika Republike, Vlade Republike Hrvatske ili većine zastupnika, zasjedati i izvanredno što se redovito dešava sazivanjem sjednice nakon 15. srpnja odnosno 15. prosinca. </w:t>
      </w:r>
    </w:p>
    <w:p w:rsidR="00AC0832" w:rsidRDefault="00AC0832">
      <w:pPr>
        <w:pStyle w:val="Normal3"/>
      </w:pPr>
      <w:r>
        <w:t xml:space="preserve">Aktualni, sedmi saziv Hrvatskoga sabora konstituiran je 22. prosinca 2011. godine na temelju rezultata izbora za zastupnike u Hrvatski sabor, održanih 04. prosinca 2011. godine u dvanaest izbornih jedinica. Na temelju glasova građana u Hrvatski sabor je izabran 151 zastupnik. </w:t>
      </w:r>
    </w:p>
    <w:p w:rsidR="00AC0832" w:rsidRDefault="00AC0832">
      <w:pPr>
        <w:pStyle w:val="Normal3"/>
      </w:pPr>
      <w:r>
        <w:t xml:space="preserve">Unutarnje ustrojstvo Hrvatskoga sabora određeno je Poslovnikom. Prema Poslovniku, Sabor ima predsjednika i dva do pet potpredsjednika koji zajedno čine Predsjedništvo. Na poziv predsjednika Sabora, u radu Predsjedništva sudjeluje i tajnik Sabora.  </w:t>
      </w:r>
    </w:p>
    <w:p w:rsidR="00AC0832" w:rsidRDefault="00AC0832">
      <w:pPr>
        <w:pStyle w:val="Normal3"/>
      </w:pPr>
      <w:r>
        <w:t xml:space="preserve">Tajnika Sabora imenuje i razrješuje Sabor. Tajnik donosi Pravilnik o unutarnjem redu, odgovoran je za obavljanje poslova stručne službe, osigurava financijska sredstva za rad Sabora i stručne službe, a obavlja i druge poslove propisane Poslovnikom za koje je odgovoran Saboru. Tajnika i zamjenika tajnika imenuje Sabor na rok od četiri godine. Radna tijela su važan segment zakonodavnog rada.  </w:t>
      </w:r>
    </w:p>
    <w:p w:rsidR="00AC0832" w:rsidRDefault="00AC0832">
      <w:pPr>
        <w:pStyle w:val="Normal3"/>
      </w:pPr>
      <w:r>
        <w:t xml:space="preserve">Saborski Poslovnik propisuje da su radna tijela odbori i povjerenstva, poimenično ih navodi, kao i djelokrug njihova rada.  </w:t>
      </w:r>
    </w:p>
    <w:p w:rsidR="00AC0832" w:rsidRDefault="00AC0832">
      <w:pPr>
        <w:pStyle w:val="Normal3"/>
      </w:pPr>
      <w:r>
        <w:t xml:space="preserve">Poslovnik i zastupnicima propisuje prava i dužnosti. Prema Poslovniku, zastupnici sudjeluju u radu plenarne sjednice, podnose prijedloge i postavljaju pitanja, upućuju pitanja predsjedniku i članovima Vlade, sudjeluju u radu sjednica radnih tijela, a prihvaćaju i izbore koje im odlukama odredi Sabor. Zastupnici mogu osnivati klubove pod uvjetima koje propisuje Poslovnik. Predsjednici klubova zastupnika s Predsjedništvom raspravljaju o dnevnom redu predstojeće sjednice Sabora i drugim važnim pitanjima za rad Sabora.  </w:t>
      </w:r>
    </w:p>
    <w:p w:rsidR="00AC0832" w:rsidRDefault="00AC0832">
      <w:pPr>
        <w:pStyle w:val="Normal3"/>
      </w:pPr>
      <w:r>
        <w:t xml:space="preserve">Sabor osniva stručnu službu za obavljanje stručnih, administrativnih, sigurnosnih, tehničkih i drugih poslova. Rad Stručne službe Sabora usmjerava i usklađuje tajnik Sabora i odgovoran je za njezin rad.  </w:t>
      </w:r>
    </w:p>
    <w:p w:rsidR="00AC0832" w:rsidRDefault="00AC0832">
      <w:pPr>
        <w:pStyle w:val="Normal3"/>
      </w:pPr>
      <w:r>
        <w:t xml:space="preserve">Poslove Stručne službe obavljaju službenici razvrstani u unutarnje ustrojstvene jedinice u: </w:t>
      </w:r>
    </w:p>
    <w:p w:rsidR="00AC0832" w:rsidRDefault="00AC0832">
      <w:pPr>
        <w:pStyle w:val="Normal3"/>
      </w:pPr>
      <w:r>
        <w:t xml:space="preserve">- Tajništvu Sabora </w:t>
      </w:r>
    </w:p>
    <w:p w:rsidR="00AC0832" w:rsidRDefault="00AC0832">
      <w:pPr>
        <w:pStyle w:val="Normal3"/>
      </w:pPr>
      <w:r>
        <w:t xml:space="preserve">- Uredu predsjednika Sabora </w:t>
      </w:r>
    </w:p>
    <w:p w:rsidR="00AC0832" w:rsidRDefault="00AC0832">
      <w:pPr>
        <w:pStyle w:val="Normal3"/>
      </w:pPr>
      <w:r>
        <w:t xml:space="preserve">- Uredima potpredsjednika Sabora </w:t>
      </w:r>
    </w:p>
    <w:p w:rsidR="00AC0832" w:rsidRDefault="00AC0832">
      <w:pPr>
        <w:pStyle w:val="Normal3"/>
      </w:pPr>
      <w:r>
        <w:t xml:space="preserve">- Uredu za protokol Sabora i </w:t>
      </w:r>
    </w:p>
    <w:p w:rsidR="00AC0832" w:rsidRDefault="00AC0832">
      <w:pPr>
        <w:pStyle w:val="Normal3"/>
      </w:pPr>
      <w:r>
        <w:t xml:space="preserve">- Uredu za međunarodne i europske poslove. </w:t>
      </w:r>
    </w:p>
    <w:p w:rsidR="00AC0832" w:rsidRDefault="00AC0832">
      <w:pPr>
        <w:pStyle w:val="Normal3"/>
      </w:pPr>
      <w:r>
        <w:t xml:space="preserve">Tajništvo Sabora poslove i zadaće obavlja putem sljedećih zasebnih jedinica: </w:t>
      </w:r>
    </w:p>
    <w:p w:rsidR="00AC0832" w:rsidRDefault="00AC0832">
      <w:pPr>
        <w:pStyle w:val="Normal3"/>
      </w:pPr>
      <w:r>
        <w:t xml:space="preserve">- Ureda tajnika Sabora </w:t>
      </w:r>
    </w:p>
    <w:p w:rsidR="00AC0832" w:rsidRDefault="00AC0832">
      <w:pPr>
        <w:pStyle w:val="Normal3"/>
      </w:pPr>
      <w:r>
        <w:t xml:space="preserve">- Službe radnih tijela  </w:t>
      </w:r>
    </w:p>
    <w:p w:rsidR="00AC0832" w:rsidRDefault="00AC0832">
      <w:pPr>
        <w:pStyle w:val="Normal3"/>
      </w:pPr>
      <w:r>
        <w:t xml:space="preserve">- Službi klubova zastupnika </w:t>
      </w:r>
    </w:p>
    <w:p w:rsidR="00AC0832" w:rsidRDefault="00AC0832">
      <w:pPr>
        <w:pStyle w:val="Normal3"/>
      </w:pPr>
      <w:r>
        <w:t xml:space="preserve">- Službe za pripremu i obradu sjednica Sabora </w:t>
      </w:r>
    </w:p>
    <w:p w:rsidR="00AC0832" w:rsidRDefault="00AC0832">
      <w:pPr>
        <w:pStyle w:val="Normal3"/>
      </w:pPr>
      <w:r>
        <w:t xml:space="preserve">- Službe za pripremu akata Sabora za objavu </w:t>
      </w:r>
    </w:p>
    <w:p w:rsidR="00AC0832" w:rsidRDefault="00AC0832">
      <w:pPr>
        <w:pStyle w:val="Normal3"/>
      </w:pPr>
      <w:r>
        <w:t xml:space="preserve">- Službe za pravne poslove i ljudske potencijale </w:t>
      </w:r>
    </w:p>
    <w:p w:rsidR="00AC0832" w:rsidRDefault="00AC0832">
      <w:pPr>
        <w:pStyle w:val="Normal3"/>
      </w:pPr>
      <w:r>
        <w:t xml:space="preserve">- Službe za medije </w:t>
      </w:r>
    </w:p>
    <w:p w:rsidR="00AC0832" w:rsidRDefault="00AC0832">
      <w:pPr>
        <w:pStyle w:val="Normal3"/>
      </w:pPr>
      <w:r>
        <w:t xml:space="preserve">- Službe za građane </w:t>
      </w:r>
    </w:p>
    <w:p w:rsidR="00AC0832" w:rsidRDefault="00AC0832">
      <w:pPr>
        <w:pStyle w:val="Normal3"/>
      </w:pPr>
      <w:r>
        <w:t xml:space="preserve">- Informacijsko-dokumentacijske službe, istraživanja i mrežnih informacija </w:t>
      </w:r>
    </w:p>
    <w:p w:rsidR="00AC0832" w:rsidRDefault="00AC0832">
      <w:pPr>
        <w:pStyle w:val="Normal3"/>
      </w:pPr>
      <w:r>
        <w:t xml:space="preserve">- Knjižnice </w:t>
      </w:r>
    </w:p>
    <w:p w:rsidR="00AC0832" w:rsidRDefault="00AC0832">
      <w:pPr>
        <w:pStyle w:val="Normal3"/>
      </w:pPr>
      <w:r>
        <w:t xml:space="preserve">- Službe za opće poslove </w:t>
      </w:r>
    </w:p>
    <w:p w:rsidR="00AC0832" w:rsidRDefault="00AC0832">
      <w:pPr>
        <w:pStyle w:val="Normal3"/>
      </w:pPr>
      <w:r>
        <w:t xml:space="preserve">- Straže.  </w:t>
      </w:r>
    </w:p>
    <w:p w:rsidR="00AC0832" w:rsidRDefault="00AC0832">
      <w:pPr>
        <w:pStyle w:val="Normal3"/>
      </w:pPr>
      <w:r>
        <w:t>Tajništvo Hrvatskoga sabora obavlja zadaće koje se odnose na: stručne administrativne i sigurnosne poslove u pripremi i organiziranju sjednica Sabora, pripremi i objavi donesenih zakona, odluka i zaključaka Sabora, praćenju izvršavanja zaključaka Sabora, rad izaslanstava Sabora, poslove za zastupnike i klubove zastupnika, poslove iz djelokruga radno-pravnih odnosa, poslove u svezi s obavješćivanjem javnosti o radu Sabora i njegovih radnih tijela, materijalno i financijsko poslovanje Sabora, poslove u svezi s tiskanjem, otpremom, arhiviranjem dokumentacije i akata Sabora te poslova nadzora ulaska u zgrade Sabora.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01005-Hrvatski sabor</w:t>
            </w:r>
          </w:p>
        </w:tc>
        <w:tc>
          <w:tcPr>
            <w:tcW w:w="2322" w:type="dxa"/>
          </w:tcPr>
          <w:p w:rsidR="00AC0832" w:rsidRDefault="00AC0832">
            <w:pPr>
              <w:pStyle w:val="CellColumn"/>
            </w:pPr>
            <w:r>
              <w:t>145.480.000</w:t>
            </w:r>
          </w:p>
        </w:tc>
        <w:tc>
          <w:tcPr>
            <w:tcW w:w="2322" w:type="dxa"/>
          </w:tcPr>
          <w:p w:rsidR="00AC0832" w:rsidRDefault="00AC0832">
            <w:pPr>
              <w:pStyle w:val="CellColumn"/>
            </w:pPr>
            <w:r>
              <w:t>134.362.862</w:t>
            </w:r>
          </w:p>
        </w:tc>
        <w:tc>
          <w:tcPr>
            <w:tcW w:w="2322" w:type="dxa"/>
          </w:tcPr>
          <w:p w:rsidR="00AC0832" w:rsidRDefault="00AC0832">
            <w:pPr>
              <w:pStyle w:val="CellColumn"/>
            </w:pPr>
            <w:r>
              <w:t>92,4</w:t>
            </w:r>
          </w:p>
        </w:tc>
      </w:tr>
      <w:tr w:rsidR="00AC0832" w:rsidTr="00BE20ED">
        <w:trPr>
          <w:jc w:val="center"/>
        </w:trPr>
        <w:tc>
          <w:tcPr>
            <w:tcW w:w="2322" w:type="dxa"/>
          </w:tcPr>
          <w:p w:rsidR="00AC0832" w:rsidRDefault="00AC0832">
            <w:pPr>
              <w:pStyle w:val="CellColumnSmall"/>
            </w:pPr>
            <w:r>
              <w:t>2101-PROVOĐENJE ZAKONODAVNE VLASTI</w:t>
            </w:r>
          </w:p>
        </w:tc>
        <w:tc>
          <w:tcPr>
            <w:tcW w:w="2322" w:type="dxa"/>
          </w:tcPr>
          <w:p w:rsidR="00AC0832" w:rsidRDefault="00AC0832">
            <w:pPr>
              <w:pStyle w:val="CellColumnSmall"/>
            </w:pPr>
            <w:r>
              <w:t>145.480.000</w:t>
            </w:r>
          </w:p>
        </w:tc>
        <w:tc>
          <w:tcPr>
            <w:tcW w:w="2322" w:type="dxa"/>
          </w:tcPr>
          <w:p w:rsidR="00AC0832" w:rsidRDefault="00AC0832">
            <w:pPr>
              <w:pStyle w:val="CellColumnSmall"/>
            </w:pPr>
            <w:r>
              <w:t>134.362.862</w:t>
            </w:r>
          </w:p>
        </w:tc>
        <w:tc>
          <w:tcPr>
            <w:tcW w:w="2322" w:type="dxa"/>
          </w:tcPr>
          <w:p w:rsidR="00AC0832" w:rsidRDefault="00AC0832">
            <w:pPr>
              <w:pStyle w:val="CellColumnSmall"/>
            </w:pPr>
            <w:r>
              <w:t>92,4</w:t>
            </w:r>
          </w:p>
        </w:tc>
      </w:tr>
    </w:tbl>
    <w:p w:rsidR="00AC0832" w:rsidRDefault="00AC0832">
      <w:pPr>
        <w:jc w:val="left"/>
      </w:pPr>
    </w:p>
    <w:p w:rsidR="00AC0832" w:rsidRDefault="00AC0832">
      <w:pPr>
        <w:pStyle w:val="Heading4"/>
      </w:pPr>
      <w:r>
        <w:t>OBRAZLOŽENJE PROGRAMA</w:t>
      </w:r>
    </w:p>
    <w:p w:rsidR="00AC0832" w:rsidRDefault="00AC0832">
      <w:pPr>
        <w:pStyle w:val="Heading5"/>
      </w:pPr>
      <w:r>
        <w:t>2101 PROVOĐENJE ZAKONODAVNE VLASTI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2101-PROVOĐENJE ZAKONODAVNE VLASTI</w:t>
            </w:r>
          </w:p>
        </w:tc>
        <w:tc>
          <w:tcPr>
            <w:tcW w:w="2322" w:type="dxa"/>
          </w:tcPr>
          <w:p w:rsidR="00AC0832" w:rsidRDefault="00AC0832">
            <w:pPr>
              <w:pStyle w:val="CellColumn"/>
            </w:pPr>
            <w:r>
              <w:t>145.480.000</w:t>
            </w:r>
          </w:p>
        </w:tc>
        <w:tc>
          <w:tcPr>
            <w:tcW w:w="2322" w:type="dxa"/>
          </w:tcPr>
          <w:p w:rsidR="00AC0832" w:rsidRDefault="00AC0832">
            <w:pPr>
              <w:pStyle w:val="CellColumn"/>
            </w:pPr>
            <w:r>
              <w:t>134.362.862</w:t>
            </w:r>
          </w:p>
        </w:tc>
        <w:tc>
          <w:tcPr>
            <w:tcW w:w="2322" w:type="dxa"/>
          </w:tcPr>
          <w:p w:rsidR="00AC0832" w:rsidRDefault="00AC0832">
            <w:pPr>
              <w:pStyle w:val="CellColumn"/>
            </w:pPr>
            <w:r>
              <w:t>92,4</w:t>
            </w:r>
          </w:p>
        </w:tc>
      </w:tr>
    </w:tbl>
    <w:p w:rsidR="00AC0832" w:rsidRDefault="00AC0832">
      <w:pPr>
        <w:jc w:val="left"/>
      </w:pPr>
    </w:p>
    <w:p w:rsidR="00AC0832" w:rsidRDefault="00AC0832">
      <w:pPr>
        <w:pStyle w:val="Heading6"/>
      </w:pPr>
      <w:r>
        <w:t>Opis programa</w:t>
      </w:r>
    </w:p>
    <w:p w:rsidR="00AC0832" w:rsidRDefault="00AC0832">
      <w:pPr>
        <w:pStyle w:val="Normal5"/>
      </w:pPr>
      <w:r>
        <w:t xml:space="preserve">Na temelju prava i ovlaštenja utvrđenih Ustavom, Hrvatski sabor ima sljedeće ovlasti: </w:t>
      </w:r>
    </w:p>
    <w:p w:rsidR="00AC0832" w:rsidRDefault="00AC0832">
      <w:pPr>
        <w:pStyle w:val="Normal5"/>
      </w:pPr>
      <w:r>
        <w:t xml:space="preserve">– odlučuje o donošenju i promjeni Ustava,  </w:t>
      </w:r>
    </w:p>
    <w:p w:rsidR="00AC0832" w:rsidRDefault="00AC0832">
      <w:pPr>
        <w:pStyle w:val="Normal5"/>
      </w:pPr>
      <w:r>
        <w:t xml:space="preserve">– donosi zakone,  </w:t>
      </w:r>
    </w:p>
    <w:p w:rsidR="00AC0832" w:rsidRDefault="00AC0832">
      <w:pPr>
        <w:pStyle w:val="Normal5"/>
      </w:pPr>
      <w:r>
        <w:t xml:space="preserve">– donosi državni proračun,  </w:t>
      </w:r>
    </w:p>
    <w:p w:rsidR="00AC0832" w:rsidRDefault="00AC0832">
      <w:pPr>
        <w:pStyle w:val="Normal5"/>
      </w:pPr>
      <w:r>
        <w:t xml:space="preserve">– odlučuje o ratu i miru,  </w:t>
      </w:r>
    </w:p>
    <w:p w:rsidR="00AC0832" w:rsidRDefault="00AC0832">
      <w:pPr>
        <w:pStyle w:val="Normal5"/>
      </w:pPr>
      <w:r>
        <w:t xml:space="preserve">– donosi akte kojima izražava politiku Hrvatskoga sabora,  </w:t>
      </w:r>
    </w:p>
    <w:p w:rsidR="00AC0832" w:rsidRDefault="00AC0832">
      <w:pPr>
        <w:pStyle w:val="Normal5"/>
      </w:pPr>
      <w:r>
        <w:t xml:space="preserve">– donosi Strategiju nacionalne sigurnosti i Strategiju obrane Republike Hrvatske,  </w:t>
      </w:r>
    </w:p>
    <w:p w:rsidR="00AC0832" w:rsidRDefault="00AC0832">
      <w:pPr>
        <w:pStyle w:val="Normal5"/>
      </w:pPr>
      <w:r>
        <w:t xml:space="preserve">– odlučuje o promjeni granica Republike Hrvatske,  </w:t>
      </w:r>
    </w:p>
    <w:p w:rsidR="00AC0832" w:rsidRDefault="00AC0832">
      <w:pPr>
        <w:pStyle w:val="Normal5"/>
      </w:pPr>
      <w:r>
        <w:t xml:space="preserve">– raspisuje referendum,  </w:t>
      </w:r>
    </w:p>
    <w:p w:rsidR="00AC0832" w:rsidRDefault="00AC0832">
      <w:pPr>
        <w:pStyle w:val="Normal5"/>
      </w:pPr>
      <w:r>
        <w:t xml:space="preserve">– obavlja izbore, imenovanja i razrješenja, u skladu s Ustavom i zakonom,  </w:t>
      </w:r>
    </w:p>
    <w:p w:rsidR="00AC0832" w:rsidRDefault="00AC0832">
      <w:pPr>
        <w:pStyle w:val="Normal5"/>
      </w:pPr>
      <w:r>
        <w:t xml:space="preserve">– nadzire rad Vlade Republike Hrvatske i drugih nositelja jav¬nih dužnosti odgovornih Hrvatskom saboru, u skladu s Ustavom i zakonom,  </w:t>
      </w:r>
    </w:p>
    <w:p w:rsidR="00AC0832" w:rsidRDefault="00AC0832">
      <w:pPr>
        <w:pStyle w:val="Normal5"/>
      </w:pPr>
      <w:r>
        <w:t xml:space="preserve">– daje amnestiju za kaznena djela,  </w:t>
      </w:r>
    </w:p>
    <w:p w:rsidR="00AC0832" w:rsidRDefault="00AC0832">
      <w:pPr>
        <w:pStyle w:val="Normal5"/>
      </w:pPr>
      <w:r>
        <w:t>– obavlja druge poslove utvrđene Ustavom.</w:t>
      </w:r>
    </w:p>
    <w:p w:rsidR="00AC0832" w:rsidRDefault="00AC0832">
      <w:pPr>
        <w:pStyle w:val="Heading6"/>
      </w:pPr>
      <w:r>
        <w:t>Zakonske i druge pravne osnove</w:t>
      </w:r>
    </w:p>
    <w:p w:rsidR="00AC0832" w:rsidRDefault="00AC0832">
      <w:pPr>
        <w:pStyle w:val="Normal5"/>
      </w:pPr>
      <w:r>
        <w:t xml:space="preserve">Ustav Republike Hrvatske </w:t>
      </w:r>
    </w:p>
    <w:p w:rsidR="00AC0832" w:rsidRDefault="00AC0832">
      <w:pPr>
        <w:pStyle w:val="Normal5"/>
      </w:pPr>
      <w:r>
        <w:t xml:space="preserve">Ustavni zakon o Ustavnom sudu Republike Hrvatske </w:t>
      </w:r>
    </w:p>
    <w:p w:rsidR="00AC0832" w:rsidRDefault="00AC0832">
      <w:pPr>
        <w:pStyle w:val="Normal5"/>
      </w:pPr>
      <w:r>
        <w:t xml:space="preserve">Ustavni zakon o pravima nacionalnih manjina </w:t>
      </w:r>
    </w:p>
    <w:p w:rsidR="00AC0832" w:rsidRDefault="00AC0832">
      <w:pPr>
        <w:pStyle w:val="Normal5"/>
      </w:pPr>
      <w:r>
        <w:t xml:space="preserve">Zakon o izborima zastupnika u Hrvatski sabor (pročišćeni tekst) </w:t>
      </w:r>
    </w:p>
    <w:p w:rsidR="00AC0832" w:rsidRDefault="00AC0832">
      <w:pPr>
        <w:pStyle w:val="Normal5"/>
      </w:pPr>
      <w:r>
        <w:t xml:space="preserve">Zakon o izbornim jedinicama </w:t>
      </w:r>
    </w:p>
    <w:p w:rsidR="00AC0832" w:rsidRDefault="00AC0832">
      <w:pPr>
        <w:pStyle w:val="Normal5"/>
      </w:pPr>
      <w:r>
        <w:t xml:space="preserve">Zakon o političkim strankama </w:t>
      </w:r>
    </w:p>
    <w:p w:rsidR="00AC0832" w:rsidRDefault="00AC0832">
      <w:pPr>
        <w:pStyle w:val="Normal5"/>
      </w:pPr>
      <w:r>
        <w:t xml:space="preserve">Zakon o financiranju političkih aktivnosti i izborne promidžbe </w:t>
      </w:r>
    </w:p>
    <w:p w:rsidR="00AC0832" w:rsidRDefault="00AC0832">
      <w:pPr>
        <w:pStyle w:val="Normal5"/>
      </w:pPr>
      <w:r>
        <w:t xml:space="preserve">Zakon o izborima zastupnika iz Republike Hrvatske u Europski parlament </w:t>
      </w:r>
    </w:p>
    <w:p w:rsidR="00AC0832" w:rsidRDefault="00AC0832">
      <w:pPr>
        <w:pStyle w:val="Normal5"/>
      </w:pPr>
      <w:r>
        <w:t xml:space="preserve">Poslovnik Hrvatskoga sabora </w:t>
      </w:r>
    </w:p>
    <w:p w:rsidR="00AC0832" w:rsidRDefault="00AC0832">
      <w:pPr>
        <w:pStyle w:val="Normal5"/>
      </w:pPr>
      <w:r>
        <w:t xml:space="preserve">Odluka o Stručnoj službi Hrvatskoga sabora </w:t>
      </w:r>
    </w:p>
    <w:p w:rsidR="00AC0832" w:rsidRDefault="00AC0832">
      <w:pPr>
        <w:pStyle w:val="Normal5"/>
      </w:pPr>
      <w:r>
        <w:t xml:space="preserve">Pravilnik o javnosti rada Hrvatskoga sabora i radnih tijela </w:t>
      </w:r>
    </w:p>
    <w:p w:rsidR="00AC0832" w:rsidRDefault="00AC0832">
      <w:pPr>
        <w:pStyle w:val="Normal5"/>
      </w:pPr>
      <w:r>
        <w:t xml:space="preserve">Etički kodeks državnih službenika </w:t>
      </w:r>
    </w:p>
    <w:p w:rsidR="00AC0832" w:rsidRDefault="00AC0832">
      <w:pPr>
        <w:pStyle w:val="Normal5"/>
      </w:pPr>
      <w:r>
        <w:t>Kolektivni ugovor za državne službenike i namještenike</w:t>
      </w:r>
    </w:p>
    <w:p w:rsidR="00AC0832" w:rsidRDefault="00AC0832">
      <w:pPr>
        <w:pStyle w:val="Heading7"/>
      </w:pPr>
      <w:r>
        <w:t>Cilj 1. Donošenje zakona, odluka, izvješća, strategija, planova, programa te drugih akata sukladno Ustavnim ovlastima</w:t>
      </w:r>
    </w:p>
    <w:p w:rsidR="00AC0832" w:rsidRDefault="00AC0832">
      <w:pPr>
        <w:pStyle w:val="Heading8"/>
        <w:jc w:val="left"/>
      </w:pPr>
      <w:r>
        <w:t>Opis provedbe cilja programa</w:t>
      </w:r>
    </w:p>
    <w:p w:rsidR="00AC0832" w:rsidRDefault="00AC0832">
      <w:pPr>
        <w:pStyle w:val="Normal6"/>
      </w:pPr>
      <w:r>
        <w:t xml:space="preserve">Zakoni, odluke, izvješća, strategije, planovi, programi te drugi akti sukladno Ustavnim ovlastima predstavljaju instrumente putem kojih Hrvatski sabor kao predstavničko tijelo građana regulira pitanja od interesa Republike Hrvatske i svih njenih građana. </w:t>
      </w:r>
    </w:p>
    <w:p w:rsidR="00AC0832" w:rsidRDefault="00AC0832">
      <w:pPr>
        <w:pStyle w:val="Normal6"/>
      </w:pPr>
      <w:r>
        <w:t xml:space="preserve"> </w:t>
      </w:r>
    </w:p>
    <w:p w:rsidR="00AC0832" w:rsidRDefault="00AC0832">
      <w:pPr>
        <w:pStyle w:val="Normal6"/>
      </w:pPr>
      <w:r>
        <w:t xml:space="preserve">Tijekom 2012. godine aktivnosti Hrvatskoga sabora odvijale su se u skladu sa slijedećim podacima: </w:t>
      </w:r>
    </w:p>
    <w:p w:rsidR="00AC0832" w:rsidRDefault="00AC0832">
      <w:pPr>
        <w:pStyle w:val="Normal6"/>
      </w:pPr>
      <w:r>
        <w:t xml:space="preserve">- zakon (PZ+PZE): doneseno 190; odbijeno 9; prihvaćeno 45; povučeno 3 </w:t>
      </w:r>
    </w:p>
    <w:p w:rsidR="00AC0832" w:rsidRDefault="00AC0832">
      <w:pPr>
        <w:pStyle w:val="Normal6"/>
      </w:pPr>
      <w:r>
        <w:t xml:space="preserve">- usklađeni zakon (PZE): doneseno 37; prihvaćeno 6 </w:t>
      </w:r>
    </w:p>
    <w:p w:rsidR="00AC0832" w:rsidRDefault="00AC0832">
      <w:pPr>
        <w:pStyle w:val="Normal6"/>
      </w:pPr>
      <w:r>
        <w:t xml:space="preserve">- odluka: donesene 243; odbijena 1; prihvaćena 1; povučena 1 </w:t>
      </w:r>
    </w:p>
    <w:p w:rsidR="00AC0832" w:rsidRDefault="00AC0832">
      <w:pPr>
        <w:pStyle w:val="Normal6"/>
      </w:pPr>
      <w:r>
        <w:t xml:space="preserve">- deklaracija: donesena 1 </w:t>
      </w:r>
    </w:p>
    <w:p w:rsidR="00AC0832" w:rsidRDefault="00AC0832">
      <w:pPr>
        <w:pStyle w:val="Normal6"/>
      </w:pPr>
      <w:r>
        <w:t xml:space="preserve">- izvješće: doneseno 1; odbijeno 6; prihvaćeno 50; povučeno 1 </w:t>
      </w:r>
    </w:p>
    <w:p w:rsidR="00AC0832" w:rsidRDefault="00AC0832">
      <w:pPr>
        <w:pStyle w:val="Normal6"/>
      </w:pPr>
      <w:r>
        <w:t xml:space="preserve">- plan: donesena 2 </w:t>
      </w:r>
    </w:p>
    <w:p w:rsidR="00AC0832" w:rsidRDefault="00AC0832">
      <w:pPr>
        <w:pStyle w:val="Normal6"/>
      </w:pPr>
      <w:r>
        <w:t xml:space="preserve">- proračun: donesena 3 </w:t>
      </w:r>
    </w:p>
    <w:p w:rsidR="00AC0832" w:rsidRDefault="00AC0832">
      <w:pPr>
        <w:pStyle w:val="Normal6"/>
      </w:pPr>
      <w:r>
        <w:t xml:space="preserve">- statut: povučen 1 </w:t>
      </w:r>
    </w:p>
    <w:p w:rsidR="00AC0832" w:rsidRDefault="00AC0832">
      <w:pPr>
        <w:pStyle w:val="Normal6"/>
      </w:pPr>
      <w:r>
        <w:t xml:space="preserve">- strategija: donesene 3 </w:t>
      </w:r>
    </w:p>
    <w:p w:rsidR="00AC0832" w:rsidRDefault="00AC0832">
      <w:pPr>
        <w:pStyle w:val="Normal6"/>
      </w:pPr>
      <w:r>
        <w:t xml:space="preserve">- zaključak: donesen 1; odbijen 1; povučen 1 </w:t>
      </w:r>
    </w:p>
    <w:p w:rsidR="00AC0832" w:rsidRDefault="00AC0832">
      <w:pPr>
        <w:pStyle w:val="Normal6"/>
      </w:pPr>
      <w:r>
        <w:t xml:space="preserve">- ostalo: odbijeno 1 </w:t>
      </w:r>
    </w:p>
    <w:p w:rsidR="00AC0832" w:rsidRDefault="00AC0832">
      <w:pPr>
        <w:pStyle w:val="Normal6"/>
      </w:pPr>
      <w:r>
        <w:t xml:space="preserve"> </w:t>
      </w:r>
    </w:p>
    <w:p w:rsidR="00AC0832" w:rsidRDefault="00AC0832">
      <w:pPr>
        <w:pStyle w:val="Normal6"/>
      </w:pPr>
      <w:r>
        <w:t xml:space="preserve">Trajanje sjednica u 2012. godini: </w:t>
      </w:r>
    </w:p>
    <w:p w:rsidR="00AC0832" w:rsidRDefault="00AC0832">
      <w:pPr>
        <w:pStyle w:val="Normal6"/>
      </w:pPr>
      <w:r>
        <w:t>Sjednica</w:t>
      </w:r>
      <w:r>
        <w:tab/>
        <w:t xml:space="preserve">                           Broj dana zasjedanja</w:t>
      </w:r>
      <w:r>
        <w:tab/>
        <w:t xml:space="preserve">Ukupno sati </w:t>
      </w:r>
    </w:p>
    <w:p w:rsidR="00AC0832" w:rsidRDefault="00AC0832">
      <w:pPr>
        <w:pStyle w:val="Normal6"/>
      </w:pPr>
      <w:r>
        <w:t>3. sjednica Hrvatskoga sabora</w:t>
      </w:r>
      <w:r>
        <w:tab/>
        <w:t>20</w:t>
      </w:r>
      <w:r>
        <w:tab/>
        <w:t xml:space="preserve">117:35:00 </w:t>
      </w:r>
    </w:p>
    <w:p w:rsidR="00AC0832" w:rsidRDefault="00AC0832">
      <w:pPr>
        <w:pStyle w:val="Normal6"/>
      </w:pPr>
      <w:r>
        <w:t>4. sjednica Hrvatskoga sabora</w:t>
      </w:r>
      <w:r>
        <w:tab/>
        <w:t>38</w:t>
      </w:r>
      <w:r>
        <w:tab/>
        <w:t xml:space="preserve">212:43:00 </w:t>
      </w:r>
    </w:p>
    <w:p w:rsidR="00AC0832" w:rsidRDefault="00AC0832">
      <w:pPr>
        <w:pStyle w:val="Normal6"/>
      </w:pPr>
      <w:r>
        <w:t>5. sjednica Hrvatskoga sabora</w:t>
      </w:r>
      <w:r>
        <w:tab/>
        <w:t>19</w:t>
      </w:r>
      <w:r>
        <w:tab/>
        <w:t xml:space="preserve">132:06:00 </w:t>
      </w:r>
    </w:p>
    <w:p w:rsidR="00AC0832" w:rsidRDefault="00AC0832">
      <w:pPr>
        <w:pStyle w:val="Normal6"/>
      </w:pPr>
      <w:r>
        <w:t>6. sjednica Hrvatskoga sabora</w:t>
      </w:r>
      <w:r>
        <w:tab/>
        <w:t>20</w:t>
      </w:r>
      <w:r>
        <w:tab/>
        <w:t xml:space="preserve">157:37:00 </w:t>
      </w:r>
    </w:p>
    <w:p w:rsidR="00AC0832" w:rsidRDefault="00AC0832">
      <w:pPr>
        <w:pStyle w:val="Normal6"/>
      </w:pPr>
      <w:r>
        <w:t>Ukupno:</w:t>
      </w:r>
      <w:r>
        <w:tab/>
        <w:t xml:space="preserve">                                           97</w:t>
      </w:r>
      <w:r>
        <w:tab/>
        <w:t>620:01:00</w:t>
      </w:r>
    </w:p>
    <w:p w:rsidR="00AC0832" w:rsidRDefault="00AC0832">
      <w:pPr>
        <w:pStyle w:val="Heading6"/>
      </w:pPr>
      <w:r>
        <w:t>A501000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A501000-ADMINISTRACIJA I UPRAVLJANJE</w:t>
            </w:r>
          </w:p>
        </w:tc>
        <w:tc>
          <w:tcPr>
            <w:tcW w:w="2322" w:type="dxa"/>
          </w:tcPr>
          <w:p w:rsidR="00AC0832" w:rsidRDefault="00AC0832">
            <w:pPr>
              <w:pStyle w:val="CellColumn"/>
            </w:pPr>
            <w:r>
              <w:t>143.008.000</w:t>
            </w:r>
          </w:p>
        </w:tc>
        <w:tc>
          <w:tcPr>
            <w:tcW w:w="2322" w:type="dxa"/>
          </w:tcPr>
          <w:p w:rsidR="00AC0832" w:rsidRDefault="00AC0832">
            <w:pPr>
              <w:pStyle w:val="CellColumn"/>
            </w:pPr>
            <w:r>
              <w:t>132.184.805</w:t>
            </w:r>
          </w:p>
        </w:tc>
        <w:tc>
          <w:tcPr>
            <w:tcW w:w="2322" w:type="dxa"/>
          </w:tcPr>
          <w:p w:rsidR="00AC0832" w:rsidRDefault="00AC0832">
            <w:pPr>
              <w:pStyle w:val="CellColumn"/>
            </w:pPr>
            <w:r>
              <w:t>92,4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Kroz aktivnost A501000 Administracija i upravljanje tijekom 2012. godine sredstva su utrošena za podmirenje osnovnih potreba za normalno funkcioniranje Hrvatskoga sabora u obavljanju stručnih administrativnih i sigurnosnih poslova u pripremi i organiziranju sjednica Sabora, pripremi i objavi donesenih zakona, odluka i zaključaka Sabora, praćenju izvršavanja zaključaka Sabora, radu izaslanstava Sabora, poslova za zastupnike i klubove zastupnika, poslova iz djelokruga radno-pravnih odnosa, poslova u vezi s obavješćivanjem javnosti o radu Sabora i njegovih radnih tijela, materijalnog i financijskog poslovanja Sabora, poslova u svezi s tiskanjem, otpremom, arhiviranjem dokumentacije i akata Sabora te poslova nadzora ulaska  u zgrade Sabora.</w:t>
      </w:r>
    </w:p>
    <w:p w:rsidR="00AC0832" w:rsidRDefault="00AC0832">
      <w:pPr>
        <w:pStyle w:val="Heading2"/>
      </w:pPr>
      <w:r>
        <w:t>01015 Ured Povjerenstva za odlučivanje o sukobu interesa</w:t>
      </w:r>
    </w:p>
    <w:p w:rsidR="00AC0832" w:rsidRDefault="00AC0832">
      <w:pPr>
        <w:pStyle w:val="Heading4"/>
      </w:pPr>
      <w:r>
        <w:t>Uvod</w:t>
      </w:r>
    </w:p>
    <w:p w:rsidR="00AC0832" w:rsidRDefault="00AC0832">
      <w:pPr>
        <w:pStyle w:val="Normal3"/>
      </w:pPr>
      <w:r>
        <w:t xml:space="preserve">Zakonom o sprječavanju sukoba interesa („Narodne novine“ broj 26/11 i 12/12) je uređeno sprječavanje sukoba interesa između privatnog i javnog interesa u obnašanju javnih dužnosti, utvrđeni su obveznici postupanja prema odredbama ovog Zakona, obveze dužnosnika o podnošenju izvješća o imovinskom stanju, zatim obveza Povjerenstva da izvrši provjeru podataka iz podnesenih izvješća o imovinskom stanju dužnosnika, trajanje obveza i brojna ograničenja u poslovanjima dužnosnika nakon prestanka obavljanja javne dužnosti, zatim izbor, sastav i nadležnost novog profesionalnog Povjerenstva za odlučivanje o sukobu interesa te uređen postupak pred Povjerenstvom i Zakonom predviđene sankcije koje Povjerenstvo može izreći u slučajevima povrede odredbi ovog Zakona. </w:t>
      </w:r>
    </w:p>
    <w:p w:rsidR="00AC0832" w:rsidRDefault="00AC0832">
      <w:pPr>
        <w:pStyle w:val="Normal3"/>
      </w:pPr>
      <w:r>
        <w:t xml:space="preserve">Radi provedbe ovog Zakona osniva se Povjerenstvo za odlučivanje o sukobu interesa. Povjerenstvo je stalno, neovisno i samostalno državno tijelo koje obavlja poslove iz svoga djelokruga rada i nadležnosti, određenih ovim Zakonom. Povjerenstvo se sastoji od predsjednika i četiri člana Povjerenstva. Predsjednik Povjerenstva ima pravo na plaću u visini plaće potpredsjednika Državnog izbornog povjerenstva RH ( 5,70 ), a članovi Povjerenstva u visini plaće članova DIP-a ( 5,27 ). </w:t>
      </w:r>
    </w:p>
    <w:p w:rsidR="00AC0832" w:rsidRDefault="00AC0832">
      <w:pPr>
        <w:pStyle w:val="Normal3"/>
      </w:pPr>
      <w:r>
        <w:t xml:space="preserve">Sredstva za rad Povjerenstva osiguravaju se u državnom proračunu. </w:t>
      </w:r>
    </w:p>
    <w:p w:rsidR="00AC0832" w:rsidRDefault="00AC0832">
      <w:pPr>
        <w:pStyle w:val="Normal3"/>
      </w:pPr>
      <w:r>
        <w:t xml:space="preserve">Nadležnosti Povjerenstva su: </w:t>
      </w:r>
    </w:p>
    <w:p w:rsidR="00AC0832" w:rsidRDefault="00AC0832">
      <w:pPr>
        <w:pStyle w:val="Normal3"/>
      </w:pPr>
      <w:r>
        <w:t xml:space="preserve">-pokretanje postupaka sukoba interesa i donošenje odluka o tome je li određeno djelovanje ili propust dužnosnika predstavlja povredu odredbi ovog Zakona, </w:t>
      </w:r>
    </w:p>
    <w:p w:rsidR="00AC0832" w:rsidRDefault="00AC0832">
      <w:pPr>
        <w:pStyle w:val="Normal3"/>
      </w:pPr>
      <w:r>
        <w:t xml:space="preserve">-davanje mišljenja na zahtjev dužnosnika kada su u dvojbi je li neko njihovo ponašanje u skladu s načelima javnih dužnosti, </w:t>
      </w:r>
    </w:p>
    <w:p w:rsidR="00AC0832" w:rsidRDefault="00AC0832">
      <w:pPr>
        <w:pStyle w:val="Normal3"/>
      </w:pPr>
      <w:r>
        <w:t xml:space="preserve">-propisivanje i utvrđivanje sadržaja obrazaca imovinske kartice te ustrojavanja Registra dužnosnika radi primjene pojedinih odredbi Zakona, </w:t>
      </w:r>
    </w:p>
    <w:p w:rsidR="00AC0832" w:rsidRDefault="00AC0832">
      <w:pPr>
        <w:pStyle w:val="Normal3"/>
      </w:pPr>
      <w:r>
        <w:t xml:space="preserve">-donošenje podzakonskih akata vezanih za provedbu ovog Zakona – pravilnici, </w:t>
      </w:r>
    </w:p>
    <w:p w:rsidR="00AC0832" w:rsidRDefault="00AC0832">
      <w:pPr>
        <w:pStyle w:val="Normal3"/>
      </w:pPr>
      <w:r>
        <w:t xml:space="preserve">-izrada smjernica i uputa dužnosnicima u svrhu učinkovitog sprječavanja sukoba interesa, </w:t>
      </w:r>
    </w:p>
    <w:p w:rsidR="00AC0832" w:rsidRDefault="00AC0832">
      <w:pPr>
        <w:pStyle w:val="Normal3"/>
      </w:pPr>
      <w:r>
        <w:t xml:space="preserve">-provođenje edukacija dužnosnika u pitanjima sukoba interesa i podnošenja izvješća o imovinskom stanju, </w:t>
      </w:r>
    </w:p>
    <w:p w:rsidR="00AC0832" w:rsidRDefault="00AC0832">
      <w:pPr>
        <w:pStyle w:val="Normal3"/>
      </w:pPr>
      <w:r>
        <w:t xml:space="preserve">-suradnja s nadležnim tijelima u svrhu provedbe ovog Zakona, </w:t>
      </w:r>
    </w:p>
    <w:p w:rsidR="00AC0832" w:rsidRDefault="00AC0832">
      <w:pPr>
        <w:pStyle w:val="Normal3"/>
      </w:pPr>
      <w:r>
        <w:t xml:space="preserve">-ostvarivanje međunarodne suradnje sa sličnim tijelima u području sprječavanja sukoba interesa te, </w:t>
      </w:r>
    </w:p>
    <w:p w:rsidR="00AC0832" w:rsidRDefault="00AC0832">
      <w:pPr>
        <w:pStyle w:val="Normal3"/>
      </w:pPr>
      <w:r>
        <w:t>-obavljanje drugih poslova određenih ovim Zakonom.</w:t>
      </w:r>
      <w:r>
        <w:tab/>
      </w:r>
      <w:r>
        <w:tab/>
      </w:r>
      <w:r>
        <w:tab/>
      </w:r>
      <w:r>
        <w:tab/>
        <w:t xml:space="preserve"> </w:t>
      </w:r>
    </w:p>
    <w:p w:rsidR="00AC0832" w:rsidRDefault="00AC0832">
      <w:pPr>
        <w:pStyle w:val="Normal3"/>
      </w:pPr>
      <w:r>
        <w:t xml:space="preserve">Povjerenstvo ima stručnu službu – Ured povjerenstva koji obavlja sve stručne i analitičke, administrativne i tehničke poslove za Povjerenstvo. Radom Ureda povjerenstva rukovodi predstojnik Ureda. Ured povjerenstva je tijekom 2012. godine bio  popunjen s 11 državnih službenika s tendencijom kadrovskog jačanja  sukladno mjeri iz Monitoring tablice za Poglavlje 23 – „Pravosuđe i temeljna prava“. </w:t>
      </w:r>
    </w:p>
    <w:p w:rsidR="00AC0832" w:rsidRDefault="00AC0832">
      <w:pPr>
        <w:pStyle w:val="Normal3"/>
      </w:pPr>
      <w:r>
        <w:t xml:space="preserve">Stručno-analitički poslovi koje, u pravilu, Ured povjerenstva obavlja su poslovi koji obuhvaćaju stručnu obradu podataka, evidenciju, prikupljanje i utvrđivanje činjenica potrebnih za odlučivanje Povjerenstvu, evidenciju i analizu izvješća dužnosnika o njihovim prihodima i imovini, načine stjecanja imovine, izvore sredstava kojima je pribavljena pokretna i nepokretna imovina koju je dužnosnik dužan prijaviti, stručnu obradu i postupanje po prijavama o mogućem sukobu interesa dužnosnika, podnesenima Povjerenstvu, pripremu materijala za sjednice i stručne sastanke Povjerenstva, izradu nacrta odluka, mišljenja, zaključaka, priopćenja, izvješća, pravnih stajališta i zapisnika sa sjednica Povjerenstva, te praćenje i izvršavanje akata i odluka Povjerenstva. </w:t>
      </w:r>
    </w:p>
    <w:p w:rsidR="00AC0832" w:rsidRDefault="00AC0832">
      <w:pPr>
        <w:pStyle w:val="Normal3"/>
      </w:pPr>
      <w:r>
        <w:t xml:space="preserve">Ured Povjerenstva izrađuje nacrte svih provedbenih propisa koje donosi Povjerenstvo, zatim izrađuje nacrte godišnjih izvješća Hrvatskom saboru o radu Povjerenstva,  omogućuje javnosti uvid u podatke o imovinskom stanju dužnosnika unosom istih na internet stranice Povjerenstva, obavlja poslove pisarnice Povjerenstva, poslove izrade nacrta prijedloga planiranja i izvršenja proračunskih sredstava  Ureda  povjerenstva i Povjerenstva. </w:t>
      </w:r>
    </w:p>
    <w:p w:rsidR="00AC0832" w:rsidRDefault="00AC0832">
      <w:pPr>
        <w:pStyle w:val="Normal3"/>
      </w:pPr>
      <w:r>
        <w:t xml:space="preserve">Pored gore opisanih poslova Uredu povjerenstva su povjereni i stručni, administrativno - tehnički  poslovi administrativne provjere podataka iz podnesenih izvješća dužnosnika o imovnom stanju, te ustrojavanje registra dužnosnika. </w:t>
      </w:r>
    </w:p>
    <w:p w:rsidR="00AC0832" w:rsidRDefault="00AC0832">
      <w:pPr>
        <w:pStyle w:val="Normal3"/>
      </w:pPr>
      <w:r>
        <w:t>Administrativno-tehnički i opći poslovi, koje Ured povjerenstva obavlja su poslovi koji obuhvaćaju statističko-analitičke i informativno-dokumentacijske  poslove, sređivanje, čuvanje i arhiviranje dokumentacije, uredsko poslovanje, daktilografske poslove, te druge administrativno-tehničke poslove za potrebe Povjerenstva i Ureda povjerenstva.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01015-Ured Povjerenstva za odlučivanje o sukobu interesa</w:t>
            </w:r>
          </w:p>
        </w:tc>
        <w:tc>
          <w:tcPr>
            <w:tcW w:w="2322" w:type="dxa"/>
          </w:tcPr>
          <w:p w:rsidR="00AC0832" w:rsidRDefault="00AC0832">
            <w:pPr>
              <w:pStyle w:val="CellColumn"/>
            </w:pPr>
            <w:r>
              <w:t>4.419.000</w:t>
            </w:r>
          </w:p>
        </w:tc>
        <w:tc>
          <w:tcPr>
            <w:tcW w:w="2322" w:type="dxa"/>
          </w:tcPr>
          <w:p w:rsidR="00AC0832" w:rsidRDefault="00AC0832">
            <w:pPr>
              <w:pStyle w:val="CellColumn"/>
            </w:pPr>
            <w:r>
              <w:t>2.854.924</w:t>
            </w:r>
          </w:p>
        </w:tc>
        <w:tc>
          <w:tcPr>
            <w:tcW w:w="2322" w:type="dxa"/>
          </w:tcPr>
          <w:p w:rsidR="00AC0832" w:rsidRDefault="00AC0832">
            <w:pPr>
              <w:pStyle w:val="CellColumn"/>
            </w:pPr>
            <w:r>
              <w:t>64,6</w:t>
            </w:r>
          </w:p>
        </w:tc>
      </w:tr>
      <w:tr w:rsidR="00AC0832" w:rsidTr="00BE20ED">
        <w:trPr>
          <w:jc w:val="center"/>
        </w:trPr>
        <w:tc>
          <w:tcPr>
            <w:tcW w:w="2322" w:type="dxa"/>
          </w:tcPr>
          <w:p w:rsidR="00AC0832" w:rsidRDefault="00AC0832">
            <w:pPr>
              <w:pStyle w:val="CellColumnSmall"/>
            </w:pPr>
            <w:r>
              <w:t>2102-ODLUČIVANJE O SUKOBU INTERESA</w:t>
            </w:r>
          </w:p>
        </w:tc>
        <w:tc>
          <w:tcPr>
            <w:tcW w:w="2322" w:type="dxa"/>
          </w:tcPr>
          <w:p w:rsidR="00AC0832" w:rsidRDefault="00AC0832">
            <w:pPr>
              <w:pStyle w:val="CellColumnSmall"/>
            </w:pPr>
            <w:r>
              <w:t>4.419.000</w:t>
            </w:r>
          </w:p>
        </w:tc>
        <w:tc>
          <w:tcPr>
            <w:tcW w:w="2322" w:type="dxa"/>
          </w:tcPr>
          <w:p w:rsidR="00AC0832" w:rsidRDefault="00AC0832">
            <w:pPr>
              <w:pStyle w:val="CellColumnSmall"/>
            </w:pPr>
            <w:r>
              <w:t>2.854.924</w:t>
            </w:r>
          </w:p>
        </w:tc>
        <w:tc>
          <w:tcPr>
            <w:tcW w:w="2322" w:type="dxa"/>
          </w:tcPr>
          <w:p w:rsidR="00AC0832" w:rsidRDefault="00AC0832">
            <w:pPr>
              <w:pStyle w:val="CellColumnSmall"/>
            </w:pPr>
            <w:r>
              <w:t>64,6</w:t>
            </w:r>
          </w:p>
        </w:tc>
      </w:tr>
    </w:tbl>
    <w:p w:rsidR="00AC0832" w:rsidRDefault="00AC0832">
      <w:pPr>
        <w:jc w:val="left"/>
      </w:pPr>
    </w:p>
    <w:p w:rsidR="00AC0832" w:rsidRDefault="00AC0832">
      <w:pPr>
        <w:pStyle w:val="Heading4"/>
      </w:pPr>
      <w:r>
        <w:t>OBRAZLOŽENJE PROGRAMA</w:t>
      </w:r>
    </w:p>
    <w:p w:rsidR="00AC0832" w:rsidRDefault="00AC0832">
      <w:pPr>
        <w:pStyle w:val="Heading5"/>
      </w:pPr>
      <w:r>
        <w:t>2102 ODLUČIVANJE O SUKOBU INTERESA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2102-ODLUČIVANJE O SUKOBU INTERESA</w:t>
            </w:r>
          </w:p>
        </w:tc>
        <w:tc>
          <w:tcPr>
            <w:tcW w:w="2322" w:type="dxa"/>
          </w:tcPr>
          <w:p w:rsidR="00AC0832" w:rsidRDefault="00AC0832">
            <w:pPr>
              <w:pStyle w:val="CellColumn"/>
            </w:pPr>
            <w:r>
              <w:t>4.419.000</w:t>
            </w:r>
          </w:p>
        </w:tc>
        <w:tc>
          <w:tcPr>
            <w:tcW w:w="2322" w:type="dxa"/>
          </w:tcPr>
          <w:p w:rsidR="00AC0832" w:rsidRDefault="00AC0832">
            <w:pPr>
              <w:pStyle w:val="CellColumn"/>
            </w:pPr>
            <w:r>
              <w:t>2.854.924</w:t>
            </w:r>
          </w:p>
        </w:tc>
        <w:tc>
          <w:tcPr>
            <w:tcW w:w="2322" w:type="dxa"/>
          </w:tcPr>
          <w:p w:rsidR="00AC0832" w:rsidRDefault="00AC0832">
            <w:pPr>
              <w:pStyle w:val="CellColumn"/>
            </w:pPr>
            <w:r>
              <w:t>64,6</w:t>
            </w:r>
          </w:p>
        </w:tc>
      </w:tr>
    </w:tbl>
    <w:p w:rsidR="00AC0832" w:rsidRDefault="00AC0832">
      <w:pPr>
        <w:jc w:val="left"/>
      </w:pPr>
    </w:p>
    <w:p w:rsidR="00AC0832" w:rsidRDefault="00AC0832">
      <w:pPr>
        <w:pStyle w:val="Heading6"/>
      </w:pPr>
      <w:r>
        <w:t>Opis programa</w:t>
      </w:r>
    </w:p>
    <w:p w:rsidR="00AC0832" w:rsidRDefault="00AC0832">
      <w:pPr>
        <w:pStyle w:val="Normal5"/>
      </w:pPr>
      <w:r>
        <w:t xml:space="preserve">Svrha ovog Zakona je sprječavanje sukoba interesa u obnašanju javnih dužnosti, sprječavanju privatnih utjecaja na donošenje odluka u obnašanju javnih dužnosti, jačanje integriteta, objektivnosti, nepristranosti i transparentnosti u obnašanju javnih dužnosti te jačanje povjerenja građana u tijela javne vlasti. </w:t>
      </w:r>
    </w:p>
    <w:p w:rsidR="00AC0832" w:rsidRDefault="00AC0832">
      <w:pPr>
        <w:pStyle w:val="Normal5"/>
      </w:pPr>
      <w:r>
        <w:t xml:space="preserve">Sukob interesa, kako ga Zakon definira, postoji kada su privatni interesi dužnosnika u suprotnosti s javnim interesom, a posebice kada:  </w:t>
      </w:r>
    </w:p>
    <w:p w:rsidR="00AC0832" w:rsidRDefault="00AC0832">
      <w:pPr>
        <w:pStyle w:val="Normal5"/>
      </w:pPr>
      <w:r>
        <w:t xml:space="preserve">-privatni interes dužnosnika utječe na njegovu nepristranost u obavljanju javne dužnosti ili </w:t>
      </w:r>
    </w:p>
    <w:p w:rsidR="00AC0832" w:rsidRDefault="00AC0832">
      <w:pPr>
        <w:pStyle w:val="Normal5"/>
      </w:pPr>
      <w:r>
        <w:t xml:space="preserve">-se osnovano može smatrati da privatni interes dužnosnika utječe na njegovu nepristranost u obavljanju javne dužnosti ili </w:t>
      </w:r>
    </w:p>
    <w:p w:rsidR="00AC0832" w:rsidRDefault="00AC0832">
      <w:pPr>
        <w:pStyle w:val="Normal5"/>
      </w:pPr>
      <w:r>
        <w:t xml:space="preserve">-privatni interes dužnosnika može utjecati na njegovu nepristranost u obavljanju javne dužnosti. </w:t>
      </w:r>
    </w:p>
    <w:p w:rsidR="00AC0832" w:rsidRDefault="00AC0832">
      <w:pPr>
        <w:pStyle w:val="Normal5"/>
      </w:pPr>
      <w:r>
        <w:t xml:space="preserve">Dužnosnici u obnašanju javnih dužnosti moraju postupati časno, pošteno, savjesno, odgovorno i nepristrano čuvajući vlastitu vjerodostojnost i dostojanstvo povjerene im dužnosti te povjerenje građana.  </w:t>
      </w:r>
    </w:p>
    <w:p w:rsidR="00AC0832" w:rsidRDefault="00AC0832">
      <w:pPr>
        <w:pStyle w:val="Normal5"/>
      </w:pPr>
      <w:r>
        <w:t xml:space="preserve">Nakon izbora ili imenovanja na javnu dužnost, dužnosnik je dužan urediti svoje privatne poslove kako bi se spriječio predvidljivi sukob interesa i zaštitio javni interes. Povjerenstvo imajući ulogu preventivnog djelovanja čini sve kroz različite upute, smjernice i mišljenja da spriječi predvidljivi ili potencijalni sukob interesa i time tako djeluje proaktivno. </w:t>
      </w:r>
    </w:p>
    <w:p w:rsidR="00AC0832" w:rsidRDefault="00AC0832">
      <w:pPr>
        <w:pStyle w:val="Normal5"/>
      </w:pPr>
      <w:r>
        <w:t xml:space="preserve">Dužnosnici su obvezni na početku mandata te na kraju mandata kao i za vrijeme svoga mandata, ako dođe do promjene njihovog imovnog stanja dostaviti Povjerenstvu izvješće o svome imovnom stanju, čiji se podaci o imovini javno objavljuju. </w:t>
      </w:r>
    </w:p>
    <w:p w:rsidR="00AC0832" w:rsidRDefault="00AC0832">
      <w:pPr>
        <w:pStyle w:val="Normal5"/>
      </w:pPr>
      <w:r>
        <w:t xml:space="preserve">Nakon što Povjerenstvo utvrdi povredu pojedinih odredbi Zakona može dužnosnicima izreći slijedeće sankcije: </w:t>
      </w:r>
    </w:p>
    <w:p w:rsidR="00AC0832" w:rsidRDefault="00AC0832">
      <w:pPr>
        <w:pStyle w:val="Normal5"/>
      </w:pPr>
      <w:r>
        <w:t xml:space="preserve">-opomenu, </w:t>
      </w:r>
    </w:p>
    <w:p w:rsidR="00AC0832" w:rsidRDefault="00AC0832">
      <w:pPr>
        <w:pStyle w:val="Normal5"/>
      </w:pPr>
      <w:r>
        <w:t xml:space="preserve">-obustavu isplate dijela mjesečne plaće i </w:t>
      </w:r>
    </w:p>
    <w:p w:rsidR="00AC0832" w:rsidRDefault="00AC0832">
      <w:pPr>
        <w:pStyle w:val="Normal5"/>
      </w:pPr>
      <w:r>
        <w:t xml:space="preserve">-javno objavljivanje odluke Povjerenstva na trošak dužnosnika. </w:t>
      </w:r>
    </w:p>
    <w:p w:rsidR="00AC0832" w:rsidRDefault="00AC0832">
      <w:pPr>
        <w:pStyle w:val="Normal5"/>
      </w:pPr>
      <w:r>
        <w:t xml:space="preserve">Protiv odluke Povjerenstva može se pokrenuti upravni spor pred Upravnim sudom Republike Hrvatske. </w:t>
      </w:r>
    </w:p>
    <w:p w:rsidR="00AC0832" w:rsidRDefault="00AC0832">
      <w:pPr>
        <w:pStyle w:val="Normal5"/>
      </w:pPr>
      <w:r>
        <w:t xml:space="preserve">Nadležnosti Povjerenstva su: </w:t>
      </w:r>
    </w:p>
    <w:p w:rsidR="00AC0832" w:rsidRDefault="00AC0832">
      <w:pPr>
        <w:pStyle w:val="Normal5"/>
      </w:pPr>
      <w:r>
        <w:t xml:space="preserve">-pokretanje postupaka sukoba interesa i donošenje odluka o tome je li određeno djelovanje ili propust dužnosnika predstavlja povredu odredbi ovog Zakona, </w:t>
      </w:r>
    </w:p>
    <w:p w:rsidR="00AC0832" w:rsidRDefault="00AC0832">
      <w:pPr>
        <w:pStyle w:val="Normal5"/>
      </w:pPr>
      <w:r>
        <w:t xml:space="preserve">-davanje mišljenja na zahtjev dužnosnika kada su u dvojbi je li neko njihovo ponašanje u skladu s načelima javnih dužnosti, </w:t>
      </w:r>
    </w:p>
    <w:p w:rsidR="00AC0832" w:rsidRDefault="00AC0832">
      <w:pPr>
        <w:pStyle w:val="Normal5"/>
      </w:pPr>
      <w:r>
        <w:t xml:space="preserve">-propisivanje i utvrđivanje sadržaja obrazaca imovinske kartice te ustrojavanja Registra dužnosnika radi primjene pojedinih odredbi Zakona, </w:t>
      </w:r>
    </w:p>
    <w:p w:rsidR="00AC0832" w:rsidRDefault="00AC0832">
      <w:pPr>
        <w:pStyle w:val="Normal5"/>
      </w:pPr>
      <w:r>
        <w:t xml:space="preserve">-donošenje podzakonskih akata vezanih za provedbu ovog Zakona – pravilnici, </w:t>
      </w:r>
    </w:p>
    <w:p w:rsidR="00AC0832" w:rsidRDefault="00AC0832">
      <w:pPr>
        <w:pStyle w:val="Normal5"/>
      </w:pPr>
      <w:r>
        <w:t xml:space="preserve">-izrada smjernica i uputa dužnosnicima u svrhu učinkovitog sprječavanja sukoba interesa, </w:t>
      </w:r>
    </w:p>
    <w:p w:rsidR="00AC0832" w:rsidRDefault="00AC0832">
      <w:pPr>
        <w:pStyle w:val="Normal5"/>
      </w:pPr>
      <w:r>
        <w:t xml:space="preserve">-provođenje edukacija dužnosnika u pitanjima sukoba interesa i podnošenja izvješća o imovinskom stanju, </w:t>
      </w:r>
    </w:p>
    <w:p w:rsidR="00AC0832" w:rsidRDefault="00AC0832">
      <w:pPr>
        <w:pStyle w:val="Normal5"/>
      </w:pPr>
      <w:r>
        <w:t xml:space="preserve">-suradnja s nadležnim tijelima u svrhu provedbe ovog Zakona, </w:t>
      </w:r>
    </w:p>
    <w:p w:rsidR="00AC0832" w:rsidRDefault="00AC0832">
      <w:pPr>
        <w:pStyle w:val="Normal5"/>
      </w:pPr>
      <w:r>
        <w:t xml:space="preserve">-ostvarivanje međunarodne suradnje sa sličnim tijelima u području sprječavanja sukoba interesa te, </w:t>
      </w:r>
    </w:p>
    <w:p w:rsidR="00AC0832" w:rsidRDefault="00AC0832">
      <w:pPr>
        <w:pStyle w:val="Normal5"/>
      </w:pPr>
      <w:r>
        <w:t>-obavljanje drugih poslova određenih ovim Zakonom.</w:t>
      </w:r>
    </w:p>
    <w:p w:rsidR="00AC0832" w:rsidRDefault="00AC0832">
      <w:pPr>
        <w:pStyle w:val="Heading6"/>
      </w:pPr>
      <w:r>
        <w:t>Zakonske i druge pravne osnove</w:t>
      </w:r>
    </w:p>
    <w:p w:rsidR="00AC0832" w:rsidRDefault="00AC0832">
      <w:pPr>
        <w:pStyle w:val="Normal5"/>
      </w:pPr>
      <w:r>
        <w:t xml:space="preserve">-Zakon o sprječavanju sukoba interesa, </w:t>
      </w:r>
    </w:p>
    <w:p w:rsidR="00AC0832" w:rsidRDefault="00AC0832">
      <w:pPr>
        <w:pStyle w:val="Normal5"/>
      </w:pPr>
      <w:r>
        <w:t xml:space="preserve">-Pravilnik o načinu rada i odlučivanja Povjerenstva, </w:t>
      </w:r>
    </w:p>
    <w:p w:rsidR="00AC0832" w:rsidRDefault="00AC0832">
      <w:pPr>
        <w:pStyle w:val="Normal5"/>
      </w:pPr>
      <w:r>
        <w:t>-Pravilnik o unutarnjem ustrojstvu Ureda povjerenstva za odlučivanje o sukobu interesa.</w:t>
      </w:r>
    </w:p>
    <w:p w:rsidR="00AC0832" w:rsidRDefault="00AC0832">
      <w:pPr>
        <w:pStyle w:val="Heading7"/>
      </w:pPr>
      <w:r>
        <w:t>Cilj 1. Sprječavanje sukoba interesa</w:t>
      </w:r>
    </w:p>
    <w:p w:rsidR="00AC0832" w:rsidRDefault="00AC0832">
      <w:pPr>
        <w:pStyle w:val="Heading8"/>
        <w:jc w:val="left"/>
      </w:pPr>
      <w:r>
        <w:t>Opis provedbe cilja programa</w:t>
      </w:r>
    </w:p>
    <w:p w:rsidR="00AC0832" w:rsidRDefault="00AC0832">
      <w:pPr>
        <w:pStyle w:val="Normal6"/>
      </w:pPr>
      <w:r>
        <w:t xml:space="preserve">Svrha ovog Zakona je sprječavanje sukoba interesa u obnašanju javnih dužnosti, sprječavanju privatnih utjecaja na donošenje odluka u obnašanju javnih dužnosti, jačanje integriteta, objektivnosti, nepristranosti i transparentnosti u obnašanju javnih dužnosti te jačanje povjerenja građana u tijela javne vlasti. Cilj rada Povjerenstva je na vrijeme spriječiti potencijalni odnosno predvidljivi sukob interesa preventivno djelujući ili pak odlučujući o stvarnom sukobu interesa odvratiti dužnosnike od daljnjeg nalaženja u situaciji sukoba interesa kako bi  dužnosnik izašao iz nastale situacije sukoba interesa te nastojao izbjegavati takve ili slične situacije. </w:t>
      </w:r>
    </w:p>
    <w:p w:rsidR="00AC0832" w:rsidRDefault="00AC0832">
      <w:pPr>
        <w:pStyle w:val="Normal6"/>
      </w:pPr>
      <w:r>
        <w:t>Cilj Ureda povjerenstva kao stručne službe Povjerenstva je pružiti svu podršku radu i djelovanju Povjerenstva, dakle svu stručnu, administrativnu i tehničku te informativno-dokumentacijsku podršku u svrhu omogućavanja redovitog i nesmetanog djelovanja Povjerenstva u izvršenju svih njegovih zadaća i obveza, koje proizalize iz odredbi Zakona i podzakonskih propisa.</w:t>
      </w:r>
    </w:p>
    <w:p w:rsidR="00AC0832" w:rsidRDefault="00AC0832">
      <w:pPr>
        <w:pStyle w:val="Heading6"/>
      </w:pPr>
      <w:r>
        <w:t>A847003 RAD POVJERENSTVA ZA ODLUČIVANJE O SUKOBU INTERESA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A847003-RAD POVJERENSTVA ZA ODLUČIVANJE O SUKOBU INTERESA</w:t>
            </w:r>
          </w:p>
        </w:tc>
        <w:tc>
          <w:tcPr>
            <w:tcW w:w="2322" w:type="dxa"/>
          </w:tcPr>
          <w:p w:rsidR="00AC0832" w:rsidRDefault="00AC0832">
            <w:pPr>
              <w:pStyle w:val="CellColumn"/>
            </w:pPr>
            <w:r>
              <w:t>314.000</w:t>
            </w:r>
          </w:p>
        </w:tc>
        <w:tc>
          <w:tcPr>
            <w:tcW w:w="2322" w:type="dxa"/>
          </w:tcPr>
          <w:p w:rsidR="00AC0832" w:rsidRDefault="00AC0832">
            <w:pPr>
              <w:pStyle w:val="CellColumn"/>
            </w:pPr>
            <w:r>
              <w:t>302.911</w:t>
            </w:r>
          </w:p>
        </w:tc>
        <w:tc>
          <w:tcPr>
            <w:tcW w:w="2322" w:type="dxa"/>
          </w:tcPr>
          <w:p w:rsidR="00AC0832" w:rsidRDefault="00AC0832">
            <w:pPr>
              <w:pStyle w:val="CellColumn"/>
            </w:pPr>
            <w:r>
              <w:t>96,5</w:t>
            </w:r>
          </w:p>
        </w:tc>
      </w:tr>
    </w:tbl>
    <w:p w:rsidR="00AC0832" w:rsidRDefault="00AC0832">
      <w:pPr>
        <w:jc w:val="left"/>
      </w:pPr>
    </w:p>
    <w:p w:rsidR="00AC0832" w:rsidRDefault="00AC0832">
      <w:pPr>
        <w:pStyle w:val="Heading8"/>
        <w:jc w:val="left"/>
      </w:pPr>
      <w:r>
        <w:t>Opis provedbe aktivnosti / projekta</w:t>
      </w:r>
    </w:p>
    <w:p w:rsidR="00AC0832" w:rsidRDefault="00AC0832">
      <w:pPr>
        <w:pStyle w:val="Heading6"/>
      </w:pPr>
      <w:r>
        <w:t>A847004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A847004-ADMINISTRACIJA I UPRAVLJANJE</w:t>
            </w:r>
          </w:p>
        </w:tc>
        <w:tc>
          <w:tcPr>
            <w:tcW w:w="2322" w:type="dxa"/>
          </w:tcPr>
          <w:p w:rsidR="00AC0832" w:rsidRDefault="00AC0832">
            <w:pPr>
              <w:pStyle w:val="CellColumn"/>
            </w:pPr>
            <w:r>
              <w:t>4.005.000</w:t>
            </w:r>
          </w:p>
        </w:tc>
        <w:tc>
          <w:tcPr>
            <w:tcW w:w="2322" w:type="dxa"/>
          </w:tcPr>
          <w:p w:rsidR="00AC0832" w:rsidRDefault="00AC0832">
            <w:pPr>
              <w:pStyle w:val="CellColumn"/>
            </w:pPr>
            <w:r>
              <w:t>2.480.882</w:t>
            </w:r>
          </w:p>
        </w:tc>
        <w:tc>
          <w:tcPr>
            <w:tcW w:w="2322" w:type="dxa"/>
          </w:tcPr>
          <w:p w:rsidR="00AC0832" w:rsidRDefault="00AC0832">
            <w:pPr>
              <w:pStyle w:val="CellColumn"/>
            </w:pPr>
            <w:r>
              <w:t>61,9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Vezano Povjerenstva za odlučivanje o sukobu interesa u razdoblju od 01. siječnja 2012.g. do 31. prosinca 2012.g. bile su ograničene, odnosno sužene, iz razloga jer Povjerenstvo u tadašnjem sastavu nije bilo ovlašteno donositi odluke po prijavama sukoba interesa zaprimljenim nakon stupanja na snagu Zakona, niti vršiti  redovitu provjeru podataka iz zaprimljenih izvješća o imovinskom stanju dužnosnika, sukladno odredbi članka 56. st. 4.  Citiranog Zakona o sprječavanju sukoba interesa. </w:t>
      </w:r>
    </w:p>
    <w:p w:rsidR="00AC0832" w:rsidRDefault="00AC0832">
      <w:pPr>
        <w:pStyle w:val="Normal6"/>
      </w:pPr>
      <w:r>
        <w:t xml:space="preserve">Konstituiranjem VII. saziva Hrvatskoga sabora, dana 22. prosinca 2011.g., članovima Povjerenstva iz redova zastupnika Hrvatskoga sabora, koji čine većinu članova u Povjerenstvu, istekao je mandat u Hrvatskom saboru i sukladno tome i članstvo u Povjerenstvu za odlučivanje o sukobu interesa. Povjerenstvo u preostalom sastavu, zbog gubitka kvoruma nakon 22. prosinca 2011.g., nije bilo u mogućnosti donositi akte iz svoje zakonom sužene nadležnosti i ovlasti. </w:t>
      </w:r>
    </w:p>
    <w:p w:rsidR="00AC0832" w:rsidRDefault="00AC0832">
      <w:pPr>
        <w:pStyle w:val="Normal6"/>
      </w:pPr>
      <w:r>
        <w:t xml:space="preserve">Naime, dana 10. ožujka 2011.g. stupio je na snagu novi Zakon o sprječavanju sukoba interesa  kojim je propisano da je Povjerenstvo stalno, neovisno i samostalno državno tijelo koje se sastoji od predsjednika  i četiri člana. Navedenim Zakonom propisano je da će se  izbor Povjerenstva obaviti u roku 90 dana od stupanja na snagu novog Zakona, točnije do dana 09. lipnja 2011.g. Sukladno navedenom Zakonu Povjerenstvo u dosadašnjem sastavu obavljalo bi  poslove u skladu s novim Zakonom samo do izbora predsjednika i članova novog Povjerenstva. Međutim, novo profesionalno Povjerenstvo iz Zakona o sprječavanju sukoba interesa (NN 26/11 i 12/12) nije, u dva izvršena pokušaja izbora, izabrano od strane Hrvatskoga sabora, te je „staro“ Povjerenstvo sukladno ograničenim ovlastima obavljalo ostale poslove iz svoje nadležnosti.  </w:t>
      </w:r>
    </w:p>
    <w:p w:rsidR="00AC0832" w:rsidRDefault="00AC0832">
      <w:pPr>
        <w:pStyle w:val="Normal6"/>
      </w:pPr>
      <w:r>
        <w:t xml:space="preserve">U skladu s ciljem provedbe citiranog Zakona o sprječavanju sukoba interesa iako u okviru svojih ograničenih ovlasti, od strane Povjerenstva poduzeto je niz aktivnosti i mjera, kako slijedi: </w:t>
      </w:r>
    </w:p>
    <w:p w:rsidR="00AC0832" w:rsidRDefault="00AC0832">
      <w:pPr>
        <w:pStyle w:val="Normal6"/>
      </w:pPr>
      <w:r>
        <w:t xml:space="preserve">-  Tijekom siječnja 2012.g. Povjerenstvo je zaprimilo imovinske kartice svih novoizabranih saborskih zastupnika te imenovanih dužnosnika ( ministri, zamjenici ministara, pomoćnici ministara, ravnatelji agencija te ostali dužnosnici, čije su podatke, u zatraženom  izvještajnom razdoblju, djelatnici Ureda povjerenstva administrativno provjeravali, uz naknadne obavijesti dužnosnicima o potrebitim nadopunama i ispravkama te podatke o imovini dužnosnika objavili na web stranicama Povjerenstva. </w:t>
      </w:r>
    </w:p>
    <w:p w:rsidR="00AC0832" w:rsidRDefault="00AC0832">
      <w:pPr>
        <w:pStyle w:val="Normal6"/>
      </w:pPr>
      <w:r>
        <w:t xml:space="preserve">- Obzirom  da  34 saborska zastupnika,  kojima je prestao mandat u prethodnom sazivu Hrvatskog sabora, nakon dopisa u prosincu,  nisu dostavili svoje imovinske kartice, Povjerenstvo je 07. svibnja 2012.g.  opetovano uputilo dopis dužnosnicima kojim je zatražena  dostava imovinskih kartica, nakon čega su sve pristigle imovinske kartice administrativno provjerene i podaci o njihovoj imovini objavljeni na web stranicama Povjerenstva. </w:t>
      </w:r>
    </w:p>
    <w:p w:rsidR="00AC0832" w:rsidRDefault="00AC0832">
      <w:pPr>
        <w:pStyle w:val="Normal6"/>
      </w:pPr>
      <w:r>
        <w:t xml:space="preserve">- Nakon upućenog dopisa od strane Povjerenstva tajništvu Vlade Republike Hrvatske u prosincu 2011.g. neposredno nakon održanih parlamentarnih izbora, tijekom siječnja i veljače predsjednik Vlade, potpredsjednici, ministri kao i njihovi zamjenici dostavili su svoje imovinske kartice. </w:t>
      </w:r>
    </w:p>
    <w:p w:rsidR="00AC0832" w:rsidRDefault="00AC0832">
      <w:pPr>
        <w:pStyle w:val="Normal6"/>
      </w:pPr>
      <w:r>
        <w:t xml:space="preserve">-  Administrativnom provjerom podataka iz dostavljenih imovinskih kartica utvrđeno je kako u pojedinim imovinskim karticama nedostaju određeni podatci, posebice oni koji se odnose na plaće novoimenovanih dužnosnika (budući da prvu plaću nisu niti primili u trenutku dostave kartica), dopisom od 04.svibnja 2012.g., Povjerenstvo je zatražilo je od pojedinih članova Vlade, zamjenika i pomoćnika ministara da naknadno dostave potrebite podatke Povjerenstvu. </w:t>
      </w:r>
    </w:p>
    <w:p w:rsidR="00AC0832" w:rsidRDefault="00AC0832">
      <w:pPr>
        <w:pStyle w:val="Normal6"/>
      </w:pPr>
      <w:r>
        <w:t xml:space="preserve">- Zakonom o sprječavanju sukoba interesa dužnosnicima se smatraju i predsjednici i članovi uprava trgovačkih društava u većinskom državnom vlasništvu, kako je uvidom u Sudski registar, većina skupština trgovačkih društava imenovala nove predsjednike i članove uprava, dopisom od 03. svibnja 2012.g. zatraženo je od novih predsjednika i članova uprava ( njih ukupno 31 ) da dostave imovinske kartice za početak mandata te su sve pristigle imovinske kartice administrativno provjerene i podaci o imovini dužnosnika objavljeni na web stranicama Povjerenstva. </w:t>
      </w:r>
    </w:p>
    <w:p w:rsidR="00AC0832" w:rsidRDefault="00AC0832">
      <w:pPr>
        <w:pStyle w:val="Normal6"/>
      </w:pPr>
      <w:r>
        <w:t xml:space="preserve">- Tijekom mjeseca listopada Povjerenstvo je sukladno odredbi članka 10. Zakona o sprječavanju sukoba interesa uputilo 68 pismenih zahtjeva za ispunjenje obveze dostave izvješća o imovinskom stanju Povjerenstvu svim novoimenovanim ravnateljima agencija i direkcija Vlade Republike Hrvatske te ravnateljima zavoda koje imenuje Vlada RH kao i  novoimenovanim ravnateljima Ureda Vlade Republike Hrvatske, koji nisu u zakonskom roku izvršili svoju obvezu dostave imovinske kartice Povjerenstvu. Svi navedeni dužnosnici su na upućeni pisani zahtjev dostavili svoje imovinske kartice Povjerenstvu, koje su tijekom mjeseca studenoga administrativno provjerene te podaci o imovini navedenih dužnosnika obrađeni i objavljeni na web stranici Povjerenstva. </w:t>
      </w:r>
    </w:p>
    <w:p w:rsidR="00AC0832" w:rsidRDefault="00AC0832">
      <w:pPr>
        <w:pStyle w:val="Normal6"/>
      </w:pPr>
      <w:r>
        <w:t xml:space="preserve">- Povjerenstvo preventivno djelujući kontinuirano je odgovaralo na brojne upite dužnosnika u cilju izbjegavanja mogućeg i potencijalnog sukoba interesa dužnosnika. </w:t>
      </w:r>
    </w:p>
    <w:p w:rsidR="00AC0832" w:rsidRDefault="00AC0832">
      <w:pPr>
        <w:pStyle w:val="Normal6"/>
      </w:pPr>
      <w:r>
        <w:t xml:space="preserve">- Također, Povjerenstvo je utvrdilo i sadržaj Godišnjeg izvješća Povjerenstva za 2011.g. i dostavilo ga Hrvatskom  saboru. </w:t>
      </w:r>
    </w:p>
    <w:p w:rsidR="00AC0832" w:rsidRDefault="00AC0832">
      <w:pPr>
        <w:pStyle w:val="Normal6"/>
      </w:pPr>
      <w:r>
        <w:t xml:space="preserve">Povjerenstvo i Ured Povjerenstva u suradnji s djelatnicima Ministarstva pravosuđa  i Ministarstva uprave kontinuirano su provodili  mjere iz Akcijskog plana uz Strategiju suzbijanja korupcije: Provedbu Zakona o sprječavanju sukoba interesa u obnašanju javnih dužnosti i Edukaciju državnih, regionalnih i lokalnih dužnosnika i službenika na temu sprječavanja sukoba interesa. U traženom izvještajnom razdoblju provedene su edukacije za dužnosnike lokalne i područne (regionalne) samouprave u sedam (5) županija i to; </w:t>
      </w:r>
    </w:p>
    <w:p w:rsidR="00AC0832" w:rsidRDefault="00AC0832">
      <w:pPr>
        <w:pStyle w:val="Normal6"/>
      </w:pPr>
      <w:r>
        <w:t xml:space="preserve">-u siječnju 2012.g. u Splitsko-dalmatinskoj i Primorsko-goranskoj županiji, </w:t>
      </w:r>
    </w:p>
    <w:p w:rsidR="00AC0832" w:rsidRDefault="00AC0832">
      <w:pPr>
        <w:pStyle w:val="Normal6"/>
      </w:pPr>
      <w:r>
        <w:t xml:space="preserve">- u ožujku 2012. g. u Osječko-baranjskoj županiji,  </w:t>
      </w:r>
    </w:p>
    <w:p w:rsidR="00AC0832" w:rsidRDefault="00AC0832">
      <w:pPr>
        <w:pStyle w:val="Normal6"/>
      </w:pPr>
      <w:r>
        <w:t xml:space="preserve">-u travnju 2012.g. u Dubrovačko-neretvanskoj i Međimurskoj županiji, </w:t>
      </w:r>
    </w:p>
    <w:p w:rsidR="00AC0832" w:rsidRDefault="00AC0832">
      <w:pPr>
        <w:pStyle w:val="Normal6"/>
      </w:pPr>
      <w:r>
        <w:t xml:space="preserve">-u svibnju 2012. g. u Ličko-senjskoj županiji, </w:t>
      </w:r>
    </w:p>
    <w:p w:rsidR="00AC0832" w:rsidRDefault="00AC0832">
      <w:pPr>
        <w:pStyle w:val="Normal6"/>
      </w:pPr>
      <w:r>
        <w:t xml:space="preserve">- u lipnju 2012.g. u Istarskoj županiji, </w:t>
      </w:r>
    </w:p>
    <w:p w:rsidR="00AC0832" w:rsidRDefault="00AC0832">
      <w:pPr>
        <w:pStyle w:val="Normal6"/>
      </w:pPr>
      <w:r>
        <w:t xml:space="preserve">-te u listopadu 2012. g. u Zadarskoj županiji. </w:t>
      </w:r>
    </w:p>
    <w:p w:rsidR="00AC0832" w:rsidRDefault="00AC0832">
      <w:pPr>
        <w:pStyle w:val="Normal6"/>
      </w:pPr>
      <w:r>
        <w:t xml:space="preserve">Ovim programima edukacije u prosjeku je bilo nazočno na svakoj edukaciji od 30- 40 dužnosnika te službenika lokalne i područne (regionalne) samouprave. </w:t>
      </w:r>
    </w:p>
    <w:p w:rsidR="00AC0832" w:rsidRDefault="00AC0832">
      <w:pPr>
        <w:pStyle w:val="Normal6"/>
      </w:pPr>
      <w:r>
        <w:t xml:space="preserve">Neovisno o okolnostima sastava i nadležnosti Povjerenstva, Ured Povjerenstva kao stručna služba Povjerenstva za odlučivanje o sukobu interesa,  obavljao je administrativno-tehničke i stručno-analitičke poslove iz djelokruga rada Povjerenstva uključujući poslove, za sve gore navedene pristigle imovinske kartice, stručne obrade podataka, zaprimanja, evidencije, prikupljanja i utvrđivanja činjenica potrebnih za odlučivanje novom  Povjerenstvu te vršilo kontinuiranu korespodenciju s drugim tijelima državne uprave. </w:t>
      </w:r>
    </w:p>
    <w:p w:rsidR="00AC0832" w:rsidRDefault="00AC0832">
      <w:pPr>
        <w:pStyle w:val="Normal6"/>
      </w:pPr>
      <w:r>
        <w:t>Nadalje, djelatnici Ureda Povjerenstva obavljali su poslove pružanja pravnih savjeta na upite dužnosnika, pomagali dužnosnicima u rješavanju dvojbi glede mogućeg sukoba interesa pozivajući se na zakonske odredbe i dosadašnju praksu Povjerenstva, vršili administrativnu provjeru pristiglih imovinskih kartica i u slučaju nepotpunih podataka  obavještavali i kontaktirali dužnosnike te kao što je prethodno navedeno kontinuirano provodili edukaciju lokalnih i regionalnih dužnosnika i službenika o sukobu interesa, sukladno Akcijskom planu, a u suradnji s Ministarstvima uprave i pravosuđa.</w:t>
      </w:r>
    </w:p>
    <w:p w:rsidR="00AC0832" w:rsidRDefault="00AC0832">
      <w:pPr>
        <w:pStyle w:val="Heading6"/>
      </w:pPr>
      <w:r>
        <w:t>K847002 INFORMATIZACIJA UREDA POVJERENSTVA ZA ODLUČIVANJE O SUKOBU INTERESA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K847002-INFORMATIZACIJA UREDA POVJERENSTVA ZA ODLUČIVANJE O SUKOBU INTERESA</w:t>
            </w:r>
          </w:p>
        </w:tc>
        <w:tc>
          <w:tcPr>
            <w:tcW w:w="2322" w:type="dxa"/>
          </w:tcPr>
          <w:p w:rsidR="00AC0832" w:rsidRDefault="00AC0832">
            <w:pPr>
              <w:pStyle w:val="CellColumn"/>
            </w:pPr>
            <w:r>
              <w:t>100.000</w:t>
            </w:r>
          </w:p>
        </w:tc>
        <w:tc>
          <w:tcPr>
            <w:tcW w:w="2322" w:type="dxa"/>
          </w:tcPr>
          <w:p w:rsidR="00AC0832" w:rsidRDefault="00AC0832">
            <w:pPr>
              <w:pStyle w:val="CellColumn"/>
            </w:pPr>
            <w:r>
              <w:t>71.131</w:t>
            </w:r>
          </w:p>
        </w:tc>
        <w:tc>
          <w:tcPr>
            <w:tcW w:w="2322" w:type="dxa"/>
          </w:tcPr>
          <w:p w:rsidR="00AC0832" w:rsidRDefault="00AC0832">
            <w:pPr>
              <w:pStyle w:val="CellColumn"/>
            </w:pPr>
            <w:r>
              <w:t>71,1</w:t>
            </w:r>
          </w:p>
        </w:tc>
      </w:tr>
    </w:tbl>
    <w:p w:rsidR="00AC0832" w:rsidRDefault="00AC0832">
      <w:pPr>
        <w:jc w:val="left"/>
      </w:pPr>
    </w:p>
    <w:p w:rsidR="00AC0832" w:rsidRDefault="00AC0832">
      <w:pPr>
        <w:pStyle w:val="Heading2"/>
      </w:pPr>
      <w:r>
        <w:t>01020 Državno izborno povjerenstvo Republike Hrvatske</w:t>
      </w:r>
    </w:p>
    <w:p w:rsidR="00AC0832" w:rsidRDefault="00AC0832">
      <w:pPr>
        <w:pStyle w:val="Heading4"/>
      </w:pPr>
      <w:r>
        <w:t>Uvod</w:t>
      </w:r>
    </w:p>
    <w:p w:rsidR="00AC0832" w:rsidRDefault="00AC0832">
      <w:pPr>
        <w:pStyle w:val="Normal3"/>
      </w:pPr>
      <w:r>
        <w:t xml:space="preserve">Državno izborno povjerenstvo Republike Hrvatske (u daljnjem tekstu: Povjerenstvo) obavlja poslove iz svog djelokruga u skladu sa Zakonom o Državnom izbornom povjerenstvu te zakonima koji uređuju izbor zastupnika u Hrvatski sabor, izbor predsjednika Republike Hrvatske, izbor članova u Europski parlament iz Republike Hrvatske, lokalnih izbora (izbor članova predstavničkih tijela jedinica lokalne i područne (regionalne) samouprave i izbor općinskih načelnika, gradonačelnika, župana i gradonačelnika Grada Zagreba te njihovih zamjenika), izbor članova vijeća i predstavnika nacionalnih manjina u jedinicama lokalne i područne (regionalne) samouprave te provedbu državnog, lokalnog i savjetodavnog referenduma. </w:t>
      </w:r>
    </w:p>
    <w:p w:rsidR="00AC0832" w:rsidRDefault="00AC0832">
      <w:pPr>
        <w:pStyle w:val="Normal3"/>
      </w:pPr>
      <w:r>
        <w:t xml:space="preserve">Pored prethodno navedenih poslova, Povjerenstvo obavlja i sljedeće poslove: </w:t>
      </w:r>
    </w:p>
    <w:p w:rsidR="00AC0832" w:rsidRDefault="00AC0832">
      <w:pPr>
        <w:pStyle w:val="Normal3"/>
      </w:pPr>
      <w:r>
        <w:t xml:space="preserve">–daje mišljenja za dogradnju i unapređivanje izbornog zakonodavstva te zakonodavstva koje regulira pitanje referenduma, </w:t>
      </w:r>
    </w:p>
    <w:p w:rsidR="00AC0832" w:rsidRDefault="00AC0832">
      <w:pPr>
        <w:pStyle w:val="Normal3"/>
      </w:pPr>
      <w:r>
        <w:t xml:space="preserve">–imenuje članove županijskih izbornih povjerenstava i gradskoga izbornog povjerenstva Grada Zagreba, </w:t>
      </w:r>
    </w:p>
    <w:p w:rsidR="00AC0832" w:rsidRDefault="00AC0832">
      <w:pPr>
        <w:pStyle w:val="Normal3"/>
      </w:pPr>
      <w:r>
        <w:t xml:space="preserve">–provodi edukaciju članova izbornih povjerenstava i povjerenstava za provedbu referenduma u jedinicama lokalne i područne (regionalne) samouprave, </w:t>
      </w:r>
    </w:p>
    <w:p w:rsidR="00AC0832" w:rsidRDefault="00AC0832">
      <w:pPr>
        <w:pStyle w:val="Normal3"/>
      </w:pPr>
      <w:r>
        <w:t xml:space="preserve">–informira građane o provedbi izbora te mogućnosti ostvarenja i zaštite biračkog prava u izbornom postupku, </w:t>
      </w:r>
    </w:p>
    <w:p w:rsidR="00AC0832" w:rsidRDefault="00AC0832">
      <w:pPr>
        <w:pStyle w:val="Normal3"/>
      </w:pPr>
      <w:r>
        <w:t xml:space="preserve">–određuje način arhiviranja i objavljivanja materijala o provedenim izborima i referendumu, </w:t>
      </w:r>
    </w:p>
    <w:p w:rsidR="00AC0832" w:rsidRDefault="00AC0832">
      <w:pPr>
        <w:pStyle w:val="Normal3"/>
      </w:pPr>
      <w:r>
        <w:t xml:space="preserve">–objavljuje periodične, stručne publikacije vezano uz izborni sustav, provedbu izbora i praksu, </w:t>
      </w:r>
    </w:p>
    <w:p w:rsidR="00AC0832" w:rsidRDefault="00AC0832">
      <w:pPr>
        <w:pStyle w:val="Normal3"/>
      </w:pPr>
      <w:r>
        <w:t xml:space="preserve">–podnosi izvješća nadležnim tijelima o provedbi izbora i referenduma, </w:t>
      </w:r>
    </w:p>
    <w:p w:rsidR="00AC0832" w:rsidRDefault="00AC0832">
      <w:pPr>
        <w:pStyle w:val="Normal3"/>
      </w:pPr>
      <w:r>
        <w:t xml:space="preserve">–utvrđuje organizaciju stručne službe Povjerenstva, izabire tajnika Povjerenstva i njegova zamjenika, </w:t>
      </w:r>
    </w:p>
    <w:p w:rsidR="00AC0832" w:rsidRDefault="00AC0832">
      <w:pPr>
        <w:pStyle w:val="Normal3"/>
      </w:pPr>
      <w:r>
        <w:t xml:space="preserve">–ostvaruje suradnju s organizacijama u zemlji te s međunarodnim organizacijama i </w:t>
      </w:r>
    </w:p>
    <w:p w:rsidR="00AC0832" w:rsidRDefault="00AC0832">
      <w:pPr>
        <w:pStyle w:val="Normal3"/>
      </w:pPr>
      <w:r>
        <w:t xml:space="preserve">institucijama u domeni izbornog zakonodavstva i izbora uopće, </w:t>
      </w:r>
    </w:p>
    <w:p w:rsidR="00AC0832" w:rsidRDefault="00AC0832">
      <w:pPr>
        <w:pStyle w:val="Normal3"/>
      </w:pPr>
      <w:r>
        <w:t>–podnosi Hrvatskom saboru izvješće o provedenim izborima i referendumu u roku od 60 dana od dana objave službenih rezultata izbora.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01020-Državno izborno povjerenstvo Republike Hrvatske</w:t>
            </w:r>
          </w:p>
        </w:tc>
        <w:tc>
          <w:tcPr>
            <w:tcW w:w="2322" w:type="dxa"/>
          </w:tcPr>
          <w:p w:rsidR="00AC0832" w:rsidRDefault="00AC0832">
            <w:pPr>
              <w:pStyle w:val="CellColumn"/>
            </w:pPr>
            <w:r>
              <w:t>52.873.500</w:t>
            </w:r>
          </w:p>
        </w:tc>
        <w:tc>
          <w:tcPr>
            <w:tcW w:w="2322" w:type="dxa"/>
          </w:tcPr>
          <w:p w:rsidR="00AC0832" w:rsidRDefault="00AC0832">
            <w:pPr>
              <w:pStyle w:val="CellColumn"/>
            </w:pPr>
            <w:r>
              <w:t>52.417.761</w:t>
            </w:r>
          </w:p>
        </w:tc>
        <w:tc>
          <w:tcPr>
            <w:tcW w:w="2322" w:type="dxa"/>
          </w:tcPr>
          <w:p w:rsidR="00AC0832" w:rsidRDefault="00AC0832">
            <w:pPr>
              <w:pStyle w:val="CellColumn"/>
            </w:pPr>
            <w:r>
              <w:t>99,1</w:t>
            </w:r>
          </w:p>
        </w:tc>
      </w:tr>
      <w:tr w:rsidR="00AC0832" w:rsidTr="00BE20ED">
        <w:trPr>
          <w:jc w:val="center"/>
        </w:trPr>
        <w:tc>
          <w:tcPr>
            <w:tcW w:w="2322" w:type="dxa"/>
          </w:tcPr>
          <w:p w:rsidR="00AC0832" w:rsidRDefault="00AC0832">
            <w:pPr>
              <w:pStyle w:val="CellColumnSmall"/>
            </w:pPr>
            <w:r>
              <w:t>2103-PROVEDBA IZBORA I REFERENDUMA</w:t>
            </w:r>
          </w:p>
        </w:tc>
        <w:tc>
          <w:tcPr>
            <w:tcW w:w="2322" w:type="dxa"/>
          </w:tcPr>
          <w:p w:rsidR="00AC0832" w:rsidRDefault="00AC0832">
            <w:pPr>
              <w:pStyle w:val="CellColumnSmall"/>
            </w:pPr>
            <w:r>
              <w:t>52.873.500</w:t>
            </w:r>
          </w:p>
        </w:tc>
        <w:tc>
          <w:tcPr>
            <w:tcW w:w="2322" w:type="dxa"/>
          </w:tcPr>
          <w:p w:rsidR="00AC0832" w:rsidRDefault="00AC0832">
            <w:pPr>
              <w:pStyle w:val="CellColumnSmall"/>
            </w:pPr>
            <w:r>
              <w:t>52.417.761</w:t>
            </w:r>
          </w:p>
        </w:tc>
        <w:tc>
          <w:tcPr>
            <w:tcW w:w="2322" w:type="dxa"/>
          </w:tcPr>
          <w:p w:rsidR="00AC0832" w:rsidRDefault="00AC0832">
            <w:pPr>
              <w:pStyle w:val="CellColumnSmall"/>
            </w:pPr>
            <w:r>
              <w:t>99,1</w:t>
            </w:r>
          </w:p>
        </w:tc>
      </w:tr>
    </w:tbl>
    <w:p w:rsidR="00AC0832" w:rsidRDefault="00AC0832">
      <w:pPr>
        <w:jc w:val="left"/>
      </w:pPr>
    </w:p>
    <w:p w:rsidR="00AC0832" w:rsidRDefault="00AC0832">
      <w:pPr>
        <w:pStyle w:val="Heading4"/>
      </w:pPr>
      <w:r>
        <w:t>OBRAZLOŽENJE PROGRAMA</w:t>
      </w:r>
    </w:p>
    <w:p w:rsidR="00AC0832" w:rsidRDefault="00AC0832">
      <w:pPr>
        <w:pStyle w:val="Heading5"/>
      </w:pPr>
      <w:r>
        <w:t>2103 PROVEDBA IZBORA I REFERENDUMA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2103-PROVEDBA IZBORA I REFERENDUMA</w:t>
            </w:r>
          </w:p>
        </w:tc>
        <w:tc>
          <w:tcPr>
            <w:tcW w:w="2322" w:type="dxa"/>
          </w:tcPr>
          <w:p w:rsidR="00AC0832" w:rsidRDefault="00AC0832">
            <w:pPr>
              <w:pStyle w:val="CellColumn"/>
            </w:pPr>
            <w:r>
              <w:t>52.873.500</w:t>
            </w:r>
          </w:p>
        </w:tc>
        <w:tc>
          <w:tcPr>
            <w:tcW w:w="2322" w:type="dxa"/>
          </w:tcPr>
          <w:p w:rsidR="00AC0832" w:rsidRDefault="00AC0832">
            <w:pPr>
              <w:pStyle w:val="CellColumn"/>
            </w:pPr>
            <w:r>
              <w:t>52.417.761</w:t>
            </w:r>
          </w:p>
        </w:tc>
        <w:tc>
          <w:tcPr>
            <w:tcW w:w="2322" w:type="dxa"/>
          </w:tcPr>
          <w:p w:rsidR="00AC0832" w:rsidRDefault="00AC0832">
            <w:pPr>
              <w:pStyle w:val="CellColumn"/>
            </w:pPr>
            <w:r>
              <w:t>99,1</w:t>
            </w:r>
          </w:p>
        </w:tc>
      </w:tr>
    </w:tbl>
    <w:p w:rsidR="00AC0832" w:rsidRDefault="00AC0832">
      <w:pPr>
        <w:jc w:val="left"/>
      </w:pPr>
    </w:p>
    <w:p w:rsidR="00AC0832" w:rsidRDefault="00AC0832">
      <w:pPr>
        <w:pStyle w:val="Heading6"/>
      </w:pPr>
      <w:r>
        <w:t>Opis programa</w:t>
      </w:r>
    </w:p>
    <w:p w:rsidR="00AC0832" w:rsidRDefault="00AC0832">
      <w:pPr>
        <w:pStyle w:val="Normal5"/>
      </w:pPr>
      <w:r>
        <w:t>Provedba izbora za zastupnike u Hrvatski sabor, izbora za predsjednika Republike Hrvatske, izbora članova u Europski parlament iz Republike Hrvatske, lokalnih izbora (izbora članova predstavničkih tijela jedinica lokalne i područne (regionalne) samouprave i izbora općinskih načelnika, gradonačelnika, župana i gradonačelnika Grada Zagreba te njihovih zamjenika), izbora za članove vijeća i predstavnika nacionalnih manjina u jedinicama lokalne i područne (regionalne) samouprave te provedba državnog, lokalnog i savjetodavnog referenduma.</w:t>
      </w:r>
    </w:p>
    <w:p w:rsidR="00AC0832" w:rsidRDefault="00AC0832">
      <w:pPr>
        <w:pStyle w:val="Heading6"/>
      </w:pPr>
      <w:r>
        <w:t>Zakonske i druge pravne osnove</w:t>
      </w:r>
    </w:p>
    <w:p w:rsidR="00AC0832" w:rsidRDefault="00AC0832">
      <w:pPr>
        <w:pStyle w:val="Normal5"/>
      </w:pPr>
      <w:r>
        <w:t xml:space="preserve">–Zakon o Državnom izbornom povjerenstvu </w:t>
      </w:r>
    </w:p>
    <w:p w:rsidR="00AC0832" w:rsidRDefault="00AC0832">
      <w:pPr>
        <w:pStyle w:val="Normal5"/>
      </w:pPr>
      <w:r>
        <w:t xml:space="preserve">–Zakon o izborima zastupnika u Hrvatski sabor </w:t>
      </w:r>
    </w:p>
    <w:p w:rsidR="00AC0832" w:rsidRDefault="00AC0832">
      <w:pPr>
        <w:pStyle w:val="Normal5"/>
      </w:pPr>
      <w:r>
        <w:t xml:space="preserve">–Zakon o izboru predsjednika Republike Hrvatske </w:t>
      </w:r>
    </w:p>
    <w:p w:rsidR="00AC0832" w:rsidRDefault="00AC0832">
      <w:pPr>
        <w:pStyle w:val="Normal5"/>
      </w:pPr>
      <w:r>
        <w:t xml:space="preserve">–Zakon o lokalnim izborima </w:t>
      </w:r>
    </w:p>
    <w:p w:rsidR="00AC0832" w:rsidRDefault="00AC0832">
      <w:pPr>
        <w:pStyle w:val="Normal5"/>
      </w:pPr>
      <w:r>
        <w:t xml:space="preserve">-Zakon o izborima članova u Europski parlament iz Republike Hrvatske  </w:t>
      </w:r>
    </w:p>
    <w:p w:rsidR="00AC0832" w:rsidRDefault="00AC0832">
      <w:pPr>
        <w:pStyle w:val="Normal5"/>
      </w:pPr>
      <w:r>
        <w:t xml:space="preserve">–Zakon o lokalnoj i područnoj (regionalnoj) samoupravi </w:t>
      </w:r>
    </w:p>
    <w:p w:rsidR="00AC0832" w:rsidRDefault="00AC0832">
      <w:pPr>
        <w:pStyle w:val="Normal5"/>
      </w:pPr>
      <w:r>
        <w:t xml:space="preserve">–Zakon o referendumu i drugim oblicima osobnog sudjelovanja u obavljanju državne vlasti i lokalne i područne (regionalne) samouprave </w:t>
      </w:r>
    </w:p>
    <w:p w:rsidR="00AC0832" w:rsidRDefault="00AC0832">
      <w:pPr>
        <w:pStyle w:val="Normal5"/>
      </w:pPr>
      <w:r>
        <w:t>–Zakon o financiranju političkih aktivnosti i izborne promidžbe</w:t>
      </w:r>
    </w:p>
    <w:p w:rsidR="00AC0832" w:rsidRDefault="00AC0832">
      <w:pPr>
        <w:pStyle w:val="Heading7"/>
      </w:pPr>
      <w:r>
        <w:t>Cilj 1. Zakonito, učinkovito i transparentno provedeni izbori i referendum, dostupni svim biračima sa pravovremenim i točnim rezultatima</w:t>
      </w:r>
    </w:p>
    <w:p w:rsidR="00AC0832" w:rsidRDefault="00AC0832">
      <w:pPr>
        <w:pStyle w:val="Heading8"/>
        <w:jc w:val="left"/>
      </w:pPr>
      <w:r>
        <w:t>Opis provedbe cilja programa</w:t>
      </w:r>
    </w:p>
    <w:p w:rsidR="00AC0832" w:rsidRDefault="00AC0832">
      <w:pPr>
        <w:pStyle w:val="Normal6"/>
      </w:pPr>
      <w:r>
        <w:t xml:space="preserve">Državno izborno povjerenstvo na svim izborima ima zakonski propisane ovlasti u pripremi i provedbi izbora, a organizirana i učinkovita priprema izbora, jedan je od glavnih preduvjeta transparentno provedenih izbora. </w:t>
      </w:r>
    </w:p>
    <w:p w:rsidR="00AC0832" w:rsidRDefault="00AC0832">
      <w:pPr>
        <w:pStyle w:val="Normal6"/>
      </w:pPr>
      <w:r>
        <w:t xml:space="preserve">Tijekom pripreme izbora Povjerenstvo: </w:t>
      </w:r>
    </w:p>
    <w:p w:rsidR="00AC0832" w:rsidRDefault="00AC0832">
      <w:pPr>
        <w:pStyle w:val="Normal6"/>
      </w:pPr>
      <w:r>
        <w:t xml:space="preserve">-imenuje članove izbornih povjerenstava, sukladno zakonskim odredbama; </w:t>
      </w:r>
    </w:p>
    <w:p w:rsidR="00AC0832" w:rsidRDefault="00AC0832">
      <w:pPr>
        <w:pStyle w:val="Normal6"/>
      </w:pPr>
      <w:r>
        <w:t xml:space="preserve">-utvrđuje obvezatne upute za rad izbornih povjerenstava i biračkih odbora; </w:t>
      </w:r>
    </w:p>
    <w:p w:rsidR="00AC0832" w:rsidRDefault="00AC0832">
      <w:pPr>
        <w:pStyle w:val="Normal6"/>
      </w:pPr>
      <w:r>
        <w:t xml:space="preserve">-određuje biračka mjesta i imenuje biračke odbore u hrvatskim diplomatsko-konzularnim predstavništvima; </w:t>
      </w:r>
    </w:p>
    <w:p w:rsidR="00AC0832" w:rsidRDefault="00AC0832">
      <w:pPr>
        <w:pStyle w:val="Normal6"/>
      </w:pPr>
      <w:r>
        <w:t xml:space="preserve">-propisuje obrasce u postupku pripreme i provedbe izbora; </w:t>
      </w:r>
    </w:p>
    <w:p w:rsidR="00AC0832" w:rsidRDefault="00AC0832">
      <w:pPr>
        <w:pStyle w:val="Normal6"/>
      </w:pPr>
      <w:r>
        <w:t xml:space="preserve">-nadzire rad izbornih povjerenstava; </w:t>
      </w:r>
    </w:p>
    <w:p w:rsidR="00AC0832" w:rsidRDefault="00AC0832">
      <w:pPr>
        <w:pStyle w:val="Normal6"/>
      </w:pPr>
      <w:r>
        <w:t xml:space="preserve">-nadzire pravilnost izborne promidžbe; </w:t>
      </w:r>
    </w:p>
    <w:p w:rsidR="00AC0832" w:rsidRDefault="00AC0832">
      <w:pPr>
        <w:pStyle w:val="Normal6"/>
      </w:pPr>
      <w:r>
        <w:t xml:space="preserve">-provodi nadzor financiranja izborne promidžbe; </w:t>
      </w:r>
    </w:p>
    <w:p w:rsidR="00AC0832" w:rsidRDefault="00AC0832">
      <w:pPr>
        <w:pStyle w:val="Normal6"/>
      </w:pPr>
      <w:r>
        <w:t xml:space="preserve">-objavljuje rezultate izbora. </w:t>
      </w:r>
    </w:p>
    <w:p w:rsidR="00AC0832" w:rsidRDefault="00AC0832">
      <w:pPr>
        <w:pStyle w:val="Normal6"/>
      </w:pPr>
      <w:r>
        <w:t xml:space="preserve">Dostupnost glasovanja je preduvjet dobro provedenih izbora. Na izborima održanim tijekom 2012., kao i na državnom referendumu, postignut je visoki standard vezano uz dostupnost glasovanja. Povjerenstvo je po provedbi izbora i državnog referenduma tijekom 2012. analiziralo mrežu biračkih  mjesta u Republici Hrvatskoj, vodeći računa o dosadašnjim pozitivnim rješenjima. </w:t>
      </w:r>
    </w:p>
    <w:p w:rsidR="00AC0832" w:rsidRDefault="00AC0832">
      <w:pPr>
        <w:pStyle w:val="Normal6"/>
      </w:pPr>
      <w:r>
        <w:t>Cjelovita informatička podrška provedbi izbora, kako bi se rezultati izbora obradili na najbolji mogući način primjenom jedinstvene aplikacije te s najvećim stupnjem informacijske sigurnosti, nužan je preduvjet pravovremenih i točnih izbornih rezultata.</w:t>
      </w:r>
    </w:p>
    <w:p w:rsidR="00AC0832" w:rsidRDefault="00AC0832">
      <w:pPr>
        <w:pStyle w:val="Heading7"/>
      </w:pPr>
      <w:r>
        <w:t>Cilj 2. Podizanje razine učinkovitosti izbornih procesa te jačanje povjerenja u izborni sustav</w:t>
      </w:r>
    </w:p>
    <w:p w:rsidR="00AC0832" w:rsidRDefault="00AC0832">
      <w:pPr>
        <w:pStyle w:val="Heading8"/>
        <w:jc w:val="left"/>
      </w:pPr>
      <w:r>
        <w:t>Opis provedbe cilja programa</w:t>
      </w:r>
    </w:p>
    <w:p w:rsidR="00AC0832" w:rsidRDefault="00AC0832">
      <w:pPr>
        <w:pStyle w:val="Normal6"/>
      </w:pPr>
      <w:r>
        <w:t>Na podizanje razine učinkovitosti izbornih procesa utjecalo se mišljenjima za dogradnju i izmjenu izbornog zakonodavstva nakon detaljne analize poslije svakih provedenih izbora, edukacijom i informiranjem svih sudionika izbornog procesa, a posebice članova izbornih tijela. Na jačanje povjerenja u izborni sustav utjecat će se transparentnošću cjelovite informatičke podrške kako državnih tako i lokalnih izbora.</w:t>
      </w:r>
    </w:p>
    <w:p w:rsidR="00AC0832" w:rsidRDefault="00AC0832">
      <w:pPr>
        <w:pStyle w:val="Heading6"/>
      </w:pPr>
      <w:r>
        <w:t>A501002 PROVEDBA IZBORA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A501002-PROVEDBA IZBORA</w:t>
            </w:r>
          </w:p>
        </w:tc>
        <w:tc>
          <w:tcPr>
            <w:tcW w:w="2322" w:type="dxa"/>
          </w:tcPr>
          <w:p w:rsidR="00AC0832" w:rsidRDefault="00AC0832">
            <w:pPr>
              <w:pStyle w:val="CellColumn"/>
            </w:pPr>
            <w:r>
              <w:t>27.451.000</w:t>
            </w:r>
          </w:p>
        </w:tc>
        <w:tc>
          <w:tcPr>
            <w:tcW w:w="2322" w:type="dxa"/>
          </w:tcPr>
          <w:p w:rsidR="00AC0832" w:rsidRDefault="00AC0832">
            <w:pPr>
              <w:pStyle w:val="CellColumn"/>
            </w:pPr>
            <w:r>
              <w:t>27.447.187</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Dana 11. ožujka 2013. održani su prijevremeni izbori za općinskog načelnika i zamjenika općinskog načelnika Općine Kistanje.  </w:t>
      </w:r>
    </w:p>
    <w:p w:rsidR="00AC0832" w:rsidRDefault="00AC0832">
      <w:pPr>
        <w:pStyle w:val="Normal6"/>
      </w:pPr>
      <w:r>
        <w:t xml:space="preserve">Dana 25. ožujka 2012. održani su prijevremeni izbori za članove gradskog vijeća Grada Iloka, članove općinskog vijeća Općine Goričan, članove općinskog vijeća Općine Klis, članove općinskog vijeća Općine Lokve i članove Općinskog vijeća općine Višnjan – Visignano. </w:t>
      </w:r>
    </w:p>
    <w:p w:rsidR="00AC0832" w:rsidRDefault="00AC0832">
      <w:pPr>
        <w:pStyle w:val="Normal6"/>
      </w:pPr>
      <w:r>
        <w:t>Dana 17. lipnja 2012. održani su prijevremeni izbori za općinskog načelnika i zamjenika općinskog načelnika Općine Biskupija i članove općinskog vijeća Općine Posedarje te članove općinskog vijeća Općine Promina.</w:t>
      </w:r>
    </w:p>
    <w:p w:rsidR="00AC0832" w:rsidRDefault="00AC0832">
      <w:pPr>
        <w:pStyle w:val="Heading6"/>
      </w:pPr>
      <w:r>
        <w:t>A501024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A501024-ADMINISTRACIJA I UPRAVLJANJE</w:t>
            </w:r>
          </w:p>
        </w:tc>
        <w:tc>
          <w:tcPr>
            <w:tcW w:w="2322" w:type="dxa"/>
          </w:tcPr>
          <w:p w:rsidR="00AC0832" w:rsidRDefault="00AC0832">
            <w:pPr>
              <w:pStyle w:val="CellColumn"/>
            </w:pPr>
            <w:r>
              <w:t>5.263.000</w:t>
            </w:r>
          </w:p>
        </w:tc>
        <w:tc>
          <w:tcPr>
            <w:tcW w:w="2322" w:type="dxa"/>
          </w:tcPr>
          <w:p w:rsidR="00AC0832" w:rsidRDefault="00AC0832">
            <w:pPr>
              <w:pStyle w:val="CellColumn"/>
            </w:pPr>
            <w:r>
              <w:t>4.971.551</w:t>
            </w:r>
          </w:p>
        </w:tc>
        <w:tc>
          <w:tcPr>
            <w:tcW w:w="2322" w:type="dxa"/>
          </w:tcPr>
          <w:p w:rsidR="00AC0832" w:rsidRDefault="00AC0832">
            <w:pPr>
              <w:pStyle w:val="CellColumn"/>
            </w:pPr>
            <w:r>
              <w:t>94,5</w:t>
            </w:r>
          </w:p>
        </w:tc>
      </w:tr>
    </w:tbl>
    <w:p w:rsidR="00AC0832" w:rsidRDefault="00AC0832">
      <w:pPr>
        <w:jc w:val="left"/>
      </w:pPr>
    </w:p>
    <w:p w:rsidR="00AC0832" w:rsidRDefault="00AC0832">
      <w:pPr>
        <w:pStyle w:val="Heading6"/>
      </w:pPr>
    </w:p>
    <w:p w:rsidR="00AC0832" w:rsidRDefault="00AC0832">
      <w:pPr>
        <w:pStyle w:val="Heading6"/>
      </w:pPr>
      <w:r>
        <w:t>A501034 PROVEDBA REFERENDUMA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A501034-PROVEDBA REFERENDUMA</w:t>
            </w:r>
          </w:p>
        </w:tc>
        <w:tc>
          <w:tcPr>
            <w:tcW w:w="2322" w:type="dxa"/>
          </w:tcPr>
          <w:p w:rsidR="00AC0832" w:rsidRDefault="00AC0832">
            <w:pPr>
              <w:pStyle w:val="CellColumn"/>
            </w:pPr>
            <w:r>
              <w:t>20.077.500</w:t>
            </w:r>
          </w:p>
        </w:tc>
        <w:tc>
          <w:tcPr>
            <w:tcW w:w="2322" w:type="dxa"/>
          </w:tcPr>
          <w:p w:rsidR="00AC0832" w:rsidRDefault="00AC0832">
            <w:pPr>
              <w:pStyle w:val="CellColumn"/>
            </w:pPr>
            <w:r>
              <w:t>19.929.048</w:t>
            </w:r>
          </w:p>
        </w:tc>
        <w:tc>
          <w:tcPr>
            <w:tcW w:w="2322" w:type="dxa"/>
          </w:tcPr>
          <w:p w:rsidR="00AC0832" w:rsidRDefault="00AC0832">
            <w:pPr>
              <w:pStyle w:val="CellColumn"/>
            </w:pPr>
            <w:r>
              <w:t>99,3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Dana 22. siječnja 2012. održan je državni referendum radi donošenja odluke o pristupanju Republike Hrvatske Europskoj uniji.</w:t>
      </w:r>
    </w:p>
    <w:p w:rsidR="00AC0832" w:rsidRDefault="00AC0832">
      <w:pPr>
        <w:pStyle w:val="Heading6"/>
      </w:pPr>
      <w:r>
        <w:t>K501030 INFORMATIZACIJA DRŽAVNOG IZBORNOG POVJERENSTVA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K501030-INFORMATIZACIJA DRŽAVNOG IZBORNOG POVJERENSTVA REPUBLIKE HRVATSKE</w:t>
            </w:r>
          </w:p>
        </w:tc>
        <w:tc>
          <w:tcPr>
            <w:tcW w:w="2322" w:type="dxa"/>
          </w:tcPr>
          <w:p w:rsidR="00AC0832" w:rsidRDefault="00AC0832">
            <w:pPr>
              <w:pStyle w:val="CellColumn"/>
            </w:pPr>
            <w:r>
              <w:t>82.000</w:t>
            </w:r>
          </w:p>
        </w:tc>
        <w:tc>
          <w:tcPr>
            <w:tcW w:w="2322" w:type="dxa"/>
          </w:tcPr>
          <w:p w:rsidR="00AC0832" w:rsidRDefault="00AC0832">
            <w:pPr>
              <w:pStyle w:val="CellColumn"/>
            </w:pPr>
            <w:r>
              <w:t>69.975</w:t>
            </w:r>
          </w:p>
        </w:tc>
        <w:tc>
          <w:tcPr>
            <w:tcW w:w="2322" w:type="dxa"/>
          </w:tcPr>
          <w:p w:rsidR="00AC0832" w:rsidRDefault="00AC0832">
            <w:pPr>
              <w:pStyle w:val="CellColumn"/>
            </w:pPr>
            <w:r>
              <w:t>85,3</w:t>
            </w:r>
          </w:p>
        </w:tc>
      </w:tr>
    </w:tbl>
    <w:p w:rsidR="00AC0832" w:rsidRDefault="00AC0832">
      <w:pPr>
        <w:jc w:val="left"/>
      </w:pPr>
    </w:p>
    <w:p w:rsidR="00AC0832" w:rsidRDefault="00AC0832">
      <w:pPr>
        <w:pStyle w:val="Heading1"/>
      </w:pPr>
      <w:r>
        <w:t>013 URED PREDSJEDNIKA REPUBLIKE HRVATSKE PO PRESTANKU OBNAŠANJA DUŽNOSTI</w:t>
      </w:r>
    </w:p>
    <w:p w:rsidR="00AC0832" w:rsidRDefault="00AC0832">
      <w:pPr>
        <w:pStyle w:val="Heading4"/>
      </w:pPr>
      <w:r>
        <w:t>Uvod</w:t>
      </w:r>
    </w:p>
    <w:p w:rsidR="00AC0832" w:rsidRDefault="00AC0832">
      <w:pPr>
        <w:pStyle w:val="Normal3"/>
      </w:pPr>
      <w:r>
        <w:t xml:space="preserve">Sukladno Zakonu o posebnim pravima predsjednika Republike Hrvatske po prestanku obnašanja dužnosti (Narodne Novine, 105/2004) te Uredbi o Uredu predsjednika Republike Hrvatske po prestanku obnašanja dužnosti (Narodne Novine, 134/2009) osnovan je Ured predsjednika Republike Hrvatske po prestanku obnašanja dužnosti. </w:t>
      </w:r>
    </w:p>
    <w:p w:rsidR="00AC0832" w:rsidRDefault="00AC0832">
      <w:pPr>
        <w:pStyle w:val="Normal3"/>
      </w:pPr>
      <w:r>
        <w:t>Ured kao stručna služba, obavlja službeničke, administrativne i ostale poslove isključivo za potrebe predsjednika RH po prestanku obnašanja dužnosti.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01305-Ured predsjednika Republike Hrvatske po prestanku obnašanja dužnosti</w:t>
            </w:r>
          </w:p>
        </w:tc>
        <w:tc>
          <w:tcPr>
            <w:tcW w:w="2322" w:type="dxa"/>
          </w:tcPr>
          <w:p w:rsidR="00AC0832" w:rsidRDefault="00AC0832">
            <w:pPr>
              <w:pStyle w:val="CellColumn"/>
            </w:pPr>
            <w:r>
              <w:t>980.000</w:t>
            </w:r>
          </w:p>
        </w:tc>
        <w:tc>
          <w:tcPr>
            <w:tcW w:w="2322" w:type="dxa"/>
          </w:tcPr>
          <w:p w:rsidR="00AC0832" w:rsidRDefault="00AC0832">
            <w:pPr>
              <w:pStyle w:val="CellColumn"/>
            </w:pPr>
            <w:r>
              <w:t>830.276</w:t>
            </w:r>
          </w:p>
        </w:tc>
        <w:tc>
          <w:tcPr>
            <w:tcW w:w="2322" w:type="dxa"/>
          </w:tcPr>
          <w:p w:rsidR="00AC0832" w:rsidRDefault="00AC0832">
            <w:pPr>
              <w:pStyle w:val="CellColumn"/>
            </w:pPr>
            <w:r>
              <w:t>84,7</w:t>
            </w:r>
          </w:p>
        </w:tc>
      </w:tr>
      <w:tr w:rsidR="00AC0832" w:rsidTr="00BE20ED">
        <w:trPr>
          <w:jc w:val="center"/>
        </w:trPr>
        <w:tc>
          <w:tcPr>
            <w:tcW w:w="2322" w:type="dxa"/>
            <w:shd w:val="clear" w:color="auto" w:fill="B5C0D8"/>
          </w:tcPr>
          <w:p w:rsidR="00AC0832" w:rsidRDefault="00AC0832">
            <w:pPr>
              <w:pStyle w:val="CellColumn"/>
            </w:pPr>
            <w:r>
              <w:t>Ukupno 013-URED PREDSJEDNIKA REPUBLIKE HRVATSKE PO PRESTANKU OBNAŠANJA DUŽNOSTI</w:t>
            </w:r>
          </w:p>
        </w:tc>
        <w:tc>
          <w:tcPr>
            <w:tcW w:w="2322" w:type="dxa"/>
            <w:shd w:val="clear" w:color="auto" w:fill="B5C0D8"/>
          </w:tcPr>
          <w:p w:rsidR="00AC0832" w:rsidRDefault="00AC0832">
            <w:pPr>
              <w:pStyle w:val="CellColumn"/>
            </w:pPr>
            <w:r>
              <w:t>980.000</w:t>
            </w:r>
          </w:p>
        </w:tc>
        <w:tc>
          <w:tcPr>
            <w:tcW w:w="2322" w:type="dxa"/>
            <w:shd w:val="clear" w:color="auto" w:fill="B5C0D8"/>
          </w:tcPr>
          <w:p w:rsidR="00AC0832" w:rsidRDefault="00AC0832">
            <w:pPr>
              <w:pStyle w:val="CellColumn"/>
            </w:pPr>
            <w:r>
              <w:t>830.276</w:t>
            </w:r>
          </w:p>
        </w:tc>
        <w:tc>
          <w:tcPr>
            <w:tcW w:w="2322" w:type="dxa"/>
            <w:shd w:val="clear" w:color="auto" w:fill="B5C0D8"/>
          </w:tcPr>
          <w:p w:rsidR="00AC0832" w:rsidRDefault="00AC0832">
            <w:pPr>
              <w:pStyle w:val="CellColumn"/>
            </w:pPr>
            <w:r>
              <w:t>84,7</w:t>
            </w:r>
          </w:p>
        </w:tc>
      </w:tr>
    </w:tbl>
    <w:p w:rsidR="00AC0832" w:rsidRDefault="00AC0832">
      <w:pPr>
        <w:jc w:val="left"/>
      </w:pPr>
    </w:p>
    <w:p w:rsidR="00AC0832" w:rsidRDefault="00AC0832">
      <w:pPr>
        <w:pStyle w:val="Heading2"/>
      </w:pPr>
      <w:r>
        <w:t>01305 Ured predsjednika Republike Hrvatske po prestanku obnašanja dužnosti</w:t>
      </w:r>
    </w:p>
    <w:p w:rsidR="00AC0832" w:rsidRDefault="00AC0832">
      <w:pPr>
        <w:pStyle w:val="Heading4"/>
      </w:pPr>
      <w:r>
        <w:t>Uvod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01305-Ured predsjednika Republike Hrvatske po prestanku obnašanja dužnosti</w:t>
            </w:r>
          </w:p>
        </w:tc>
        <w:tc>
          <w:tcPr>
            <w:tcW w:w="2322" w:type="dxa"/>
          </w:tcPr>
          <w:p w:rsidR="00AC0832" w:rsidRDefault="00AC0832">
            <w:pPr>
              <w:pStyle w:val="CellColumn"/>
            </w:pPr>
            <w:r>
              <w:t>980.000</w:t>
            </w:r>
          </w:p>
        </w:tc>
        <w:tc>
          <w:tcPr>
            <w:tcW w:w="2322" w:type="dxa"/>
          </w:tcPr>
          <w:p w:rsidR="00AC0832" w:rsidRDefault="00AC0832">
            <w:pPr>
              <w:pStyle w:val="CellColumn"/>
            </w:pPr>
            <w:r>
              <w:t>830.276</w:t>
            </w:r>
          </w:p>
        </w:tc>
        <w:tc>
          <w:tcPr>
            <w:tcW w:w="2322" w:type="dxa"/>
          </w:tcPr>
          <w:p w:rsidR="00AC0832" w:rsidRDefault="00AC0832">
            <w:pPr>
              <w:pStyle w:val="CellColumn"/>
            </w:pPr>
            <w:r>
              <w:t>84,7</w:t>
            </w:r>
          </w:p>
        </w:tc>
      </w:tr>
      <w:tr w:rsidR="00AC0832" w:rsidTr="00BE20ED">
        <w:trPr>
          <w:jc w:val="center"/>
        </w:trPr>
        <w:tc>
          <w:tcPr>
            <w:tcW w:w="2322" w:type="dxa"/>
          </w:tcPr>
          <w:p w:rsidR="00AC0832" w:rsidRDefault="00AC0832">
            <w:pPr>
              <w:pStyle w:val="CellColumnSmall"/>
            </w:pPr>
            <w:r>
              <w:t>2105-DJELOVANJE PREDSJEDNIKA REPUBLIKE HRVATSKE PO PRESTANKU OBNAŠANJA DUŽNOSTI</w:t>
            </w:r>
          </w:p>
        </w:tc>
        <w:tc>
          <w:tcPr>
            <w:tcW w:w="2322" w:type="dxa"/>
          </w:tcPr>
          <w:p w:rsidR="00AC0832" w:rsidRDefault="00AC0832">
            <w:pPr>
              <w:pStyle w:val="CellColumnSmall"/>
            </w:pPr>
            <w:r>
              <w:t>980.000</w:t>
            </w:r>
          </w:p>
        </w:tc>
        <w:tc>
          <w:tcPr>
            <w:tcW w:w="2322" w:type="dxa"/>
          </w:tcPr>
          <w:p w:rsidR="00AC0832" w:rsidRDefault="00AC0832">
            <w:pPr>
              <w:pStyle w:val="CellColumnSmall"/>
            </w:pPr>
            <w:r>
              <w:t>830.276</w:t>
            </w:r>
          </w:p>
        </w:tc>
        <w:tc>
          <w:tcPr>
            <w:tcW w:w="2322" w:type="dxa"/>
          </w:tcPr>
          <w:p w:rsidR="00AC0832" w:rsidRDefault="00AC0832">
            <w:pPr>
              <w:pStyle w:val="CellColumnSmall"/>
            </w:pPr>
            <w:r>
              <w:t>84,7</w:t>
            </w:r>
          </w:p>
        </w:tc>
      </w:tr>
    </w:tbl>
    <w:p w:rsidR="00AC0832" w:rsidRDefault="00AC0832">
      <w:pPr>
        <w:jc w:val="left"/>
      </w:pPr>
    </w:p>
    <w:p w:rsidR="00AC0832" w:rsidRDefault="00AC0832">
      <w:pPr>
        <w:pStyle w:val="Heading4"/>
      </w:pPr>
      <w:r>
        <w:t>OBRAZLOŽENJE PROGRAMA</w:t>
      </w:r>
    </w:p>
    <w:p w:rsidR="00AC0832" w:rsidRDefault="00AC0832">
      <w:pPr>
        <w:pStyle w:val="Heading5"/>
      </w:pPr>
      <w:r>
        <w:t>2105 DJELOVANJE PREDSJEDNIKA REPUBLIKE HRVATSKE PO PRESTANKU OBNAŠANJA DUŽNOSTI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2105-DJELOVANJE PREDSJEDNIKA REPUBLIKE HRVATSKE PO PRESTANKU OBNAŠANJA DUŽNOSTI</w:t>
            </w:r>
          </w:p>
        </w:tc>
        <w:tc>
          <w:tcPr>
            <w:tcW w:w="2322" w:type="dxa"/>
          </w:tcPr>
          <w:p w:rsidR="00AC0832" w:rsidRDefault="00AC0832">
            <w:pPr>
              <w:pStyle w:val="CellColumn"/>
            </w:pPr>
            <w:r>
              <w:t>980.000</w:t>
            </w:r>
          </w:p>
        </w:tc>
        <w:tc>
          <w:tcPr>
            <w:tcW w:w="2322" w:type="dxa"/>
          </w:tcPr>
          <w:p w:rsidR="00AC0832" w:rsidRDefault="00AC0832">
            <w:pPr>
              <w:pStyle w:val="CellColumn"/>
            </w:pPr>
            <w:r>
              <w:t>830.276</w:t>
            </w:r>
          </w:p>
        </w:tc>
        <w:tc>
          <w:tcPr>
            <w:tcW w:w="2322" w:type="dxa"/>
          </w:tcPr>
          <w:p w:rsidR="00AC0832" w:rsidRDefault="00AC0832">
            <w:pPr>
              <w:pStyle w:val="CellColumn"/>
            </w:pPr>
            <w:r>
              <w:t>84,7</w:t>
            </w:r>
          </w:p>
        </w:tc>
      </w:tr>
    </w:tbl>
    <w:p w:rsidR="00AC0832" w:rsidRDefault="00AC0832">
      <w:pPr>
        <w:jc w:val="left"/>
      </w:pPr>
    </w:p>
    <w:p w:rsidR="00AC0832" w:rsidRDefault="00AC0832">
      <w:pPr>
        <w:pStyle w:val="Heading6"/>
      </w:pPr>
      <w:r>
        <w:t>Opis programa</w:t>
      </w:r>
    </w:p>
    <w:p w:rsidR="00AC0832" w:rsidRDefault="00AC0832">
      <w:pPr>
        <w:pStyle w:val="Normal5"/>
      </w:pPr>
      <w:r>
        <w:t>Obavljanjem službeničkih, administrativnih i ostalih poslova isključivo za potrebe predsjednika RH po prestanku obnašanja dužnosti osigurava se nesmetano djelovanje bivšem predsjedniku u predstavljanju i zastupanju interesa Republike Hrvatske u zemlji i inozemstvu.</w:t>
      </w:r>
    </w:p>
    <w:p w:rsidR="00AC0832" w:rsidRDefault="00AC0832">
      <w:pPr>
        <w:pStyle w:val="Heading6"/>
      </w:pPr>
      <w:r>
        <w:t>Zakonske i druge pravne osnove</w:t>
      </w:r>
    </w:p>
    <w:p w:rsidR="00AC0832" w:rsidRDefault="00AC0832">
      <w:pPr>
        <w:pStyle w:val="Normal5"/>
      </w:pPr>
      <w:r>
        <w:t>Zakon o pravima predsjednika Republike Hrvatske po prestanku obnašanja dužnosti (Narodne Novine, 105/2004)</w:t>
      </w:r>
    </w:p>
    <w:p w:rsidR="00AC0832" w:rsidRDefault="00AC0832">
      <w:pPr>
        <w:pStyle w:val="Heading7"/>
      </w:pPr>
      <w:r>
        <w:t>Cilj 1. Predstavljanje i zastupanje interesa RH u zemlji i inozemstvu</w:t>
      </w:r>
    </w:p>
    <w:p w:rsidR="00AC0832" w:rsidRDefault="00AC0832">
      <w:pPr>
        <w:pStyle w:val="Heading8"/>
        <w:jc w:val="left"/>
      </w:pPr>
      <w:r>
        <w:t>Opis provedbe cilja programa</w:t>
      </w:r>
    </w:p>
    <w:p w:rsidR="00AC0832" w:rsidRDefault="00AC0832">
      <w:pPr>
        <w:pStyle w:val="Normal6"/>
      </w:pPr>
      <w:r>
        <w:t xml:space="preserve">Omogućavanje bivšem predsjedniku Republike da nastavi s korištenjem svojih razgranatih kontakata širom svijeta, kao i s aktivnošću u Hrvatskoj, kako bi pomogao promicanju ugleda Republike Hrvatske u međunarodnoj zajednici, uspješnom završetku pristupnih pregovora s EU, te prodoru hrvatskoga gospodarstva na strana tržišta, kao i privlačenju stranih investicija u Hrvatsku. </w:t>
      </w:r>
    </w:p>
    <w:p w:rsidR="00AC0832" w:rsidRDefault="00AC0832">
      <w:pPr>
        <w:pStyle w:val="Normal6"/>
      </w:pPr>
      <w:r>
        <w:t xml:space="preserve">Omogućavanje bivšem predsjedniku Republike da javnim zastupanjem stanovišta koja su mu u 10 godina predsjedničkog mandata donijela zamjerni ugled u svijetu, nastavi – gradeći na tome ugledu - aktivno raditi na promicanju slike o Republici Hrvatskoj, kao o demokratskoj državi, privrženoj uspostavljanju vladavine prava i borbi protiv korupcije, te poštivanju i ostvarivanju ljudskih prava, uključujući prava manjina. </w:t>
      </w:r>
    </w:p>
    <w:p w:rsidR="00AC0832" w:rsidRDefault="00AC0832">
      <w:pPr>
        <w:pStyle w:val="Normal6"/>
      </w:pPr>
      <w:r>
        <w:t>Omogućavanje bivšem predsjedniku Republike da se u funkciji ostvarivanja gore navedenih ciljeva odaziva pozivima na međunarodne skupove i na razgovore sa stranim državnicima, te da u Hrvatskoj bude domaćin političarima iz svijeta, a osobito gospodarskim izaslanstvima iz raznih zemalja, kao i da održava aktivne kontakte s diplomatskim zborom u Republici Hrvatskoj.</w:t>
      </w:r>
    </w:p>
    <w:p w:rsidR="00AC0832" w:rsidRDefault="00AC0832">
      <w:pPr>
        <w:pStyle w:val="Heading6"/>
      </w:pPr>
      <w:r>
        <w:t>A845001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A845001-ADMINISTRACIJA I UPRAVLJANJE</w:t>
            </w:r>
          </w:p>
        </w:tc>
        <w:tc>
          <w:tcPr>
            <w:tcW w:w="2322" w:type="dxa"/>
          </w:tcPr>
          <w:p w:rsidR="00AC0832" w:rsidRDefault="00AC0832">
            <w:pPr>
              <w:pStyle w:val="CellColumn"/>
            </w:pPr>
            <w:r>
              <w:t>969.500</w:t>
            </w:r>
          </w:p>
        </w:tc>
        <w:tc>
          <w:tcPr>
            <w:tcW w:w="2322" w:type="dxa"/>
          </w:tcPr>
          <w:p w:rsidR="00AC0832" w:rsidRDefault="00AC0832">
            <w:pPr>
              <w:pStyle w:val="CellColumn"/>
            </w:pPr>
            <w:r>
              <w:t>822.959</w:t>
            </w:r>
          </w:p>
        </w:tc>
        <w:tc>
          <w:tcPr>
            <w:tcW w:w="2322" w:type="dxa"/>
          </w:tcPr>
          <w:p w:rsidR="00AC0832" w:rsidRDefault="00AC0832">
            <w:pPr>
              <w:pStyle w:val="CellColumn"/>
            </w:pPr>
            <w:r>
              <w:t>84,9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Kroz aktivnost A845001 Administracija i upravljanje sredstva su utrošena za podmirenje osnovnih potreba za normalno funkcioniranje Ureda (aktivnosti predsjednika posebno na području vanjske politike, ali i  </w:t>
      </w:r>
    </w:p>
    <w:p w:rsidR="00AC0832" w:rsidRDefault="00AC0832">
      <w:pPr>
        <w:pStyle w:val="Normal6"/>
      </w:pPr>
      <w:r>
        <w:t xml:space="preserve">cjelokupna briga Ureda oko zgrade u Grškovićevoj ulici broj 13 koju je Ured dobio na korištenje od Državnog ureda za upravljanje državnom imovinom).  </w:t>
      </w:r>
    </w:p>
    <w:p w:rsidR="00AC0832" w:rsidRDefault="00AC0832">
      <w:pPr>
        <w:pStyle w:val="Normal6"/>
      </w:pPr>
      <w:r>
        <w:t>U godini 2012., osim brojnih susreta sa članovima diplomatskog zbora u Hrvatskoj, g. Mesić je bio  u posjeti  Kini, Rusiji, BiH, Armeniji, Azerberđanu, Srbiji, Italiji, Albaniji, Kazahstanu, Austriji i Turskoj, sudjelovao  je na većem broju skupova posvećenih aktualnim problemima današnjeg svijeta i gospodarskim odnosima Hrvatske sa svijetom, te je održao brojna  predavanja i u Hrvatskoj.</w:t>
      </w:r>
    </w:p>
    <w:p w:rsidR="00AC0832" w:rsidRDefault="00AC0832">
      <w:pPr>
        <w:pStyle w:val="Heading6"/>
      </w:pPr>
      <w:r>
        <w:t>K845003 INFORMATIZACIJA UREDA PREDSJEDNIKA REPUBLIKE HRVATSKE PO PRESTANKU OBNAŠANJA DUŽNOSTI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K845003-INFORMATIZACIJA UREDA PREDSJEDNIKA REPUBLIKE HRVATSKE PO PRESTANKU OBNAŠANJA DUŽNOSTI</w:t>
            </w:r>
          </w:p>
        </w:tc>
        <w:tc>
          <w:tcPr>
            <w:tcW w:w="2322" w:type="dxa"/>
          </w:tcPr>
          <w:p w:rsidR="00AC0832" w:rsidRDefault="00AC0832">
            <w:pPr>
              <w:pStyle w:val="CellColumn"/>
            </w:pPr>
            <w:r>
              <w:t>10.500</w:t>
            </w:r>
          </w:p>
        </w:tc>
        <w:tc>
          <w:tcPr>
            <w:tcW w:w="2322" w:type="dxa"/>
          </w:tcPr>
          <w:p w:rsidR="00AC0832" w:rsidRDefault="00AC0832">
            <w:pPr>
              <w:pStyle w:val="CellColumn"/>
            </w:pPr>
            <w:r>
              <w:t>7.317</w:t>
            </w:r>
          </w:p>
        </w:tc>
        <w:tc>
          <w:tcPr>
            <w:tcW w:w="2322" w:type="dxa"/>
          </w:tcPr>
          <w:p w:rsidR="00AC0832" w:rsidRDefault="00AC0832">
            <w:pPr>
              <w:pStyle w:val="CellColumn"/>
            </w:pPr>
            <w:r>
              <w:t>69,7</w:t>
            </w:r>
          </w:p>
        </w:tc>
      </w:tr>
    </w:tbl>
    <w:p w:rsidR="00AC0832" w:rsidRDefault="00AC0832">
      <w:pPr>
        <w:jc w:val="left"/>
      </w:pPr>
    </w:p>
    <w:p w:rsidR="00AC0832" w:rsidRDefault="00AC0832">
      <w:pPr>
        <w:pStyle w:val="Heading1"/>
      </w:pPr>
      <w:r>
        <w:t>015 URED PREDSJEDNIKA REPUBLIKE HRVATSKE</w:t>
      </w:r>
    </w:p>
    <w:p w:rsidR="00AC0832" w:rsidRDefault="00AC0832">
      <w:pPr>
        <w:pStyle w:val="Heading4"/>
      </w:pPr>
      <w:r>
        <w:t>Uvod</w:t>
      </w:r>
    </w:p>
    <w:p w:rsidR="00AC0832" w:rsidRDefault="00AC0832">
      <w:pPr>
        <w:pStyle w:val="Normal3"/>
      </w:pPr>
      <w:r>
        <w:t xml:space="preserve">Ured Predsjednika Republike Hrvatske obnaša savjetodavne, administrativne, stručne i druge poslove pripreme i provođenja odluka i akata koje donosi Predsjednik Republike Hrvatske te skrbi o provođenju drugih Ustavom i zakonima utvrđenih ovlasti i obveza Predsjednika.  </w:t>
      </w:r>
    </w:p>
    <w:p w:rsidR="00AC0832" w:rsidRDefault="00AC0832">
      <w:pPr>
        <w:pStyle w:val="Normal3"/>
      </w:pPr>
      <w:r>
        <w:t xml:space="preserve">Odredbom članka 107. Ustava Republike Hrvatske („Narodne novine“ 85/10 - pročišćeni tekst) propisano je da Predsjedniku Republike u obavljanju njegovih dužnosti pomažu savjetodavna tijela te da se savjetodavni, stručni i drugi poslovi obavljaju u Uredu Predsjednika Republike Hrvatske. Ured Predsjednika Republike Hrvatske ustrojen je Odlukom o Uredu Predsjednika Republike Hrvatske («Narodne novine», broj 80/00, 06/04, 54/05, 30/10 i 107/11). Istom su uređene zadaće i osnove ustrojstva Ureda osnovanog Odlukom o osnivanju Ureda Predsjednika Republike Hrvatske (“Narodne novine”, broj 5/91). </w:t>
      </w:r>
    </w:p>
    <w:p w:rsidR="00AC0832" w:rsidRDefault="00AC0832">
      <w:pPr>
        <w:pStyle w:val="Normal3"/>
      </w:pPr>
      <w:r>
        <w:t xml:space="preserve">Prema Odluci o Uredu Predsjednika Republike Hrvatske Ured obnaša savjetodavne, administrativne, stručne i druge poslove u pripremi i skrbi oko priprema i provođenja odluka i akata koje donosi Predsjednik Republike Hrvatske te u obavljanju drugih njegovih Ustavom i zakonima utvrđenih ovlasti i obveza.  </w:t>
      </w:r>
    </w:p>
    <w:p w:rsidR="00AC0832" w:rsidRDefault="00AC0832">
      <w:pPr>
        <w:pStyle w:val="Normal3"/>
      </w:pPr>
      <w:r>
        <w:t xml:space="preserve">Ovlasti Predsjednika Republike utvrđene su ustavnim odredbama te nizom posebnih zakona. Prema odredbi članka 94. Ustava Predsjednik Republike Hrvatske predstavlja i zastupa Republiku Hrvatsku u zemlji i inozemstvu, brine se za redovito i usklađeno djelovanje te za stabilnost državne vlasti i odgovara za obranu neovisnosti i teritorijalne cjelovitosti Republike Hrvatske, raspisuje izbore za Hrvatski sabor i saziva ga na prvo zasjedanje, raspisuje referendum u skladu s Ustavom, povjerava mandat za sastavljanje Vlade osobi koja uživa povjerenje većine svih zastupnika u Hrvatskom saboru, daje pomilovanja u skladu s odredbama Zakona o pomilovanjima te dodjeljuje odlikovanja i priznanja određena zakonom (članak 98. Ustava) temeljem Zakona o odlikovanjima i priznanjima Republike Hrvatske. </w:t>
      </w:r>
    </w:p>
    <w:p w:rsidR="00AC0832" w:rsidRDefault="00AC0832">
      <w:pPr>
        <w:pStyle w:val="Normal3"/>
      </w:pPr>
      <w:r>
        <w:t xml:space="preserve">Nadalje, prema odredbi članka 99. Ustava Predsjednik Republike i Vlada Republike Hrvatske surađuju u oblikovanju i provođenju vanjske politike, a Predsjednik Republike, na prijedlog Vlade i uz supotpis predsjednika Vlade, odlučuje o osnivanju diplomatskih misija i konzularnih ureda Republike Hrvatske u inozemstvu te na prijedlog Vlade i uz mišljenje nadležnog odbora Hrvatskoga sabora, donosi odluku o postavljanju i opozivu šefova diplomatskih misija Republike Hrvatske u inozemstvu, uz prethodni supotpis predsjednika Vlade Republike Hrvatske, prima vjerodajnice i opozivna pisma inozemnih šefova diplomatskih misija. Također, nadležnosti Predsjednika Republike u oblasti vanjske politike utvrđene su i odredbama Zakona o vanjskim poslovima. </w:t>
      </w:r>
    </w:p>
    <w:p w:rsidR="00AC0832" w:rsidRDefault="00AC0832">
      <w:pPr>
        <w:pStyle w:val="Normal3"/>
      </w:pPr>
      <w:r>
        <w:t xml:space="preserve">Predsjednik Republike vrhovni je zapovjednik oružanih snaga Republike Hrvatske, te imenuje i razrješuje vojne zapovjednike, u skladu sa zakonom (članak 100. Ustava), a pojedinačne ovlasti utvrđene su i odredbama Zakona o službi u Oružanim snagama Republike Hrvatske te odredbama Zakona o obrani. </w:t>
      </w:r>
    </w:p>
    <w:p w:rsidR="00AC0832" w:rsidRDefault="00AC0832">
      <w:pPr>
        <w:pStyle w:val="Normal3"/>
      </w:pPr>
      <w:r>
        <w:t xml:space="preserve">Prema članku 103. Ustava Predsjednik Republike i Vlada Republike Hrvatske, u skladu s Ustavom i zakonom, surađuju u usmjeravanju rada sigurnosnih službi, a imenovanje čelnika sigurnosnih službi, uz prethodno pribavljeno mišljenje nadležnog odbora  Hrvatskoga sabora, supotpisuju Predsjednik Republike i predsjednik Vlade Republike Hrvatske. Temeljem Zakona o sigurnosno-obavještajnom sustavu Republike Hrvatske Predsjednik Republike  obavlja i druga imenovanja te daje suglasnost na odgovarajuće akte sigurnosnih službi. </w:t>
      </w:r>
    </w:p>
    <w:p w:rsidR="00AC0832" w:rsidRDefault="00AC0832">
      <w:pPr>
        <w:pStyle w:val="Normal3"/>
      </w:pPr>
      <w:r>
        <w:t>Prema članku 104. Ustava Predsjednik Republike, na prijedlog Vlade i uz supotpis predsjednika Vlade, može raspustiti Hrvatski sabor, Predsjednik Republike donosi rješenje o imenovanju predsjednika Vlade uz supotpis predsjednika Hrvatskog sabora (članak 110. Ustava), te predlaže imenovanje predsjednika Vrhovnog suda Republike Hrvatske, uz prethodno mišljenje Opće sjednice Vrhovnog suda Republike Hrvatske i mjerodavnog odbora (članak 119. 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01505-Ured Predsjednika Republike Hrvatske</w:t>
            </w:r>
          </w:p>
        </w:tc>
        <w:tc>
          <w:tcPr>
            <w:tcW w:w="2322" w:type="dxa"/>
          </w:tcPr>
          <w:p w:rsidR="00AC0832" w:rsidRDefault="00AC0832">
            <w:pPr>
              <w:pStyle w:val="CellColumn"/>
            </w:pPr>
            <w:r>
              <w:t>48.600.000</w:t>
            </w:r>
          </w:p>
        </w:tc>
        <w:tc>
          <w:tcPr>
            <w:tcW w:w="2322" w:type="dxa"/>
          </w:tcPr>
          <w:p w:rsidR="00AC0832" w:rsidRDefault="00AC0832">
            <w:pPr>
              <w:pStyle w:val="CellColumn"/>
            </w:pPr>
            <w:r>
              <w:t>43.422.896</w:t>
            </w:r>
          </w:p>
        </w:tc>
        <w:tc>
          <w:tcPr>
            <w:tcW w:w="2322" w:type="dxa"/>
          </w:tcPr>
          <w:p w:rsidR="00AC0832" w:rsidRDefault="00AC0832">
            <w:pPr>
              <w:pStyle w:val="CellColumn"/>
            </w:pPr>
            <w:r>
              <w:t>89,3</w:t>
            </w:r>
          </w:p>
        </w:tc>
      </w:tr>
      <w:tr w:rsidR="00AC0832" w:rsidTr="00BE20ED">
        <w:trPr>
          <w:jc w:val="center"/>
        </w:trPr>
        <w:tc>
          <w:tcPr>
            <w:tcW w:w="2322" w:type="dxa"/>
            <w:shd w:val="clear" w:color="auto" w:fill="B5C0D8"/>
          </w:tcPr>
          <w:p w:rsidR="00AC0832" w:rsidRDefault="00AC0832">
            <w:pPr>
              <w:pStyle w:val="CellColumn"/>
            </w:pPr>
            <w:r>
              <w:t>Ukupno 015-URED PREDSJEDNIKA REPUBLIKE HRVATSKE</w:t>
            </w:r>
          </w:p>
        </w:tc>
        <w:tc>
          <w:tcPr>
            <w:tcW w:w="2322" w:type="dxa"/>
            <w:shd w:val="clear" w:color="auto" w:fill="B5C0D8"/>
          </w:tcPr>
          <w:p w:rsidR="00AC0832" w:rsidRDefault="00AC0832">
            <w:pPr>
              <w:pStyle w:val="CellColumn"/>
            </w:pPr>
            <w:r>
              <w:t>48.600.000</w:t>
            </w:r>
          </w:p>
        </w:tc>
        <w:tc>
          <w:tcPr>
            <w:tcW w:w="2322" w:type="dxa"/>
            <w:shd w:val="clear" w:color="auto" w:fill="B5C0D8"/>
          </w:tcPr>
          <w:p w:rsidR="00AC0832" w:rsidRDefault="00AC0832">
            <w:pPr>
              <w:pStyle w:val="CellColumn"/>
            </w:pPr>
            <w:r>
              <w:t>43.422.896</w:t>
            </w:r>
          </w:p>
        </w:tc>
        <w:tc>
          <w:tcPr>
            <w:tcW w:w="2322" w:type="dxa"/>
            <w:shd w:val="clear" w:color="auto" w:fill="B5C0D8"/>
          </w:tcPr>
          <w:p w:rsidR="00AC0832" w:rsidRDefault="00AC0832">
            <w:pPr>
              <w:pStyle w:val="CellColumn"/>
            </w:pPr>
            <w:r>
              <w:t>89,3</w:t>
            </w:r>
          </w:p>
        </w:tc>
      </w:tr>
    </w:tbl>
    <w:p w:rsidR="00AC0832" w:rsidRDefault="00AC0832">
      <w:pPr>
        <w:jc w:val="left"/>
      </w:pPr>
    </w:p>
    <w:p w:rsidR="00AC0832" w:rsidRDefault="00AC0832">
      <w:pPr>
        <w:pStyle w:val="Heading2"/>
      </w:pPr>
      <w:r>
        <w:t>01505 Ured Predsjednika Republike Hrvatske</w:t>
      </w:r>
    </w:p>
    <w:p w:rsidR="00AC0832" w:rsidRDefault="00AC0832">
      <w:pPr>
        <w:pStyle w:val="Heading4"/>
      </w:pPr>
      <w:r>
        <w:t>Uvod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01505-Ured Predsjednika Republike Hrvatske</w:t>
            </w:r>
          </w:p>
        </w:tc>
        <w:tc>
          <w:tcPr>
            <w:tcW w:w="2322" w:type="dxa"/>
          </w:tcPr>
          <w:p w:rsidR="00AC0832" w:rsidRDefault="00AC0832">
            <w:pPr>
              <w:pStyle w:val="CellColumn"/>
            </w:pPr>
            <w:r>
              <w:t>48.600.000</w:t>
            </w:r>
          </w:p>
        </w:tc>
        <w:tc>
          <w:tcPr>
            <w:tcW w:w="2322" w:type="dxa"/>
          </w:tcPr>
          <w:p w:rsidR="00AC0832" w:rsidRDefault="00AC0832">
            <w:pPr>
              <w:pStyle w:val="CellColumn"/>
            </w:pPr>
            <w:r>
              <w:t>43.422.896</w:t>
            </w:r>
          </w:p>
        </w:tc>
        <w:tc>
          <w:tcPr>
            <w:tcW w:w="2322" w:type="dxa"/>
          </w:tcPr>
          <w:p w:rsidR="00AC0832" w:rsidRDefault="00AC0832">
            <w:pPr>
              <w:pStyle w:val="CellColumn"/>
            </w:pPr>
            <w:r>
              <w:t>89,3</w:t>
            </w:r>
          </w:p>
        </w:tc>
      </w:tr>
      <w:tr w:rsidR="00AC0832" w:rsidTr="00BE20ED">
        <w:trPr>
          <w:jc w:val="center"/>
        </w:trPr>
        <w:tc>
          <w:tcPr>
            <w:tcW w:w="2322" w:type="dxa"/>
          </w:tcPr>
          <w:p w:rsidR="00AC0832" w:rsidRDefault="00AC0832">
            <w:pPr>
              <w:pStyle w:val="CellColumnSmall"/>
            </w:pPr>
            <w:r>
              <w:t>2104-DJELOVANJE PREDSJEDNIKA REPUBLIKE HRVATSKE</w:t>
            </w:r>
          </w:p>
        </w:tc>
        <w:tc>
          <w:tcPr>
            <w:tcW w:w="2322" w:type="dxa"/>
          </w:tcPr>
          <w:p w:rsidR="00AC0832" w:rsidRDefault="00AC0832">
            <w:pPr>
              <w:pStyle w:val="CellColumnSmall"/>
            </w:pPr>
            <w:r>
              <w:t>48.600.000</w:t>
            </w:r>
          </w:p>
        </w:tc>
        <w:tc>
          <w:tcPr>
            <w:tcW w:w="2322" w:type="dxa"/>
          </w:tcPr>
          <w:p w:rsidR="00AC0832" w:rsidRDefault="00AC0832">
            <w:pPr>
              <w:pStyle w:val="CellColumnSmall"/>
            </w:pPr>
            <w:r>
              <w:t>43.422.896</w:t>
            </w:r>
          </w:p>
        </w:tc>
        <w:tc>
          <w:tcPr>
            <w:tcW w:w="2322" w:type="dxa"/>
          </w:tcPr>
          <w:p w:rsidR="00AC0832" w:rsidRDefault="00AC0832">
            <w:pPr>
              <w:pStyle w:val="CellColumnSmall"/>
            </w:pPr>
            <w:r>
              <w:t>89,3</w:t>
            </w:r>
          </w:p>
        </w:tc>
      </w:tr>
    </w:tbl>
    <w:p w:rsidR="00AC0832" w:rsidRDefault="00AC0832">
      <w:pPr>
        <w:jc w:val="left"/>
      </w:pPr>
    </w:p>
    <w:p w:rsidR="00AC0832" w:rsidRDefault="00AC0832">
      <w:pPr>
        <w:pStyle w:val="Heading4"/>
      </w:pPr>
      <w:r>
        <w:t>OBRAZLOŽENJE PROGRAMA</w:t>
      </w:r>
    </w:p>
    <w:p w:rsidR="00AC0832" w:rsidRDefault="00AC0832">
      <w:pPr>
        <w:pStyle w:val="Heading5"/>
      </w:pPr>
      <w:r>
        <w:t>2104 DJELOVANJE PREDSJEDNIKA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2104-DJELOVANJE PREDSJEDNIKA REPUBLIKE HRVATSKE</w:t>
            </w:r>
          </w:p>
        </w:tc>
        <w:tc>
          <w:tcPr>
            <w:tcW w:w="2322" w:type="dxa"/>
          </w:tcPr>
          <w:p w:rsidR="00AC0832" w:rsidRDefault="00AC0832">
            <w:pPr>
              <w:pStyle w:val="CellColumn"/>
            </w:pPr>
            <w:r>
              <w:t>48.600.000</w:t>
            </w:r>
          </w:p>
        </w:tc>
        <w:tc>
          <w:tcPr>
            <w:tcW w:w="2322" w:type="dxa"/>
          </w:tcPr>
          <w:p w:rsidR="00AC0832" w:rsidRDefault="00AC0832">
            <w:pPr>
              <w:pStyle w:val="CellColumn"/>
            </w:pPr>
            <w:r>
              <w:t>43.422.896</w:t>
            </w:r>
          </w:p>
        </w:tc>
        <w:tc>
          <w:tcPr>
            <w:tcW w:w="2322" w:type="dxa"/>
          </w:tcPr>
          <w:p w:rsidR="00AC0832" w:rsidRDefault="00AC0832">
            <w:pPr>
              <w:pStyle w:val="CellColumn"/>
            </w:pPr>
            <w:r>
              <w:t>89,3</w:t>
            </w:r>
          </w:p>
        </w:tc>
      </w:tr>
    </w:tbl>
    <w:p w:rsidR="00AC0832" w:rsidRDefault="00AC0832">
      <w:pPr>
        <w:jc w:val="left"/>
      </w:pPr>
    </w:p>
    <w:p w:rsidR="00AC0832" w:rsidRDefault="00AC0832">
      <w:pPr>
        <w:pStyle w:val="Heading6"/>
      </w:pPr>
      <w:r>
        <w:t>Opis programa</w:t>
      </w:r>
    </w:p>
    <w:p w:rsidR="00AC0832" w:rsidRDefault="00AC0832">
      <w:pPr>
        <w:pStyle w:val="Normal5"/>
      </w:pPr>
      <w:r>
        <w:t>Predsjednik Republike Hrvatske predstavlja i zastupa Republiku Hrvatsku u zemlji i inozemstvu, brine se za redovito i usklađeno djelovanje te za stabilnost državne vlasti, odgovara za obranu neovisnosti i teritorijalne cjelovitosti Republike Hrvatske, raspisuje izbore za Hrvatski sabor i saziva ga na prvo zasjedanje, raspisuje referendum u skladu s Ustavom, povjerava mandat za sastavljanje Vlade osobi koja uživa povjerenje većine svih zastupnika u Hrvatskom saboru, daje pomilovanja, dodjeljuje odlikovanja i priznanja određena zakonom te obavlja druge dužnosti određene Ustavom.</w:t>
      </w:r>
    </w:p>
    <w:p w:rsidR="00AC0832" w:rsidRDefault="00AC0832">
      <w:pPr>
        <w:pStyle w:val="Heading6"/>
      </w:pPr>
      <w:r>
        <w:t>Zakonske i druge pravne osnove</w:t>
      </w:r>
    </w:p>
    <w:p w:rsidR="00AC0832" w:rsidRDefault="00AC0832">
      <w:pPr>
        <w:pStyle w:val="Normal5"/>
      </w:pPr>
      <w:r>
        <w:t xml:space="preserve">Ustav Republike Hrvatske  </w:t>
      </w:r>
    </w:p>
    <w:p w:rsidR="00AC0832" w:rsidRDefault="00AC0832">
      <w:pPr>
        <w:pStyle w:val="Normal5"/>
      </w:pPr>
      <w:r>
        <w:t xml:space="preserve">Odluka o Uredu Predsjednika Republike Hrvatske </w:t>
      </w:r>
    </w:p>
    <w:p w:rsidR="00AC0832" w:rsidRDefault="00AC0832">
      <w:pPr>
        <w:pStyle w:val="Normal5"/>
      </w:pPr>
      <w:r>
        <w:t xml:space="preserve">Odluka o osnivanju Ureda Predsjednika Republike Hrvatske </w:t>
      </w:r>
    </w:p>
    <w:p w:rsidR="00AC0832" w:rsidRDefault="00AC0832">
      <w:pPr>
        <w:pStyle w:val="Normal5"/>
      </w:pPr>
      <w:r>
        <w:t xml:space="preserve">Zakon o vanjskim poslovima </w:t>
      </w:r>
    </w:p>
    <w:p w:rsidR="00AC0832" w:rsidRDefault="00AC0832">
      <w:pPr>
        <w:pStyle w:val="Normal5"/>
      </w:pPr>
      <w:r>
        <w:t xml:space="preserve">Zakon o oružanim snagama Republike Hrvatske </w:t>
      </w:r>
    </w:p>
    <w:p w:rsidR="00AC0832" w:rsidRDefault="00AC0832">
      <w:pPr>
        <w:pStyle w:val="Normal5"/>
      </w:pPr>
      <w:r>
        <w:t xml:space="preserve">Zakon o obrani </w:t>
      </w:r>
    </w:p>
    <w:p w:rsidR="00AC0832" w:rsidRDefault="00AC0832">
      <w:pPr>
        <w:pStyle w:val="Normal5"/>
      </w:pPr>
      <w:r>
        <w:t xml:space="preserve">Zakon o sigurnosno-obavještajnom sustavu Republike Hrvatske </w:t>
      </w:r>
    </w:p>
    <w:p w:rsidR="00AC0832" w:rsidRDefault="00AC0832">
      <w:pPr>
        <w:pStyle w:val="Normal5"/>
      </w:pPr>
      <w:r>
        <w:t xml:space="preserve">Zakon o odlikovanjima i priznanjima Republike Hrvatske </w:t>
      </w:r>
    </w:p>
    <w:p w:rsidR="00AC0832" w:rsidRDefault="00AC0832">
      <w:pPr>
        <w:pStyle w:val="Normal5"/>
      </w:pPr>
      <w:r>
        <w:t xml:space="preserve">Zakon o pomilovanju </w:t>
      </w:r>
    </w:p>
    <w:p w:rsidR="00AC0832" w:rsidRDefault="00AC0832">
      <w:pPr>
        <w:pStyle w:val="Normal5"/>
      </w:pPr>
      <w:r>
        <w:t xml:space="preserve">Ustavni zakon o Ustavnom sudu Republike Hrvatske  </w:t>
      </w:r>
    </w:p>
    <w:p w:rsidR="00AC0832" w:rsidRDefault="00AC0832">
      <w:pPr>
        <w:pStyle w:val="Normal5"/>
      </w:pPr>
      <w:r>
        <w:t xml:space="preserve">Zakon o izborima zastupnika u Hrvatski sabor  </w:t>
      </w:r>
    </w:p>
    <w:p w:rsidR="00AC0832" w:rsidRDefault="00AC0832">
      <w:pPr>
        <w:pStyle w:val="Normal5"/>
      </w:pPr>
      <w:r>
        <w:t xml:space="preserve">Zakon o izborima zastupnika iz Republike Hrvatske u Europski parlament  </w:t>
      </w:r>
    </w:p>
    <w:p w:rsidR="00AC0832" w:rsidRDefault="00AC0832">
      <w:pPr>
        <w:pStyle w:val="Normal5"/>
      </w:pPr>
      <w:r>
        <w:t xml:space="preserve">Zakon o sklapanju i izvršavanju međunarodnih ugovora  </w:t>
      </w:r>
    </w:p>
    <w:p w:rsidR="00AC0832" w:rsidRDefault="00AC0832">
      <w:pPr>
        <w:pStyle w:val="Normal5"/>
      </w:pPr>
      <w:r>
        <w:t xml:space="preserve">Zakon o Vladi Republike Hrvatske   </w:t>
      </w:r>
    </w:p>
    <w:p w:rsidR="00AC0832" w:rsidRDefault="00AC0832">
      <w:pPr>
        <w:pStyle w:val="Normal5"/>
      </w:pPr>
      <w:r>
        <w:t xml:space="preserve">Zakon o sudovima  </w:t>
      </w:r>
    </w:p>
    <w:p w:rsidR="00AC0832" w:rsidRDefault="00AC0832">
      <w:pPr>
        <w:pStyle w:val="Normal5"/>
      </w:pPr>
      <w:r>
        <w:t xml:space="preserve">Zakon o sudjelovanju pripadnika Oružanih snaga Republike Hrvatske, policije, civilne zaštite te državnih službenika i namještenika u mirovnim operacijama i drugim aktivnostima u inozemstvu  </w:t>
      </w:r>
    </w:p>
    <w:p w:rsidR="00AC0832" w:rsidRDefault="00AC0832">
      <w:pPr>
        <w:pStyle w:val="Normal5"/>
      </w:pPr>
      <w:r>
        <w:t>Zakon o pravima iz mirovinskog osiguranja djelatnih vojnih osoba, policijskih službenika i ovlaštenih službenih osoba</w:t>
      </w:r>
    </w:p>
    <w:p w:rsidR="00AC0832" w:rsidRDefault="00AC0832">
      <w:pPr>
        <w:pStyle w:val="Heading7"/>
      </w:pPr>
      <w:r>
        <w:t>Cilj 1. Učinkovita koordinacija u pružanju potpore predsjedniku Republike Hrvatske</w:t>
      </w:r>
    </w:p>
    <w:p w:rsidR="00AC0832" w:rsidRDefault="00AC0832">
      <w:pPr>
        <w:pStyle w:val="Heading8"/>
        <w:jc w:val="left"/>
      </w:pPr>
      <w:r>
        <w:t>Opis provedbe cilja programa</w:t>
      </w:r>
    </w:p>
    <w:p w:rsidR="00AC0832" w:rsidRDefault="00AC0832">
      <w:pPr>
        <w:pStyle w:val="Normal6"/>
      </w:pPr>
      <w:r>
        <w:t>Sukladno navedenom programu, Ured Predsjednika Republike Hrvatske u 2012. godini nastavio je obnašati poslove koji su navedeni u Uvodu, a koji su temeljem Ustava i zakonima stavljeni u nadležnost Predsjednika Republike Hrvatske.</w:t>
      </w:r>
    </w:p>
    <w:p w:rsidR="00AC0832" w:rsidRDefault="00AC0832">
      <w:pPr>
        <w:pStyle w:val="Heading6"/>
      </w:pPr>
      <w:r>
        <w:t>A504000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A504000-ADMINISTRACIJA I UPRAVLJANJE</w:t>
            </w:r>
          </w:p>
        </w:tc>
        <w:tc>
          <w:tcPr>
            <w:tcW w:w="2322" w:type="dxa"/>
          </w:tcPr>
          <w:p w:rsidR="00AC0832" w:rsidRDefault="00AC0832">
            <w:pPr>
              <w:pStyle w:val="CellColumn"/>
            </w:pPr>
            <w:r>
              <w:t>35.660.000</w:t>
            </w:r>
          </w:p>
        </w:tc>
        <w:tc>
          <w:tcPr>
            <w:tcW w:w="2322" w:type="dxa"/>
          </w:tcPr>
          <w:p w:rsidR="00AC0832" w:rsidRDefault="00AC0832">
            <w:pPr>
              <w:pStyle w:val="CellColumn"/>
            </w:pPr>
            <w:r>
              <w:t>31.831.136</w:t>
            </w:r>
          </w:p>
        </w:tc>
        <w:tc>
          <w:tcPr>
            <w:tcW w:w="2322" w:type="dxa"/>
          </w:tcPr>
          <w:p w:rsidR="00AC0832" w:rsidRDefault="00AC0832">
            <w:pPr>
              <w:pStyle w:val="CellColumn"/>
            </w:pPr>
            <w:r>
              <w:t>89,3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 aktivnosti A504000 Administracija i upravljanje sredstva su utrošena za podmirenje osnovnih potreba za normalno funkcioniranje Ureda Predsjednika Republike Hrvatske u obnašanju savjetodavnih, administrativnih, stručnih i drugih poslova pripreme i provođenja odluka i akata koje donosi Predsjednik Republike Hrvatske.</w:t>
      </w:r>
    </w:p>
    <w:p w:rsidR="00AC0832" w:rsidRDefault="00AC0832">
      <w:pPr>
        <w:pStyle w:val="Heading6"/>
      </w:pPr>
      <w:r>
        <w:t>A504001 TEHNIČKI I POMOĆNI POSLOVI UREDA PREDSJEDNIKA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A504001-TEHNIČKI I POMOĆNI POSLOVI UREDA PREDSJEDNIKA</w:t>
            </w:r>
          </w:p>
        </w:tc>
        <w:tc>
          <w:tcPr>
            <w:tcW w:w="2322" w:type="dxa"/>
          </w:tcPr>
          <w:p w:rsidR="00AC0832" w:rsidRDefault="00AC0832">
            <w:pPr>
              <w:pStyle w:val="CellColumn"/>
            </w:pPr>
            <w:r>
              <w:t>11.818.000</w:t>
            </w:r>
          </w:p>
        </w:tc>
        <w:tc>
          <w:tcPr>
            <w:tcW w:w="2322" w:type="dxa"/>
          </w:tcPr>
          <w:p w:rsidR="00AC0832" w:rsidRDefault="00AC0832">
            <w:pPr>
              <w:pStyle w:val="CellColumn"/>
            </w:pPr>
            <w:r>
              <w:t>10.518.551</w:t>
            </w:r>
          </w:p>
        </w:tc>
        <w:tc>
          <w:tcPr>
            <w:tcW w:w="2322" w:type="dxa"/>
          </w:tcPr>
          <w:p w:rsidR="00AC0832" w:rsidRDefault="00AC0832">
            <w:pPr>
              <w:pStyle w:val="CellColumn"/>
            </w:pPr>
            <w:r>
              <w:t>89,0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Kroz aktivnost A504001 Tehnički i pomoćni poslovi Ureda Predsjednika utrošena su sredstva za obavljanje tehničkih, pomoćnih i drugih stručnih poslova koji se odnose na opremanje i uređenje Ureda, izradu planova i projekcija godišnjih investicijskih projekata, obavljanje poslova tekućeg i investicijskog održavanja objekata i uredskih prostora kojima upravlja Ured, vođenje zbirke umjetnina u vlasništvu Ureda te umjetnina posuđenih od galerija, muzeja, umjetnika, vođenje dokumentacije o objektima i imovini o kojoj skrbi Ured, poslove održavanja zelenih površina, instalacija, interijera.</w:t>
      </w:r>
    </w:p>
    <w:p w:rsidR="00AC0832" w:rsidRDefault="00AC0832">
      <w:pPr>
        <w:pStyle w:val="Heading6"/>
      </w:pPr>
      <w:r>
        <w:t>A504023 OBVEZE PO SUDSKIM SPOROVIMA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A504023-OBVEZE PO SUDSKIM SPOROVIMA</w:t>
            </w:r>
          </w:p>
        </w:tc>
        <w:tc>
          <w:tcPr>
            <w:tcW w:w="2322" w:type="dxa"/>
          </w:tcPr>
          <w:p w:rsidR="00AC0832" w:rsidRDefault="00AC0832">
            <w:pPr>
              <w:pStyle w:val="CellColumn"/>
            </w:pPr>
            <w:r>
              <w:t>2.000</w:t>
            </w:r>
          </w:p>
        </w:tc>
        <w:tc>
          <w:tcPr>
            <w:tcW w:w="2322" w:type="dxa"/>
          </w:tcPr>
          <w:p w:rsidR="00AC0832" w:rsidRDefault="00AC0832">
            <w:pPr>
              <w:pStyle w:val="CellColumn"/>
            </w:pPr>
            <w:r>
              <w:t>00</w:t>
            </w:r>
          </w:p>
        </w:tc>
        <w:tc>
          <w:tcPr>
            <w:tcW w:w="2322" w:type="dxa"/>
          </w:tcPr>
          <w:p w:rsidR="00AC0832" w:rsidRDefault="00AC0832">
            <w:pPr>
              <w:pStyle w:val="CellColumn"/>
            </w:pPr>
            <w:r>
              <w:t>0,0</w:t>
            </w:r>
          </w:p>
        </w:tc>
      </w:tr>
    </w:tbl>
    <w:p w:rsidR="00AC0832" w:rsidRDefault="00AC0832">
      <w:pPr>
        <w:pStyle w:val="Heading6"/>
      </w:pPr>
      <w:r>
        <w:t>K504004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K504004-INFORMATIZACIJA</w:t>
            </w:r>
          </w:p>
        </w:tc>
        <w:tc>
          <w:tcPr>
            <w:tcW w:w="2322" w:type="dxa"/>
          </w:tcPr>
          <w:p w:rsidR="00AC0832" w:rsidRDefault="00AC0832">
            <w:pPr>
              <w:pStyle w:val="CellColumn"/>
            </w:pPr>
            <w:r>
              <w:t>1.100.000</w:t>
            </w:r>
          </w:p>
        </w:tc>
        <w:tc>
          <w:tcPr>
            <w:tcW w:w="2322" w:type="dxa"/>
          </w:tcPr>
          <w:p w:rsidR="00AC0832" w:rsidRDefault="00AC0832">
            <w:pPr>
              <w:pStyle w:val="CellColumn"/>
            </w:pPr>
            <w:r>
              <w:t>1.073.210</w:t>
            </w:r>
          </w:p>
        </w:tc>
        <w:tc>
          <w:tcPr>
            <w:tcW w:w="2322" w:type="dxa"/>
          </w:tcPr>
          <w:p w:rsidR="00AC0832" w:rsidRDefault="00AC0832">
            <w:pPr>
              <w:pStyle w:val="CellColumn"/>
            </w:pPr>
            <w:r>
              <w:t>97,6</w:t>
            </w:r>
          </w:p>
        </w:tc>
      </w:tr>
    </w:tbl>
    <w:p w:rsidR="00AC0832" w:rsidRDefault="00AC0832">
      <w:pPr>
        <w:jc w:val="left"/>
      </w:pPr>
    </w:p>
    <w:p w:rsidR="00AC0832" w:rsidRDefault="00AC0832">
      <w:pPr>
        <w:pStyle w:val="Heading6"/>
      </w:pPr>
      <w:r>
        <w:t>K504016 UREĐENJE OKOLIŠA PREDSJEDNIČKIH DVORA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K504016-UREĐENJE OKOLIŠA PREDSJEDNIČKIH DVORA</w:t>
            </w:r>
          </w:p>
        </w:tc>
        <w:tc>
          <w:tcPr>
            <w:tcW w:w="2322" w:type="dxa"/>
          </w:tcPr>
          <w:p w:rsidR="00AC0832" w:rsidRDefault="00AC0832">
            <w:pPr>
              <w:pStyle w:val="CellColumn"/>
            </w:pPr>
            <w:r>
              <w:t>20.000</w:t>
            </w:r>
          </w:p>
        </w:tc>
        <w:tc>
          <w:tcPr>
            <w:tcW w:w="2322" w:type="dxa"/>
          </w:tcPr>
          <w:p w:rsidR="00AC0832" w:rsidRDefault="00AC0832">
            <w:pPr>
              <w:pStyle w:val="CellColumn"/>
            </w:pPr>
            <w:r>
              <w:t>00</w:t>
            </w:r>
          </w:p>
        </w:tc>
        <w:tc>
          <w:tcPr>
            <w:tcW w:w="2322" w:type="dxa"/>
          </w:tcPr>
          <w:p w:rsidR="00AC0832" w:rsidRDefault="00AC0832">
            <w:pPr>
              <w:pStyle w:val="CellColumn"/>
            </w:pPr>
            <w:r>
              <w:t>0,0</w:t>
            </w:r>
          </w:p>
        </w:tc>
      </w:tr>
    </w:tbl>
    <w:p w:rsidR="00AC0832" w:rsidRDefault="00AC0832">
      <w:pPr>
        <w:jc w:val="left"/>
      </w:pPr>
    </w:p>
    <w:p w:rsidR="00AC0832" w:rsidRDefault="00AC0832">
      <w:pPr>
        <w:pStyle w:val="Heading1"/>
      </w:pPr>
      <w:r>
        <w:t>017 USTAVNI SUD REPUBLIKE HRVATSKE</w:t>
      </w:r>
    </w:p>
    <w:p w:rsidR="00AC0832" w:rsidRDefault="00AC0832">
      <w:pPr>
        <w:pStyle w:val="Heading4"/>
      </w:pPr>
      <w:r>
        <w:t>Uvod</w:t>
      </w:r>
    </w:p>
    <w:p w:rsidR="00AC0832" w:rsidRDefault="00AC0832">
      <w:pPr>
        <w:pStyle w:val="Normal3"/>
      </w:pPr>
      <w:r>
        <w:t xml:space="preserve">Ustavni sud Republike Hrvatske (u daljnjem tekstu: Sud) najviše je ustavnosudsko tijelo u Republici Hrvatskoj čija je osnovna djelatnost usmjerena na osiguravanje ustavnog poretka, vladavinu prava i zaštitu ljudskih prava i temeljnih sloboda građana. Djelatnost Suda financira se isključivo sredstvima Državnog proračuna. </w:t>
      </w:r>
    </w:p>
    <w:p w:rsidR="00AC0832" w:rsidRDefault="00AC0832">
      <w:pPr>
        <w:pStyle w:val="Normal3"/>
      </w:pPr>
      <w:r>
        <w:t>Ukupno planirana sredstva u 2012. godini iznosila su 29.295.000,00 kn, dok su rashodi ostvareni u iznosu od 28.043.636,94 kn, odnosno 95,73% u odnosu na planirane prihode što se može smatrati gotovo idealnim izvršenjem financijskog plana.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01705-Ustavni sud Republike Hrvatske</w:t>
            </w:r>
          </w:p>
        </w:tc>
        <w:tc>
          <w:tcPr>
            <w:tcW w:w="2322" w:type="dxa"/>
          </w:tcPr>
          <w:p w:rsidR="00AC0832" w:rsidRDefault="00AC0832">
            <w:pPr>
              <w:pStyle w:val="CellColumn"/>
            </w:pPr>
            <w:r>
              <w:t>29.295.000</w:t>
            </w:r>
          </w:p>
        </w:tc>
        <w:tc>
          <w:tcPr>
            <w:tcW w:w="2322" w:type="dxa"/>
          </w:tcPr>
          <w:p w:rsidR="00AC0832" w:rsidRDefault="00AC0832">
            <w:pPr>
              <w:pStyle w:val="CellColumn"/>
            </w:pPr>
            <w:r>
              <w:t>28.043.637</w:t>
            </w:r>
          </w:p>
        </w:tc>
        <w:tc>
          <w:tcPr>
            <w:tcW w:w="2322" w:type="dxa"/>
          </w:tcPr>
          <w:p w:rsidR="00AC0832" w:rsidRDefault="00AC0832">
            <w:pPr>
              <w:pStyle w:val="CellColumn"/>
            </w:pPr>
            <w:r>
              <w:t>95,7</w:t>
            </w:r>
          </w:p>
        </w:tc>
      </w:tr>
      <w:tr w:rsidR="00AC0832" w:rsidTr="00BE20ED">
        <w:trPr>
          <w:jc w:val="center"/>
        </w:trPr>
        <w:tc>
          <w:tcPr>
            <w:tcW w:w="2322" w:type="dxa"/>
            <w:shd w:val="clear" w:color="auto" w:fill="B5C0D8"/>
          </w:tcPr>
          <w:p w:rsidR="00AC0832" w:rsidRDefault="00AC0832">
            <w:pPr>
              <w:pStyle w:val="CellColumn"/>
            </w:pPr>
            <w:r>
              <w:t>Ukupno 017-USTAVNI SUD REPUBLIKE HRVATSKE</w:t>
            </w:r>
          </w:p>
        </w:tc>
        <w:tc>
          <w:tcPr>
            <w:tcW w:w="2322" w:type="dxa"/>
            <w:shd w:val="clear" w:color="auto" w:fill="B5C0D8"/>
          </w:tcPr>
          <w:p w:rsidR="00AC0832" w:rsidRDefault="00AC0832">
            <w:pPr>
              <w:pStyle w:val="CellColumn"/>
            </w:pPr>
            <w:r>
              <w:t>29.295.000</w:t>
            </w:r>
          </w:p>
        </w:tc>
        <w:tc>
          <w:tcPr>
            <w:tcW w:w="2322" w:type="dxa"/>
            <w:shd w:val="clear" w:color="auto" w:fill="B5C0D8"/>
          </w:tcPr>
          <w:p w:rsidR="00AC0832" w:rsidRDefault="00AC0832">
            <w:pPr>
              <w:pStyle w:val="CellColumn"/>
            </w:pPr>
            <w:r>
              <w:t>28.043.637</w:t>
            </w:r>
          </w:p>
        </w:tc>
        <w:tc>
          <w:tcPr>
            <w:tcW w:w="2322" w:type="dxa"/>
            <w:shd w:val="clear" w:color="auto" w:fill="B5C0D8"/>
          </w:tcPr>
          <w:p w:rsidR="00AC0832" w:rsidRDefault="00AC0832">
            <w:pPr>
              <w:pStyle w:val="CellColumn"/>
            </w:pPr>
            <w:r>
              <w:t>95,7</w:t>
            </w:r>
          </w:p>
        </w:tc>
      </w:tr>
    </w:tbl>
    <w:p w:rsidR="00AC0832" w:rsidRDefault="00AC0832">
      <w:pPr>
        <w:jc w:val="left"/>
      </w:pPr>
    </w:p>
    <w:p w:rsidR="00AC0832" w:rsidRDefault="00AC0832">
      <w:pPr>
        <w:pStyle w:val="Heading5"/>
      </w:pPr>
      <w:r>
        <w:t>2106 DJELOVANJE USTAVNOG SUDA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2106-DJELOVANJE USTAVNOG SUDA</w:t>
            </w:r>
          </w:p>
        </w:tc>
        <w:tc>
          <w:tcPr>
            <w:tcW w:w="2322" w:type="dxa"/>
          </w:tcPr>
          <w:p w:rsidR="00AC0832" w:rsidRDefault="00AC0832">
            <w:pPr>
              <w:pStyle w:val="CellColumn"/>
            </w:pPr>
            <w:r>
              <w:t>29.295.000</w:t>
            </w:r>
          </w:p>
        </w:tc>
        <w:tc>
          <w:tcPr>
            <w:tcW w:w="2322" w:type="dxa"/>
          </w:tcPr>
          <w:p w:rsidR="00AC0832" w:rsidRDefault="00AC0832">
            <w:pPr>
              <w:pStyle w:val="CellColumn"/>
            </w:pPr>
            <w:r>
              <w:t>28.043.637</w:t>
            </w:r>
          </w:p>
        </w:tc>
        <w:tc>
          <w:tcPr>
            <w:tcW w:w="2322" w:type="dxa"/>
          </w:tcPr>
          <w:p w:rsidR="00AC0832" w:rsidRDefault="00AC0832">
            <w:pPr>
              <w:pStyle w:val="CellColumn"/>
            </w:pPr>
            <w:r>
              <w:t>95,7</w:t>
            </w:r>
          </w:p>
        </w:tc>
      </w:tr>
    </w:tbl>
    <w:p w:rsidR="00AC0832" w:rsidRDefault="00AC0832">
      <w:pPr>
        <w:jc w:val="left"/>
      </w:pPr>
    </w:p>
    <w:p w:rsidR="00AC0832" w:rsidRDefault="00AC0832">
      <w:pPr>
        <w:pStyle w:val="Heading6"/>
      </w:pPr>
      <w:r>
        <w:t>Opis programa</w:t>
      </w:r>
    </w:p>
    <w:p w:rsidR="00AC0832" w:rsidRDefault="00AC0832">
      <w:pPr>
        <w:pStyle w:val="Normal5"/>
      </w:pPr>
      <w:r>
        <w:t xml:space="preserve">Sud kroz svoj program zaštite ustavnosti i zakonitosti, zaštite ljudskih prava i temeljnih sloboda zajamčenih Ustavom usmjerava aktivnosti tako da se njegov položaj u nacionalnom ustavnom poretku uskladi s položajem koji mu priznaje Ustav. Cilj je jačanje uloge samog ustavnog sudovanja u zemlji te njegov prodor u međunarodnu zajednicu ustavnih sudova. </w:t>
      </w:r>
    </w:p>
    <w:p w:rsidR="00AC0832" w:rsidRDefault="00AC0832">
      <w:pPr>
        <w:pStyle w:val="Normal5"/>
      </w:pPr>
      <w:r>
        <w:t xml:space="preserve">Sud kao samostalan razdjel i glava unutar Državnog proračuna Republike Hrvatske realizaciju svog programa isključivo financira iz sredstava Državnog proračuna Republike Hrvatske. </w:t>
      </w:r>
    </w:p>
    <w:p w:rsidR="00AC0832" w:rsidRDefault="00AC0832">
      <w:pPr>
        <w:pStyle w:val="Normal5"/>
      </w:pPr>
      <w:r>
        <w:t>Sukladno ostvarenju Strateškog plana, Sud je uskladio programsku strukturu Proračuna za 2012. godinu kroz osnovne aktivnosti "Administracija i upravljanje", "Međunarodna suradnja", kapitalne projekte pod nazivom "Informatizacija",  "Obnova voznog parka" i tekućim projektom "Otvaranje Ustavnog suda javnosti".</w:t>
      </w:r>
    </w:p>
    <w:p w:rsidR="00AC0832" w:rsidRDefault="00AC0832">
      <w:pPr>
        <w:pStyle w:val="Heading6"/>
      </w:pPr>
      <w:r>
        <w:t>Zakonske i druge pravne osnove</w:t>
      </w:r>
    </w:p>
    <w:p w:rsidR="00AC0832" w:rsidRDefault="00AC0832">
      <w:pPr>
        <w:pStyle w:val="Normal5"/>
      </w:pPr>
      <w:r>
        <w:t xml:space="preserve">– Ustav Republike Hrvatske ("Narodne novine" broj 56/90., 135/97., 113/00., 28/01. i 76/10.; u daljnjem tekstu: Ustav), </w:t>
      </w:r>
    </w:p>
    <w:p w:rsidR="00AC0832" w:rsidRDefault="00AC0832">
      <w:pPr>
        <w:pStyle w:val="Normal5"/>
      </w:pPr>
      <w:r>
        <w:t>– Ustavni zakon o Ustavnom sudu Republike Hrvatske ("Narodne novine" broj 99/99., 29/02. i 49/02.-pročišćeni tekst; u daljnjem tekstu: Ustavni zakon).</w:t>
      </w:r>
    </w:p>
    <w:p w:rsidR="00AC0832" w:rsidRDefault="00AC0832">
      <w:pPr>
        <w:pStyle w:val="Heading7"/>
      </w:pPr>
      <w:r>
        <w:t xml:space="preserve">Cilj 1. Unaprjeđenje prakse Ustavnog suda </w:t>
      </w:r>
    </w:p>
    <w:p w:rsidR="00AC0832" w:rsidRDefault="00AC0832">
      <w:pPr>
        <w:pStyle w:val="Heading8"/>
        <w:jc w:val="left"/>
      </w:pPr>
      <w:r>
        <w:t>Opis provedbe cilja programa</w:t>
      </w:r>
    </w:p>
    <w:p w:rsidR="00AC0832" w:rsidRDefault="00AC0832">
      <w:pPr>
        <w:pStyle w:val="Normal6"/>
      </w:pPr>
      <w:r>
        <w:t xml:space="preserve">Tijekom proteklih godina Ustavni sud kontinuirano ukazuje na neodgovarajuće uređenje njegove nadležnosti te na potrebu za izmjenom odredbi Glave V. Ustava pod nazivom "Ustavni sud Republike Hrvatske", kao i Ustavnog zakona. </w:t>
      </w:r>
    </w:p>
    <w:p w:rsidR="00AC0832" w:rsidRDefault="00AC0832">
      <w:pPr>
        <w:pStyle w:val="Normal6"/>
      </w:pPr>
      <w:r>
        <w:t xml:space="preserve">Unatoč svim poteškoćama i neizvjesnostima koje ga prate, procijenjeno je da se od tog cilja ne smije odustati sve do njegova ostvarenja. Naime, bez usklađivanja nadležnosti Ustavnog suda na način da postanu kompatibilne s nadležnostima Europskog suda za ljudska prava u Strasbourgu, na kojeg je Republika Hrvatska kao suverena država prenijela dio svoje sudbene jurisdikcije, hrvatsko ustavno sudstvo, a time i cjelokupni nacionalni sustav unapređenja vladavine prava i zaštite ljudskih prava, ostaje manjkav i nedovoljno efikasan pa se slučajevi i dalje "prelijevaju" na međunarodni sud u Strasbourgu. To nanosi izravnu štetu državnom proračunu jer se sve naknade koje žrtvama povrede Konvencije za zaštitu ljudskih prava i temeljnih sloboda dosuđuje Europski sud za ljudska prava u Strasbourgu plaćaju iz državnog proračuna.  </w:t>
      </w:r>
    </w:p>
    <w:p w:rsidR="00AC0832" w:rsidRDefault="00AC0832">
      <w:pPr>
        <w:pStyle w:val="Normal6"/>
      </w:pPr>
      <w:r>
        <w:t xml:space="preserve">S druge strane, uz izvjesnu činjenicu da se 2012. godine nije moglo očekivati ostvarenje ovog cilja (promjene Glave V. Ustava te Ustavnog zakona), aktivnosti na ostvarenju tog cilja u 2012. trebalo je prilagoditi toj činjenici. Aktivnosti su se orijentirale na što širu diseminaciju znanja i spoznaja o hrvatskom ustavnom sudstvu.   </w:t>
      </w:r>
    </w:p>
    <w:p w:rsidR="00AC0832" w:rsidRDefault="00AC0832">
      <w:pPr>
        <w:pStyle w:val="Normal6"/>
      </w:pPr>
      <w:r>
        <w:t xml:space="preserve">U cilju osiguranja znanstvene, stručne i političke podrške za promjenu Glave V. Ustava i za donošenje novog Ustavnog zakona predsjednica i suci Ustavnog suda te ustavnosudski savjetnici su i tijekom 2012. godine isticali u svojim znanstvenim i stručnim radovima objavljenim u različitim znanstvenim i stručnim časopisima i drugim publikacijama te u svojim predavanjima i izlaganjima na različitim znanstvenim, stručnim skupovima i drugim društvenim događanjima. Primjerice: </w:t>
      </w:r>
    </w:p>
    <w:p w:rsidR="00AC0832" w:rsidRDefault="00AC0832">
      <w:pPr>
        <w:pStyle w:val="Normal6"/>
      </w:pPr>
      <w:r>
        <w:t xml:space="preserve">a) predsjednica Ustavnog suda prof. dr. Jasna Omejec objavila je članke: </w:t>
      </w:r>
    </w:p>
    <w:p w:rsidR="00AC0832" w:rsidRDefault="00AC0832">
      <w:pPr>
        <w:pStyle w:val="Normal6"/>
      </w:pPr>
      <w:r>
        <w:t xml:space="preserve">- Izvršenje presuda i odluka Europskog suda za ljudska prava, Znanstveni projekt: NOVI HRVATSKI PRAVNI SUSTAV (2012.), Zbornik Pravnog fakulteta u Zagrebu posvećenom prof. dr. sc. Petru Klariću; </w:t>
      </w:r>
    </w:p>
    <w:p w:rsidR="00AC0832" w:rsidRDefault="00AC0832">
      <w:pPr>
        <w:pStyle w:val="Normal6"/>
      </w:pPr>
      <w:r>
        <w:t xml:space="preserve">- Postupci odlučivanja o dopuštenosti i osnovanosti zahtjeva pred Europskim sudom za ljudska prava, Informator, instruktivno-informativni list za ekonomska i pravna pitanja, 60. god., br. 6063; Zagreb, str. 1-3; </w:t>
      </w:r>
    </w:p>
    <w:p w:rsidR="00AC0832" w:rsidRDefault="00AC0832">
      <w:pPr>
        <w:pStyle w:val="Normal6"/>
      </w:pPr>
      <w:r>
        <w:t xml:space="preserve">- Ogledne (pilot) presude Europskog suda za ljudska prava o "staroj deviznoj štednji" građana bivše SFRJ - drugi dio, Informator, instruktivno-informativni list za ekonomska i pravna pitanja, 60. god., br. 6127, Zagreb, 24. studenoga 2012., str. 5; </w:t>
      </w:r>
    </w:p>
    <w:p w:rsidR="00AC0832" w:rsidRDefault="00AC0832">
      <w:pPr>
        <w:pStyle w:val="Normal6"/>
      </w:pPr>
      <w:r>
        <w:t xml:space="preserve">- Ogledne (pilot) presude Europskog suda za ljudska prava o "staroj deviznoj štednji" građana bivše SFRJ - prvi dio, Informator, instruktivno-informativni list za ekonomska i pravna pitanja, 60. god., br. 6126, Zagreb, 21. studenoga 2012., str. 1-3; </w:t>
      </w:r>
    </w:p>
    <w:p w:rsidR="00AC0832" w:rsidRDefault="00AC0832">
      <w:pPr>
        <w:pStyle w:val="Normal6"/>
      </w:pPr>
      <w:r>
        <w:t xml:space="preserve">b) predsjednica Ustavnog suda prof. dr. Jasna Omejec u koautorstvu sa sutkinjom Ustavnog suda Slavicom Banić objavila je rad: Diferencijacija propisa i općih akata u budućoj praksi Ustavnog suda i Upravnog suda u povodu Zakona o upravnim sporovima (2010.) u Zborniku radova Pravnog fakulteta u Splitu; </w:t>
      </w:r>
    </w:p>
    <w:p w:rsidR="00AC0832" w:rsidRDefault="00AC0832">
      <w:pPr>
        <w:pStyle w:val="Normal6"/>
      </w:pPr>
      <w:r>
        <w:t xml:space="preserve">c) sudac prof. dr. sc. Davor Krapac objavio je knjigu: Međunarodno kazneno procesno pravo u izdanju Narodnih novina; </w:t>
      </w:r>
    </w:p>
    <w:p w:rsidR="00AC0832" w:rsidRDefault="00AC0832">
      <w:pPr>
        <w:pStyle w:val="Normal6"/>
      </w:pPr>
      <w:r>
        <w:t xml:space="preserve">d) sudac dr. sc. Mario Jelušić izlagao je na XVII. međunarodnoj konferenciji Interaction Between Constitutional Court and Other Institutions in Ensuring the Execution of the Constitutional Court Judgments s radom o izvršavanju odluka Ustavnoga suda u Republici Hrvatskoj. Konferencija je održana 5. i 6. listopada 2012. u Dilijanu, Republika Armenija; </w:t>
      </w:r>
    </w:p>
    <w:p w:rsidR="00AC0832" w:rsidRDefault="00AC0832">
      <w:pPr>
        <w:pStyle w:val="Normal6"/>
      </w:pPr>
      <w:r>
        <w:t xml:space="preserve">e) zamjenica predsjednice Snježana Bagić izlagala je na međunarodnoj konferenciji koja je, na temu Pravosudna politika i reforme pravosuđa u jugoistočnoj Europi na putu u europsku integraciju, održana 13. svibnja 2012. u Dubrovniku u organizaciji Zaklade Konrada Adenauera; </w:t>
      </w:r>
    </w:p>
    <w:p w:rsidR="00AC0832" w:rsidRDefault="00AC0832">
      <w:pPr>
        <w:pStyle w:val="Normal6"/>
      </w:pPr>
      <w:r>
        <w:t xml:space="preserve">f) sudac dr. sc. Marko Babić izlagao je na međunarodnoj konferenciji o razvoju pravnog sustava u bivšim socijalističkim zemljama koja je 1. ožujka 2012. održana u Nagykanizsi, Republika Mađarska. Tema izlaganja bila je djelovanje i organizacija hrvatskog Ustavnog suda; </w:t>
      </w:r>
    </w:p>
    <w:p w:rsidR="00AC0832" w:rsidRDefault="00AC0832">
      <w:pPr>
        <w:pStyle w:val="Normal6"/>
      </w:pPr>
      <w:r>
        <w:t xml:space="preserve">g) glavni tajnik dr. sc. Teodor Antić objavio je tekst u knjizi Javno pravo - CJP Fondacija Centra za javno pravo - zbornik radova s međunarodnog naučnog skupa o problemu izbora sudija ustavnih sudova u regiji, održanog u Sarajevu 2. novembra 2012. na temu: Izbor sudaca Ustavnog suda RH; </w:t>
      </w:r>
    </w:p>
    <w:p w:rsidR="00AC0832" w:rsidRDefault="00AC0832">
      <w:pPr>
        <w:pStyle w:val="Normal6"/>
      </w:pPr>
      <w:r>
        <w:t xml:space="preserve">h) viši pravni savjetnik i voditelj službe za prethodni ispitni postupak dr. sc. Dubravko Ljubić objavio je u Hrvatskoj pravnoj reviji članke: Ustavnopravni sadržaj prava na rad (siječanj 2012); Vladavina prava, ustavno sudovanje i fiducija (ožujak 2012.); Ustavnopravni sadržaj i zaštita ustavnog jamstva prava vlasništva (lipanj 2012.); Prethodna i naknadna kontrola ustavnosti zakona; Oduka U-I-5654/2011 (listopad) i  Sadržaj ustavnopravnog jamstva nepovredivosti doma (prosinac 2012.); </w:t>
      </w:r>
    </w:p>
    <w:p w:rsidR="00AC0832" w:rsidRDefault="00AC0832">
      <w:pPr>
        <w:pStyle w:val="Normal6"/>
      </w:pPr>
      <w:r>
        <w:t xml:space="preserve">i) viši pravni savjetnik dr. sc. Robert Peček objavio je u listu "Informator" sljedeće članke: Pravni položaj zaklada koje osnivaju vjerske zajednice (br. 6048, od 22.2.2012.); Pravna mogućnost nacionalizacije nekretnina stranaca prema prijašnjim propisima (u povodu odluke Ustavnog suda RH, broj U-III-1627/2011 od 13. 9. 2012.) (br. 6119 od 27. listopada 2012.); (Ne) mogućnost primjene članka 40. stavka 1. Zakona o najmu stanova (br. 6126 od 21. studenoga 2012.);  </w:t>
      </w:r>
    </w:p>
    <w:p w:rsidR="00AC0832" w:rsidRDefault="00AC0832">
      <w:pPr>
        <w:pStyle w:val="Normal6"/>
      </w:pPr>
      <w:r>
        <w:t xml:space="preserve">j) viša pravna savjetnica Sandra Marković objavila je u listu "Novi informator" članke: Povreda prava na pristup sudu (br. 6056 od 21. ožujka 2012.) i Povreda prava na pravično suđenje (br. 6115 od 13. listopada 2012.). </w:t>
      </w:r>
    </w:p>
    <w:p w:rsidR="00AC0832" w:rsidRDefault="00AC0832">
      <w:pPr>
        <w:pStyle w:val="Normal6"/>
      </w:pPr>
      <w:r>
        <w:t xml:space="preserve">Osim naprijed navedenog, Ustavni sud je u 2012. godini nastavio sa sistematiziranjem i objedinjavanjem sudske prakse, reorganizacijom rada i unapređenjem uvjeta rada. U "Narodnim novinama", na internetskoj stranici Ustavnog suda te u biltenu Ustavnog suda objavljeno je ukupno 447 odluka i rješenja Ustavnog suda.  </w:t>
      </w:r>
    </w:p>
    <w:p w:rsidR="00AC0832" w:rsidRDefault="00AC0832">
      <w:pPr>
        <w:pStyle w:val="Normal6"/>
      </w:pPr>
      <w:r>
        <w:t xml:space="preserve">Reorganizacijom određenih službi i poslova nastavljen je trend smanjenja neriješenih predmeta: u 2012. godini riješeno je 2.144 predmeta više nego što ih je zaprimljeno. Tako je ujedno smanjen broj neriješenih predmeta u odnosu na kraj 2011. godine, a osobito se smanjio broj neriješenih predmeta starijih od tri godine.  </w:t>
      </w:r>
    </w:p>
    <w:p w:rsidR="00AC0832" w:rsidRDefault="00AC0832">
      <w:pPr>
        <w:pStyle w:val="Normal6"/>
      </w:pPr>
      <w:r>
        <w:t xml:space="preserve">Pored toga, nastavilo se s omogućavanjem i poticanjem usavršavanja službenika i namještenika te je tako četvero službenika nastavilo viši stupanj obrazovanja, a njih 40 sudjelovalo je na različitim znanstvenim i stručnim savjetovanjima i programima. </w:t>
      </w:r>
    </w:p>
    <w:p w:rsidR="00AC0832" w:rsidRDefault="00AC0832">
      <w:pPr>
        <w:pStyle w:val="Normal6"/>
      </w:pPr>
      <w:r>
        <w:t>Zbog specifičnosti djelatnosti Ustavnog suda, nismo u mogućnosti egzaktno izmjeriti te brojčanim vrijednostima iskazati pokazatelje učinka ostvarenja našeg strateškog plana.</w:t>
      </w:r>
    </w:p>
    <w:p w:rsidR="00AC0832" w:rsidRDefault="00AC0832">
      <w:pPr>
        <w:jc w:val="left"/>
      </w:pPr>
    </w:p>
    <w:p w:rsidR="00AC0832" w:rsidRDefault="00AC0832">
      <w:pPr>
        <w:pStyle w:val="Heading7"/>
      </w:pPr>
      <w:r>
        <w:t>Cilj 2. Unaprjeđenje međunarodne suradnje Ustavnog suda i njegovo pozicioniranje na međunarodnom planu</w:t>
      </w:r>
    </w:p>
    <w:p w:rsidR="00AC0832" w:rsidRDefault="00AC0832">
      <w:pPr>
        <w:pStyle w:val="Heading8"/>
        <w:jc w:val="left"/>
      </w:pPr>
      <w:r>
        <w:t>Opis provedbe cilja programa</w:t>
      </w:r>
    </w:p>
    <w:p w:rsidR="00AC0832" w:rsidRDefault="00AC0832">
      <w:pPr>
        <w:pStyle w:val="Normal6"/>
      </w:pPr>
      <w:r>
        <w:t xml:space="preserve">Ustavni sud kontinuirano intenzivno radi na uspostavljanju dobre stručne suradnje u razmjeni iskustava s područja ustavnog sudovanja s europskim i izvaneuropskim ustavnim sudovima i drugim mjerodavnim međunarodnim institucijama i organizacijama. </w:t>
      </w:r>
    </w:p>
    <w:p w:rsidR="00AC0832" w:rsidRDefault="00AC0832">
      <w:pPr>
        <w:pStyle w:val="Normal6"/>
      </w:pPr>
      <w:r>
        <w:t xml:space="preserve">Ustavni sud Republike Hrvatske već od prije prepoznat je kao aktivni sudionik na međunarodnim savjetovanjima i forumima te ima značajnu ulogu u članstvu odgovarajućih europskih i svjetskih udruženja, osobito Konferencije europskih ustavnih sudova i Svjetske konferencije ustavnih sudova. </w:t>
      </w:r>
    </w:p>
    <w:p w:rsidR="00AC0832" w:rsidRDefault="00AC0832">
      <w:pPr>
        <w:pStyle w:val="Normal6"/>
      </w:pPr>
      <w:r>
        <w:t xml:space="preserve">Tako je delegacija Ustavnog suda na čelu s predsjednicom prof. dr. sc. Jasnom Omejec sudjelovala u radu pripremne konferencije za XVI. kongres Konferencije europskih ustavnih sudova, koja je održana od 9. do 11. rujna 2012. u Beču, Republika Austrija. Na Kongresu su sutkinje i suci ustavnih sudova i drugih sudova koji obavljaju ustavnosudsku kontrolu, uz predstavnike Europskog suda pravde, Venecijanske komisije Vijeća Europe te gostiju iz Benina, Alžira i Koreje, raspravljali o odnosu ustavnih sudova s drugim tijelima vlasti. </w:t>
      </w:r>
    </w:p>
    <w:p w:rsidR="00AC0832" w:rsidRDefault="00AC0832">
      <w:pPr>
        <w:pStyle w:val="Normal6"/>
      </w:pPr>
      <w:r>
        <w:t xml:space="preserve">Tijekom 2012. godine Ustavni sud aktivno je sudjelovao u radu Komisije za demokraciju putem prava (Venecijanske komisije) Vijeća Europe kroz četiri plenarne sjednice. Osim toga, na poziv Venecijanske komisije sutkinja Slavica Banić održala je predavanja o različitim temama vezanim za pojedina ustavnopravna pitanja (vladavina prava, superiornost zaštite ljudskih prava i temeljnih sloboda u odnosu na „res iudicata" na nekoliko međunarodnih stručnih skupova (Tajland, Ujedinjeno Kraljevstvo). </w:t>
      </w:r>
    </w:p>
    <w:p w:rsidR="00AC0832" w:rsidRDefault="00AC0832">
      <w:pPr>
        <w:pStyle w:val="Normal6"/>
      </w:pPr>
      <w:r>
        <w:t xml:space="preserve">Pored toga predsjednica Ustavnog suda, prof. dr. sc. Jasna Omejec, prisustvovala je svečanoj sjednici i seminaru koji su, u povodu službenog otvaranja sudske godine Europskog suda za ljudska prava, održani na tom Sudu 30. siječnja 2012. Više od 150 visokih dužnosnika raspravljalo je o granicama evolutivne interpretacije Konvencije. </w:t>
      </w:r>
    </w:p>
    <w:p w:rsidR="00AC0832" w:rsidRDefault="00AC0832">
      <w:pPr>
        <w:pStyle w:val="Normal6"/>
      </w:pPr>
      <w:r>
        <w:t xml:space="preserve">Predsjednica Ustavnog suda, prof. dr. sc. Jasna Omejec, sudjelovala je, na poziv predsjednika Europskog suda pravde g. Vassiliosa Skourisa, na proslavi 60. obljetnice tog suda, koja je održana 3. i 4. prosinca 2012. u Louxembourgu.   </w:t>
      </w:r>
    </w:p>
    <w:p w:rsidR="00AC0832" w:rsidRDefault="00AC0832">
      <w:pPr>
        <w:pStyle w:val="Normal6"/>
      </w:pPr>
      <w:r>
        <w:t xml:space="preserve">Sudac dr. sc. Mato Arlović sudjelovao je, na poziv predsjednika Ustavnog suda Republike Kosovo prof.dr.sc. Envera Hasanija, na III. svečanom otvaranju sudske godine tog suda, koje je 16. listopada 2012. održano u Prištini. </w:t>
      </w:r>
    </w:p>
    <w:p w:rsidR="00AC0832" w:rsidRDefault="00AC0832">
      <w:pPr>
        <w:pStyle w:val="Normal6"/>
      </w:pPr>
      <w:r>
        <w:t xml:space="preserve">Sudac doc. dr. sc. Mario Jelušić izlagao je XVII. međunarodnoj konferenciji Interaction Between Constitutional Court and Other Institutions in Ensuring the Execution of the Constitutional Court Judgments s radom o izvršavanju odluka Ustavnoga suda u Republici Hrvatskoj. Konferencija je održana 5. i 6. listopada 2012. u Dilijanu, Republika Armenija.  </w:t>
      </w:r>
    </w:p>
    <w:p w:rsidR="00AC0832" w:rsidRDefault="00AC0832">
      <w:pPr>
        <w:pStyle w:val="Normal6"/>
      </w:pPr>
      <w:r>
        <w:t xml:space="preserve">Sudac  doc. dr. sc. Mario Jelušić sudjelovao je u radu konferencije koja je na temu Tradition and perspective for the constitutional review održana 20. lipnja 2012. u Bukureštu u povodu XX. obljetnice Ustavnog suda Rumunjske. </w:t>
      </w:r>
    </w:p>
    <w:p w:rsidR="00AC0832" w:rsidRDefault="00AC0832">
      <w:pPr>
        <w:pStyle w:val="Normal6"/>
      </w:pPr>
      <w:r>
        <w:t xml:space="preserve">Zamjenica predsjednice Snježana Bagić izlagala je na međunarodnoj konferenciji koja je, na temu Pravosudna politika i reforme pravosuđa u jugoistočnoj Europi na putu u europsku integraciju, održana 13. svibnja 2012. u Dubrovniku u organizaciji Zaklade Konrada Adenauera. </w:t>
      </w:r>
    </w:p>
    <w:p w:rsidR="00AC0832" w:rsidRDefault="00AC0832">
      <w:pPr>
        <w:pStyle w:val="Normal6"/>
      </w:pPr>
      <w:r>
        <w:t xml:space="preserve">Dr. sc. Teodor Antić, glavni tajnik suda izlagao je na 5. konferenciji glavnih tajnika europskih ustavnih sudova, koja je 13. travnja 2012. održana u Yerevanu, Armenija. Tema izlaganja bila je: Reactions to negative criticism of Croatian judgments. </w:t>
      </w:r>
    </w:p>
    <w:p w:rsidR="00AC0832" w:rsidRDefault="00AC0832">
      <w:pPr>
        <w:pStyle w:val="Normal6"/>
      </w:pPr>
      <w:r>
        <w:t xml:space="preserve">Zamjenica predsjednice Snježana Bagić izlagala je na temu National and Constitutional Identity in the Perspective of the Croatian Constitutional Court na XIV. međunarodnom kongresu europskog i komparativnog prava, koji je 24. ožujka 2012. održan u Regensburgu, SR Njemačka.  </w:t>
      </w:r>
    </w:p>
    <w:p w:rsidR="00AC0832" w:rsidRDefault="00AC0832">
      <w:pPr>
        <w:pStyle w:val="Normal6"/>
      </w:pPr>
      <w:r>
        <w:t xml:space="preserve">Sudac dr. sc. Marko Babić izlagao je na međunarodnoj konferenciji o razvoju pravnog sustava u bivšim socijalističkim zemljama koja je 1. ožujka 2012. održana u Nagykanizsi, Republika Mađarska.  </w:t>
      </w:r>
    </w:p>
    <w:p w:rsidR="00AC0832" w:rsidRDefault="00AC0832">
      <w:pPr>
        <w:pStyle w:val="Normal6"/>
      </w:pPr>
      <w:r>
        <w:t xml:space="preserve">U okviru razvoja i unapređenja međunarodne suradnje sa zemljama regije, 27. rujna 2012. u Zagrebu održan je tradicionalni radni i službeni susret sudaca Ustavnog suda Republike Hrvatske i Ustavnog suda Republike Slovenije. Na radnom sastanku raspravljalo se o pilot presudama Europskog suda za ljudska prava i njihovoj primjeni od strane nacionalnih ustavnih sudova kao i o referendumskom pitanju. </w:t>
      </w:r>
    </w:p>
    <w:p w:rsidR="00AC0832" w:rsidRDefault="00AC0832">
      <w:pPr>
        <w:pStyle w:val="Normal6"/>
      </w:pPr>
      <w:r>
        <w:t xml:space="preserve">Nadalje, delegacija Ustavnog suda Republike Hrvatske na čelu sa zamjenicom predsjednice Snježanom Bagić sudjelovala je u radu petog okruglog stola ustavnih sudova regije, koji je održan u Sremskim Karlovcima od 6. do 7. srpnja 2012. Sutkinja Bagić izlagala je na temu izvršenja presuda hrvatskog Ustavnog suda.  </w:t>
      </w:r>
    </w:p>
    <w:p w:rsidR="00AC0832" w:rsidRDefault="00AC0832">
      <w:pPr>
        <w:pStyle w:val="Normal6"/>
      </w:pPr>
      <w:r>
        <w:t xml:space="preserve">Ustavni sud Republike Hrvatske u 2012. godini posjetili su: </w:t>
      </w:r>
    </w:p>
    <w:p w:rsidR="00AC0832" w:rsidRDefault="00AC0832">
      <w:pPr>
        <w:pStyle w:val="Normal6"/>
      </w:pPr>
      <w:r>
        <w:t xml:space="preserve">- prof. dr. sc. Milan Marković, predsjednik Ustavnog suda Crne Gore i gđa Desanka Lopičić, zamjenica predsjednika; </w:t>
      </w:r>
    </w:p>
    <w:p w:rsidR="00AC0832" w:rsidRDefault="00AC0832">
      <w:pPr>
        <w:pStyle w:val="Normal6"/>
      </w:pPr>
      <w:r>
        <w:t xml:space="preserve">- predstavnici Narodne skupštine Republike Srbije; </w:t>
      </w:r>
    </w:p>
    <w:p w:rsidR="00AC0832" w:rsidRDefault="00AC0832">
      <w:pPr>
        <w:pStyle w:val="Normal6"/>
      </w:pPr>
      <w:r>
        <w:t xml:space="preserve">- g. Min Hyeong-Ki, sudac Ustavnog suda Republike Koreje; </w:t>
      </w:r>
    </w:p>
    <w:p w:rsidR="00AC0832" w:rsidRDefault="00AC0832">
      <w:pPr>
        <w:pStyle w:val="Normal6"/>
      </w:pPr>
      <w:r>
        <w:t xml:space="preserve">- veleposlanik EU u RH Nj.E. Paul Vandoren;  </w:t>
      </w:r>
    </w:p>
    <w:p w:rsidR="00AC0832" w:rsidRDefault="00AC0832">
      <w:pPr>
        <w:pStyle w:val="Normal6"/>
      </w:pPr>
      <w:r>
        <w:t xml:space="preserve">- veleposlanik Savezne Republike Njemačke u RH g. Nj.E. Peter Annen; </w:t>
      </w:r>
    </w:p>
    <w:p w:rsidR="00AC0832" w:rsidRDefault="00AC0832">
      <w:pPr>
        <w:pStyle w:val="Normal6"/>
      </w:pPr>
      <w:r>
        <w:t xml:space="preserve">- prof. Otto Luchterhandt, savjetnik i Thorsten Geissler, voditelj Programa za jačanje pravne države u JI Europi zaklade Konrada Adenauera, </w:t>
      </w:r>
    </w:p>
    <w:p w:rsidR="00AC0832" w:rsidRDefault="00AC0832">
      <w:pPr>
        <w:pStyle w:val="Normal6"/>
      </w:pPr>
      <w:r>
        <w:t xml:space="preserve">- izaslanstvo parlamenta Republike Kosovo. </w:t>
      </w:r>
    </w:p>
    <w:p w:rsidR="00AC0832" w:rsidRDefault="00AC0832">
      <w:pPr>
        <w:pStyle w:val="Normal6"/>
      </w:pPr>
      <w:r>
        <w:t xml:space="preserve">Rezultati međunarodne aktivnosti Ustavnog suda po svojoj naravi nisu mjerljivi egzaktnim pokazateljem niti mogu trenutno pokazati svoj učinak. Ipak, kontinuirani napori uloženi u širenje spoznaja o hrvatskom ustavnom sudovanju diljem europskog kontinenta, pa i izvan njegovih granica, koji su nastavljeni i tijekom 2012., nedvojbeno su pridonijeli unapređenju međunarodnog ugleda Republike Hrvatske u svijetu. </w:t>
      </w:r>
    </w:p>
    <w:p w:rsidR="00AC0832" w:rsidRDefault="00AC0832">
      <w:pPr>
        <w:pStyle w:val="Normal6"/>
      </w:pPr>
      <w:r>
        <w:t xml:space="preserve">Razvojem međunarodnih odnosa, aktivnim sudjelovanjem na međunarodnim konferencijama i savjetovanjima, zalaganjem za normativno uređenje i neovisnost u djelovanju ustavnih sudova, Hrvatska se pozicionirala uz bok razvijenih zemalja te se na taj način promovira kao jednakopravna članica u borbi za poštovanje i zaštitu ljudskih prava i temeljnih sloboda građana. </w:t>
      </w:r>
    </w:p>
    <w:p w:rsidR="00AC0832" w:rsidRDefault="00AC0832" w:rsidP="00712567">
      <w:pPr>
        <w:pStyle w:val="Normal6"/>
      </w:pPr>
      <w:r>
        <w:t>Zbog specifičnosti djelatnosti Ustavnog suda, nismo u mogućnosti egzaktno izmjeriti te brojčanim vrijednostima iskazati pokazatelje učinka ostvarenja našeg strateškog plana.</w:t>
      </w:r>
    </w:p>
    <w:p w:rsidR="00AC0832" w:rsidRDefault="00AC0832">
      <w:pPr>
        <w:pStyle w:val="Heading7"/>
      </w:pPr>
      <w:r>
        <w:t>Cilj 3. Otvaranje Ustavnog suda javnosti i podizanje svjesti građana o značenju i ulozi ustavnog sudovanja</w:t>
      </w:r>
    </w:p>
    <w:p w:rsidR="00AC0832" w:rsidRDefault="00AC0832">
      <w:pPr>
        <w:pStyle w:val="Heading8"/>
        <w:jc w:val="left"/>
      </w:pPr>
      <w:r>
        <w:t>Opis provedbe cilja programa</w:t>
      </w:r>
    </w:p>
    <w:p w:rsidR="00AC0832" w:rsidRDefault="00AC0832">
      <w:pPr>
        <w:pStyle w:val="Normal6"/>
      </w:pPr>
      <w:r>
        <w:t xml:space="preserve">U nastojanju da građane Republike Hrvatske što bolje informira o Ustavom zajamčenim ljudskim pravima i temeljnim slobodama i o njihovoj zaštiti, tijekom 2012. godine nastavila se intenzivna aktivnost na izradi novih, osuvremenjenih službenih internetskih stranica Ustavnog suda, kojima će se omogućiti kvalitetniji kontakt Suda s građanima.  </w:t>
      </w:r>
    </w:p>
    <w:p w:rsidR="00AC0832" w:rsidRDefault="00AC0832">
      <w:pPr>
        <w:pStyle w:val="Normal6"/>
      </w:pPr>
      <w:r>
        <w:t xml:space="preserve">Nastavljen je i rad na projektu pod nazivom "Pročišćeni tekst Ustava Republike Hrvatske", koji je namijenjen isključivo široj javnosti i njezinom upoznavanju s tekstom Ustava i svim njegovim dosadašnjim izmjenama i dopunama (1997., 2000., 2001. i 2010.). Riječ je o multimedijalnom projektu koji će se nalaziti na novoj internetskoj stranici Ustavnog suda, prvom takve vrste u Republici Hrvatskoj. Građani će pomoću njega imati ilustrativan i jednostavan uvid u kronologiju izmjena i dopuna svakog pojedinog članka i svakog pojedinog stavka Ustava, počevši od 1990. godine do danas. </w:t>
      </w:r>
    </w:p>
    <w:p w:rsidR="00AC0832" w:rsidRDefault="00AC0832">
      <w:pPr>
        <w:pStyle w:val="Normal6"/>
      </w:pPr>
      <w:r>
        <w:t xml:space="preserve">Tijekom 2012. godine održano je više javnih sjednica Suda, na kojima su bili nazočni i predstavnici medija, uključujući i predstavnike svih televizija s nacionalnom koncesijom i brojnih radio-postaja. Na tim se sjednicama odlučivalo o pojedinim ustavnosudskim predmetima najvišeg ustavnog značenja od interesa za javnost.  </w:t>
      </w:r>
    </w:p>
    <w:p w:rsidR="00AC0832" w:rsidRDefault="00AC0832">
      <w:pPr>
        <w:pStyle w:val="Normal6"/>
      </w:pPr>
      <w:r>
        <w:t xml:space="preserve">Tijekom 2012. godine glavni tajnik Ustavnog suda dr.sc. Teodor Antić održao je nekoliko predavanja o organizaciji i radu Ustavnog suda za studente hrvatskih pravnih fakulteta i njihove udruge te Fakulteta političkih znanosti u Zagrebu.  </w:t>
      </w:r>
    </w:p>
    <w:p w:rsidR="00AC0832" w:rsidRDefault="00AC0832">
      <w:pPr>
        <w:pStyle w:val="Normal6"/>
      </w:pPr>
      <w:r>
        <w:t xml:space="preserve">Aktivnostima provedenim tijekom 2012. godine Ustavni sud približio se ostvarenju cilja koji čini dio trogodišnjeg plana otvaranja Ustavnog suda javnosti i podizanja svijesti građana o značenju i ulozi ustavnog sudovanja. </w:t>
      </w:r>
    </w:p>
    <w:p w:rsidR="00AC0832" w:rsidRDefault="00AC0832">
      <w:pPr>
        <w:pStyle w:val="Normal6"/>
      </w:pPr>
      <w:r>
        <w:t xml:space="preserve">Konačni rezultat otvaranja Ustavnog suda javnosti putem javnih istupa i korištenja suvremene tehnologije jest približavanje ustavnog sudovanja građanima i nevladinim udrugama, što bi trebalo pridonijeti podizanju povjerenja građana Republike Hrvatske u institucije sustava, podizanju svijesti građana o pravnoj sigurnosti objektivnog pravnog poretka kao osnovnog čimbenika za dobro funkcioniranje i stabilnost države. </w:t>
      </w:r>
    </w:p>
    <w:p w:rsidR="00AC0832" w:rsidRDefault="00AC0832">
      <w:pPr>
        <w:pStyle w:val="Normal6"/>
      </w:pPr>
      <w:r>
        <w:t>Zbog specifičnosti djelatnosti Ustavnog suda, nismo u mogućnosti egzaktno izmjeriti te brojčanim vrijednostima iskazati pokazatelje učinka ostvarenja našeg strateškog plana.</w:t>
      </w:r>
    </w:p>
    <w:p w:rsidR="00AC0832" w:rsidRDefault="00AC0832">
      <w:pPr>
        <w:jc w:val="left"/>
      </w:pPr>
    </w:p>
    <w:p w:rsidR="00AC0832" w:rsidRDefault="00AC0832">
      <w:pPr>
        <w:pStyle w:val="Heading6"/>
      </w:pPr>
      <w:r>
        <w:t>A506000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A506000-ADMINISTRACIJA I UPRAVLJANJE</w:t>
            </w:r>
          </w:p>
        </w:tc>
        <w:tc>
          <w:tcPr>
            <w:tcW w:w="2322" w:type="dxa"/>
          </w:tcPr>
          <w:p w:rsidR="00AC0832" w:rsidRDefault="00AC0832">
            <w:pPr>
              <w:pStyle w:val="CellColumn"/>
            </w:pPr>
            <w:r>
              <w:t>27.697.000</w:t>
            </w:r>
          </w:p>
        </w:tc>
        <w:tc>
          <w:tcPr>
            <w:tcW w:w="2322" w:type="dxa"/>
          </w:tcPr>
          <w:p w:rsidR="00AC0832" w:rsidRDefault="00AC0832">
            <w:pPr>
              <w:pStyle w:val="CellColumn"/>
            </w:pPr>
            <w:r>
              <w:t>26.692.640</w:t>
            </w:r>
          </w:p>
        </w:tc>
        <w:tc>
          <w:tcPr>
            <w:tcW w:w="2322" w:type="dxa"/>
          </w:tcPr>
          <w:p w:rsidR="00AC0832" w:rsidRDefault="00AC0832">
            <w:pPr>
              <w:pStyle w:val="CellColumn"/>
            </w:pPr>
            <w:r>
              <w:t>96,4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okviru proračuna Suda primarna je aktivnost "Administracija i upravljanje". Kroz  navedenu aktivnost financiraju se rashodi za zaposlene te materijalni  i kapitalni troškovi za potrebe  redovne djelatnosti. </w:t>
      </w:r>
    </w:p>
    <w:p w:rsidR="00AC0832" w:rsidRDefault="00AC0832">
      <w:pPr>
        <w:pStyle w:val="Normal6"/>
      </w:pPr>
      <w:r>
        <w:t xml:space="preserve">Za potrebe financiranja aktivnosti u 2012. godini planirana su sredstva u iznosu od 27.697.000,00 kn, što čini 94,55%  proračuna Suda. Troškovi su ostvareni u visini 26.692.640,49 kn, odnosno 96,37% planiranih sredstava. U strukturi rashoda poslovanja materijalni troškovi ostvareni su u iznosu od 3.782.081,70 kn, odnosno 87,21 % od 4.337.000,00 kn planiranih sredstava. </w:t>
      </w:r>
    </w:p>
    <w:p w:rsidR="00AC0832" w:rsidRDefault="00AC0832">
      <w:pPr>
        <w:pStyle w:val="Normal6"/>
      </w:pPr>
      <w:r>
        <w:t xml:space="preserve">Značajnije uštede u iznosu od 322.113,91 kunu odnosno 19,57%, ostvarene su u okviru troškova tuzemnih službenih putovanja, energije, stručnog usavršavanja, reprezentacije, intelektualnih, osobnih i ostalih usluga te ostalih nespomenutih rashoda poslovanja kao rezultat uvođenja mjera maksimalne štednje i racionalizacije. </w:t>
      </w:r>
    </w:p>
    <w:p w:rsidR="00AC0832" w:rsidRDefault="00AC0832">
      <w:pPr>
        <w:pStyle w:val="Normal6"/>
      </w:pPr>
      <w:r>
        <w:t>Za nabavku nefinancijske imovine planirano je 550.000,00 kn, od čega je izvršeno 480.045,33 odnosno 87,28%. Navedeno odstupanje nastalo je iz dva razloga: prvo, uspješnom provedbom postupka javne nabave za kupnju sigurnosne opreme i drugo, ciljanim smanjenim nabavke stručne literature u odnosu na početno planiranu jer je zaključeno da se zbog politike štednje u toj godini treba pokušati orijentirati na e-izvore koliko god je to moguće.</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6"/>
        <w:gridCol w:w="1595"/>
        <w:gridCol w:w="1185"/>
        <w:gridCol w:w="1225"/>
        <w:gridCol w:w="1215"/>
        <w:gridCol w:w="1225"/>
        <w:gridCol w:w="124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objavljenih ustavnosudskih odluka i rješenja</w:t>
            </w:r>
          </w:p>
        </w:tc>
        <w:tc>
          <w:tcPr>
            <w:tcW w:w="1300" w:type="dxa"/>
          </w:tcPr>
          <w:p w:rsidR="00AC0832" w:rsidRDefault="00AC0832">
            <w:pPr>
              <w:pStyle w:val="CellColumn"/>
            </w:pPr>
            <w:r>
              <w:t>Povećava stupanj dostupnosti ustavnosudske prakse stručnoj i općoj javnosti</w:t>
            </w:r>
          </w:p>
        </w:tc>
        <w:tc>
          <w:tcPr>
            <w:tcW w:w="1300" w:type="dxa"/>
          </w:tcPr>
          <w:p w:rsidR="00AC0832" w:rsidRDefault="00AC0832">
            <w:pPr>
              <w:pStyle w:val="CellColumn"/>
            </w:pPr>
            <w:r>
              <w:t>Broj</w:t>
            </w:r>
          </w:p>
        </w:tc>
        <w:tc>
          <w:tcPr>
            <w:tcW w:w="1300" w:type="dxa"/>
          </w:tcPr>
          <w:p w:rsidR="00AC0832" w:rsidRDefault="00AC0832">
            <w:pPr>
              <w:pStyle w:val="CellColumn"/>
            </w:pPr>
            <w:r>
              <w:t>330</w:t>
            </w:r>
          </w:p>
        </w:tc>
        <w:tc>
          <w:tcPr>
            <w:tcW w:w="1300" w:type="dxa"/>
          </w:tcPr>
          <w:p w:rsidR="00AC0832" w:rsidRDefault="00AC0832">
            <w:pPr>
              <w:pStyle w:val="CellColumn"/>
            </w:pPr>
            <w:r>
              <w:t>Ustavni sud RH</w:t>
            </w:r>
          </w:p>
        </w:tc>
        <w:tc>
          <w:tcPr>
            <w:tcW w:w="1300" w:type="dxa"/>
          </w:tcPr>
          <w:p w:rsidR="00AC0832" w:rsidRDefault="00AC0832">
            <w:pPr>
              <w:pStyle w:val="CellColumn"/>
            </w:pPr>
            <w:r>
              <w:t>1060</w:t>
            </w:r>
          </w:p>
        </w:tc>
        <w:tc>
          <w:tcPr>
            <w:tcW w:w="1300" w:type="dxa"/>
          </w:tcPr>
          <w:p w:rsidR="00AC0832" w:rsidRDefault="00AC0832">
            <w:pPr>
              <w:pStyle w:val="CellColumn"/>
            </w:pPr>
            <w:r>
              <w:t>951</w:t>
            </w:r>
          </w:p>
        </w:tc>
      </w:tr>
      <w:tr w:rsidR="00AC0832" w:rsidTr="00BE20ED">
        <w:trPr>
          <w:jc w:val="center"/>
        </w:trPr>
        <w:tc>
          <w:tcPr>
            <w:tcW w:w="1300" w:type="dxa"/>
          </w:tcPr>
          <w:p w:rsidR="00AC0832" w:rsidRDefault="00AC0832">
            <w:pPr>
              <w:pStyle w:val="CellColumn"/>
            </w:pPr>
            <w:r>
              <w:t>Odnos zaprimljenih(1)  i riješenih (2)  predmeta</w:t>
            </w:r>
          </w:p>
        </w:tc>
        <w:tc>
          <w:tcPr>
            <w:tcW w:w="1300" w:type="dxa"/>
          </w:tcPr>
          <w:p w:rsidR="00AC0832" w:rsidRDefault="00AC0832">
            <w:pPr>
              <w:pStyle w:val="CellColumn"/>
            </w:pPr>
            <w:r>
              <w:t>Ukazuje na povećanje, odnosno smanjenje učinkovitosti rada suda</w:t>
            </w:r>
          </w:p>
        </w:tc>
        <w:tc>
          <w:tcPr>
            <w:tcW w:w="1300" w:type="dxa"/>
          </w:tcPr>
          <w:p w:rsidR="00AC0832" w:rsidRDefault="00AC0832">
            <w:pPr>
              <w:pStyle w:val="CellColumn"/>
            </w:pPr>
            <w:r>
              <w:t>Indeks 2/1</w:t>
            </w:r>
          </w:p>
        </w:tc>
        <w:tc>
          <w:tcPr>
            <w:tcW w:w="1300" w:type="dxa"/>
          </w:tcPr>
          <w:p w:rsidR="00AC0832" w:rsidRDefault="00AC0832">
            <w:pPr>
              <w:pStyle w:val="CellColumn"/>
            </w:pPr>
            <w:r>
              <w:t>139</w:t>
            </w:r>
          </w:p>
        </w:tc>
        <w:tc>
          <w:tcPr>
            <w:tcW w:w="1300" w:type="dxa"/>
          </w:tcPr>
          <w:p w:rsidR="00AC0832" w:rsidRDefault="00AC0832">
            <w:pPr>
              <w:pStyle w:val="CellColumn"/>
            </w:pPr>
            <w:r>
              <w:t>Ustavni sud RH</w:t>
            </w:r>
          </w:p>
        </w:tc>
        <w:tc>
          <w:tcPr>
            <w:tcW w:w="1300" w:type="dxa"/>
          </w:tcPr>
          <w:p w:rsidR="00AC0832" w:rsidRDefault="00AC0832">
            <w:pPr>
              <w:pStyle w:val="CellColumn"/>
            </w:pPr>
            <w:r>
              <w:t>155</w:t>
            </w:r>
          </w:p>
        </w:tc>
        <w:tc>
          <w:tcPr>
            <w:tcW w:w="1300" w:type="dxa"/>
          </w:tcPr>
          <w:p w:rsidR="00AC0832" w:rsidRDefault="00AC0832">
            <w:pPr>
              <w:pStyle w:val="CellColumn"/>
            </w:pPr>
            <w:r>
              <w:t>153</w:t>
            </w:r>
          </w:p>
        </w:tc>
      </w:tr>
      <w:tr w:rsidR="00AC0832" w:rsidTr="00BE20ED">
        <w:trPr>
          <w:jc w:val="center"/>
        </w:trPr>
        <w:tc>
          <w:tcPr>
            <w:tcW w:w="1300" w:type="dxa"/>
          </w:tcPr>
          <w:p w:rsidR="00AC0832" w:rsidRDefault="00AC0832">
            <w:pPr>
              <w:pStyle w:val="CellColumn"/>
            </w:pPr>
            <w:r>
              <w:t>Broj zaposlenika Ustavnog suda koji su završili određeni viši stupanj obrazovanja</w:t>
            </w:r>
          </w:p>
        </w:tc>
        <w:tc>
          <w:tcPr>
            <w:tcW w:w="1300" w:type="dxa"/>
          </w:tcPr>
          <w:p w:rsidR="00AC0832" w:rsidRDefault="00AC0832">
            <w:pPr>
              <w:pStyle w:val="CellColumn"/>
            </w:pPr>
            <w:r>
              <w:t>Ukazuje na povećanje stručne osposobljenosti</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Ustavni sud RH</w:t>
            </w:r>
          </w:p>
        </w:tc>
        <w:tc>
          <w:tcPr>
            <w:tcW w:w="1300" w:type="dxa"/>
          </w:tcPr>
          <w:p w:rsidR="00AC0832" w:rsidRDefault="00AC0832">
            <w:pPr>
              <w:pStyle w:val="CellColumn"/>
            </w:pPr>
            <w:r>
              <w:t>9</w:t>
            </w:r>
          </w:p>
        </w:tc>
        <w:tc>
          <w:tcPr>
            <w:tcW w:w="1300" w:type="dxa"/>
          </w:tcPr>
          <w:p w:rsidR="00AC0832" w:rsidRDefault="00AC0832">
            <w:pPr>
              <w:pStyle w:val="CellColumn"/>
            </w:pPr>
            <w:r>
              <w:t>9</w:t>
            </w:r>
          </w:p>
        </w:tc>
      </w:tr>
    </w:tbl>
    <w:p w:rsidR="00AC0832" w:rsidRDefault="00AC0832">
      <w:pPr>
        <w:jc w:val="left"/>
      </w:pPr>
    </w:p>
    <w:p w:rsidR="00AC0832" w:rsidRDefault="00AC0832">
      <w:pPr>
        <w:pStyle w:val="Heading6"/>
      </w:pPr>
      <w:r>
        <w:t>A506037 MEĐUNARODNA SURADNJA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A506037-MEĐUNARODNA SURADNJA</w:t>
            </w:r>
          </w:p>
        </w:tc>
        <w:tc>
          <w:tcPr>
            <w:tcW w:w="2322" w:type="dxa"/>
          </w:tcPr>
          <w:p w:rsidR="00AC0832" w:rsidRDefault="00AC0832">
            <w:pPr>
              <w:pStyle w:val="CellColumn"/>
            </w:pPr>
            <w:r>
              <w:t>461.000</w:t>
            </w:r>
          </w:p>
        </w:tc>
        <w:tc>
          <w:tcPr>
            <w:tcW w:w="2322" w:type="dxa"/>
          </w:tcPr>
          <w:p w:rsidR="00AC0832" w:rsidRDefault="00AC0832">
            <w:pPr>
              <w:pStyle w:val="CellColumn"/>
            </w:pPr>
            <w:r>
              <w:t>273.281</w:t>
            </w:r>
          </w:p>
        </w:tc>
        <w:tc>
          <w:tcPr>
            <w:tcW w:w="2322" w:type="dxa"/>
          </w:tcPr>
          <w:p w:rsidR="00AC0832" w:rsidRDefault="00AC0832">
            <w:pPr>
              <w:pStyle w:val="CellColumn"/>
            </w:pPr>
            <w:r>
              <w:t>59,3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okviru "Međunarodne suradnje" ostvareni su rashodi od 59,28% odnosno 273.280,83 kn u odnosu na planiranih 461.000,00 kn. Međunarodna suradnja odvijala se u okvirima neophodnih bilateralnih i  multilateralnih  radnih susreta, ali uz primjenu rigoroznih mjera štednje.  </w:t>
      </w:r>
    </w:p>
    <w:p w:rsidR="00AC0832" w:rsidRDefault="00AC0832">
      <w:pPr>
        <w:pStyle w:val="Normal6"/>
      </w:pPr>
      <w:r>
        <w:t>Za istaknuti je da Ustavni sud kontinuirano surađuje s ustavnim sudovima država jugoistočne Europe te na taj način participira u okviru Nacionalne strategije razvojne suradnje RH s obzirom na to da je skorim ulaskom u Europsku uniju Republika Hrvatska poprimila obilježje zemlje donatora te će ona i službeno postati zemljom pružateljicom razvojne pomoći.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2"/>
        <w:gridCol w:w="1617"/>
        <w:gridCol w:w="1192"/>
        <w:gridCol w:w="1229"/>
        <w:gridCol w:w="1219"/>
        <w:gridCol w:w="1229"/>
        <w:gridCol w:w="125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sastanaka Venecijanske komisije na kojima su sudjelovali predstavnici Ustavnog suda</w:t>
            </w:r>
          </w:p>
        </w:tc>
        <w:tc>
          <w:tcPr>
            <w:tcW w:w="1300" w:type="dxa"/>
          </w:tcPr>
          <w:p w:rsidR="00AC0832" w:rsidRDefault="00AC0832">
            <w:pPr>
              <w:pStyle w:val="CellColumn"/>
            </w:pPr>
            <w:r>
              <w:t>Ukazuje na jačanje položaja i utjecaja Ustavnog suda RH na međunarodnom planu</w:t>
            </w:r>
          </w:p>
        </w:tc>
        <w:tc>
          <w:tcPr>
            <w:tcW w:w="1300" w:type="dxa"/>
          </w:tcPr>
          <w:p w:rsidR="00AC0832" w:rsidRDefault="00AC0832">
            <w:pPr>
              <w:pStyle w:val="CellColumn"/>
            </w:pPr>
            <w:r>
              <w:t>Broj</w:t>
            </w:r>
          </w:p>
        </w:tc>
        <w:tc>
          <w:tcPr>
            <w:tcW w:w="1300" w:type="dxa"/>
          </w:tcPr>
          <w:p w:rsidR="00AC0832" w:rsidRDefault="00AC0832">
            <w:pPr>
              <w:pStyle w:val="CellColumn"/>
            </w:pPr>
            <w:r>
              <w:t>3</w:t>
            </w:r>
          </w:p>
        </w:tc>
        <w:tc>
          <w:tcPr>
            <w:tcW w:w="1300" w:type="dxa"/>
          </w:tcPr>
          <w:p w:rsidR="00AC0832" w:rsidRDefault="00AC0832">
            <w:pPr>
              <w:pStyle w:val="CellColumn"/>
            </w:pPr>
            <w:r>
              <w:t>Ustavni sud RH</w:t>
            </w:r>
          </w:p>
        </w:tc>
        <w:tc>
          <w:tcPr>
            <w:tcW w:w="1300" w:type="dxa"/>
          </w:tcPr>
          <w:p w:rsidR="00AC0832" w:rsidRDefault="00AC0832">
            <w:pPr>
              <w:pStyle w:val="CellColumn"/>
            </w:pPr>
            <w:r>
              <w:t>10</w:t>
            </w:r>
          </w:p>
        </w:tc>
        <w:tc>
          <w:tcPr>
            <w:tcW w:w="1300" w:type="dxa"/>
          </w:tcPr>
          <w:p w:rsidR="00AC0832" w:rsidRDefault="00AC0832">
            <w:pPr>
              <w:pStyle w:val="CellColumn"/>
            </w:pPr>
            <w:r>
              <w:t>9</w:t>
            </w:r>
          </w:p>
        </w:tc>
      </w:tr>
      <w:tr w:rsidR="00AC0832" w:rsidTr="00BE20ED">
        <w:trPr>
          <w:jc w:val="center"/>
        </w:trPr>
        <w:tc>
          <w:tcPr>
            <w:tcW w:w="1300" w:type="dxa"/>
          </w:tcPr>
          <w:p w:rsidR="00AC0832" w:rsidRDefault="00AC0832">
            <w:pPr>
              <w:pStyle w:val="CellColumn"/>
            </w:pPr>
            <w:r>
              <w:t>Broj izlaganja predstavnika Ustavnog suda na znanstvenim i stručnim međunarodnim skupovima u zemlji i inozemstvu</w:t>
            </w:r>
          </w:p>
        </w:tc>
        <w:tc>
          <w:tcPr>
            <w:tcW w:w="1300" w:type="dxa"/>
          </w:tcPr>
          <w:p w:rsidR="00AC0832" w:rsidRDefault="00AC0832">
            <w:pPr>
              <w:pStyle w:val="CellColumn"/>
            </w:pPr>
            <w:r>
              <w:t>Ukazuje na povećanje institucionalnog i stručnog ugleda na međunarodnom planu</w:t>
            </w:r>
          </w:p>
        </w:tc>
        <w:tc>
          <w:tcPr>
            <w:tcW w:w="1300" w:type="dxa"/>
          </w:tcPr>
          <w:p w:rsidR="00AC0832" w:rsidRDefault="00AC0832">
            <w:pPr>
              <w:pStyle w:val="CellColumn"/>
            </w:pPr>
            <w:r>
              <w:t>Broj</w:t>
            </w:r>
          </w:p>
        </w:tc>
        <w:tc>
          <w:tcPr>
            <w:tcW w:w="1300" w:type="dxa"/>
          </w:tcPr>
          <w:p w:rsidR="00AC0832" w:rsidRDefault="00AC0832">
            <w:pPr>
              <w:pStyle w:val="CellColumn"/>
            </w:pPr>
            <w:r>
              <w:t>3</w:t>
            </w:r>
          </w:p>
        </w:tc>
        <w:tc>
          <w:tcPr>
            <w:tcW w:w="1300" w:type="dxa"/>
          </w:tcPr>
          <w:p w:rsidR="00AC0832" w:rsidRDefault="00AC0832">
            <w:pPr>
              <w:pStyle w:val="CellColumn"/>
            </w:pPr>
            <w:r>
              <w:t>Ustavni sud RH</w:t>
            </w:r>
          </w:p>
        </w:tc>
        <w:tc>
          <w:tcPr>
            <w:tcW w:w="1300" w:type="dxa"/>
          </w:tcPr>
          <w:p w:rsidR="00AC0832" w:rsidRDefault="00AC0832">
            <w:pPr>
              <w:pStyle w:val="CellColumn"/>
            </w:pPr>
            <w:r>
              <w:t>22</w:t>
            </w:r>
          </w:p>
        </w:tc>
        <w:tc>
          <w:tcPr>
            <w:tcW w:w="1300" w:type="dxa"/>
          </w:tcPr>
          <w:p w:rsidR="00AC0832" w:rsidRDefault="00AC0832">
            <w:pPr>
              <w:pStyle w:val="CellColumn"/>
            </w:pPr>
            <w:r>
              <w:t>15</w:t>
            </w:r>
          </w:p>
        </w:tc>
      </w:tr>
      <w:tr w:rsidR="00AC0832" w:rsidTr="00BE20ED">
        <w:trPr>
          <w:jc w:val="center"/>
        </w:trPr>
        <w:tc>
          <w:tcPr>
            <w:tcW w:w="1300" w:type="dxa"/>
          </w:tcPr>
          <w:p w:rsidR="00AC0832" w:rsidRDefault="00AC0832">
            <w:pPr>
              <w:pStyle w:val="CellColumn"/>
            </w:pPr>
            <w:r>
              <w:t>Broj bilateralnih i multilateralnih radnih susreta s ustavnim sudovima drugih država</w:t>
            </w:r>
          </w:p>
        </w:tc>
        <w:tc>
          <w:tcPr>
            <w:tcW w:w="1300" w:type="dxa"/>
          </w:tcPr>
          <w:p w:rsidR="00AC0832" w:rsidRDefault="00AC0832">
            <w:pPr>
              <w:pStyle w:val="CellColumn"/>
            </w:pPr>
            <w:r>
              <w:t>Ukazuje na povećanje institucionalnog i stručnog ugleda na međunarodnom planu</w:t>
            </w:r>
          </w:p>
        </w:tc>
        <w:tc>
          <w:tcPr>
            <w:tcW w:w="1300" w:type="dxa"/>
          </w:tcPr>
          <w:p w:rsidR="00AC0832" w:rsidRDefault="00AC0832">
            <w:pPr>
              <w:pStyle w:val="CellColumn"/>
            </w:pPr>
            <w:r>
              <w:t>Broj</w:t>
            </w:r>
          </w:p>
        </w:tc>
        <w:tc>
          <w:tcPr>
            <w:tcW w:w="1300" w:type="dxa"/>
          </w:tcPr>
          <w:p w:rsidR="00AC0832" w:rsidRDefault="00AC0832">
            <w:pPr>
              <w:pStyle w:val="CellColumn"/>
            </w:pPr>
            <w:r>
              <w:t>4</w:t>
            </w:r>
          </w:p>
        </w:tc>
        <w:tc>
          <w:tcPr>
            <w:tcW w:w="1300" w:type="dxa"/>
          </w:tcPr>
          <w:p w:rsidR="00AC0832" w:rsidRDefault="00AC0832">
            <w:pPr>
              <w:pStyle w:val="CellColumn"/>
            </w:pPr>
            <w:r>
              <w:t>Ustavni sud RH</w:t>
            </w:r>
          </w:p>
        </w:tc>
        <w:tc>
          <w:tcPr>
            <w:tcW w:w="1300" w:type="dxa"/>
          </w:tcPr>
          <w:p w:rsidR="00AC0832" w:rsidRDefault="00AC0832">
            <w:pPr>
              <w:pStyle w:val="CellColumn"/>
            </w:pPr>
            <w:r>
              <w:t>10</w:t>
            </w:r>
          </w:p>
        </w:tc>
        <w:tc>
          <w:tcPr>
            <w:tcW w:w="1300" w:type="dxa"/>
          </w:tcPr>
          <w:p w:rsidR="00AC0832" w:rsidRDefault="00AC0832">
            <w:pPr>
              <w:pStyle w:val="CellColumn"/>
            </w:pPr>
            <w:r>
              <w:t>15</w:t>
            </w:r>
          </w:p>
        </w:tc>
      </w:tr>
    </w:tbl>
    <w:p w:rsidR="00AC0832" w:rsidRDefault="00AC0832">
      <w:pPr>
        <w:jc w:val="left"/>
      </w:pPr>
    </w:p>
    <w:p w:rsidR="00AC0832" w:rsidRDefault="00AC0832">
      <w:pPr>
        <w:pStyle w:val="Heading6"/>
      </w:pPr>
      <w:r>
        <w:t>K506003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K506003-INFORMATIZACIJA</w:t>
            </w:r>
          </w:p>
        </w:tc>
        <w:tc>
          <w:tcPr>
            <w:tcW w:w="2322" w:type="dxa"/>
          </w:tcPr>
          <w:p w:rsidR="00AC0832" w:rsidRDefault="00AC0832">
            <w:pPr>
              <w:pStyle w:val="CellColumn"/>
            </w:pPr>
            <w:r>
              <w:t>392.000</w:t>
            </w:r>
          </w:p>
        </w:tc>
        <w:tc>
          <w:tcPr>
            <w:tcW w:w="2322" w:type="dxa"/>
          </w:tcPr>
          <w:p w:rsidR="00AC0832" w:rsidRDefault="00AC0832">
            <w:pPr>
              <w:pStyle w:val="CellColumn"/>
            </w:pPr>
            <w:r>
              <w:t>347.763</w:t>
            </w:r>
          </w:p>
        </w:tc>
        <w:tc>
          <w:tcPr>
            <w:tcW w:w="2322" w:type="dxa"/>
          </w:tcPr>
          <w:p w:rsidR="00AC0832" w:rsidRDefault="00AC0832">
            <w:pPr>
              <w:pStyle w:val="CellColumn"/>
            </w:pPr>
            <w:r>
              <w:t>88,7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Za redovno ulaganje u osuvremenjivanje informatičke opreme i neophodno održavanje programske podrške potrebne za nesmetano obavljanje djelatnosti Suda, u okviru kapitalnog projekta "Informatizacija" planiran je iznos od 392.000,00 kn, od čega je realizirano 347.762,92 kn ili 88,72%.</w:t>
      </w:r>
    </w:p>
    <w:p w:rsidR="00AC0832" w:rsidRDefault="00AC0832">
      <w:pPr>
        <w:pStyle w:val="Heading6"/>
      </w:pPr>
      <w:r>
        <w:t>K506036 OBNOVA VOZNOG PARKA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K506036-OBNOVA VOZNOG PARKA</w:t>
            </w:r>
          </w:p>
        </w:tc>
        <w:tc>
          <w:tcPr>
            <w:tcW w:w="2322" w:type="dxa"/>
          </w:tcPr>
          <w:p w:rsidR="00AC0832" w:rsidRDefault="00AC0832">
            <w:pPr>
              <w:pStyle w:val="CellColumn"/>
            </w:pPr>
            <w:r>
              <w:t>700.000</w:t>
            </w:r>
          </w:p>
        </w:tc>
        <w:tc>
          <w:tcPr>
            <w:tcW w:w="2322" w:type="dxa"/>
          </w:tcPr>
          <w:p w:rsidR="00AC0832" w:rsidRDefault="00AC0832">
            <w:pPr>
              <w:pStyle w:val="CellColumn"/>
            </w:pPr>
            <w:r>
              <w:t>688.765</w:t>
            </w:r>
          </w:p>
        </w:tc>
        <w:tc>
          <w:tcPr>
            <w:tcW w:w="2322" w:type="dxa"/>
          </w:tcPr>
          <w:p w:rsidR="00AC0832" w:rsidRDefault="00AC0832">
            <w:pPr>
              <w:pStyle w:val="CellColumn"/>
            </w:pPr>
            <w:r>
              <w:t>98,4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Kapitalni projekt "Obnova voznog parka" izvršen je planiranom dinamikom u visini 98,40% u odnosu na plan. Namjenskim sredstvima  financira se najam i održavanje 4 automobila za službene potrebe prijevoza 14 državnih dužnosnika i 1 automobil  za potrebe dostave i nabave.</w:t>
      </w:r>
    </w:p>
    <w:p w:rsidR="00AC0832" w:rsidRDefault="00AC0832">
      <w:pPr>
        <w:pStyle w:val="Heading6"/>
      </w:pPr>
      <w:r>
        <w:t>T506038 OTVARANJE USTAVNOG SUDA JAVNOSTI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T506038-OTVARANJE USTAVNOG SUDA JAVNOSTI</w:t>
            </w:r>
          </w:p>
        </w:tc>
        <w:tc>
          <w:tcPr>
            <w:tcW w:w="2322" w:type="dxa"/>
          </w:tcPr>
          <w:p w:rsidR="00AC0832" w:rsidRDefault="00AC0832">
            <w:pPr>
              <w:pStyle w:val="CellColumn"/>
            </w:pPr>
            <w:r>
              <w:t>45.000</w:t>
            </w:r>
          </w:p>
        </w:tc>
        <w:tc>
          <w:tcPr>
            <w:tcW w:w="2322" w:type="dxa"/>
          </w:tcPr>
          <w:p w:rsidR="00AC0832" w:rsidRDefault="00AC0832">
            <w:pPr>
              <w:pStyle w:val="CellColumn"/>
            </w:pPr>
            <w:r>
              <w:t>41.188</w:t>
            </w:r>
          </w:p>
        </w:tc>
        <w:tc>
          <w:tcPr>
            <w:tcW w:w="2322" w:type="dxa"/>
          </w:tcPr>
          <w:p w:rsidR="00AC0832" w:rsidRDefault="00AC0832">
            <w:pPr>
              <w:pStyle w:val="CellColumn"/>
            </w:pPr>
            <w:r>
              <w:t>91,5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okviru tekućeg projekta "Otvaranje Ustavnog suda javnosti" uspješno je realizirana multimedijalna aplikacija "Ustavne promjene". Na temelju Strateškog plana Suda i plana Proračuna za 2013.-2015. godinu tekući projekt "Otvaranje Ustavnog suda javnosti" prešao je u trajnu aktivnost. Na taj način aktivnost će se odvijati kontinuirano u skladu s ciljevima zadanim Strateškim planom i odobrenim sredstvima u Proračunu.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0"/>
        <w:gridCol w:w="1372"/>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održanih konferencija, intervjua i predavanja</w:t>
            </w:r>
          </w:p>
        </w:tc>
        <w:tc>
          <w:tcPr>
            <w:tcW w:w="1300" w:type="dxa"/>
          </w:tcPr>
          <w:p w:rsidR="00AC0832" w:rsidRDefault="00AC0832">
            <w:pPr>
              <w:pStyle w:val="CellColumn"/>
            </w:pPr>
            <w:r>
              <w:t>Ukazuje na povećanu informiranost javnosti o ulozi Ustavnog suda i načinu ostvarenja zaštite ljudskih prava</w:t>
            </w:r>
          </w:p>
        </w:tc>
        <w:tc>
          <w:tcPr>
            <w:tcW w:w="1300" w:type="dxa"/>
          </w:tcPr>
          <w:p w:rsidR="00AC0832" w:rsidRDefault="00AC0832">
            <w:pPr>
              <w:pStyle w:val="CellColumn"/>
            </w:pPr>
            <w:r>
              <w:t>Broj</w:t>
            </w:r>
          </w:p>
        </w:tc>
        <w:tc>
          <w:tcPr>
            <w:tcW w:w="1300" w:type="dxa"/>
          </w:tcPr>
          <w:p w:rsidR="00AC0832" w:rsidRDefault="00AC0832">
            <w:pPr>
              <w:pStyle w:val="CellColumn"/>
            </w:pPr>
            <w:r>
              <w:t>6</w:t>
            </w:r>
          </w:p>
        </w:tc>
        <w:tc>
          <w:tcPr>
            <w:tcW w:w="1300" w:type="dxa"/>
          </w:tcPr>
          <w:p w:rsidR="00AC0832" w:rsidRDefault="00AC0832">
            <w:pPr>
              <w:pStyle w:val="CellColumn"/>
            </w:pPr>
            <w:r>
              <w:t>Ustavni sud RH</w:t>
            </w:r>
          </w:p>
        </w:tc>
        <w:tc>
          <w:tcPr>
            <w:tcW w:w="1300" w:type="dxa"/>
          </w:tcPr>
          <w:p w:rsidR="00AC0832" w:rsidRDefault="00AC0832">
            <w:pPr>
              <w:pStyle w:val="CellColumn"/>
            </w:pPr>
            <w:r>
              <w:t>20</w:t>
            </w:r>
          </w:p>
        </w:tc>
        <w:tc>
          <w:tcPr>
            <w:tcW w:w="1300" w:type="dxa"/>
          </w:tcPr>
          <w:p w:rsidR="00AC0832" w:rsidRDefault="00AC0832">
            <w:pPr>
              <w:pStyle w:val="CellColumn"/>
            </w:pPr>
            <w:r>
              <w:t>20</w:t>
            </w:r>
          </w:p>
        </w:tc>
      </w:tr>
      <w:tr w:rsidR="00AC0832" w:rsidTr="00BE20ED">
        <w:trPr>
          <w:jc w:val="center"/>
        </w:trPr>
        <w:tc>
          <w:tcPr>
            <w:tcW w:w="1300" w:type="dxa"/>
          </w:tcPr>
          <w:p w:rsidR="00AC0832" w:rsidRDefault="00AC0832">
            <w:pPr>
              <w:pStyle w:val="CellColumn"/>
            </w:pPr>
            <w:r>
              <w:t>Broj posjeta službenim web-internetskim stranicama u zemlji i inozemstvu</w:t>
            </w:r>
          </w:p>
        </w:tc>
        <w:tc>
          <w:tcPr>
            <w:tcW w:w="1300" w:type="dxa"/>
          </w:tcPr>
          <w:p w:rsidR="00AC0832" w:rsidRDefault="00AC0832">
            <w:pPr>
              <w:pStyle w:val="CellColumn"/>
            </w:pPr>
            <w:r>
              <w:t>Ukazuje na povećanu informiranost javnosti o ulozi Ustavnog suda i načinu ostvarenja zaštite ljudskih prava</w:t>
            </w:r>
          </w:p>
        </w:tc>
        <w:tc>
          <w:tcPr>
            <w:tcW w:w="1300" w:type="dxa"/>
          </w:tcPr>
          <w:p w:rsidR="00AC0832" w:rsidRDefault="00AC0832">
            <w:pPr>
              <w:pStyle w:val="CellColumn"/>
            </w:pPr>
            <w:r>
              <w:t>Broj</w:t>
            </w:r>
          </w:p>
        </w:tc>
        <w:tc>
          <w:tcPr>
            <w:tcW w:w="1300" w:type="dxa"/>
          </w:tcPr>
          <w:p w:rsidR="00AC0832" w:rsidRDefault="00AC0832">
            <w:pPr>
              <w:pStyle w:val="CellColumn"/>
            </w:pPr>
            <w:r>
              <w:t>32500</w:t>
            </w:r>
          </w:p>
        </w:tc>
        <w:tc>
          <w:tcPr>
            <w:tcW w:w="1300" w:type="dxa"/>
          </w:tcPr>
          <w:p w:rsidR="00AC0832" w:rsidRDefault="00AC0832">
            <w:pPr>
              <w:pStyle w:val="CellColumn"/>
            </w:pPr>
            <w:r>
              <w:t>Ustav sud RH</w:t>
            </w:r>
          </w:p>
        </w:tc>
        <w:tc>
          <w:tcPr>
            <w:tcW w:w="1300" w:type="dxa"/>
          </w:tcPr>
          <w:p w:rsidR="00AC0832" w:rsidRDefault="00AC0832">
            <w:pPr>
              <w:pStyle w:val="CellColumn"/>
            </w:pPr>
            <w:r>
              <w:t>40000</w:t>
            </w:r>
          </w:p>
        </w:tc>
        <w:tc>
          <w:tcPr>
            <w:tcW w:w="1300" w:type="dxa"/>
          </w:tcPr>
          <w:p w:rsidR="00AC0832" w:rsidRDefault="00AC0832">
            <w:pPr>
              <w:pStyle w:val="CellColumn"/>
            </w:pPr>
            <w:r>
              <w:t>159454</w:t>
            </w:r>
          </w:p>
        </w:tc>
      </w:tr>
    </w:tbl>
    <w:p w:rsidR="00AC0832" w:rsidRDefault="00AC0832">
      <w:pPr>
        <w:jc w:val="left"/>
      </w:pPr>
    </w:p>
    <w:p w:rsidR="00AC0832" w:rsidRDefault="00AC0832">
      <w:pPr>
        <w:pStyle w:val="Heading1"/>
      </w:pPr>
      <w:r>
        <w:t>018 AGENCIJA ZA ZAŠTITU TRŽIŠNOG NATJECANJA</w:t>
      </w:r>
    </w:p>
    <w:p w:rsidR="00AC0832" w:rsidRDefault="00AC0832">
      <w:pPr>
        <w:pStyle w:val="Heading4"/>
      </w:pPr>
      <w:r>
        <w:t>Uvod</w:t>
      </w:r>
    </w:p>
    <w:p w:rsidR="00AC0832" w:rsidRDefault="00AC0832">
      <w:pPr>
        <w:pStyle w:val="Normal3"/>
      </w:pPr>
      <w:r>
        <w:t xml:space="preserve">Agencija  za zaštitu  tržišnog  natjecanja  (dalje  u tekstu:  Agencija),  je   pravna  osoba  s javnim ovlastima osnovana odlukom Hrvatskog sabora, koja obavlja upravne i stručne poslove zaštite tržišnog natjecanja sukladno Zakonu o zaštiti tržišnog natjecanja  te  poslove  odobravanja, nadzora  provedbe  i  povrata  državnih  potpora  sukladno  Zakona o državnim potporama. </w:t>
      </w:r>
    </w:p>
    <w:p w:rsidR="00AC0832" w:rsidRDefault="00AC0832">
      <w:pPr>
        <w:pStyle w:val="Normal3"/>
      </w:pPr>
      <w:r>
        <w:t xml:space="preserve">Dogradnjom  zakonodavnog  okvira  u području  zaštite  tržišnog  natjecanja  u užem  smislu,  osim upravnih  poslova  vezanih  uz  sve  oblike  sprječavanja, ograničavanja   i  narušavanja   tržišnog natjecanja koji se odnose na: ocjene sporazuma među poduzetnicima, sprječavanje zlouporaba vladajućeg položaja, ocjene koncentracija te izdavanja stručnih mišljenja o sukladnosti zakona i drugih propisa s odredbama Zakona o zaštiti tržišnog natjecanja, davanja mišljenja na zahtjev poduzetnika, ispitivanja i analize tržišta, izrade statističkih  i ostalih izvješća i međunarodne suradnje vezane uz izvršenje međunarodnih obveza Republike Hrvatske, u nadležnost Agencije od 1. listopada 2010. ulazi i izricanje kazneno- upravnih mjera poduzetnicima koji krše propise o zaštiti tržišnog natjecanja. </w:t>
      </w:r>
    </w:p>
    <w:p w:rsidR="00AC0832" w:rsidRDefault="00AC0832">
      <w:pPr>
        <w:pStyle w:val="Normal3"/>
      </w:pPr>
      <w:r>
        <w:t xml:space="preserve">U području državnih potpora Agencija ocjenjuje prijedloge državnih potpora te programe državnih potpora, nadzire provedbu  i učinke dodijeljenih  državnih potpora i nalaže njihov povrat ako su nezakonite,   prikuplja,   obrađuje   i  evidentira   podatke  o  državnim   potporama   i  o  njihovom korištenju,  vodi  evidenciju  o  državnim  potporama,  surađuje  s  ostalim  tijelima  nadležnim  za državne potpore i podnosi godišnje izvješće o državnim potporama Hrvatskom saboru. </w:t>
      </w:r>
    </w:p>
    <w:p w:rsidR="00AC0832" w:rsidRDefault="00AC0832">
      <w:pPr>
        <w:pStyle w:val="Normal3"/>
      </w:pPr>
      <w:r>
        <w:t xml:space="preserve">Ukupno planirana sredstva za obavljanje poslova iz djelokruga Agencije u Državnom proračunu za 2012. iznosila su 19.788.230 kuna. Od toga je 13.633.000 kuna planirano iz izvora 1 Općih prihoda i primitaka (sredstva za redovne aktivnosti Agencije i sredstva učešća RH za Projekte pomoći), a 6.155.230 kuna planirano je iz izvora 5 Pomoći (sredstava EU, za Projekte IPA 2007 i IPA 2008).  </w:t>
      </w:r>
    </w:p>
    <w:p w:rsidR="00AC0832" w:rsidRDefault="00AC0832">
      <w:pPr>
        <w:pStyle w:val="Normal3"/>
      </w:pPr>
      <w:r>
        <w:t xml:space="preserve">Ukupno izvršenje proračuna Agencije iznosilo je 18.631.857,18 kuna, što je 94,16% u odnosu na plan. Iz izvora 1 Općih prihoda i primitaka izvršeno je 13.554.023,46 kuna, što je 99,42 % u odnosu na plan i čini 72,75 % ukupnih sredstava, dok je iz izvora 5 Pomoći izvršeno 5.077.833,72  kuna, što je 82,50% u odnosu na plan i čini 27,25 % ukupnih sredstava Agencije.  </w:t>
      </w:r>
    </w:p>
    <w:p w:rsidR="00AC0832" w:rsidRDefault="00AC0832">
      <w:pPr>
        <w:pStyle w:val="Normal3"/>
      </w:pPr>
      <w:r>
        <w:t>Do značajnijeg odstupanja izvršenja u odnosu na planirana sredstva došlo je kod rashoda financiranih iz izvora 51 Pomoći EU, koji su izvršeni u manjem iznosu od planiranih za 17,50 %.  Do odstupanja je došlo kod projekta iz programa IPA 2007, koji je završen 2012. godine ali nije izvršeno završno plaćanje. Tijekom 2012. godine u Agenciji je provođen i projekt iz programa IPA 2008 koji je završen i po kojem je naplata izvršena u cijelosti.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01805-Agencija za zaštitu tržišnog natjecanja</w:t>
            </w:r>
          </w:p>
        </w:tc>
        <w:tc>
          <w:tcPr>
            <w:tcW w:w="2322" w:type="dxa"/>
          </w:tcPr>
          <w:p w:rsidR="00AC0832" w:rsidRDefault="00AC0832">
            <w:pPr>
              <w:pStyle w:val="CellColumn"/>
            </w:pPr>
            <w:r>
              <w:t>19.788.230</w:t>
            </w:r>
          </w:p>
        </w:tc>
        <w:tc>
          <w:tcPr>
            <w:tcW w:w="2322" w:type="dxa"/>
          </w:tcPr>
          <w:p w:rsidR="00AC0832" w:rsidRDefault="00AC0832">
            <w:pPr>
              <w:pStyle w:val="CellColumn"/>
            </w:pPr>
            <w:r>
              <w:t>18.631.857</w:t>
            </w:r>
          </w:p>
        </w:tc>
        <w:tc>
          <w:tcPr>
            <w:tcW w:w="2322" w:type="dxa"/>
          </w:tcPr>
          <w:p w:rsidR="00AC0832" w:rsidRDefault="00AC0832">
            <w:pPr>
              <w:pStyle w:val="CellColumn"/>
            </w:pPr>
            <w:r>
              <w:t>94,2</w:t>
            </w:r>
          </w:p>
        </w:tc>
      </w:tr>
      <w:tr w:rsidR="00AC0832" w:rsidTr="00BE20ED">
        <w:trPr>
          <w:jc w:val="center"/>
        </w:trPr>
        <w:tc>
          <w:tcPr>
            <w:tcW w:w="2322" w:type="dxa"/>
            <w:shd w:val="clear" w:color="auto" w:fill="B5C0D8"/>
          </w:tcPr>
          <w:p w:rsidR="00AC0832" w:rsidRDefault="00AC0832">
            <w:pPr>
              <w:pStyle w:val="CellColumn"/>
            </w:pPr>
            <w:r>
              <w:t>Ukupno 018-AGENCIJA ZA ZAŠTITU TRŽIŠNOG NATJECANJA</w:t>
            </w:r>
          </w:p>
        </w:tc>
        <w:tc>
          <w:tcPr>
            <w:tcW w:w="2322" w:type="dxa"/>
            <w:shd w:val="clear" w:color="auto" w:fill="B5C0D8"/>
          </w:tcPr>
          <w:p w:rsidR="00AC0832" w:rsidRDefault="00AC0832">
            <w:pPr>
              <w:pStyle w:val="CellColumn"/>
            </w:pPr>
            <w:r>
              <w:t>19.788.230</w:t>
            </w:r>
          </w:p>
        </w:tc>
        <w:tc>
          <w:tcPr>
            <w:tcW w:w="2322" w:type="dxa"/>
            <w:shd w:val="clear" w:color="auto" w:fill="B5C0D8"/>
          </w:tcPr>
          <w:p w:rsidR="00AC0832" w:rsidRDefault="00AC0832">
            <w:pPr>
              <w:pStyle w:val="CellColumn"/>
            </w:pPr>
            <w:r>
              <w:t>18.631.857</w:t>
            </w:r>
          </w:p>
        </w:tc>
        <w:tc>
          <w:tcPr>
            <w:tcW w:w="2322" w:type="dxa"/>
            <w:shd w:val="clear" w:color="auto" w:fill="B5C0D8"/>
          </w:tcPr>
          <w:p w:rsidR="00AC0832" w:rsidRDefault="00AC0832">
            <w:pPr>
              <w:pStyle w:val="CellColumn"/>
            </w:pPr>
            <w:r>
              <w:t>94,2</w:t>
            </w:r>
          </w:p>
        </w:tc>
      </w:tr>
    </w:tbl>
    <w:p w:rsidR="00AC0832" w:rsidRDefault="00AC0832">
      <w:pPr>
        <w:jc w:val="left"/>
      </w:pPr>
    </w:p>
    <w:p w:rsidR="00AC0832" w:rsidRDefault="00AC0832">
      <w:pPr>
        <w:pStyle w:val="Heading2"/>
      </w:pPr>
      <w:r>
        <w:t>01805 Agencija za zaštitu tržišnog natjecanja</w:t>
      </w:r>
    </w:p>
    <w:p w:rsidR="00AC0832" w:rsidRDefault="00AC0832">
      <w:pPr>
        <w:pStyle w:val="Heading4"/>
      </w:pPr>
      <w:r>
        <w:t>Uvod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01805-Agencija za zaštitu tržišnog natjecanja</w:t>
            </w:r>
          </w:p>
        </w:tc>
        <w:tc>
          <w:tcPr>
            <w:tcW w:w="2322" w:type="dxa"/>
          </w:tcPr>
          <w:p w:rsidR="00AC0832" w:rsidRDefault="00AC0832">
            <w:pPr>
              <w:pStyle w:val="CellColumn"/>
            </w:pPr>
            <w:r>
              <w:t>19.788.230</w:t>
            </w:r>
          </w:p>
        </w:tc>
        <w:tc>
          <w:tcPr>
            <w:tcW w:w="2322" w:type="dxa"/>
          </w:tcPr>
          <w:p w:rsidR="00AC0832" w:rsidRDefault="00AC0832">
            <w:pPr>
              <w:pStyle w:val="CellColumn"/>
            </w:pPr>
            <w:r>
              <w:t>18.631.857</w:t>
            </w:r>
          </w:p>
        </w:tc>
        <w:tc>
          <w:tcPr>
            <w:tcW w:w="2322" w:type="dxa"/>
          </w:tcPr>
          <w:p w:rsidR="00AC0832" w:rsidRDefault="00AC0832">
            <w:pPr>
              <w:pStyle w:val="CellColumn"/>
            </w:pPr>
            <w:r>
              <w:t>94,2</w:t>
            </w:r>
          </w:p>
        </w:tc>
      </w:tr>
      <w:tr w:rsidR="00AC0832" w:rsidTr="00BE20ED">
        <w:trPr>
          <w:jc w:val="center"/>
        </w:trPr>
        <w:tc>
          <w:tcPr>
            <w:tcW w:w="2322" w:type="dxa"/>
          </w:tcPr>
          <w:p w:rsidR="00AC0832" w:rsidRDefault="00AC0832">
            <w:pPr>
              <w:pStyle w:val="CellColumnSmall"/>
            </w:pPr>
            <w:r>
              <w:t>3212-ZAŠTITA TRŽIŠNOG NATJECANJA</w:t>
            </w:r>
          </w:p>
        </w:tc>
        <w:tc>
          <w:tcPr>
            <w:tcW w:w="2322" w:type="dxa"/>
          </w:tcPr>
          <w:p w:rsidR="00AC0832" w:rsidRDefault="00AC0832">
            <w:pPr>
              <w:pStyle w:val="CellColumnSmall"/>
            </w:pPr>
            <w:r>
              <w:t>19.788.230</w:t>
            </w:r>
          </w:p>
        </w:tc>
        <w:tc>
          <w:tcPr>
            <w:tcW w:w="2322" w:type="dxa"/>
          </w:tcPr>
          <w:p w:rsidR="00AC0832" w:rsidRDefault="00AC0832">
            <w:pPr>
              <w:pStyle w:val="CellColumnSmall"/>
            </w:pPr>
            <w:r>
              <w:t>18.631.857</w:t>
            </w:r>
          </w:p>
        </w:tc>
        <w:tc>
          <w:tcPr>
            <w:tcW w:w="2322" w:type="dxa"/>
          </w:tcPr>
          <w:p w:rsidR="00AC0832" w:rsidRDefault="00AC0832">
            <w:pPr>
              <w:pStyle w:val="CellColumnSmall"/>
            </w:pPr>
            <w:r>
              <w:t>94,2</w:t>
            </w:r>
          </w:p>
        </w:tc>
      </w:tr>
    </w:tbl>
    <w:p w:rsidR="00AC0832" w:rsidRDefault="00AC0832">
      <w:pPr>
        <w:jc w:val="left"/>
      </w:pPr>
    </w:p>
    <w:p w:rsidR="00AC0832" w:rsidRDefault="00AC0832">
      <w:pPr>
        <w:pStyle w:val="Heading4"/>
      </w:pPr>
      <w:r>
        <w:t>OBRAZLOŽENJE PROGRAMA</w:t>
      </w:r>
    </w:p>
    <w:p w:rsidR="00AC0832" w:rsidRDefault="00AC0832">
      <w:pPr>
        <w:pStyle w:val="Heading5"/>
      </w:pPr>
      <w:r>
        <w:t>3212 ZAŠTITA TRŽIŠNOG NATJECANJA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3212-ZAŠTITA TRŽIŠNOG NATJECANJA</w:t>
            </w:r>
          </w:p>
        </w:tc>
        <w:tc>
          <w:tcPr>
            <w:tcW w:w="2322" w:type="dxa"/>
          </w:tcPr>
          <w:p w:rsidR="00AC0832" w:rsidRDefault="00AC0832">
            <w:pPr>
              <w:pStyle w:val="CellColumn"/>
            </w:pPr>
            <w:r>
              <w:t>19.788.230</w:t>
            </w:r>
          </w:p>
        </w:tc>
        <w:tc>
          <w:tcPr>
            <w:tcW w:w="2322" w:type="dxa"/>
          </w:tcPr>
          <w:p w:rsidR="00AC0832" w:rsidRDefault="00AC0832">
            <w:pPr>
              <w:pStyle w:val="CellColumn"/>
            </w:pPr>
            <w:r>
              <w:t>18.631.857</w:t>
            </w:r>
          </w:p>
        </w:tc>
        <w:tc>
          <w:tcPr>
            <w:tcW w:w="2322" w:type="dxa"/>
          </w:tcPr>
          <w:p w:rsidR="00AC0832" w:rsidRDefault="00AC0832">
            <w:pPr>
              <w:pStyle w:val="CellColumn"/>
            </w:pPr>
            <w:r>
              <w:t>94,2</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Programom  Zaštite  tržišnog  natjecanja  nastoji  se  u  najvećoj  mogućoj  mjeri,  a  sukladno zakonskim ovlastima i raspoloživim ljudskim resursima, djelovati preventivno, dakle unaprijed onemogućiti kršenje  propisa  o  zaštiti  tržišnog  natjecanja. S druge strane, Agencija temeljem svojih odluka ex post zabranjuje ponašanja poduzetnika kojima se narušava, ograničava ili sprječava tržišno natjecanje odnosno krše propisi o zaštiti tržišnog natjecanja. Radi se o postupcima protiv dogovora o cijenama između konkurenata (u zabranjenim sporazumima - kartelima), zlouporabe vladajućeg položaja poduzetnika na tržištu, te sklapanja ostalih vrsta ograničavajućih odnosno zabranjenih sporazuma među poduzetnicima. Davanjem  mišljenja nadležnim ministarstvima Agencija posebno doprinosi  stvaranju zakonodavnog okvira kojim se izgrađuje tržišno  gospodarstvo,  liberaliziraju  i otvaraju  tržišta te mijenja  uloga države  u gospodarstvu. </w:t>
      </w:r>
    </w:p>
    <w:p w:rsidR="00AC0832" w:rsidRDefault="00AC0832">
      <w:pPr>
        <w:pStyle w:val="Normal5"/>
      </w:pPr>
      <w:r>
        <w:t xml:space="preserve">Ciljevi  programa  su stvaranje  uvjeta za gospodarski  rast koji se temelji  na konkurentnosti, povećanje razine poštivanja propisa iz područja tržišnog natjecanja i državnih potpora te promicanje  svijesti – jačanje i širenje kulture tržišnog natjecanja, a sve radi pripreme hrvatskog gospodarstva na uvjete poslovanja koji će vrijediti nakon ulaska RH u EU.   </w:t>
      </w:r>
    </w:p>
    <w:p w:rsidR="00AC0832" w:rsidRDefault="00AC0832">
      <w:pPr>
        <w:pStyle w:val="Normal5"/>
      </w:pPr>
      <w:r>
        <w:t>Agencija je u 2012. godini izvršila navedeni program ispunjavajući predviđene ciljne vrijednosti. Međutim, podatke o dodijeljenim državnim potporama Agenciji dostavljaju državna tijela koja dodjeljuju te potpore. Budući da s tim podacima Agencija u trenutku izrade ovog Obrazloženja ne raspolaže, nije moguće utvrditi jesu li ostvarene ciljne vrijednosti  iz cilja 2. Programa.</w:t>
      </w:r>
    </w:p>
    <w:p w:rsidR="00AC0832" w:rsidRDefault="00AC0832">
      <w:pPr>
        <w:pStyle w:val="Heading6"/>
      </w:pPr>
      <w:r>
        <w:t>Zakonske i druge pravne osnove</w:t>
      </w:r>
    </w:p>
    <w:p w:rsidR="00AC0832" w:rsidRDefault="00AC0832">
      <w:pPr>
        <w:pStyle w:val="Normal5"/>
      </w:pPr>
      <w:r>
        <w:t>Postojeću zakonsku osnovu za provođenje programa čine Zakon o zaštiti tržišnog natjecanja („Narodne novine”, broj 122/03) i Zakon o zaštiti tržišnog natjecanja („Narodne novine“, broj 79/09; u primjeni od 1. listopada 2010.) sa svim podzakonskim aktima donesenim temeljem tih zakona, zatim Zakon o državnim potporama („Narodne novine”, broj 140/05 i 49/11) sa svim podzakonskim aktima donesenim temeljem tog zakona, te Zakon o općem upravnom postupku („Narodne novine“, broj 47/09) i Prekršajni zakon („Narodne novine“, broj 107/07).</w:t>
      </w:r>
    </w:p>
    <w:p w:rsidR="00AC0832" w:rsidRDefault="00AC0832">
      <w:pPr>
        <w:pStyle w:val="Heading7"/>
      </w:pPr>
      <w:r>
        <w:t>Cilj 1. Stvaranje uvjeta za gospodarski rast koji se temelji na konkurentnosti hrvatskog gospodarstva i države u cjelini odnosno poticanje stvaranja povoljne ulagačke klime i ulazak u gospodarstvo</w:t>
      </w:r>
    </w:p>
    <w:p w:rsidR="00AC0832" w:rsidRDefault="00AC0832">
      <w:pPr>
        <w:pStyle w:val="Heading8"/>
        <w:jc w:val="left"/>
      </w:pPr>
      <w:r>
        <w:t>Opis provedbe cilja programa</w:t>
      </w:r>
    </w:p>
    <w:p w:rsidR="00AC0832" w:rsidRDefault="00AC0832">
      <w:pPr>
        <w:pStyle w:val="Normal6"/>
      </w:pPr>
      <w:r>
        <w:t xml:space="preserve">U cilju uspostave učinkovitijeg sustava zaštite tržišnog natjecanja u RH i njegove pripreme za članstvo u Europskoj uniji, Zakon o zaštiti tržišnog natjecanja koji je stupio na snagu 1. listopada 2010. godine uveo je nove institute i ovlasti Agencije. Agencija je ovlaštena izricati upravno-kaznene  mjere  poduzetnicima  koji  krše pravila o zaštiti tržišnog natjecanja, uspostavljen je program oslobođenja od kazni ili smanjenja kazni za poduzetnike koji su sklopili zabranjeni sporazum (kartel), a odluče surađivati s Agencijom. Upravni sud Republike Hrvatske istovremeno  kontrolira  zakonitost  odluka  Agencije,  kao  i  visinu  izrečene upravno-kaznene mjere.  </w:t>
      </w:r>
    </w:p>
    <w:p w:rsidR="00AC0832" w:rsidRDefault="00AC0832">
      <w:pPr>
        <w:pStyle w:val="Normal6"/>
      </w:pPr>
      <w:r>
        <w:t xml:space="preserve">Postavljeni  cilj ostvaruje se ažurnim rješavanjem  predmeta iz nadležnosti  i djelokruga rada Agencije. Unatoč ograničenosti odnosno smanjenju ljudskih resursa, Agencija sukladno najboljoj europskoj praksi učinkovito obavlja poslove ocjene ograničavajućih sporazuma između poduzetnika, vodi postupke utvrđivanja zlouporabe vladajućeg položaja poduzetnika te postupke ocjene dopuštenosti koncentracija poduzetnika. Na području kontrole državnih potpora temeljne  aktivnosti  Agencije su evidentiranje  prijave državnih potpora, njihovo odobravanje i nadzor njihove provedbe. </w:t>
      </w:r>
    </w:p>
    <w:p w:rsidR="00AC0832" w:rsidRDefault="00AC0832">
      <w:pPr>
        <w:pStyle w:val="Normal6"/>
      </w:pPr>
      <w:r>
        <w:t xml:space="preserve">Cilj se nadalje ostvaruje provođenjem aktivne politike promicanja znanja o tržišnom natjecanju u smislu podizanja svijesti i informiranosti poduzetnika, vladinih i drugih državnih tijela, sindikata, potrošača, sudaca, poslovne i šire javnosti o važnosti  uloge prava i politike tržišnog natjecanja za daljnji razvitak tržišnog gospodarstva u zemlji. Aktivna politika ne uključuje samo davanje stručnih mišljenja o sukladnosti prijedloga nacrta zakona i drugih propisa sa Zakonom o zaštiti tržišnog natjecanja, već podrazumijeva i niz ostalih aktivnosti među kojima su javna priopćenja Agencije, seminari, edukacija poduzetnika, predavanja na visokoškolskim ustanovama, objava publikacija i sl. </w:t>
      </w:r>
    </w:p>
    <w:p w:rsidR="00AC0832" w:rsidRDefault="00AC0832">
      <w:pPr>
        <w:pStyle w:val="Normal6"/>
      </w:pPr>
      <w:r>
        <w:t xml:space="preserve">Izvršenje cilja </w:t>
      </w:r>
    </w:p>
    <w:p w:rsidR="00AC0832" w:rsidRDefault="00AC0832">
      <w:pPr>
        <w:pStyle w:val="Normal6"/>
      </w:pPr>
      <w:r>
        <w:t xml:space="preserve">Korisnici navedenih aktivnosti Agencije, odnosno primatelji usluge, su svi poduzetnici u Republici Hrvatskoj, tijela kojima su upućena stručna mišljenja, kao i davatelji državnih potpora u dijelu koji se odnosi na rješavanje predmeta iz područja državnih potpora. </w:t>
      </w:r>
    </w:p>
    <w:p w:rsidR="00AC0832" w:rsidRDefault="00AC0832">
      <w:pPr>
        <w:pStyle w:val="Normal6"/>
      </w:pPr>
      <w:r>
        <w:t xml:space="preserve">U 2012. godini doneseno je ukupno 133 odluke u području zaštite tržišnog natjecanja (ocjene sporazuma između poduzetnika, zlouporabe vladajućeg položaja i ocjene koncentracija poduzetnika) i područja kontrole državnih potpora, te 28 stručnih mišljenja na zakonodavne akte, no i drugih mišljenja na zahtjeve stranaka.  </w:t>
      </w:r>
    </w:p>
    <w:p w:rsidR="00AC0832" w:rsidRDefault="00AC0832">
      <w:pPr>
        <w:pStyle w:val="Normal6"/>
      </w:pPr>
      <w:r>
        <w:t>Iako značajno iznad polaznih, pa čak i ciljanih vrijednosti u broju odluka, smanjenje u broju stručnih mišljenja u odnosu na ciljane vrijednosti moguća ja posljedica nekoliko čimbenika. Nesporno je da se u deset godina postojanja Agencije dokazuje njezina učinkovitost, prepoznatljivost i transparentnost, posebno u području promicanja prava i politike tržišnog natjecanja, što se očituje u smanjenom broju upita, pa i uspostave učinkovitog tržišnog natjecanja na pojedinim tržištima. Jačanje kulture tržišnog natjecanja doprinijelo je svjesnosti zakonodavca o važnosti usklađenosti prijedloga novih propisa s propisima o zaštiti tržišnog natjecanja. S druge pak strane, iako oprečna, činjenica jest da se svi prijedlozi propisa koji se donose u RH ne dostavljaju na mišljenje Agenciji. To pak govori u prilog tomu da važnost prava i politike tržišnog natjecanja u ostvarenju strateških ciljeva istovremeno nije dovoljno prepoznata od dijela predlagatelja propisa. Štoviše, Agencija ne može imati saznanja o svim propisima koji se donose, a koji nisu bili dostavljeni na mišljenje Agencije sukladno članku 25. Zakona o zaštiti tržišnog natjecanja. Završno, mišljenja Agencije iz područja navedene nadležnosti nisu obvezujuća odnosno ne sprečavaju donošenje propisa za koje se takvo mišljenje nije zatražilo.</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17"/>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donesenih odluka</w:t>
            </w:r>
          </w:p>
        </w:tc>
        <w:tc>
          <w:tcPr>
            <w:tcW w:w="1300" w:type="dxa"/>
          </w:tcPr>
          <w:p w:rsidR="00AC0832" w:rsidRDefault="00AC0832">
            <w:pPr>
              <w:pStyle w:val="CellColumn"/>
            </w:pPr>
            <w:r>
              <w:t>ukazuje na rad Agencije u provedbi zakona</w:t>
            </w:r>
          </w:p>
        </w:tc>
        <w:tc>
          <w:tcPr>
            <w:tcW w:w="1300" w:type="dxa"/>
          </w:tcPr>
          <w:p w:rsidR="00AC0832" w:rsidRDefault="00AC0832">
            <w:pPr>
              <w:pStyle w:val="CellColumn"/>
            </w:pPr>
            <w:r>
              <w:t>broj</w:t>
            </w:r>
          </w:p>
        </w:tc>
        <w:tc>
          <w:tcPr>
            <w:tcW w:w="1300" w:type="dxa"/>
          </w:tcPr>
          <w:p w:rsidR="00AC0832" w:rsidRDefault="00AC0832">
            <w:pPr>
              <w:pStyle w:val="CellColumn"/>
            </w:pPr>
            <w:r>
              <w:t>92</w:t>
            </w:r>
          </w:p>
        </w:tc>
        <w:tc>
          <w:tcPr>
            <w:tcW w:w="1300" w:type="dxa"/>
          </w:tcPr>
          <w:p w:rsidR="00AC0832" w:rsidRDefault="00AC0832">
            <w:pPr>
              <w:pStyle w:val="CellColumn"/>
            </w:pPr>
            <w:r>
              <w:t>Godišnja izvješća AZTN, www.aztn.hr</w:t>
            </w:r>
          </w:p>
        </w:tc>
        <w:tc>
          <w:tcPr>
            <w:tcW w:w="1300" w:type="dxa"/>
          </w:tcPr>
          <w:p w:rsidR="00AC0832" w:rsidRDefault="00AC0832">
            <w:pPr>
              <w:pStyle w:val="CellColumn"/>
            </w:pPr>
            <w:r>
              <w:t>94</w:t>
            </w:r>
          </w:p>
        </w:tc>
        <w:tc>
          <w:tcPr>
            <w:tcW w:w="1300" w:type="dxa"/>
          </w:tcPr>
          <w:p w:rsidR="00AC0832" w:rsidRDefault="00AC0832">
            <w:pPr>
              <w:pStyle w:val="CellColumn"/>
            </w:pPr>
            <w:r>
              <w:t>133</w:t>
            </w:r>
          </w:p>
        </w:tc>
      </w:tr>
      <w:tr w:rsidR="00AC0832" w:rsidTr="00BE20ED">
        <w:trPr>
          <w:jc w:val="center"/>
        </w:trPr>
        <w:tc>
          <w:tcPr>
            <w:tcW w:w="1300" w:type="dxa"/>
          </w:tcPr>
          <w:p w:rsidR="00AC0832" w:rsidRDefault="00AC0832">
            <w:pPr>
              <w:pStyle w:val="CellColumn"/>
            </w:pPr>
            <w:r>
              <w:t>povećanje broja danih stručnih mišljenja</w:t>
            </w:r>
          </w:p>
        </w:tc>
        <w:tc>
          <w:tcPr>
            <w:tcW w:w="1300" w:type="dxa"/>
          </w:tcPr>
          <w:p w:rsidR="00AC0832" w:rsidRDefault="00AC0832">
            <w:pPr>
              <w:pStyle w:val="CellColumn"/>
            </w:pPr>
            <w:r>
              <w:t>ukazuje na na rad Agencije u provedbi zakona</w:t>
            </w:r>
          </w:p>
        </w:tc>
        <w:tc>
          <w:tcPr>
            <w:tcW w:w="1300" w:type="dxa"/>
          </w:tcPr>
          <w:p w:rsidR="00AC0832" w:rsidRDefault="00AC0832">
            <w:pPr>
              <w:pStyle w:val="CellColumn"/>
            </w:pPr>
            <w:r>
              <w:t>broj</w:t>
            </w:r>
          </w:p>
        </w:tc>
        <w:tc>
          <w:tcPr>
            <w:tcW w:w="1300" w:type="dxa"/>
          </w:tcPr>
          <w:p w:rsidR="00AC0832" w:rsidRDefault="00AC0832">
            <w:pPr>
              <w:pStyle w:val="CellColumn"/>
            </w:pPr>
            <w:r>
              <w:t>36</w:t>
            </w:r>
          </w:p>
        </w:tc>
        <w:tc>
          <w:tcPr>
            <w:tcW w:w="1300" w:type="dxa"/>
          </w:tcPr>
          <w:p w:rsidR="00AC0832" w:rsidRDefault="00AC0832">
            <w:pPr>
              <w:pStyle w:val="CellColumn"/>
            </w:pPr>
            <w:r>
              <w:t>Godišnja izvješća AZTN, www.aztn.hr</w:t>
            </w:r>
          </w:p>
        </w:tc>
        <w:tc>
          <w:tcPr>
            <w:tcW w:w="1300" w:type="dxa"/>
          </w:tcPr>
          <w:p w:rsidR="00AC0832" w:rsidRDefault="00AC0832">
            <w:pPr>
              <w:pStyle w:val="CellColumn"/>
            </w:pPr>
            <w:r>
              <w:t>37</w:t>
            </w:r>
          </w:p>
        </w:tc>
        <w:tc>
          <w:tcPr>
            <w:tcW w:w="1300" w:type="dxa"/>
          </w:tcPr>
          <w:p w:rsidR="00AC0832" w:rsidRDefault="00AC0832">
            <w:pPr>
              <w:pStyle w:val="CellColumn"/>
            </w:pPr>
            <w:r>
              <w:t>28</w:t>
            </w:r>
          </w:p>
        </w:tc>
      </w:tr>
    </w:tbl>
    <w:p w:rsidR="00AC0832" w:rsidRDefault="00AC0832">
      <w:pPr>
        <w:jc w:val="left"/>
      </w:pPr>
    </w:p>
    <w:p w:rsidR="00AC0832" w:rsidRDefault="00AC0832">
      <w:pPr>
        <w:pStyle w:val="Heading7"/>
      </w:pPr>
      <w:r>
        <w:t>Cilj 2. Povećanje razine poštivanja odredbi propisa iz područja državnih potpora</w:t>
      </w:r>
    </w:p>
    <w:p w:rsidR="00AC0832" w:rsidRDefault="00AC0832">
      <w:pPr>
        <w:pStyle w:val="Heading8"/>
        <w:jc w:val="left"/>
      </w:pPr>
      <w:r>
        <w:t>Opis provedbe cilja programa</w:t>
      </w:r>
    </w:p>
    <w:p w:rsidR="00AC0832" w:rsidRDefault="00AC0832">
      <w:pPr>
        <w:pStyle w:val="Normal6"/>
      </w:pPr>
      <w:r>
        <w:t xml:space="preserve">Povećanje razine poštivanja odredbi propisa iz područja državnih potpora potrebno je za postizanje općeg cilja, odnosno za postizanje učinkovitog nadzora nad dodjelom državnih potpora. Navedeno naravno podrazumijeva i prilagodbu samih poduzetnika kroz razvoj poslovnih strategija i uvođenja nužnih promjena u poslovanju koje će jamčiti njihov ostanak i konkurentnost na tržištu po načelima tržišne održivosti. Navedeni cilj može se ostvariti na nekoliko načina, od prvenstveno, preusmjeravanja potpora sa sektorskih na horizontalne, zatim smanjenjem udjela državnih potpora u BDP-u Republike Hrvatske, uklanjanjem narušavanja tržišnog natjecanja te nadzorom nad dodijeljenim državnim potporama. Podaci o dodijeljenim potporama ukazuju na uspješnost rada, a radi se o objavi podataka i analiza stanja na području državnih potpora u okviru Godišnjeg izvješća o državnim potporama koje Agencija podnosi Hrvatskom saboru.  </w:t>
      </w:r>
    </w:p>
    <w:p w:rsidR="00AC0832" w:rsidRDefault="00AC0832">
      <w:pPr>
        <w:pStyle w:val="Normal6"/>
      </w:pPr>
      <w:r>
        <w:t xml:space="preserve">Izvršenje cilja </w:t>
      </w:r>
    </w:p>
    <w:p w:rsidR="00AC0832" w:rsidRDefault="00AC0832">
      <w:pPr>
        <w:pStyle w:val="Normal6"/>
      </w:pPr>
      <w:r>
        <w:t xml:space="preserve">U 2012. Agencija je izradila i dostavila Hrvatskom saboru Godišnje izvješće o državnim potporama za 2011. godinu. U izradi Izvješća, Agencija je slijedila metodologiju izračuna i iskazivanja podataka o dodijeljenim državnim potporama sukladno metodologiji Europske komisije. Izvješće daje analitički prikaz dodijeljenih državnih potpora u Republici Hrvatskoj u 2011. te revidirani prikaz potpora dodijeljenih u 2010. i 2009., temeljem podataka dostavljenih od strane davatelja potpora. Tako postavljen analitički pregled državnih potpora prikazuje ukupnu zastupljenost potpora po strateškim gospodarskim ciljevima, omogućuje usporedbu kako razine, tako i strukture državnih potpora koje se dodjeljuju u Republici Hrvatskoj s odgovarajućim podacima EU u cjelini, odnosno usporedbu s pojedinačnim državama članicama, te omogućuju praćenje korištenja učinaka dodijeljenih potpora po kategorijama s obzirom na iznos primljenih potpora i ostvareni ekonomski rast, s ciljem procijene efikasnosti trošenja proračunskih sredstava i uspješnosti postizanja ciljeva dodijeljenih potpora.  </w:t>
      </w:r>
    </w:p>
    <w:p w:rsidR="00AC0832" w:rsidRDefault="00AC0832">
      <w:pPr>
        <w:pStyle w:val="Normal6"/>
      </w:pPr>
      <w:r>
        <w:t xml:space="preserve">Prema dostupnim podacima i saznanjima o dodijeljenim državnim potporama u 2012. kojima Agencija raspolaže, moguće je jedino procijeniti dodijeljene potpore tijekom 2012. Naime, Agenciji će državna tijela kao davatelji potpora, dostaviti podatke o dodijeljenim državnim potporama za 2012. u prvoj polovici tekuće godine odnosno u lipnju 2013. za dodijeljene potpore u 2012., tako da Agencija nema konačnih podataka za prethodnu godinu. </w:t>
      </w:r>
    </w:p>
    <w:p w:rsidR="00AC0832" w:rsidRDefault="00AC0832">
      <w:pPr>
        <w:pStyle w:val="Normal6"/>
      </w:pPr>
      <w:r>
        <w:t xml:space="preserve">Stoga, Agencija može procijeniti kako će u 2012. biti dodijeljeno 4 do 6 posto potpora manje za poticanje različitih sektora, te se očekuje smanjenje iznosa potpora danih za poljoprivredu i ribarstvo za 6 do 10 posto, a uz relativno stabilan iznos horizontalnih potpora. U 2012. te bi se potpore trebale smanjiti za oko 7 do 8 posto ukupno u usporedbi s 2011., odnosno kretati se u rasponu od 8,3 do 8,4 milijarde kuna. Spomenuti izračun ne uključuje potpore male vrijednosti i druge, osobito one koje bi mogle biti sadržane u otpisima, prodaji otpisa ili djelomičnom otpisu poreznih dugova i drugih potraživanja države temeljem propisa donesenih u 2012. </w:t>
      </w:r>
    </w:p>
    <w:p w:rsidR="00AC0832" w:rsidRDefault="00AC0832">
      <w:pPr>
        <w:pStyle w:val="Normal6"/>
      </w:pPr>
      <w:r>
        <w:t>S obzirom da Agencija u 2012. nije pokrenula niti jedan postupak nadzora dodijeljenih državnih potpora, tek je jedan pokrenut u 2010., može se smatrati da je cilj ostvaren jer je ciljana vrijednost u 2012. bila povećanje postupaka nadzora koji se provode svake godine, a za takvo otvaranje nadzora nad dodijeljenim državnim potporama u 2012. nije bilo potrebe.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odobrenih državnih potpora u odnosu na prijavljene potpore</w:t>
            </w:r>
          </w:p>
        </w:tc>
        <w:tc>
          <w:tcPr>
            <w:tcW w:w="1300" w:type="dxa"/>
          </w:tcPr>
          <w:p w:rsidR="00AC0832" w:rsidRDefault="00AC0832">
            <w:pPr>
              <w:pStyle w:val="CellColumn"/>
            </w:pPr>
            <w:r>
              <w:t>ukazuje na  omjer prijavljenih i odobrenih potpora</w:t>
            </w:r>
          </w:p>
        </w:tc>
        <w:tc>
          <w:tcPr>
            <w:tcW w:w="1300" w:type="dxa"/>
          </w:tcPr>
          <w:p w:rsidR="00AC0832" w:rsidRDefault="00AC0832">
            <w:pPr>
              <w:pStyle w:val="CellColumn"/>
            </w:pPr>
            <w:r>
              <w:t>%</w:t>
            </w:r>
          </w:p>
        </w:tc>
        <w:tc>
          <w:tcPr>
            <w:tcW w:w="1300" w:type="dxa"/>
          </w:tcPr>
          <w:p w:rsidR="00AC0832" w:rsidRDefault="00AC0832">
            <w:pPr>
              <w:pStyle w:val="CellColumn"/>
            </w:pPr>
            <w:r>
              <w:t>80</w:t>
            </w:r>
          </w:p>
        </w:tc>
        <w:tc>
          <w:tcPr>
            <w:tcW w:w="1300" w:type="dxa"/>
          </w:tcPr>
          <w:p w:rsidR="00AC0832" w:rsidRDefault="00AC0832">
            <w:pPr>
              <w:pStyle w:val="CellColumn"/>
            </w:pPr>
            <w:r>
              <w:t xml:space="preserve">Godišnje izvješće Agencije </w:t>
            </w:r>
          </w:p>
          <w:p w:rsidR="00AC0832" w:rsidRDefault="00AC0832">
            <w:pPr>
              <w:pStyle w:val="CellColumn"/>
            </w:pPr>
            <w:r>
              <w:t>Internet stranica Agencije</w:t>
            </w:r>
          </w:p>
        </w:tc>
        <w:tc>
          <w:tcPr>
            <w:tcW w:w="1300" w:type="dxa"/>
          </w:tcPr>
          <w:p w:rsidR="00AC0832" w:rsidRDefault="00AC0832">
            <w:pPr>
              <w:pStyle w:val="CellColumn"/>
            </w:pPr>
            <w:r>
              <w:t>90</w:t>
            </w:r>
          </w:p>
        </w:tc>
        <w:tc>
          <w:tcPr>
            <w:tcW w:w="1300" w:type="dxa"/>
          </w:tcPr>
          <w:p w:rsidR="00AC0832" w:rsidRDefault="00AC0832">
            <w:pPr>
              <w:pStyle w:val="CellColumn"/>
            </w:pPr>
            <w:r>
              <w:t>85</w:t>
            </w:r>
          </w:p>
        </w:tc>
      </w:tr>
      <w:tr w:rsidR="00AC0832" w:rsidTr="00BE20ED">
        <w:trPr>
          <w:jc w:val="center"/>
        </w:trPr>
        <w:tc>
          <w:tcPr>
            <w:tcW w:w="1300" w:type="dxa"/>
          </w:tcPr>
          <w:p w:rsidR="00AC0832" w:rsidRDefault="00AC0832">
            <w:pPr>
              <w:pStyle w:val="CellColumn"/>
            </w:pPr>
            <w:r>
              <w:t>Smanjenje iznosa potpora  u BDP-u</w:t>
            </w:r>
          </w:p>
        </w:tc>
        <w:tc>
          <w:tcPr>
            <w:tcW w:w="1300" w:type="dxa"/>
          </w:tcPr>
          <w:p w:rsidR="00AC0832" w:rsidRDefault="00AC0832">
            <w:pPr>
              <w:pStyle w:val="CellColumn"/>
            </w:pPr>
            <w:r>
              <w:t>ukazuje na strukturu državnih potpora  u BDP-u</w:t>
            </w:r>
          </w:p>
        </w:tc>
        <w:tc>
          <w:tcPr>
            <w:tcW w:w="1300" w:type="dxa"/>
          </w:tcPr>
          <w:p w:rsidR="00AC0832" w:rsidRDefault="00AC0832">
            <w:pPr>
              <w:pStyle w:val="CellColumn"/>
            </w:pPr>
            <w:r>
              <w:t>%</w:t>
            </w:r>
          </w:p>
        </w:tc>
        <w:tc>
          <w:tcPr>
            <w:tcW w:w="1300" w:type="dxa"/>
          </w:tcPr>
          <w:p w:rsidR="00AC0832" w:rsidRDefault="00AC0832">
            <w:pPr>
              <w:pStyle w:val="CellColumn"/>
            </w:pPr>
            <w:r>
              <w:t>2,6</w:t>
            </w:r>
          </w:p>
        </w:tc>
        <w:tc>
          <w:tcPr>
            <w:tcW w:w="1300" w:type="dxa"/>
          </w:tcPr>
          <w:p w:rsidR="00AC0832" w:rsidRDefault="00AC0832">
            <w:pPr>
              <w:pStyle w:val="CellColumn"/>
            </w:pPr>
            <w:r>
              <w:t xml:space="preserve">Godišnje izvješće Agencije </w:t>
            </w:r>
          </w:p>
          <w:p w:rsidR="00AC0832" w:rsidRDefault="00AC0832">
            <w:pPr>
              <w:pStyle w:val="CellColumn"/>
            </w:pPr>
            <w:r>
              <w:t>Internet stranica Agencija</w:t>
            </w:r>
          </w:p>
        </w:tc>
        <w:tc>
          <w:tcPr>
            <w:tcW w:w="1300" w:type="dxa"/>
          </w:tcPr>
          <w:p w:rsidR="00AC0832" w:rsidRDefault="00AC0832">
            <w:pPr>
              <w:pStyle w:val="CellColumn"/>
            </w:pPr>
            <w:r>
              <w:t>2,5</w:t>
            </w:r>
          </w:p>
        </w:tc>
        <w:tc>
          <w:tcPr>
            <w:tcW w:w="1300" w:type="dxa"/>
          </w:tcPr>
          <w:p w:rsidR="00AC0832" w:rsidRDefault="00AC0832">
            <w:pPr>
              <w:pStyle w:val="CellColumn"/>
            </w:pPr>
            <w:r>
              <w:t>2,5</w:t>
            </w:r>
          </w:p>
        </w:tc>
      </w:tr>
      <w:tr w:rsidR="00AC0832" w:rsidTr="00BE20ED">
        <w:trPr>
          <w:jc w:val="center"/>
        </w:trPr>
        <w:tc>
          <w:tcPr>
            <w:tcW w:w="1300" w:type="dxa"/>
          </w:tcPr>
          <w:p w:rsidR="00AC0832" w:rsidRDefault="00AC0832">
            <w:pPr>
              <w:pStyle w:val="CellColumn"/>
            </w:pPr>
            <w:r>
              <w:t>Povećanje razine poštivanja odredbi propisa iz područja  državnih potpora</w:t>
            </w:r>
          </w:p>
        </w:tc>
        <w:tc>
          <w:tcPr>
            <w:tcW w:w="1300" w:type="dxa"/>
          </w:tcPr>
          <w:p w:rsidR="00AC0832" w:rsidRDefault="00AC0832">
            <w:pPr>
              <w:pStyle w:val="CellColumn"/>
            </w:pPr>
            <w:r>
              <w:t>ukazuje na broj subjekata u postupcima nadzora provedbe državnih potpora</w:t>
            </w:r>
          </w:p>
        </w:tc>
        <w:tc>
          <w:tcPr>
            <w:tcW w:w="1300" w:type="dxa"/>
          </w:tcPr>
          <w:p w:rsidR="00AC0832" w:rsidRDefault="00AC0832">
            <w:pPr>
              <w:pStyle w:val="CellColumn"/>
            </w:pPr>
            <w:r>
              <w:t>broj</w:t>
            </w:r>
          </w:p>
        </w:tc>
        <w:tc>
          <w:tcPr>
            <w:tcW w:w="1300" w:type="dxa"/>
          </w:tcPr>
          <w:p w:rsidR="00AC0832" w:rsidRDefault="00AC0832">
            <w:pPr>
              <w:pStyle w:val="CellColumn"/>
            </w:pPr>
            <w:r>
              <w:t>1</w:t>
            </w:r>
          </w:p>
        </w:tc>
        <w:tc>
          <w:tcPr>
            <w:tcW w:w="1300" w:type="dxa"/>
          </w:tcPr>
          <w:p w:rsidR="00AC0832" w:rsidRDefault="00AC0832">
            <w:pPr>
              <w:pStyle w:val="CellColumn"/>
            </w:pPr>
            <w:r>
              <w:t xml:space="preserve">Godišnje izvješće Agencije </w:t>
            </w:r>
          </w:p>
          <w:p w:rsidR="00AC0832" w:rsidRDefault="00AC0832">
            <w:pPr>
              <w:pStyle w:val="CellColumn"/>
            </w:pPr>
            <w:r>
              <w:t>Internet stranica Agencija</w:t>
            </w:r>
          </w:p>
        </w:tc>
        <w:tc>
          <w:tcPr>
            <w:tcW w:w="1300" w:type="dxa"/>
          </w:tcPr>
          <w:p w:rsidR="00AC0832" w:rsidRDefault="00AC0832">
            <w:pPr>
              <w:pStyle w:val="CellColumn"/>
            </w:pPr>
            <w:r>
              <w:t>2</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7"/>
      </w:pPr>
      <w:r>
        <w:t>Cilj 3. Promicanje svijesti-jačanje širenja kulture tržišnog natjecanja</w:t>
      </w:r>
    </w:p>
    <w:p w:rsidR="00AC0832" w:rsidRDefault="00AC0832">
      <w:pPr>
        <w:pStyle w:val="Heading8"/>
        <w:jc w:val="left"/>
      </w:pPr>
      <w:r>
        <w:t>Opis provedbe cilja programa</w:t>
      </w:r>
    </w:p>
    <w:p w:rsidR="00AC0832" w:rsidRDefault="00AC0832">
      <w:pPr>
        <w:pStyle w:val="Normal6"/>
      </w:pPr>
      <w:r>
        <w:t xml:space="preserve">Razvoj i širenje kulture tržišnog natjecanja obuhvaća podizanje svijesti o učincima tržišnog natjecanja na rast konkurentnosti nacionalnog gospodarstva, uključujući i upoznavanje s prednostima koje tržišno natjecanje donosi potrošačima. Isto tako kultura tržišnog natjecanja podrazumijeva doprinos stvaranju i usklađenosti zakonodavnog okvira koji će poticati konkurentno okruženje za razvitak poduzetništva, slobodu svakog pojedinca na pokretanje poduzetničke aktivnosti kao i općem interesu. Stoga, Agencija poseban naglasak stavlja na aktivno promicanje prava i politike zaštite tržišnog natjecanja i u svim prilikama ističe njihovu važnost za daljnji razvoj tržišnog gospodarstva RH, kako kod poduzetnika tako i kod potrošača i cijele javnosti. </w:t>
      </w:r>
    </w:p>
    <w:p w:rsidR="00AC0832" w:rsidRDefault="00AC0832">
      <w:pPr>
        <w:pStyle w:val="Normal6"/>
      </w:pPr>
      <w:r>
        <w:t xml:space="preserve">Cilj se ostvaruje objavljivanjem odluka Agencije na internetskoj stranici i u službenom glasilu RH, suradnjom s drugim tijelima za zaštitu tržišnog natjecanja u zemljama Europe s ciljem razmjene praktičnih iskustava i preuzimanja sličnih rješenja te organiziranjem edukativnih programa. U ostvarenju cilja razvoja kulture tržišnog natjecanja Agencija objavljuje rješenja i druge odluke i mišljenja (primjerice, analize pojedinih tržišta) na svojoj mrežnoj stranici. Objavljuju se i redovita priopćenja sa sjednica Vijeća, Agencija redovito odgovara na pitanja novinara i surađuje s medijima. U 2012. tiskan je i informativni letak „Ne kartelima – 10 zlatnih odgovora“ a započelo je i izdavanje mjesečnog elektronskog glasila. Agencija svojim aktivnostima, posebno ocjenjujući postojeće propise i promatrajući ponašanja poduzetnika na tržištu, djeluje i preventivno, ukazujući i upozoravajući na moguće učinke njihovih aktivnosti i ponašanja na tržištu.  </w:t>
      </w:r>
    </w:p>
    <w:p w:rsidR="00AC0832" w:rsidRDefault="00AC0832">
      <w:pPr>
        <w:pStyle w:val="Normal6"/>
      </w:pPr>
      <w:r>
        <w:t xml:space="preserve">Također, u 2012. godini Agencija je nastavila s implementacijom Twinning projekta (IPA 2007). IPA twinning projekt, koji je započeo 2010., u bitnome je usmjeren na jačanje kapaciteta Agencije, sektorskih regulatora i sudstva u provedbi pravila o tržišnom natjecanju i državnim potporama u razdoblju neposredno prije i nakon pristupanja Republike Hrvatske u članstvo EU. U jednom dijelu twinning radi na pripremi Agencije za rad u Europskoj mreži tijela za zaštitu tržišnog natjecanja (ECN), pri čemu Agencija surađuje s talijanskim tijelom za tržišno natjecanje kao twinning partnerom. U dijelu koji se odnosi na državne potpore, pomoć mjerodavnih institucija Velike Britanije kao twinning partnera bila je usmjerena je na povećanje učinkovitosti, ažurnosti i transparentnosti donošenja odluka Agencije te na unapređenje definiranja državnih potpora kod davatelja. Krajnji cilj projekta bio je ostvariti okruženje učinkovitog tržišnog natjecanja i politike državnih potpora u skladu sa EU propisima i najboljim praksama. </w:t>
      </w:r>
    </w:p>
    <w:p w:rsidR="00AC0832" w:rsidRDefault="00AC0832">
      <w:pPr>
        <w:pStyle w:val="Normal6"/>
      </w:pPr>
      <w:r>
        <w:t xml:space="preserve">I u konačnici, suradnjom s drugim tijelima iz regije i država članica EU-a, Agencija razmjenjuje iskustva i jača svoje kapacitete te sudjeluje u približavanju i preuzimanju sličnih rješenja u provedbi propisa o zaštiti tržišnog natjecanja. </w:t>
      </w:r>
    </w:p>
    <w:p w:rsidR="00AC0832" w:rsidRDefault="00AC0832">
      <w:pPr>
        <w:pStyle w:val="Normal6"/>
      </w:pPr>
      <w:r>
        <w:t xml:space="preserve">Izvršenje cilja </w:t>
      </w:r>
    </w:p>
    <w:p w:rsidR="00AC0832" w:rsidRDefault="00AC0832">
      <w:pPr>
        <w:pStyle w:val="Normal6"/>
      </w:pPr>
      <w:r>
        <w:t xml:space="preserve">Agencija je u 2012. godini objavila 112 odluka na svojoj mrežnoj stranici, odnosno u službenom glasilu RH, koje su namijenjene svim hrvatskim poduzetnicima, tijelima središnje i lokalne (regionalne) uprave i samouprave, kao i široj javnosti (potrošačima). </w:t>
      </w:r>
    </w:p>
    <w:p w:rsidR="00AC0832" w:rsidRDefault="00AC0832">
      <w:pPr>
        <w:pStyle w:val="Normal6"/>
      </w:pPr>
      <w:r>
        <w:t xml:space="preserve">Agencija je u prosincu 2012. osmislila i uz poslovni tjednik „Lider“ tiskala i objavila letak „NE kartelima“. Letak sadrži 10 kratkih pitanja i odgovora s najosnovnijim informacijama o štetnosti kartela, a cilj kampanje je bio poduzetnicima i njihovim udruženjima dodatno skrenuti pažnju na zabranjene aktivnosti na tržištu te ih uputiti na to kako da izbjegnu situacije u kojima mogu prekršiti zakon i zbog toga biti sankcionirani.  </w:t>
      </w:r>
    </w:p>
    <w:p w:rsidR="00AC0832" w:rsidRDefault="00AC0832">
      <w:pPr>
        <w:pStyle w:val="Normal6"/>
      </w:pPr>
      <w:r>
        <w:t xml:space="preserve">Također, Agencija je u 2012. započela s mjesečnom objavom „AZTN info“, biltena koji se elektronskim putem distribuira na otprilike 200 adresa primatelja iz javnog i privatnog sektora te znanstvene zajednice, a dostupan je za preuzimanje s internetske stranice Agencije.  </w:t>
      </w:r>
    </w:p>
    <w:p w:rsidR="00AC0832" w:rsidRDefault="00AC0832">
      <w:pPr>
        <w:pStyle w:val="Normal6"/>
      </w:pPr>
      <w:r>
        <w:t xml:space="preserve">U 2012. Agencija je održala i dva seminara poduzetnicima iz Splita, u organizaciji Gradske uprave, odnosno na poziv Županijske komore Split HGK, a slične seminare za poduzetnike organizirale su i županijske komore HGK u Šibeniku, Puli i Zagrebu, sudjelovala i na seminaru za suce, o javnim nabavama itd.  </w:t>
      </w:r>
    </w:p>
    <w:p w:rsidR="00AC0832" w:rsidRDefault="00AC0832">
      <w:pPr>
        <w:pStyle w:val="Normal6"/>
      </w:pPr>
      <w:r>
        <w:t xml:space="preserve">Završno, osim gore spomenutih objavljenih 112 odluka, Agencija je u 2012. odgovorila i na preko 200 ostalih zahtjeva i upita iz područja tržišnog natjecanja i državnih potpora, u pisanom obliku ili elektroničkom poštom.    </w:t>
      </w:r>
    </w:p>
    <w:p w:rsidR="00AC0832" w:rsidRDefault="00AC0832">
      <w:pPr>
        <w:pStyle w:val="Normal6"/>
      </w:pPr>
      <w:r>
        <w:t xml:space="preserve">U 2012. godini Agencija je nastavila s implementacijom Twinning projekta (IPA 2007) te su predstavnici Agencije sudjelovali na studijskom putovanju u Italiji i Sloveniji, kao i na brojnim seminarima organiziranim u sklopu projekta koji su se održali u Zagrebu. Projekt je uspješno okončan u ožujku 2012. godine. </w:t>
      </w:r>
    </w:p>
    <w:p w:rsidR="00AC0832" w:rsidRDefault="00AC0832">
      <w:pPr>
        <w:pStyle w:val="Normal6"/>
      </w:pPr>
      <w:r>
        <w:t>Održano je  7 bilateralnih susreta s predstavnicima tijela za zaštitu tržišnog natjecanja iz drugih zemalja, ostvarena je suradnja s Kinom, a nastavljena s Rumunjskom i Mađarskom. Agencija je također intenzivirala suradnju s Europskom mrežom za zaštitu tržišnog natjecanja te se uključila u velik broj radnih skupina (4) gdje aktivno sudjeluje u kreiranju programa i pravila Europske mreže za zaštitu tržišnog natjecanja.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2"/>
        <w:gridCol w:w="1606"/>
        <w:gridCol w:w="1138"/>
        <w:gridCol w:w="1194"/>
        <w:gridCol w:w="1179"/>
        <w:gridCol w:w="1194"/>
        <w:gridCol w:w="122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objavljenihodluka Agencije</w:t>
            </w:r>
          </w:p>
        </w:tc>
        <w:tc>
          <w:tcPr>
            <w:tcW w:w="1300" w:type="dxa"/>
          </w:tcPr>
          <w:p w:rsidR="00AC0832" w:rsidRDefault="00AC0832">
            <w:pPr>
              <w:pStyle w:val="CellColumn"/>
            </w:pPr>
            <w:r>
              <w:t>ukazuje na transparentnost rada Agencije</w:t>
            </w:r>
          </w:p>
        </w:tc>
        <w:tc>
          <w:tcPr>
            <w:tcW w:w="1300" w:type="dxa"/>
          </w:tcPr>
          <w:p w:rsidR="00AC0832" w:rsidRDefault="00AC0832">
            <w:pPr>
              <w:pStyle w:val="CellColumn"/>
            </w:pPr>
            <w:r>
              <w:t>broj</w:t>
            </w:r>
          </w:p>
        </w:tc>
        <w:tc>
          <w:tcPr>
            <w:tcW w:w="1300" w:type="dxa"/>
          </w:tcPr>
          <w:p w:rsidR="00AC0832" w:rsidRDefault="00AC0832">
            <w:pPr>
              <w:pStyle w:val="CellColumn"/>
            </w:pPr>
            <w:r>
              <w:t>35</w:t>
            </w:r>
          </w:p>
        </w:tc>
        <w:tc>
          <w:tcPr>
            <w:tcW w:w="1300" w:type="dxa"/>
          </w:tcPr>
          <w:p w:rsidR="00AC0832" w:rsidRDefault="00AC0832">
            <w:pPr>
              <w:pStyle w:val="CellColumn"/>
            </w:pPr>
            <w:r>
              <w:t xml:space="preserve">Narodne novine </w:t>
            </w:r>
          </w:p>
          <w:p w:rsidR="00AC0832" w:rsidRDefault="00AC0832">
            <w:pPr>
              <w:pStyle w:val="CellColumn"/>
            </w:pPr>
            <w:r>
              <w:t>Internet stranica Agencije</w:t>
            </w:r>
          </w:p>
        </w:tc>
        <w:tc>
          <w:tcPr>
            <w:tcW w:w="1300" w:type="dxa"/>
          </w:tcPr>
          <w:p w:rsidR="00AC0832" w:rsidRDefault="00AC0832">
            <w:pPr>
              <w:pStyle w:val="CellColumn"/>
            </w:pPr>
            <w:r>
              <w:t>40</w:t>
            </w:r>
          </w:p>
        </w:tc>
        <w:tc>
          <w:tcPr>
            <w:tcW w:w="1300" w:type="dxa"/>
          </w:tcPr>
          <w:p w:rsidR="00AC0832" w:rsidRDefault="00AC0832">
            <w:pPr>
              <w:pStyle w:val="CellColumn"/>
            </w:pPr>
            <w:r>
              <w:t>112</w:t>
            </w:r>
          </w:p>
        </w:tc>
      </w:tr>
      <w:tr w:rsidR="00AC0832" w:rsidTr="00BE20ED">
        <w:trPr>
          <w:jc w:val="center"/>
        </w:trPr>
        <w:tc>
          <w:tcPr>
            <w:tcW w:w="1300" w:type="dxa"/>
          </w:tcPr>
          <w:p w:rsidR="00AC0832" w:rsidRDefault="00AC0832">
            <w:pPr>
              <w:pStyle w:val="CellColumn"/>
            </w:pPr>
            <w:r>
              <w:t>Povećanje broja održanih bilateralnih susreta</w:t>
            </w:r>
          </w:p>
        </w:tc>
        <w:tc>
          <w:tcPr>
            <w:tcW w:w="1300" w:type="dxa"/>
          </w:tcPr>
          <w:p w:rsidR="00AC0832" w:rsidRDefault="00AC0832">
            <w:pPr>
              <w:pStyle w:val="CellColumn"/>
            </w:pPr>
            <w:r>
              <w:t>ukazuje na kretanje međunarodne aktivnosti Agencije</w:t>
            </w:r>
          </w:p>
        </w:tc>
        <w:tc>
          <w:tcPr>
            <w:tcW w:w="1300" w:type="dxa"/>
          </w:tcPr>
          <w:p w:rsidR="00AC0832" w:rsidRDefault="00AC0832">
            <w:pPr>
              <w:pStyle w:val="CellColumn"/>
            </w:pPr>
            <w:r>
              <w:t>broj</w:t>
            </w:r>
          </w:p>
        </w:tc>
        <w:tc>
          <w:tcPr>
            <w:tcW w:w="1300" w:type="dxa"/>
          </w:tcPr>
          <w:p w:rsidR="00AC0832" w:rsidRDefault="00AC0832">
            <w:pPr>
              <w:pStyle w:val="CellColumn"/>
            </w:pPr>
            <w:r>
              <w:t>6</w:t>
            </w:r>
          </w:p>
        </w:tc>
        <w:tc>
          <w:tcPr>
            <w:tcW w:w="1300" w:type="dxa"/>
          </w:tcPr>
          <w:p w:rsidR="00AC0832" w:rsidRDefault="00AC0832">
            <w:pPr>
              <w:pStyle w:val="CellColumn"/>
            </w:pPr>
            <w:r>
              <w:t>Godišnje izvješće Agencije</w:t>
            </w:r>
          </w:p>
        </w:tc>
        <w:tc>
          <w:tcPr>
            <w:tcW w:w="1300" w:type="dxa"/>
          </w:tcPr>
          <w:p w:rsidR="00AC0832" w:rsidRDefault="00AC0832">
            <w:pPr>
              <w:pStyle w:val="CellColumn"/>
            </w:pPr>
            <w:r>
              <w:t>7</w:t>
            </w:r>
          </w:p>
        </w:tc>
        <w:tc>
          <w:tcPr>
            <w:tcW w:w="1300" w:type="dxa"/>
          </w:tcPr>
          <w:p w:rsidR="00AC0832" w:rsidRDefault="00AC0832">
            <w:pPr>
              <w:pStyle w:val="CellColumn"/>
            </w:pPr>
            <w:r>
              <w:t>7</w:t>
            </w:r>
          </w:p>
        </w:tc>
      </w:tr>
    </w:tbl>
    <w:p w:rsidR="00AC0832" w:rsidRDefault="00AC0832">
      <w:pPr>
        <w:jc w:val="left"/>
      </w:pPr>
    </w:p>
    <w:p w:rsidR="00AC0832" w:rsidRDefault="00AC0832">
      <w:pPr>
        <w:pStyle w:val="Heading6"/>
      </w:pPr>
      <w:r>
        <w:t>A507008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A507008-ADMINISTRACIJA I UPRAVLJANJE</w:t>
            </w:r>
          </w:p>
        </w:tc>
        <w:tc>
          <w:tcPr>
            <w:tcW w:w="2322" w:type="dxa"/>
          </w:tcPr>
          <w:p w:rsidR="00AC0832" w:rsidRDefault="00AC0832">
            <w:pPr>
              <w:pStyle w:val="CellColumn"/>
            </w:pPr>
            <w:r>
              <w:t>13.286.070</w:t>
            </w:r>
          </w:p>
        </w:tc>
        <w:tc>
          <w:tcPr>
            <w:tcW w:w="2322" w:type="dxa"/>
          </w:tcPr>
          <w:p w:rsidR="00AC0832" w:rsidRDefault="00AC0832">
            <w:pPr>
              <w:pStyle w:val="CellColumn"/>
            </w:pPr>
            <w:r>
              <w:t>13.208.984</w:t>
            </w:r>
          </w:p>
        </w:tc>
        <w:tc>
          <w:tcPr>
            <w:tcW w:w="2322" w:type="dxa"/>
          </w:tcPr>
          <w:p w:rsidR="00AC0832" w:rsidRDefault="00AC0832">
            <w:pPr>
              <w:pStyle w:val="CellColumn"/>
            </w:pPr>
            <w:r>
              <w:t>99,4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Ova aktivnost sadrži većinu rashoda koji su potrebni za provođenje svih poslova koji su u nadležnosti Agencije (rashode za zaposlene, materijalne rashode, financijske rashode i rashode za nabavu dugotrajne imovine). Rashodi ove aktivnosti čine 70,90 % ukupno izvršenog proračuna Agencije ili 97,46 % rashoda izvršenih iz izvora 1 Općih prihoda i primitaka. </w:t>
      </w:r>
    </w:p>
    <w:p w:rsidR="00AC0832" w:rsidRDefault="00AC0832">
      <w:pPr>
        <w:pStyle w:val="Normal6"/>
      </w:pPr>
      <w:r>
        <w:t xml:space="preserve">Rashodi za zaposlene izvršeni su u iznosu od 9.844.269,03 kuna, što je 99,74 % u odnosu na plan i čini 74,53% rashoda ove aktivnosti. Iako Agencija nije povećavala broj zaposlenih u 2012. godini, rashodi za zaposlene povećani su u odnosu na 2011. za 6,16 % radi povratka zaposlenica s rodiljnog i roditeljskog dopusta. Isplata ostalih rashoda za zaposlene izvršena je sukladno odredbama Kolektivnog ugovora za državne službenike i namještenike. </w:t>
      </w:r>
    </w:p>
    <w:p w:rsidR="00AC0832" w:rsidRDefault="00AC0832">
      <w:pPr>
        <w:pStyle w:val="Normal6"/>
      </w:pPr>
      <w:r>
        <w:t xml:space="preserve">Materijalni rashodi ove aktivnosti izvršeni su u iznosu od 3.346.701,05 kuna, što je 98,54 % u odnosu na plan i čini  25,34 % rashoda aktivnosti. Agencija je mjerama štednje i vodeći računa o racionalnom raspolaganju sredstvima smanjila rashode ove skupine za 8,68 % u odnosu na 2011. godinu. Od ukupnih materijalnih rashoda aktivnosti 2.358.766,53 kuna ili 70,48 % odnosi se na rashode za usluge, 650.488,47 kuna ili 19,44 % na naknade troškova zaposlenima, 287.505,39 kuna ili 8,59 % na rashode za materijal i energiju, te 49.940,66 kuna ili 1,50 % na ostale nespomenute rashode. Na svim spomenutim podskupinama rashoda ostvareno je smanjenje u odnosu na 2011. godinu u rasponu od 8,16 % do 12,89 %. U strukturi materijalnih rashoda ove aktivnosti najveći udio 1.635.000 kuna ili 48,86 % čine naknade za zakupnine i najamnine.  </w:t>
      </w:r>
    </w:p>
    <w:p w:rsidR="00AC0832" w:rsidRDefault="00AC0832">
      <w:pPr>
        <w:pStyle w:val="Normal6"/>
      </w:pPr>
      <w:r>
        <w:t xml:space="preserve">Financijski rashodi izvršeni su u iznosu od 3.289,48 kuna, što je 86,57 % u odnosu na plan.  </w:t>
      </w:r>
    </w:p>
    <w:p w:rsidR="00AC0832" w:rsidRDefault="00AC0832">
      <w:pPr>
        <w:pStyle w:val="Normal6"/>
      </w:pPr>
      <w:r>
        <w:t>Rashodi za nabavu proizvedene dugotrajne imovine izvršeni su u iznosu od 14.724,00 kuna, što je 92,03 % u odnosu na plan i utrošeni su za nabavu najnužnije uredske opreme.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517"/>
        <w:gridCol w:w="1292"/>
        <w:gridCol w:w="1295"/>
        <w:gridCol w:w="1294"/>
        <w:gridCol w:w="1295"/>
        <w:gridCol w:w="129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donesenih odluka i mišljenja Agencije na području tržišnog natjecanja i državnih potpora</w:t>
            </w:r>
          </w:p>
        </w:tc>
        <w:tc>
          <w:tcPr>
            <w:tcW w:w="1300" w:type="dxa"/>
          </w:tcPr>
          <w:p w:rsidR="00AC0832" w:rsidRDefault="00AC0832">
            <w:pPr>
              <w:pStyle w:val="CellColumn"/>
            </w:pPr>
            <w:r>
              <w:t>Vjerodostojna provedba poslova Agencije na području tržišnog natjecanja i državnih potpora</w:t>
            </w:r>
          </w:p>
        </w:tc>
        <w:tc>
          <w:tcPr>
            <w:tcW w:w="1300" w:type="dxa"/>
          </w:tcPr>
          <w:p w:rsidR="00AC0832" w:rsidRDefault="00AC0832">
            <w:pPr>
              <w:pStyle w:val="CellColumn"/>
            </w:pPr>
            <w:r>
              <w:t>broj</w:t>
            </w:r>
          </w:p>
        </w:tc>
        <w:tc>
          <w:tcPr>
            <w:tcW w:w="1300" w:type="dxa"/>
          </w:tcPr>
          <w:p w:rsidR="00AC0832" w:rsidRDefault="00AC0832">
            <w:pPr>
              <w:pStyle w:val="CellColumn"/>
            </w:pPr>
            <w:r>
              <w:t>128</w:t>
            </w:r>
          </w:p>
        </w:tc>
        <w:tc>
          <w:tcPr>
            <w:tcW w:w="1300" w:type="dxa"/>
          </w:tcPr>
          <w:p w:rsidR="00AC0832" w:rsidRDefault="00AC0832">
            <w:pPr>
              <w:pStyle w:val="CellColumn"/>
            </w:pPr>
            <w:r>
              <w:t>Agencija</w:t>
            </w:r>
          </w:p>
        </w:tc>
        <w:tc>
          <w:tcPr>
            <w:tcW w:w="1300" w:type="dxa"/>
          </w:tcPr>
          <w:p w:rsidR="00AC0832" w:rsidRDefault="00AC0832">
            <w:pPr>
              <w:pStyle w:val="CellColumn"/>
            </w:pPr>
            <w:r>
              <w:t>131</w:t>
            </w:r>
          </w:p>
        </w:tc>
        <w:tc>
          <w:tcPr>
            <w:tcW w:w="1300" w:type="dxa"/>
          </w:tcPr>
          <w:p w:rsidR="00AC0832" w:rsidRDefault="00AC0832">
            <w:pPr>
              <w:pStyle w:val="CellColumn"/>
            </w:pPr>
            <w:r>
              <w:t>161</w:t>
            </w:r>
          </w:p>
        </w:tc>
      </w:tr>
      <w:tr w:rsidR="00AC0832" w:rsidTr="00BE20ED">
        <w:trPr>
          <w:jc w:val="center"/>
        </w:trPr>
        <w:tc>
          <w:tcPr>
            <w:tcW w:w="1300" w:type="dxa"/>
          </w:tcPr>
          <w:p w:rsidR="00AC0832" w:rsidRDefault="00AC0832">
            <w:pPr>
              <w:pStyle w:val="CellColumn"/>
            </w:pPr>
            <w:r>
              <w:t>Omjer prijavljenih i odobrenih državnih potpora</w:t>
            </w:r>
          </w:p>
        </w:tc>
        <w:tc>
          <w:tcPr>
            <w:tcW w:w="1300" w:type="dxa"/>
          </w:tcPr>
          <w:p w:rsidR="00AC0832" w:rsidRDefault="00AC0832">
            <w:pPr>
              <w:pStyle w:val="CellColumn"/>
            </w:pPr>
            <w:r>
              <w:t>Evidencija državnih potpora i trend nadzora nad državnim potporama u RH</w:t>
            </w:r>
          </w:p>
        </w:tc>
        <w:tc>
          <w:tcPr>
            <w:tcW w:w="1300" w:type="dxa"/>
          </w:tcPr>
          <w:p w:rsidR="00AC0832" w:rsidRDefault="00AC0832">
            <w:pPr>
              <w:pStyle w:val="CellColumn"/>
            </w:pPr>
            <w:r>
              <w:t>%</w:t>
            </w:r>
          </w:p>
        </w:tc>
        <w:tc>
          <w:tcPr>
            <w:tcW w:w="1300" w:type="dxa"/>
          </w:tcPr>
          <w:p w:rsidR="00AC0832" w:rsidRDefault="00AC0832">
            <w:pPr>
              <w:pStyle w:val="CellColumn"/>
            </w:pPr>
            <w:r>
              <w:t>80</w:t>
            </w:r>
          </w:p>
        </w:tc>
        <w:tc>
          <w:tcPr>
            <w:tcW w:w="1300" w:type="dxa"/>
          </w:tcPr>
          <w:p w:rsidR="00AC0832" w:rsidRDefault="00AC0832">
            <w:pPr>
              <w:pStyle w:val="CellColumn"/>
            </w:pPr>
            <w:r>
              <w:t>Agencija</w:t>
            </w:r>
          </w:p>
        </w:tc>
        <w:tc>
          <w:tcPr>
            <w:tcW w:w="1300" w:type="dxa"/>
          </w:tcPr>
          <w:p w:rsidR="00AC0832" w:rsidRDefault="00AC0832">
            <w:pPr>
              <w:pStyle w:val="CellColumn"/>
            </w:pPr>
            <w:r>
              <w:t>90</w:t>
            </w:r>
          </w:p>
        </w:tc>
        <w:tc>
          <w:tcPr>
            <w:tcW w:w="1300" w:type="dxa"/>
          </w:tcPr>
          <w:p w:rsidR="00AC0832" w:rsidRDefault="00AC0832">
            <w:pPr>
              <w:pStyle w:val="CellColumn"/>
            </w:pPr>
            <w:r>
              <w:t>85</w:t>
            </w:r>
          </w:p>
        </w:tc>
      </w:tr>
      <w:tr w:rsidR="00AC0832" w:rsidTr="00BE20ED">
        <w:trPr>
          <w:jc w:val="center"/>
        </w:trPr>
        <w:tc>
          <w:tcPr>
            <w:tcW w:w="1300" w:type="dxa"/>
          </w:tcPr>
          <w:p w:rsidR="00AC0832" w:rsidRDefault="00AC0832">
            <w:pPr>
              <w:pStyle w:val="CellColumn"/>
            </w:pPr>
            <w:r>
              <w:t>Povećanje broja objavljenih odluka iz nadležnosti Agencije i broja održanih bilateralnih susreta</w:t>
            </w:r>
          </w:p>
        </w:tc>
        <w:tc>
          <w:tcPr>
            <w:tcW w:w="1300" w:type="dxa"/>
          </w:tcPr>
          <w:p w:rsidR="00AC0832" w:rsidRDefault="00AC0832">
            <w:pPr>
              <w:pStyle w:val="CellColumn"/>
            </w:pPr>
            <w:r>
              <w:t>Transparentan rad Agencije, jačanje kadrova i informiranje vanjskih dionika</w:t>
            </w:r>
          </w:p>
        </w:tc>
        <w:tc>
          <w:tcPr>
            <w:tcW w:w="1300" w:type="dxa"/>
          </w:tcPr>
          <w:p w:rsidR="00AC0832" w:rsidRDefault="00AC0832">
            <w:pPr>
              <w:pStyle w:val="CellColumn"/>
            </w:pPr>
            <w:r>
              <w:t>broj</w:t>
            </w:r>
          </w:p>
        </w:tc>
        <w:tc>
          <w:tcPr>
            <w:tcW w:w="1300" w:type="dxa"/>
          </w:tcPr>
          <w:p w:rsidR="00AC0832" w:rsidRDefault="00AC0832">
            <w:pPr>
              <w:pStyle w:val="CellColumn"/>
            </w:pPr>
            <w:r>
              <w:t>41</w:t>
            </w:r>
          </w:p>
        </w:tc>
        <w:tc>
          <w:tcPr>
            <w:tcW w:w="1300" w:type="dxa"/>
          </w:tcPr>
          <w:p w:rsidR="00AC0832" w:rsidRDefault="00AC0832">
            <w:pPr>
              <w:pStyle w:val="CellColumn"/>
            </w:pPr>
            <w:r>
              <w:t>Agencija</w:t>
            </w:r>
          </w:p>
        </w:tc>
        <w:tc>
          <w:tcPr>
            <w:tcW w:w="1300" w:type="dxa"/>
          </w:tcPr>
          <w:p w:rsidR="00AC0832" w:rsidRDefault="00AC0832">
            <w:pPr>
              <w:pStyle w:val="CellColumn"/>
            </w:pPr>
            <w:r>
              <w:t>47</w:t>
            </w:r>
          </w:p>
        </w:tc>
        <w:tc>
          <w:tcPr>
            <w:tcW w:w="1300" w:type="dxa"/>
          </w:tcPr>
          <w:p w:rsidR="00AC0832" w:rsidRDefault="00AC0832">
            <w:pPr>
              <w:pStyle w:val="CellColumn"/>
            </w:pPr>
            <w:r>
              <w:t>119</w:t>
            </w:r>
          </w:p>
        </w:tc>
      </w:tr>
    </w:tbl>
    <w:p w:rsidR="00AC0832" w:rsidRDefault="00AC0832">
      <w:pPr>
        <w:jc w:val="left"/>
      </w:pPr>
    </w:p>
    <w:p w:rsidR="00AC0832" w:rsidRDefault="00AC0832">
      <w:pPr>
        <w:pStyle w:val="Heading1"/>
      </w:pPr>
      <w:r>
        <w:t>020 VLADA REPUBLIKE HRVATSKE</w:t>
      </w:r>
    </w:p>
    <w:p w:rsidR="00AC0832" w:rsidRDefault="00AC0832">
      <w:pPr>
        <w:pStyle w:val="Heading4"/>
      </w:pPr>
      <w:r>
        <w:t>Uvod</w:t>
      </w:r>
    </w:p>
    <w:p w:rsidR="00AC0832" w:rsidRDefault="00AC0832">
      <w:pPr>
        <w:pStyle w:val="Normal3"/>
      </w:pPr>
      <w:r>
        <w:t xml:space="preserve">Najznačajniji poslovi i zadaci na razini razdjela tijekom 2012. godine obuhvatili su obavljanje administrativnih, analitičkih, informatičkih, informativnih, protokolarnih, savjetodavnih, stručnih i upravno-pravnih poslova kojima se osigurava redovito funkcioniranje Vlade Republike Hrvatske kao nositelja izvršne vlasti, sukladno Ustavu Republike Hrvatske i zakonima, te realizaciju specifičnih vladinih programa i strategija usmjerenih na poboljšanje okruženja za razvoj civilnog društva, poboljšanje procesa donošenja akata Vlade Republike Hrvatske, unapređenje cjelokupnog sustava zaštite i promicanja ljudskih prava i prava nacionalnih manjina u Republici Hrvatskoj, suzbijanje zlouporabe droga te uklanjanje spolne diskriminacije i stvaranje uvjeta za stvarnu ravnopravnost muškaraca i žena u društvu. Navedeno ujedno predstavlja misiju razdjela. </w:t>
      </w:r>
    </w:p>
    <w:p w:rsidR="00AC0832" w:rsidRDefault="00AC0832">
      <w:pPr>
        <w:pStyle w:val="Normal3"/>
      </w:pPr>
      <w:r>
        <w:t xml:space="preserve">Vizija razdjela glasi: </w:t>
      </w:r>
    </w:p>
    <w:p w:rsidR="00AC0832" w:rsidRDefault="00AC0832">
      <w:pPr>
        <w:pStyle w:val="Normal3"/>
      </w:pPr>
      <w:r>
        <w:t xml:space="preserve">Vlada Republike Hrvatske kao dinamična, odgovorna i moderna državna institucija s maksimalnim učinkom u provođenju specifičnih vladinih programa i strategija. </w:t>
      </w:r>
    </w:p>
    <w:p w:rsidR="00AC0832" w:rsidRDefault="00AC0832">
      <w:pPr>
        <w:pStyle w:val="Normal3"/>
      </w:pPr>
      <w:r>
        <w:t xml:space="preserve">Razdjel 020 Vlada Republike Hrvatske u 2012. godini činili su sljedeći uredi:  </w:t>
      </w:r>
    </w:p>
    <w:p w:rsidR="00AC0832" w:rsidRDefault="00AC0832">
      <w:pPr>
        <w:pStyle w:val="Normal3"/>
      </w:pPr>
      <w:r>
        <w:t xml:space="preserve">Vlada Republike Hrvatske, Ured predsjednika Vlade Republike Hrvatske, Ured Vlade Republike Hrvatske za udruge, Ured zastupnika Republike Hrvatske pred Europskim sudom za ljudska prava, Stručna služba Savjeta za nacionalne manjine, Ured za nacionalne manjine, Ured za zakonodavstvo, Ured za opće poslove Hrvatskoga sabora i Vlade Republike Hrvatske, Ured za središnju javnu nabavu Vlade Republike Hrvatske, Ured za protokol Vlade RH, Ured Vlade RH za unutarnju reviziju, Direkcija za korištenje službenim zrakoplovom, Ured za odnose s javnošću, Ured za ljudska prava i prava nacionalnih manjina, Ured za socijalno partnerstvo, Ured za suzbijanje zlouporabe droga, Ured za ravnopravnost spolova, Ured za razminiranje. </w:t>
      </w:r>
    </w:p>
    <w:p w:rsidR="00AC0832" w:rsidRDefault="00AC0832">
      <w:pPr>
        <w:pStyle w:val="Normal3"/>
      </w:pPr>
      <w:r>
        <w:t>Urede je uredbom osnovala Vlada Republike Hrvatske na temelju Zakona o Vladi Republike Hrvatske i Zakona o sustavu državne uprave, radi obavljanja poslova iz svog djelokruga i odredila je njihov ustroj. Djelokrug pojedinih ureda određen je i  posebnim zakonima (Ustavni Zakon o pravima nacionalnih manjina, Zakon o sustavu unutarnjih kontrola u javnom sektoru, Zakon o medijima, Zakon o elektroničkim medijima, Zakon o suzbijanju zlouporabe opojnih droga, Zakon o ravnopravnosti spolova).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02005-Vlada Republike Hrvatske</w:t>
            </w:r>
          </w:p>
        </w:tc>
        <w:tc>
          <w:tcPr>
            <w:tcW w:w="2322" w:type="dxa"/>
          </w:tcPr>
          <w:p w:rsidR="00AC0832" w:rsidRDefault="00AC0832">
            <w:pPr>
              <w:pStyle w:val="CellColumn"/>
            </w:pPr>
            <w:r>
              <w:t>29.337.700</w:t>
            </w:r>
          </w:p>
        </w:tc>
        <w:tc>
          <w:tcPr>
            <w:tcW w:w="2322" w:type="dxa"/>
          </w:tcPr>
          <w:p w:rsidR="00AC0832" w:rsidRDefault="00AC0832">
            <w:pPr>
              <w:pStyle w:val="CellColumn"/>
            </w:pPr>
            <w:r>
              <w:t>27.575.947</w:t>
            </w:r>
          </w:p>
        </w:tc>
        <w:tc>
          <w:tcPr>
            <w:tcW w:w="2322" w:type="dxa"/>
          </w:tcPr>
          <w:p w:rsidR="00AC0832" w:rsidRDefault="00AC0832">
            <w:pPr>
              <w:pStyle w:val="CellColumn"/>
            </w:pPr>
            <w:r>
              <w:t>94,0</w:t>
            </w:r>
          </w:p>
        </w:tc>
      </w:tr>
      <w:tr w:rsidR="00AC0832" w:rsidTr="00BE20ED">
        <w:trPr>
          <w:jc w:val="center"/>
        </w:trPr>
        <w:tc>
          <w:tcPr>
            <w:tcW w:w="2322" w:type="dxa"/>
          </w:tcPr>
          <w:p w:rsidR="00AC0832" w:rsidRDefault="00AC0832">
            <w:pPr>
              <w:pStyle w:val="CellColumn"/>
            </w:pPr>
            <w:r>
              <w:t>02006-Ured predsjednika Vlade Republike Hrvatske</w:t>
            </w:r>
          </w:p>
        </w:tc>
        <w:tc>
          <w:tcPr>
            <w:tcW w:w="2322" w:type="dxa"/>
          </w:tcPr>
          <w:p w:rsidR="00AC0832" w:rsidRDefault="00AC0832">
            <w:pPr>
              <w:pStyle w:val="CellColumn"/>
            </w:pPr>
            <w:r>
              <w:t>7.781.403</w:t>
            </w:r>
          </w:p>
        </w:tc>
        <w:tc>
          <w:tcPr>
            <w:tcW w:w="2322" w:type="dxa"/>
          </w:tcPr>
          <w:p w:rsidR="00AC0832" w:rsidRDefault="00AC0832">
            <w:pPr>
              <w:pStyle w:val="CellColumn"/>
            </w:pPr>
            <w:r>
              <w:t>6.624.591</w:t>
            </w:r>
          </w:p>
        </w:tc>
        <w:tc>
          <w:tcPr>
            <w:tcW w:w="2322" w:type="dxa"/>
          </w:tcPr>
          <w:p w:rsidR="00AC0832" w:rsidRDefault="00AC0832">
            <w:pPr>
              <w:pStyle w:val="CellColumn"/>
            </w:pPr>
            <w:r>
              <w:t>85,1</w:t>
            </w:r>
          </w:p>
        </w:tc>
      </w:tr>
      <w:tr w:rsidR="00AC0832" w:rsidTr="00BE20ED">
        <w:trPr>
          <w:jc w:val="center"/>
        </w:trPr>
        <w:tc>
          <w:tcPr>
            <w:tcW w:w="2322" w:type="dxa"/>
          </w:tcPr>
          <w:p w:rsidR="00AC0832" w:rsidRDefault="00AC0832">
            <w:pPr>
              <w:pStyle w:val="CellColumn"/>
            </w:pPr>
            <w:r>
              <w:t>02010-Ured Vlade Republike Hrvatske za udruge</w:t>
            </w:r>
          </w:p>
        </w:tc>
        <w:tc>
          <w:tcPr>
            <w:tcW w:w="2322" w:type="dxa"/>
          </w:tcPr>
          <w:p w:rsidR="00AC0832" w:rsidRDefault="00AC0832">
            <w:pPr>
              <w:pStyle w:val="CellColumn"/>
            </w:pPr>
            <w:r>
              <w:t>104.317.082</w:t>
            </w:r>
          </w:p>
        </w:tc>
        <w:tc>
          <w:tcPr>
            <w:tcW w:w="2322" w:type="dxa"/>
          </w:tcPr>
          <w:p w:rsidR="00AC0832" w:rsidRDefault="00AC0832">
            <w:pPr>
              <w:pStyle w:val="CellColumn"/>
            </w:pPr>
            <w:r>
              <w:t>78.649.128</w:t>
            </w:r>
          </w:p>
        </w:tc>
        <w:tc>
          <w:tcPr>
            <w:tcW w:w="2322" w:type="dxa"/>
          </w:tcPr>
          <w:p w:rsidR="00AC0832" w:rsidRDefault="00AC0832">
            <w:pPr>
              <w:pStyle w:val="CellColumn"/>
            </w:pPr>
            <w:r>
              <w:t>75,4</w:t>
            </w:r>
          </w:p>
        </w:tc>
      </w:tr>
      <w:tr w:rsidR="00AC0832" w:rsidTr="00BE20ED">
        <w:trPr>
          <w:jc w:val="center"/>
        </w:trPr>
        <w:tc>
          <w:tcPr>
            <w:tcW w:w="2322" w:type="dxa"/>
          </w:tcPr>
          <w:p w:rsidR="00AC0832" w:rsidRDefault="00AC0832">
            <w:pPr>
              <w:pStyle w:val="CellColumn"/>
            </w:pPr>
            <w:r>
              <w:t>02015-Ured zastupnika Republike Hrvatske pred Europskim sudom za ljudska prava</w:t>
            </w:r>
          </w:p>
        </w:tc>
        <w:tc>
          <w:tcPr>
            <w:tcW w:w="2322" w:type="dxa"/>
          </w:tcPr>
          <w:p w:rsidR="00AC0832" w:rsidRDefault="00AC0832">
            <w:pPr>
              <w:pStyle w:val="CellColumn"/>
            </w:pPr>
            <w:r>
              <w:t>3.700.000</w:t>
            </w:r>
          </w:p>
        </w:tc>
        <w:tc>
          <w:tcPr>
            <w:tcW w:w="2322" w:type="dxa"/>
          </w:tcPr>
          <w:p w:rsidR="00AC0832" w:rsidRDefault="00AC0832">
            <w:pPr>
              <w:pStyle w:val="CellColumn"/>
            </w:pPr>
            <w:r>
              <w:t>3.235.312</w:t>
            </w:r>
          </w:p>
        </w:tc>
        <w:tc>
          <w:tcPr>
            <w:tcW w:w="2322" w:type="dxa"/>
          </w:tcPr>
          <w:p w:rsidR="00AC0832" w:rsidRDefault="00AC0832">
            <w:pPr>
              <w:pStyle w:val="CellColumn"/>
            </w:pPr>
            <w:r>
              <w:t>87,4</w:t>
            </w:r>
          </w:p>
        </w:tc>
      </w:tr>
      <w:tr w:rsidR="00AC0832" w:rsidTr="00BE20ED">
        <w:trPr>
          <w:jc w:val="center"/>
        </w:trPr>
        <w:tc>
          <w:tcPr>
            <w:tcW w:w="2322" w:type="dxa"/>
          </w:tcPr>
          <w:p w:rsidR="00AC0832" w:rsidRDefault="00AC0832">
            <w:pPr>
              <w:pStyle w:val="CellColumn"/>
            </w:pPr>
            <w:r>
              <w:t>02021-Stručna služba Savjeta za nacionalne manjine</w:t>
            </w:r>
          </w:p>
        </w:tc>
        <w:tc>
          <w:tcPr>
            <w:tcW w:w="2322" w:type="dxa"/>
          </w:tcPr>
          <w:p w:rsidR="00AC0832" w:rsidRDefault="00AC0832">
            <w:pPr>
              <w:pStyle w:val="CellColumn"/>
            </w:pPr>
            <w:r>
              <w:t>42.436.618</w:t>
            </w:r>
          </w:p>
        </w:tc>
        <w:tc>
          <w:tcPr>
            <w:tcW w:w="2322" w:type="dxa"/>
          </w:tcPr>
          <w:p w:rsidR="00AC0832" w:rsidRDefault="00AC0832">
            <w:pPr>
              <w:pStyle w:val="CellColumn"/>
            </w:pPr>
            <w:r>
              <w:t>42.159.476</w:t>
            </w:r>
          </w:p>
        </w:tc>
        <w:tc>
          <w:tcPr>
            <w:tcW w:w="2322" w:type="dxa"/>
          </w:tcPr>
          <w:p w:rsidR="00AC0832" w:rsidRDefault="00AC0832">
            <w:pPr>
              <w:pStyle w:val="CellColumn"/>
            </w:pPr>
            <w:r>
              <w:t>99,3</w:t>
            </w:r>
          </w:p>
        </w:tc>
      </w:tr>
      <w:tr w:rsidR="00AC0832" w:rsidTr="00BE20ED">
        <w:trPr>
          <w:jc w:val="center"/>
        </w:trPr>
        <w:tc>
          <w:tcPr>
            <w:tcW w:w="2322" w:type="dxa"/>
          </w:tcPr>
          <w:p w:rsidR="00AC0832" w:rsidRDefault="00AC0832">
            <w:pPr>
              <w:pStyle w:val="CellColumn"/>
            </w:pPr>
            <w:r>
              <w:t>02025-Ured za nacionalne manjine</w:t>
            </w:r>
          </w:p>
        </w:tc>
        <w:tc>
          <w:tcPr>
            <w:tcW w:w="2322" w:type="dxa"/>
          </w:tcPr>
          <w:p w:rsidR="00AC0832" w:rsidRDefault="00AC0832">
            <w:pPr>
              <w:pStyle w:val="CellColumn"/>
            </w:pPr>
            <w:r>
              <w:t>895.699</w:t>
            </w:r>
          </w:p>
        </w:tc>
        <w:tc>
          <w:tcPr>
            <w:tcW w:w="2322" w:type="dxa"/>
          </w:tcPr>
          <w:p w:rsidR="00AC0832" w:rsidRDefault="00AC0832">
            <w:pPr>
              <w:pStyle w:val="CellColumn"/>
            </w:pPr>
            <w:r>
              <w:t>1.028.288</w:t>
            </w:r>
          </w:p>
        </w:tc>
        <w:tc>
          <w:tcPr>
            <w:tcW w:w="2322" w:type="dxa"/>
          </w:tcPr>
          <w:p w:rsidR="00AC0832" w:rsidRDefault="00AC0832">
            <w:pPr>
              <w:pStyle w:val="CellColumn"/>
            </w:pPr>
            <w:r>
              <w:t>114,8</w:t>
            </w:r>
          </w:p>
        </w:tc>
      </w:tr>
      <w:tr w:rsidR="00AC0832" w:rsidTr="00BE20ED">
        <w:trPr>
          <w:jc w:val="center"/>
        </w:trPr>
        <w:tc>
          <w:tcPr>
            <w:tcW w:w="2322" w:type="dxa"/>
          </w:tcPr>
          <w:p w:rsidR="00AC0832" w:rsidRDefault="00AC0832">
            <w:pPr>
              <w:pStyle w:val="CellColumn"/>
            </w:pPr>
            <w:r>
              <w:t>02030-Ured za zakonodavstvo</w:t>
            </w:r>
          </w:p>
        </w:tc>
        <w:tc>
          <w:tcPr>
            <w:tcW w:w="2322" w:type="dxa"/>
          </w:tcPr>
          <w:p w:rsidR="00AC0832" w:rsidRDefault="00AC0832">
            <w:pPr>
              <w:pStyle w:val="CellColumn"/>
            </w:pPr>
            <w:r>
              <w:t>7.315.500</w:t>
            </w:r>
          </w:p>
        </w:tc>
        <w:tc>
          <w:tcPr>
            <w:tcW w:w="2322" w:type="dxa"/>
          </w:tcPr>
          <w:p w:rsidR="00AC0832" w:rsidRDefault="00AC0832">
            <w:pPr>
              <w:pStyle w:val="CellColumn"/>
            </w:pPr>
            <w:r>
              <w:t>6.162.485</w:t>
            </w:r>
          </w:p>
        </w:tc>
        <w:tc>
          <w:tcPr>
            <w:tcW w:w="2322" w:type="dxa"/>
          </w:tcPr>
          <w:p w:rsidR="00AC0832" w:rsidRDefault="00AC0832">
            <w:pPr>
              <w:pStyle w:val="CellColumn"/>
            </w:pPr>
            <w:r>
              <w:t>84,2</w:t>
            </w:r>
          </w:p>
        </w:tc>
      </w:tr>
      <w:tr w:rsidR="00AC0832" w:rsidTr="00BE20ED">
        <w:trPr>
          <w:jc w:val="center"/>
        </w:trPr>
        <w:tc>
          <w:tcPr>
            <w:tcW w:w="2322" w:type="dxa"/>
          </w:tcPr>
          <w:p w:rsidR="00AC0832" w:rsidRDefault="00AC0832">
            <w:pPr>
              <w:pStyle w:val="CellColumn"/>
            </w:pPr>
            <w:r>
              <w:t>02035-Ured za opće poslove Hrvatskoga sabora i Vlade Republike Hrvatske</w:t>
            </w:r>
          </w:p>
        </w:tc>
        <w:tc>
          <w:tcPr>
            <w:tcW w:w="2322" w:type="dxa"/>
          </w:tcPr>
          <w:p w:rsidR="00AC0832" w:rsidRDefault="00AC0832">
            <w:pPr>
              <w:pStyle w:val="CellColumn"/>
            </w:pPr>
            <w:r>
              <w:t>37.966.492</w:t>
            </w:r>
          </w:p>
        </w:tc>
        <w:tc>
          <w:tcPr>
            <w:tcW w:w="2322" w:type="dxa"/>
          </w:tcPr>
          <w:p w:rsidR="00AC0832" w:rsidRDefault="00AC0832">
            <w:pPr>
              <w:pStyle w:val="CellColumn"/>
            </w:pPr>
            <w:r>
              <w:t>35.391.939</w:t>
            </w:r>
          </w:p>
        </w:tc>
        <w:tc>
          <w:tcPr>
            <w:tcW w:w="2322" w:type="dxa"/>
          </w:tcPr>
          <w:p w:rsidR="00AC0832" w:rsidRDefault="00AC0832">
            <w:pPr>
              <w:pStyle w:val="CellColumn"/>
            </w:pPr>
            <w:r>
              <w:t>93,2</w:t>
            </w:r>
          </w:p>
        </w:tc>
      </w:tr>
      <w:tr w:rsidR="00AC0832" w:rsidTr="00BE20ED">
        <w:trPr>
          <w:jc w:val="center"/>
        </w:trPr>
        <w:tc>
          <w:tcPr>
            <w:tcW w:w="2322" w:type="dxa"/>
          </w:tcPr>
          <w:p w:rsidR="00AC0832" w:rsidRDefault="00AC0832">
            <w:pPr>
              <w:pStyle w:val="CellColumn"/>
            </w:pPr>
            <w:r>
              <w:t>02040-Ured za središnju javnu nabavu Vlade Republike Hrvatske</w:t>
            </w:r>
          </w:p>
        </w:tc>
        <w:tc>
          <w:tcPr>
            <w:tcW w:w="2322" w:type="dxa"/>
          </w:tcPr>
          <w:p w:rsidR="00AC0832" w:rsidRDefault="00AC0832">
            <w:pPr>
              <w:pStyle w:val="CellColumn"/>
            </w:pPr>
            <w:r>
              <w:t>584.352</w:t>
            </w:r>
          </w:p>
        </w:tc>
        <w:tc>
          <w:tcPr>
            <w:tcW w:w="2322" w:type="dxa"/>
          </w:tcPr>
          <w:p w:rsidR="00AC0832" w:rsidRDefault="00AC0832">
            <w:pPr>
              <w:pStyle w:val="CellColumn"/>
            </w:pPr>
            <w:r>
              <w:t>584.345</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
            </w:pPr>
            <w:r>
              <w:t>02042-Ured za protokol Vlade RH</w:t>
            </w:r>
          </w:p>
        </w:tc>
        <w:tc>
          <w:tcPr>
            <w:tcW w:w="2322" w:type="dxa"/>
          </w:tcPr>
          <w:p w:rsidR="00AC0832" w:rsidRDefault="00AC0832">
            <w:pPr>
              <w:pStyle w:val="CellColumn"/>
            </w:pPr>
            <w:r>
              <w:t>1.434.600</w:t>
            </w:r>
          </w:p>
        </w:tc>
        <w:tc>
          <w:tcPr>
            <w:tcW w:w="2322" w:type="dxa"/>
          </w:tcPr>
          <w:p w:rsidR="00AC0832" w:rsidRDefault="00AC0832">
            <w:pPr>
              <w:pStyle w:val="CellColumn"/>
            </w:pPr>
            <w:r>
              <w:t>1.143.007</w:t>
            </w:r>
          </w:p>
        </w:tc>
        <w:tc>
          <w:tcPr>
            <w:tcW w:w="2322" w:type="dxa"/>
          </w:tcPr>
          <w:p w:rsidR="00AC0832" w:rsidRDefault="00AC0832">
            <w:pPr>
              <w:pStyle w:val="CellColumn"/>
            </w:pPr>
            <w:r>
              <w:t>79,7</w:t>
            </w:r>
          </w:p>
        </w:tc>
      </w:tr>
      <w:tr w:rsidR="00AC0832" w:rsidTr="00BE20ED">
        <w:trPr>
          <w:jc w:val="center"/>
        </w:trPr>
        <w:tc>
          <w:tcPr>
            <w:tcW w:w="2322" w:type="dxa"/>
          </w:tcPr>
          <w:p w:rsidR="00AC0832" w:rsidRDefault="00AC0832">
            <w:pPr>
              <w:pStyle w:val="CellColumn"/>
            </w:pPr>
            <w:r>
              <w:t>02044-Ured Vlade RH za unutarnju reviziju</w:t>
            </w:r>
          </w:p>
        </w:tc>
        <w:tc>
          <w:tcPr>
            <w:tcW w:w="2322" w:type="dxa"/>
          </w:tcPr>
          <w:p w:rsidR="00AC0832" w:rsidRDefault="00AC0832">
            <w:pPr>
              <w:pStyle w:val="CellColumn"/>
            </w:pPr>
            <w:r>
              <w:t>1.999.271</w:t>
            </w:r>
          </w:p>
        </w:tc>
        <w:tc>
          <w:tcPr>
            <w:tcW w:w="2322" w:type="dxa"/>
          </w:tcPr>
          <w:p w:rsidR="00AC0832" w:rsidRDefault="00AC0832">
            <w:pPr>
              <w:pStyle w:val="CellColumn"/>
            </w:pPr>
            <w:r>
              <w:t>1.868.788</w:t>
            </w:r>
          </w:p>
        </w:tc>
        <w:tc>
          <w:tcPr>
            <w:tcW w:w="2322" w:type="dxa"/>
          </w:tcPr>
          <w:p w:rsidR="00AC0832" w:rsidRDefault="00AC0832">
            <w:pPr>
              <w:pStyle w:val="CellColumn"/>
            </w:pPr>
            <w:r>
              <w:t>93,5</w:t>
            </w:r>
          </w:p>
        </w:tc>
      </w:tr>
      <w:tr w:rsidR="00AC0832" w:rsidTr="00BE20ED">
        <w:trPr>
          <w:jc w:val="center"/>
        </w:trPr>
        <w:tc>
          <w:tcPr>
            <w:tcW w:w="2322" w:type="dxa"/>
          </w:tcPr>
          <w:p w:rsidR="00AC0832" w:rsidRDefault="00AC0832">
            <w:pPr>
              <w:pStyle w:val="CellColumn"/>
            </w:pPr>
            <w:r>
              <w:t>02046-Direkcija za korištenje službenim zrakoplovom</w:t>
            </w:r>
          </w:p>
        </w:tc>
        <w:tc>
          <w:tcPr>
            <w:tcW w:w="2322" w:type="dxa"/>
          </w:tcPr>
          <w:p w:rsidR="00AC0832" w:rsidRDefault="00AC0832">
            <w:pPr>
              <w:pStyle w:val="CellColumn"/>
            </w:pPr>
            <w:r>
              <w:t>6.243.600</w:t>
            </w:r>
          </w:p>
        </w:tc>
        <w:tc>
          <w:tcPr>
            <w:tcW w:w="2322" w:type="dxa"/>
          </w:tcPr>
          <w:p w:rsidR="00AC0832" w:rsidRDefault="00AC0832">
            <w:pPr>
              <w:pStyle w:val="CellColumn"/>
            </w:pPr>
            <w:r>
              <w:t>5.154.121</w:t>
            </w:r>
          </w:p>
        </w:tc>
        <w:tc>
          <w:tcPr>
            <w:tcW w:w="2322" w:type="dxa"/>
          </w:tcPr>
          <w:p w:rsidR="00AC0832" w:rsidRDefault="00AC0832">
            <w:pPr>
              <w:pStyle w:val="CellColumn"/>
            </w:pPr>
            <w:r>
              <w:t>82,6</w:t>
            </w:r>
          </w:p>
        </w:tc>
      </w:tr>
      <w:tr w:rsidR="00AC0832" w:rsidTr="00BE20ED">
        <w:trPr>
          <w:jc w:val="center"/>
        </w:trPr>
        <w:tc>
          <w:tcPr>
            <w:tcW w:w="2322" w:type="dxa"/>
          </w:tcPr>
          <w:p w:rsidR="00AC0832" w:rsidRDefault="00AC0832">
            <w:pPr>
              <w:pStyle w:val="CellColumn"/>
            </w:pPr>
            <w:r>
              <w:t>02050-Ured za odnose s javnošću</w:t>
            </w:r>
          </w:p>
        </w:tc>
        <w:tc>
          <w:tcPr>
            <w:tcW w:w="2322" w:type="dxa"/>
          </w:tcPr>
          <w:p w:rsidR="00AC0832" w:rsidRDefault="00AC0832">
            <w:pPr>
              <w:pStyle w:val="CellColumn"/>
            </w:pPr>
            <w:r>
              <w:t>381.430</w:t>
            </w:r>
          </w:p>
        </w:tc>
        <w:tc>
          <w:tcPr>
            <w:tcW w:w="2322" w:type="dxa"/>
          </w:tcPr>
          <w:p w:rsidR="00AC0832" w:rsidRDefault="00AC0832">
            <w:pPr>
              <w:pStyle w:val="CellColumn"/>
            </w:pPr>
            <w:r>
              <w:t>381.423</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
            </w:pPr>
            <w:r>
              <w:t>02087-Ured za ljudska prava i prava nacionalnih manjina</w:t>
            </w:r>
          </w:p>
        </w:tc>
        <w:tc>
          <w:tcPr>
            <w:tcW w:w="2322" w:type="dxa"/>
          </w:tcPr>
          <w:p w:rsidR="00AC0832" w:rsidRDefault="00AC0832">
            <w:pPr>
              <w:pStyle w:val="CellColumn"/>
            </w:pPr>
            <w:r>
              <w:t>19.624.496</w:t>
            </w:r>
          </w:p>
        </w:tc>
        <w:tc>
          <w:tcPr>
            <w:tcW w:w="2322" w:type="dxa"/>
          </w:tcPr>
          <w:p w:rsidR="00AC0832" w:rsidRDefault="00AC0832">
            <w:pPr>
              <w:pStyle w:val="CellColumn"/>
            </w:pPr>
            <w:r>
              <w:t>14.256.426</w:t>
            </w:r>
          </w:p>
        </w:tc>
        <w:tc>
          <w:tcPr>
            <w:tcW w:w="2322" w:type="dxa"/>
          </w:tcPr>
          <w:p w:rsidR="00AC0832" w:rsidRDefault="00AC0832">
            <w:pPr>
              <w:pStyle w:val="CellColumn"/>
            </w:pPr>
            <w:r>
              <w:t>72,6</w:t>
            </w:r>
          </w:p>
        </w:tc>
      </w:tr>
      <w:tr w:rsidR="00AC0832" w:rsidTr="00BE20ED">
        <w:trPr>
          <w:jc w:val="center"/>
        </w:trPr>
        <w:tc>
          <w:tcPr>
            <w:tcW w:w="2322" w:type="dxa"/>
          </w:tcPr>
          <w:p w:rsidR="00AC0832" w:rsidRDefault="00AC0832">
            <w:pPr>
              <w:pStyle w:val="CellColumn"/>
            </w:pPr>
            <w:r>
              <w:t>02089-Ured za socijalno partnerstvo</w:t>
            </w:r>
          </w:p>
        </w:tc>
        <w:tc>
          <w:tcPr>
            <w:tcW w:w="2322" w:type="dxa"/>
          </w:tcPr>
          <w:p w:rsidR="00AC0832" w:rsidRDefault="00AC0832">
            <w:pPr>
              <w:pStyle w:val="CellColumn"/>
            </w:pPr>
            <w:r>
              <w:t>131.039</w:t>
            </w:r>
          </w:p>
        </w:tc>
        <w:tc>
          <w:tcPr>
            <w:tcW w:w="2322" w:type="dxa"/>
          </w:tcPr>
          <w:p w:rsidR="00AC0832" w:rsidRDefault="00AC0832">
            <w:pPr>
              <w:pStyle w:val="CellColumn"/>
            </w:pPr>
            <w:r>
              <w:t>131.033</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
            </w:pPr>
            <w:r>
              <w:t>02090-Ured za suzbijanje zlouporabe droga</w:t>
            </w:r>
          </w:p>
        </w:tc>
        <w:tc>
          <w:tcPr>
            <w:tcW w:w="2322" w:type="dxa"/>
          </w:tcPr>
          <w:p w:rsidR="00AC0832" w:rsidRDefault="00AC0832">
            <w:pPr>
              <w:pStyle w:val="CellColumn"/>
            </w:pPr>
            <w:r>
              <w:t>3.754.250</w:t>
            </w:r>
          </w:p>
        </w:tc>
        <w:tc>
          <w:tcPr>
            <w:tcW w:w="2322" w:type="dxa"/>
          </w:tcPr>
          <w:p w:rsidR="00AC0832" w:rsidRDefault="00AC0832">
            <w:pPr>
              <w:pStyle w:val="CellColumn"/>
            </w:pPr>
            <w:r>
              <w:t>2.997.347</w:t>
            </w:r>
          </w:p>
        </w:tc>
        <w:tc>
          <w:tcPr>
            <w:tcW w:w="2322" w:type="dxa"/>
          </w:tcPr>
          <w:p w:rsidR="00AC0832" w:rsidRDefault="00AC0832">
            <w:pPr>
              <w:pStyle w:val="CellColumn"/>
            </w:pPr>
            <w:r>
              <w:t>79,8</w:t>
            </w:r>
          </w:p>
        </w:tc>
      </w:tr>
      <w:tr w:rsidR="00AC0832" w:rsidTr="00BE20ED">
        <w:trPr>
          <w:jc w:val="center"/>
        </w:trPr>
        <w:tc>
          <w:tcPr>
            <w:tcW w:w="2322" w:type="dxa"/>
          </w:tcPr>
          <w:p w:rsidR="00AC0832" w:rsidRDefault="00AC0832">
            <w:pPr>
              <w:pStyle w:val="CellColumn"/>
            </w:pPr>
            <w:r>
              <w:t>02092-Ured za ravnopravnost spolova</w:t>
            </w:r>
          </w:p>
        </w:tc>
        <w:tc>
          <w:tcPr>
            <w:tcW w:w="2322" w:type="dxa"/>
          </w:tcPr>
          <w:p w:rsidR="00AC0832" w:rsidRDefault="00AC0832">
            <w:pPr>
              <w:pStyle w:val="CellColumn"/>
            </w:pPr>
            <w:r>
              <w:t>2.078.600</w:t>
            </w:r>
          </w:p>
        </w:tc>
        <w:tc>
          <w:tcPr>
            <w:tcW w:w="2322" w:type="dxa"/>
          </w:tcPr>
          <w:p w:rsidR="00AC0832" w:rsidRDefault="00AC0832">
            <w:pPr>
              <w:pStyle w:val="CellColumn"/>
            </w:pPr>
            <w:r>
              <w:t>1.837.125</w:t>
            </w:r>
          </w:p>
        </w:tc>
        <w:tc>
          <w:tcPr>
            <w:tcW w:w="2322" w:type="dxa"/>
          </w:tcPr>
          <w:p w:rsidR="00AC0832" w:rsidRDefault="00AC0832">
            <w:pPr>
              <w:pStyle w:val="CellColumn"/>
            </w:pPr>
            <w:r>
              <w:t>88,4</w:t>
            </w:r>
          </w:p>
        </w:tc>
      </w:tr>
      <w:tr w:rsidR="00AC0832" w:rsidTr="00BE20ED">
        <w:trPr>
          <w:jc w:val="center"/>
        </w:trPr>
        <w:tc>
          <w:tcPr>
            <w:tcW w:w="2322" w:type="dxa"/>
          </w:tcPr>
          <w:p w:rsidR="00AC0832" w:rsidRDefault="00AC0832">
            <w:pPr>
              <w:pStyle w:val="CellColumn"/>
            </w:pPr>
            <w:r>
              <w:t>02099-Ured za razminiranje</w:t>
            </w:r>
          </w:p>
        </w:tc>
        <w:tc>
          <w:tcPr>
            <w:tcW w:w="2322" w:type="dxa"/>
          </w:tcPr>
          <w:p w:rsidR="00AC0832" w:rsidRDefault="00AC0832">
            <w:pPr>
              <w:pStyle w:val="CellColumn"/>
            </w:pPr>
            <w:r>
              <w:t>910.700</w:t>
            </w:r>
          </w:p>
        </w:tc>
        <w:tc>
          <w:tcPr>
            <w:tcW w:w="2322" w:type="dxa"/>
          </w:tcPr>
          <w:p w:rsidR="00AC0832" w:rsidRDefault="00AC0832">
            <w:pPr>
              <w:pStyle w:val="CellColumn"/>
            </w:pPr>
            <w:r>
              <w:t>671.022</w:t>
            </w:r>
          </w:p>
        </w:tc>
        <w:tc>
          <w:tcPr>
            <w:tcW w:w="2322" w:type="dxa"/>
          </w:tcPr>
          <w:p w:rsidR="00AC0832" w:rsidRDefault="00AC0832">
            <w:pPr>
              <w:pStyle w:val="CellColumn"/>
            </w:pPr>
            <w:r>
              <w:t>73,7</w:t>
            </w:r>
          </w:p>
        </w:tc>
      </w:tr>
      <w:tr w:rsidR="00AC0832" w:rsidTr="00BE20ED">
        <w:trPr>
          <w:jc w:val="center"/>
        </w:trPr>
        <w:tc>
          <w:tcPr>
            <w:tcW w:w="2322" w:type="dxa"/>
            <w:shd w:val="clear" w:color="auto" w:fill="B5C0D8"/>
          </w:tcPr>
          <w:p w:rsidR="00AC0832" w:rsidRDefault="00AC0832">
            <w:pPr>
              <w:pStyle w:val="CellColumn"/>
            </w:pPr>
            <w:r>
              <w:t>Ukupno 020-VLADA REPUBLIKE HRVATSKE</w:t>
            </w:r>
          </w:p>
        </w:tc>
        <w:tc>
          <w:tcPr>
            <w:tcW w:w="2322" w:type="dxa"/>
            <w:shd w:val="clear" w:color="auto" w:fill="B5C0D8"/>
          </w:tcPr>
          <w:p w:rsidR="00AC0832" w:rsidRDefault="00AC0832">
            <w:pPr>
              <w:pStyle w:val="CellColumn"/>
            </w:pPr>
            <w:r>
              <w:t>270.892.832</w:t>
            </w:r>
          </w:p>
        </w:tc>
        <w:tc>
          <w:tcPr>
            <w:tcW w:w="2322" w:type="dxa"/>
            <w:shd w:val="clear" w:color="auto" w:fill="B5C0D8"/>
          </w:tcPr>
          <w:p w:rsidR="00AC0832" w:rsidRDefault="00AC0832">
            <w:pPr>
              <w:pStyle w:val="CellColumn"/>
            </w:pPr>
            <w:r>
              <w:t>229.851.801</w:t>
            </w:r>
          </w:p>
        </w:tc>
        <w:tc>
          <w:tcPr>
            <w:tcW w:w="2322" w:type="dxa"/>
            <w:shd w:val="clear" w:color="auto" w:fill="B5C0D8"/>
          </w:tcPr>
          <w:p w:rsidR="00AC0832" w:rsidRDefault="00AC0832">
            <w:pPr>
              <w:pStyle w:val="CellColumn"/>
            </w:pPr>
            <w:r>
              <w:t>84,8</w:t>
            </w:r>
          </w:p>
        </w:tc>
      </w:tr>
    </w:tbl>
    <w:p w:rsidR="00AC0832" w:rsidRDefault="00AC0832">
      <w:pPr>
        <w:jc w:val="left"/>
      </w:pPr>
    </w:p>
    <w:p w:rsidR="00AC0832" w:rsidRDefault="00AC0832">
      <w:pPr>
        <w:pStyle w:val="Heading2"/>
      </w:pPr>
      <w:r>
        <w:t>02005 Vlada Republike Hrvatske</w:t>
      </w:r>
    </w:p>
    <w:p w:rsidR="00AC0832" w:rsidRDefault="00AC0832">
      <w:pPr>
        <w:pStyle w:val="Heading4"/>
      </w:pPr>
      <w:r>
        <w:t>Uvod</w:t>
      </w:r>
    </w:p>
    <w:p w:rsidR="00AC0832" w:rsidRDefault="00AC0832">
      <w:pPr>
        <w:pStyle w:val="Normal3"/>
      </w:pPr>
      <w:r>
        <w:t xml:space="preserve">Sukladno Poslovniku Vlade Republike Hrvatske te Zakonu o Vladi Republike Hrvatske ustrojava se proračunska glava 05 Vlada Republike Hrvatske kojom upravlja glavna tajnica. U Glavnom tajništvu ustrojavaju se: Ured glavne tajnice, Ured potpredsjednika Vlade koji nije čelnik ministarstva, uredi radnih tijela Vlade, Služba razvoja i održavanja tehničkih sustava Vlade, Služba administrativnih, općih, tehničkih i pomoćnih poslova.  </w:t>
      </w:r>
    </w:p>
    <w:p w:rsidR="00AC0832" w:rsidRDefault="00AC0832">
      <w:pPr>
        <w:pStyle w:val="Normal3"/>
      </w:pPr>
      <w:r>
        <w:t>Glavno tajništvo Vlade Republike Hrvatske obavlja stručne, analitičke, upravno-pravne, administrativne, opće, tehničke, pomoćne i informatičke poslove za potrebe Vlade, te potpredsjednika i članova Vlade. Za Ured predsjednika Vlade Republike Hrvatske, Glavno tajništvo obavlja opće, tehničke, pomoćne i informatičke poslove.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02005-Vlada Republike Hrvatske</w:t>
            </w:r>
          </w:p>
        </w:tc>
        <w:tc>
          <w:tcPr>
            <w:tcW w:w="2322" w:type="dxa"/>
          </w:tcPr>
          <w:p w:rsidR="00AC0832" w:rsidRDefault="00AC0832">
            <w:pPr>
              <w:pStyle w:val="CellColumn"/>
            </w:pPr>
            <w:r>
              <w:t>29.337.700</w:t>
            </w:r>
          </w:p>
        </w:tc>
        <w:tc>
          <w:tcPr>
            <w:tcW w:w="2322" w:type="dxa"/>
          </w:tcPr>
          <w:p w:rsidR="00AC0832" w:rsidRDefault="00AC0832">
            <w:pPr>
              <w:pStyle w:val="CellColumn"/>
            </w:pPr>
            <w:r>
              <w:t>27.575.947</w:t>
            </w:r>
          </w:p>
        </w:tc>
        <w:tc>
          <w:tcPr>
            <w:tcW w:w="2322" w:type="dxa"/>
          </w:tcPr>
          <w:p w:rsidR="00AC0832" w:rsidRDefault="00AC0832">
            <w:pPr>
              <w:pStyle w:val="CellColumn"/>
            </w:pPr>
            <w:r>
              <w:t>94,0</w:t>
            </w:r>
          </w:p>
        </w:tc>
      </w:tr>
      <w:tr w:rsidR="00AC0832" w:rsidTr="00BE20ED">
        <w:trPr>
          <w:jc w:val="center"/>
        </w:trPr>
        <w:tc>
          <w:tcPr>
            <w:tcW w:w="2322" w:type="dxa"/>
          </w:tcPr>
          <w:p w:rsidR="00AC0832" w:rsidRDefault="00AC0832">
            <w:pPr>
              <w:pStyle w:val="CellColumnSmall"/>
            </w:pPr>
            <w:r>
              <w:t>2107-PRUŽANJE PODRŠKE RADU VLADE REPUBLIKE HRVATSKE</w:t>
            </w:r>
          </w:p>
        </w:tc>
        <w:tc>
          <w:tcPr>
            <w:tcW w:w="2322" w:type="dxa"/>
          </w:tcPr>
          <w:p w:rsidR="00AC0832" w:rsidRDefault="00AC0832">
            <w:pPr>
              <w:pStyle w:val="CellColumnSmall"/>
            </w:pPr>
            <w:r>
              <w:t>29.337.700</w:t>
            </w:r>
          </w:p>
        </w:tc>
        <w:tc>
          <w:tcPr>
            <w:tcW w:w="2322" w:type="dxa"/>
          </w:tcPr>
          <w:p w:rsidR="00AC0832" w:rsidRDefault="00AC0832">
            <w:pPr>
              <w:pStyle w:val="CellColumnSmall"/>
            </w:pPr>
            <w:r>
              <w:t>27.575.947</w:t>
            </w:r>
          </w:p>
        </w:tc>
        <w:tc>
          <w:tcPr>
            <w:tcW w:w="2322" w:type="dxa"/>
          </w:tcPr>
          <w:p w:rsidR="00AC0832" w:rsidRDefault="00AC0832">
            <w:pPr>
              <w:pStyle w:val="CellColumnSmall"/>
            </w:pPr>
            <w:r>
              <w:t>94,0</w:t>
            </w:r>
          </w:p>
        </w:tc>
      </w:tr>
    </w:tbl>
    <w:p w:rsidR="00AC0832" w:rsidRDefault="00AC0832">
      <w:pPr>
        <w:jc w:val="left"/>
      </w:pPr>
    </w:p>
    <w:p w:rsidR="00AC0832" w:rsidRDefault="00AC0832">
      <w:pPr>
        <w:pStyle w:val="Heading4"/>
      </w:pPr>
      <w:r>
        <w:t>OBRAZLOŽENJE PROGRAMA</w:t>
      </w:r>
    </w:p>
    <w:p w:rsidR="00AC0832" w:rsidRDefault="00AC0832">
      <w:pPr>
        <w:pStyle w:val="Heading5"/>
      </w:pPr>
      <w:r>
        <w:t>2107 PRUŽANJE PODRŠKE RADU VLADE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2107-PRUŽANJE PODRŠKE RADU VLADE REPUBLIKE HRVATSKE</w:t>
            </w:r>
          </w:p>
        </w:tc>
        <w:tc>
          <w:tcPr>
            <w:tcW w:w="2322" w:type="dxa"/>
          </w:tcPr>
          <w:p w:rsidR="00AC0832" w:rsidRDefault="00AC0832">
            <w:pPr>
              <w:pStyle w:val="CellColumn"/>
            </w:pPr>
            <w:r>
              <w:t>29.337.700</w:t>
            </w:r>
          </w:p>
        </w:tc>
        <w:tc>
          <w:tcPr>
            <w:tcW w:w="2322" w:type="dxa"/>
          </w:tcPr>
          <w:p w:rsidR="00AC0832" w:rsidRDefault="00AC0832">
            <w:pPr>
              <w:pStyle w:val="CellColumn"/>
            </w:pPr>
            <w:r>
              <w:t>27.575.947</w:t>
            </w:r>
          </w:p>
        </w:tc>
        <w:tc>
          <w:tcPr>
            <w:tcW w:w="2322" w:type="dxa"/>
          </w:tcPr>
          <w:p w:rsidR="00AC0832" w:rsidRDefault="00AC0832">
            <w:pPr>
              <w:pStyle w:val="CellColumn"/>
            </w:pPr>
            <w:r>
              <w:t>94,0</w:t>
            </w:r>
          </w:p>
        </w:tc>
      </w:tr>
    </w:tbl>
    <w:p w:rsidR="00AC0832" w:rsidRDefault="00AC0832">
      <w:pPr>
        <w:jc w:val="left"/>
      </w:pPr>
    </w:p>
    <w:p w:rsidR="00AC0832" w:rsidRDefault="00AC0832">
      <w:pPr>
        <w:pStyle w:val="Heading6"/>
      </w:pPr>
      <w:r>
        <w:t>Opis programa</w:t>
      </w:r>
    </w:p>
    <w:p w:rsidR="00AC0832" w:rsidRDefault="00AC0832">
      <w:pPr>
        <w:pStyle w:val="Normal5"/>
      </w:pPr>
      <w:r>
        <w:t>Pružanje podrške radu Vlade Republike Hrvatske od strane Glavnog tajništva podrazumijeva obavljanje stručnih, analitičkih, upravno-pravnih, administrativnih i informatičkih poslova; stručnu i administrativno-tehničku pripremu materijala za raspravu i odlučivanje na sjednicama stručnih radnih skupina i radnih tijela Vlade, Užeg kabineta Vlade i sjednicama Vlade; sazivanje i održavanje sjednica stručnih radnih skupina i radnih tijela Vlade te sjednica Vlade; praćenje tijeka sjednica stručnih radnih skupina i radnih tijela Vlade i sjednica Vlade; izradu zaključaka i stajališta stručnih radnih skupina i radnih tijela Vlade; izradu i otpremanje akata koje donosi Vlada; brigu o objavljivanju akata Vlade; izradu zapisnika sa sjednica Vlade; brigu o izvršavanju obveza Vlade prema Hrvatskome saboru, te administrativne, opće, tehničke i pomoćne poslove.</w:t>
      </w:r>
    </w:p>
    <w:p w:rsidR="00AC0832" w:rsidRDefault="00AC0832">
      <w:pPr>
        <w:pStyle w:val="Heading6"/>
      </w:pPr>
      <w:r>
        <w:t>Zakonske i druge pravne osnove</w:t>
      </w:r>
    </w:p>
    <w:p w:rsidR="00AC0832" w:rsidRDefault="00AC0832">
      <w:pPr>
        <w:pStyle w:val="Normal5"/>
      </w:pPr>
      <w:r>
        <w:t>Glavno tajništvo obavlja poslove u skladu sa Zakonom o Vladi Republike Hrvatske i Poslovnikom Vlade Republike Hrvatske, u skladu sa zaključcima i drugim aktima Vlade Republike Hrvatske, te po uputama predsjednika, potpredsjednika i glavne tajnice Vlade.</w:t>
      </w:r>
    </w:p>
    <w:p w:rsidR="00AC0832" w:rsidRDefault="00AC0832">
      <w:pPr>
        <w:pStyle w:val="Heading7"/>
      </w:pPr>
      <w:r>
        <w:t>Cilj 1. Kontinuitet i poboljšanje efikasnosti Vlade Republike Hrvatske</w:t>
      </w:r>
    </w:p>
    <w:p w:rsidR="00AC0832" w:rsidRDefault="00AC0832">
      <w:pPr>
        <w:pStyle w:val="Heading8"/>
        <w:jc w:val="left"/>
      </w:pPr>
      <w:r>
        <w:t>Opis provedbe cilja programa</w:t>
      </w:r>
    </w:p>
    <w:p w:rsidR="00AC0832" w:rsidRDefault="00AC0832">
      <w:pPr>
        <w:pStyle w:val="Normal6"/>
      </w:pPr>
      <w:r>
        <w:t xml:space="preserve">Koordinacijom rada stručnih radnih skupina i radnih tijela Vlade osigurava se kontinuirano funkcioniranje te poboljšava efikasnosti Vlade Republike Hrvatske kao nositelja izvršne vlasti, sukladno Ustavu Republike Hrvatske i zakonima. </w:t>
      </w:r>
    </w:p>
    <w:p w:rsidR="00AC0832" w:rsidRDefault="00AC0832">
      <w:pPr>
        <w:pStyle w:val="Normal6"/>
      </w:pPr>
      <w:r>
        <w:t xml:space="preserve">Brojčani podaci o radu Vlade Republike Hrvatske u razdoblju 01.01. - 31.12.2012. godine: </w:t>
      </w:r>
    </w:p>
    <w:p w:rsidR="00AC0832" w:rsidRDefault="00AC0832">
      <w:pPr>
        <w:pStyle w:val="Normal6"/>
      </w:pPr>
      <w:r>
        <w:t xml:space="preserve">1.BROJ ODRŽANIH SJEDNICA VLADE REPUBLIKE HRVATSKE 68 </w:t>
      </w:r>
    </w:p>
    <w:p w:rsidR="00AC0832" w:rsidRDefault="00AC0832">
      <w:pPr>
        <w:pStyle w:val="Normal6"/>
      </w:pPr>
      <w:r>
        <w:t xml:space="preserve">-broj otvorenih sjednica sa zatvorenim dijelom 48 </w:t>
      </w:r>
    </w:p>
    <w:p w:rsidR="00AC0832" w:rsidRDefault="00AC0832">
      <w:pPr>
        <w:pStyle w:val="Normal6"/>
      </w:pPr>
      <w:r>
        <w:t xml:space="preserve">-broj samo otvorenih sjednica 3 </w:t>
      </w:r>
    </w:p>
    <w:p w:rsidR="00AC0832" w:rsidRDefault="00AC0832">
      <w:pPr>
        <w:pStyle w:val="Normal6"/>
      </w:pPr>
      <w:r>
        <w:t xml:space="preserve">-broj samo zatvorenih sjednica 0 </w:t>
      </w:r>
    </w:p>
    <w:p w:rsidR="00AC0832" w:rsidRDefault="00AC0832">
      <w:pPr>
        <w:pStyle w:val="Normal6"/>
      </w:pPr>
      <w:r>
        <w:t xml:space="preserve">-broj telefonskih sjednica 17 </w:t>
      </w:r>
    </w:p>
    <w:p w:rsidR="00AC0832" w:rsidRDefault="00AC0832">
      <w:pPr>
        <w:pStyle w:val="Normal6"/>
      </w:pPr>
      <w:r>
        <w:t xml:space="preserve">-broj sjednica izvan sjedišta Vlade Republike Hrvatske 0 </w:t>
      </w:r>
    </w:p>
    <w:p w:rsidR="00AC0832" w:rsidRDefault="00AC0832">
      <w:pPr>
        <w:pStyle w:val="Normal6"/>
      </w:pPr>
      <w:r>
        <w:t xml:space="preserve">-broj svečanih sjednica 1 </w:t>
      </w:r>
    </w:p>
    <w:p w:rsidR="00AC0832" w:rsidRDefault="00AC0832">
      <w:pPr>
        <w:pStyle w:val="Normal6"/>
      </w:pPr>
      <w:r>
        <w:t xml:space="preserve">-broj sjednica s vladama drugih država 0 </w:t>
      </w:r>
    </w:p>
    <w:p w:rsidR="00AC0832" w:rsidRDefault="00AC0832">
      <w:pPr>
        <w:pStyle w:val="Normal6"/>
      </w:pPr>
      <w:r>
        <w:t xml:space="preserve"> </w:t>
      </w:r>
    </w:p>
    <w:p w:rsidR="00AC0832" w:rsidRDefault="00AC0832">
      <w:pPr>
        <w:pStyle w:val="Normal6"/>
      </w:pPr>
      <w:r>
        <w:t xml:space="preserve">2.UKUPAN BROJ TOČAKA DNEVNOG REDA 1371 </w:t>
      </w:r>
    </w:p>
    <w:p w:rsidR="00AC0832" w:rsidRDefault="00AC0832">
      <w:pPr>
        <w:pStyle w:val="Normal6"/>
      </w:pPr>
      <w:r>
        <w:t xml:space="preserve">2.1.-  od toga točaka dnevnog reda s oznakom usklađenosti sa zakonodavstvom EU 96 </w:t>
      </w:r>
    </w:p>
    <w:p w:rsidR="00AC0832" w:rsidRDefault="00AC0832">
      <w:pPr>
        <w:pStyle w:val="Normal6"/>
      </w:pPr>
      <w:r>
        <w:t xml:space="preserve">-od toga skinutih točaka s dnevnog reda 4 </w:t>
      </w:r>
    </w:p>
    <w:p w:rsidR="00AC0832" w:rsidRDefault="00AC0832">
      <w:pPr>
        <w:pStyle w:val="Normal6"/>
      </w:pPr>
      <w:r>
        <w:t xml:space="preserve">-od toga povučenih iz procedure 0 </w:t>
      </w:r>
    </w:p>
    <w:p w:rsidR="00AC0832" w:rsidRDefault="00AC0832">
      <w:pPr>
        <w:pStyle w:val="Normal6"/>
      </w:pPr>
      <w:r>
        <w:t>2.2.-  od toga na otvorenim sjednicama i otvorenom dijelu sjednica</w:t>
      </w:r>
      <w:r>
        <w:tab/>
        <w:t xml:space="preserve">1160 </w:t>
      </w:r>
    </w:p>
    <w:p w:rsidR="00AC0832" w:rsidRDefault="00AC0832">
      <w:pPr>
        <w:pStyle w:val="Normal6"/>
      </w:pPr>
      <w:r>
        <w:t xml:space="preserve">-od toga na zatvorenim sjednicama i zatvorenom dijelu sjednica 192 </w:t>
      </w:r>
    </w:p>
    <w:p w:rsidR="00AC0832" w:rsidRDefault="00AC0832">
      <w:pPr>
        <w:pStyle w:val="Normal6"/>
      </w:pPr>
      <w:r>
        <w:t xml:space="preserve">-od toga na telefonskim sjednicama 19 </w:t>
      </w:r>
    </w:p>
    <w:p w:rsidR="00AC0832" w:rsidRDefault="00AC0832">
      <w:pPr>
        <w:pStyle w:val="Normal6"/>
      </w:pPr>
      <w:r>
        <w:t xml:space="preserve"> </w:t>
      </w:r>
    </w:p>
    <w:p w:rsidR="00AC0832" w:rsidRDefault="00AC0832">
      <w:pPr>
        <w:pStyle w:val="Normal6"/>
      </w:pPr>
      <w:r>
        <w:t xml:space="preserve">3.UKUPNO TRAJANJE SJEDNICA </w:t>
      </w:r>
    </w:p>
    <w:p w:rsidR="00AC0832" w:rsidRDefault="00AC0832">
      <w:pPr>
        <w:pStyle w:val="Normal6"/>
      </w:pPr>
      <w:r>
        <w:tab/>
        <w:t xml:space="preserve">                                                                 Sati</w:t>
      </w:r>
      <w:r>
        <w:tab/>
        <w:t xml:space="preserve">Minuta </w:t>
      </w:r>
    </w:p>
    <w:p w:rsidR="00AC0832" w:rsidRDefault="00AC0832">
      <w:pPr>
        <w:pStyle w:val="Normal6"/>
      </w:pPr>
      <w:r>
        <w:t>Ukupno</w:t>
      </w:r>
      <w:r>
        <w:tab/>
        <w:t xml:space="preserve">                                                     78</w:t>
      </w:r>
      <w:r>
        <w:tab/>
        <w:t xml:space="preserve">     35 </w:t>
      </w:r>
    </w:p>
    <w:p w:rsidR="00AC0832" w:rsidRDefault="00AC0832">
      <w:pPr>
        <w:pStyle w:val="Normal6"/>
      </w:pPr>
      <w:r>
        <w:t>- od toga na otvorenim sjednicama i</w:t>
      </w:r>
      <w:r>
        <w:tab/>
        <w:t xml:space="preserve">              56</w:t>
      </w:r>
      <w:r>
        <w:tab/>
        <w:t xml:space="preserve">     55 </w:t>
      </w:r>
    </w:p>
    <w:p w:rsidR="00AC0832" w:rsidRDefault="00AC0832">
      <w:pPr>
        <w:pStyle w:val="Normal6"/>
      </w:pPr>
      <w:r>
        <w:t>otvorenom dijelu sjednica</w:t>
      </w:r>
      <w:r>
        <w:tab/>
      </w:r>
      <w:r>
        <w:tab/>
        <w:t xml:space="preserve"> </w:t>
      </w:r>
    </w:p>
    <w:p w:rsidR="00AC0832" w:rsidRDefault="00AC0832">
      <w:pPr>
        <w:pStyle w:val="Normal6"/>
      </w:pPr>
      <w:r>
        <w:t>- od toga na zatvorenim sjednicama i</w:t>
      </w:r>
      <w:r>
        <w:tab/>
        <w:t xml:space="preserve">  21</w:t>
      </w:r>
      <w:r>
        <w:tab/>
        <w:t xml:space="preserve">     40 </w:t>
      </w:r>
    </w:p>
    <w:p w:rsidR="00AC0832" w:rsidRDefault="00AC0832">
      <w:pPr>
        <w:pStyle w:val="Normal6"/>
      </w:pPr>
      <w:r>
        <w:t>zatvorenom dijelu sjednica</w:t>
      </w:r>
      <w:r>
        <w:tab/>
      </w:r>
      <w:r>
        <w:tab/>
        <w:t xml:space="preserve"> </w:t>
      </w:r>
    </w:p>
    <w:p w:rsidR="00AC0832" w:rsidRDefault="00AC0832">
      <w:pPr>
        <w:pStyle w:val="Normal6"/>
      </w:pPr>
      <w:r>
        <w:t xml:space="preserve">4.  UKUPAN BROJ ZAKONA KOJE JE HRVATSKI SABOR DONIO NA PRIJEDLOG VLADE 188 </w:t>
      </w:r>
    </w:p>
    <w:p w:rsidR="00AC0832" w:rsidRDefault="00AC0832">
      <w:pPr>
        <w:pStyle w:val="Normal6"/>
      </w:pPr>
      <w:r>
        <w:t xml:space="preserve">-   od toga zakoni kojima je usklađeno zakonodavstvo Republike Hrvatske sa zakonodavstvom  </w:t>
      </w:r>
    </w:p>
    <w:p w:rsidR="00AC0832" w:rsidRDefault="00AC0832">
      <w:pPr>
        <w:pStyle w:val="Normal6"/>
      </w:pPr>
      <w:r>
        <w:t xml:space="preserve">Europske unije 37  </w:t>
      </w:r>
    </w:p>
    <w:p w:rsidR="00AC0832" w:rsidRDefault="00AC0832">
      <w:pPr>
        <w:pStyle w:val="Normal6"/>
      </w:pPr>
      <w:r>
        <w:t xml:space="preserve">-   od toga potvrđenih međunarodnih ugovora 28 </w:t>
      </w:r>
    </w:p>
    <w:p w:rsidR="00AC0832" w:rsidRDefault="00AC0832">
      <w:pPr>
        <w:pStyle w:val="Normal6"/>
      </w:pPr>
      <w:r>
        <w:t xml:space="preserve">  </w:t>
      </w:r>
    </w:p>
    <w:p w:rsidR="00AC0832" w:rsidRDefault="00AC0832">
      <w:pPr>
        <w:pStyle w:val="Normal6"/>
      </w:pPr>
      <w:r>
        <w:t xml:space="preserve">5.UKUPAN BROJ DONESENIH AKATA VLADE 2882 </w:t>
      </w:r>
    </w:p>
    <w:p w:rsidR="00AC0832" w:rsidRDefault="00AC0832">
      <w:pPr>
        <w:pStyle w:val="Normal6"/>
      </w:pPr>
      <w:r>
        <w:t xml:space="preserve">-od toga donesenih akata usklađenih sa zakonodavstvom EU 84 </w:t>
      </w:r>
    </w:p>
    <w:p w:rsidR="00AC0832" w:rsidRDefault="00AC0832">
      <w:pPr>
        <w:pStyle w:val="Normal6"/>
      </w:pPr>
      <w:r>
        <w:t xml:space="preserve">5.1.ukupan broj utvrđenih zakonskih prijedloga 255 </w:t>
      </w:r>
    </w:p>
    <w:p w:rsidR="00AC0832" w:rsidRDefault="00AC0832">
      <w:pPr>
        <w:pStyle w:val="Normal6"/>
      </w:pPr>
      <w:r>
        <w:t xml:space="preserve">-od toga zakonskih prijedloga kojima se zakonodavstvo Republike Hrvatske usklađuje sa  </w:t>
      </w:r>
    </w:p>
    <w:p w:rsidR="00AC0832" w:rsidRDefault="00AC0832">
      <w:pPr>
        <w:pStyle w:val="Normal6"/>
      </w:pPr>
      <w:r>
        <w:t xml:space="preserve">zakonodavstvom EU 45 </w:t>
      </w:r>
    </w:p>
    <w:p w:rsidR="00AC0832" w:rsidRDefault="00AC0832">
      <w:pPr>
        <w:pStyle w:val="Normal6"/>
      </w:pPr>
      <w:r>
        <w:t xml:space="preserve">5.2.uredbi 185 </w:t>
      </w:r>
    </w:p>
    <w:p w:rsidR="00AC0832" w:rsidRDefault="00AC0832">
      <w:pPr>
        <w:pStyle w:val="Normal6"/>
      </w:pPr>
      <w:r>
        <w:t xml:space="preserve">-od toga uredbe usklađene sa zakonodavstvom EU 18 </w:t>
      </w:r>
    </w:p>
    <w:p w:rsidR="00AC0832" w:rsidRDefault="00AC0832">
      <w:pPr>
        <w:pStyle w:val="Normal6"/>
      </w:pPr>
      <w:r>
        <w:t xml:space="preserve">-od toga uredbe donesene na temelju zakonske ovlasti 5 </w:t>
      </w:r>
    </w:p>
    <w:p w:rsidR="00AC0832" w:rsidRDefault="00AC0832">
      <w:pPr>
        <w:pStyle w:val="Normal6"/>
      </w:pPr>
      <w:r>
        <w:t xml:space="preserve">5.3.odluka 680 </w:t>
      </w:r>
    </w:p>
    <w:p w:rsidR="00AC0832" w:rsidRDefault="00AC0832">
      <w:pPr>
        <w:pStyle w:val="Normal6"/>
      </w:pPr>
      <w:r>
        <w:t xml:space="preserve">-od toga odluke usklađene sa zakonodavstvom EU 9 </w:t>
      </w:r>
    </w:p>
    <w:p w:rsidR="00AC0832" w:rsidRDefault="00AC0832">
      <w:pPr>
        <w:pStyle w:val="Normal6"/>
      </w:pPr>
      <w:r>
        <w:t xml:space="preserve">5.4.prijedlozi odluka 101 </w:t>
      </w:r>
    </w:p>
    <w:p w:rsidR="00AC0832" w:rsidRDefault="00AC0832">
      <w:pPr>
        <w:pStyle w:val="Normal6"/>
      </w:pPr>
      <w:r>
        <w:t xml:space="preserve">-od toga prijedlozi odluka usklađenih sa zakonodavstvom EU 0 </w:t>
      </w:r>
    </w:p>
    <w:p w:rsidR="00AC0832" w:rsidRDefault="00AC0832">
      <w:pPr>
        <w:pStyle w:val="Normal6"/>
      </w:pPr>
      <w:r>
        <w:t xml:space="preserve">5.5.zaključaka 675 </w:t>
      </w:r>
    </w:p>
    <w:p w:rsidR="00AC0832" w:rsidRDefault="00AC0832">
      <w:pPr>
        <w:pStyle w:val="Normal6"/>
      </w:pPr>
      <w:r>
        <w:t xml:space="preserve">-od toga zaključaka usklađenih sa zakonodavstvom EU 12 </w:t>
      </w:r>
    </w:p>
    <w:p w:rsidR="00AC0832" w:rsidRDefault="00AC0832">
      <w:pPr>
        <w:pStyle w:val="Normal6"/>
      </w:pPr>
      <w:r>
        <w:t xml:space="preserve">5.6.rješenja 986 </w:t>
      </w:r>
    </w:p>
    <w:p w:rsidR="00AC0832" w:rsidRDefault="00AC0832">
      <w:pPr>
        <w:pStyle w:val="Normal6"/>
      </w:pPr>
      <w:r>
        <w:t xml:space="preserve"> </w:t>
      </w:r>
    </w:p>
    <w:p w:rsidR="00AC0832" w:rsidRDefault="00AC0832">
      <w:pPr>
        <w:pStyle w:val="Normal6"/>
      </w:pPr>
      <w:r>
        <w:t xml:space="preserve">6.UKUPAN BROJ RAZMOTRENIH STRATEŠKIH I ANALITIČKIH MATERIJALA, TE INFORMACIJA 42 </w:t>
      </w:r>
    </w:p>
    <w:p w:rsidR="00AC0832" w:rsidRDefault="00AC0832">
      <w:pPr>
        <w:pStyle w:val="Normal6"/>
      </w:pPr>
      <w:r>
        <w:t xml:space="preserve">-od toga razmotrenih strateških i analitičkih materijala, te informacija usklađenih sa zakonodavstvom EU 2 </w:t>
      </w:r>
    </w:p>
    <w:p w:rsidR="00AC0832" w:rsidRDefault="00AC0832">
      <w:pPr>
        <w:pStyle w:val="Normal6"/>
      </w:pPr>
      <w:r>
        <w:t xml:space="preserve"> </w:t>
      </w:r>
    </w:p>
    <w:p w:rsidR="00AC0832" w:rsidRDefault="00AC0832">
      <w:pPr>
        <w:pStyle w:val="Normal6"/>
      </w:pPr>
      <w:r>
        <w:t xml:space="preserve">7.UKUPAN BROJ RAZMOTRENIH IZVJEŠĆA 21 </w:t>
      </w:r>
    </w:p>
    <w:p w:rsidR="00AC0832" w:rsidRDefault="00AC0832">
      <w:pPr>
        <w:pStyle w:val="Normal6"/>
      </w:pPr>
      <w:r>
        <w:t xml:space="preserve">-od toga razmotrenih izvješća usklađenih sa zakonodavstvom EU 2 </w:t>
      </w:r>
    </w:p>
    <w:p w:rsidR="00AC0832" w:rsidRDefault="00AC0832">
      <w:pPr>
        <w:pStyle w:val="Normal6"/>
      </w:pPr>
      <w:r>
        <w:t xml:space="preserve"> </w:t>
      </w:r>
    </w:p>
    <w:p w:rsidR="00AC0832" w:rsidRDefault="00AC0832">
      <w:pPr>
        <w:pStyle w:val="Normal6"/>
      </w:pPr>
      <w:r>
        <w:t xml:space="preserve">8.UKUPAN BROJ MIŠLJENJA KOJE JE VLADA UPUTILA HRVATSKOM SABORU 63 </w:t>
      </w:r>
    </w:p>
    <w:p w:rsidR="00AC0832" w:rsidRDefault="00AC0832">
      <w:pPr>
        <w:pStyle w:val="Normal6"/>
      </w:pPr>
      <w:r>
        <w:t xml:space="preserve"> </w:t>
      </w:r>
    </w:p>
    <w:p w:rsidR="00AC0832" w:rsidRDefault="00AC0832">
      <w:pPr>
        <w:pStyle w:val="Normal6"/>
      </w:pPr>
      <w:r>
        <w:t>9.   BROJ INTERPELACIJA O RADU VLADE REPUBLIKE HRVATSKE 1</w:t>
      </w:r>
      <w:r>
        <w:tab/>
      </w:r>
      <w:r>
        <w:tab/>
      </w:r>
      <w:r>
        <w:tab/>
        <w:t xml:space="preserve">          </w:t>
      </w:r>
    </w:p>
    <w:p w:rsidR="00AC0832" w:rsidRDefault="00AC0832">
      <w:pPr>
        <w:pStyle w:val="Normal6"/>
      </w:pPr>
      <w:r>
        <w:tab/>
      </w:r>
      <w:r>
        <w:tab/>
      </w:r>
      <w:r>
        <w:tab/>
      </w:r>
      <w:r>
        <w:tab/>
        <w:t xml:space="preserve">  </w:t>
      </w:r>
    </w:p>
    <w:p w:rsidR="00AC0832" w:rsidRDefault="00AC0832">
      <w:pPr>
        <w:pStyle w:val="Normal6"/>
      </w:pPr>
      <w:r>
        <w:t xml:space="preserve">10.  BROJ ODGOVORA VLADE REPUBLIKE HRVATSKE NA ZASTUPNIČKA PITANJA 93 </w:t>
      </w:r>
    </w:p>
    <w:p w:rsidR="00AC0832" w:rsidRDefault="00AC0832">
      <w:pPr>
        <w:pStyle w:val="Normal6"/>
      </w:pPr>
      <w:r>
        <w:t xml:space="preserve">  </w:t>
      </w:r>
    </w:p>
    <w:p w:rsidR="00AC0832" w:rsidRDefault="00AC0832">
      <w:pPr>
        <w:pStyle w:val="Normal6"/>
      </w:pPr>
      <w:r>
        <w:t>11.  UKUPAN BROJ AKATA UPUĆENIH USTAVNOM SUDU</w:t>
      </w:r>
      <w:r>
        <w:tab/>
        <w:t xml:space="preserve">  9 </w:t>
      </w:r>
    </w:p>
    <w:p w:rsidR="00AC0832" w:rsidRDefault="00AC0832">
      <w:pPr>
        <w:pStyle w:val="Normal6"/>
      </w:pPr>
      <w:r>
        <w:t xml:space="preserve">-od toga prijedloga za pokretanje postupka za ocjenu suglasnosti s Ustavom i zakonom 7 </w:t>
      </w:r>
    </w:p>
    <w:p w:rsidR="00AC0832" w:rsidRDefault="00AC0832">
      <w:pPr>
        <w:pStyle w:val="Normal6"/>
      </w:pPr>
      <w:r>
        <w:t xml:space="preserve">-od toga odgovora / mišljenja na zahtjeve za pokretanje postupaka za ocjenu suglasnosti s Ustavom </w:t>
      </w:r>
    </w:p>
    <w:p w:rsidR="00AC0832" w:rsidRDefault="00AC0832">
      <w:pPr>
        <w:pStyle w:val="Normal6"/>
      </w:pPr>
      <w:r>
        <w:t xml:space="preserve"> i zakonom 2 </w:t>
      </w:r>
    </w:p>
    <w:p w:rsidR="00AC0832" w:rsidRDefault="00AC0832">
      <w:pPr>
        <w:pStyle w:val="Normal6"/>
      </w:pPr>
      <w:r>
        <w:t>12.  UKUPAN BROJ AKATA UPUĆENIH UPRAVNOM SUDU 20</w:t>
      </w:r>
    </w:p>
    <w:p w:rsidR="00AC0832" w:rsidRDefault="00AC0832">
      <w:pPr>
        <w:pStyle w:val="Heading6"/>
      </w:pPr>
      <w:r>
        <w:t>A508000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A508000-ADMINISTRACIJA I UPRAVLJANJE</w:t>
            </w:r>
          </w:p>
        </w:tc>
        <w:tc>
          <w:tcPr>
            <w:tcW w:w="2322" w:type="dxa"/>
          </w:tcPr>
          <w:p w:rsidR="00AC0832" w:rsidRDefault="00AC0832">
            <w:pPr>
              <w:pStyle w:val="CellColumn"/>
            </w:pPr>
            <w:r>
              <w:t>20.477.400</w:t>
            </w:r>
          </w:p>
        </w:tc>
        <w:tc>
          <w:tcPr>
            <w:tcW w:w="2322" w:type="dxa"/>
          </w:tcPr>
          <w:p w:rsidR="00AC0832" w:rsidRDefault="00AC0832">
            <w:pPr>
              <w:pStyle w:val="CellColumn"/>
            </w:pPr>
            <w:r>
              <w:t>19.048.615</w:t>
            </w:r>
          </w:p>
        </w:tc>
        <w:tc>
          <w:tcPr>
            <w:tcW w:w="2322" w:type="dxa"/>
          </w:tcPr>
          <w:p w:rsidR="00AC0832" w:rsidRDefault="00AC0832">
            <w:pPr>
              <w:pStyle w:val="CellColumn"/>
            </w:pPr>
            <w:r>
              <w:t>93,0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Kroz aktivnost A508000 Administracija i upravljanje su se tijekom 2012. godine obavljali stručni, analitički, upravno-pravni, administrativni i informatički poslovi; stručna i administrativno-tehnička priprema materijala za raspravu i odlučivanje na sjednicama stručnih radnih skupina i radnih tijela Vlade, Užeg kabineta Vlade i sjednicama Vlade; sazivane su i održavane sjednice stručnih radnih skupina i radnih tijela Vlade te sjednice Vlade; pratio se tijek sjednica stručnih radnih skupina i radnih tijela Vlade i sjednica Vlade; izradili su se zaključci i stajališta stručnih radnih skupina i radnih tijela Vlade; izradili su se i otpremili akti koje je donijela Vlada; vodila se briga o objavljivanju akata Vlade; izradili su se zapisnici sa sjednica Vlade; vodila se briga o izvršavanju obveza Vlade prema Hrvatskome saboru, te su se obavili administrativni, opći, tehnički i pomoćni poslovi.</w:t>
      </w:r>
    </w:p>
    <w:p w:rsidR="00AC0832" w:rsidRDefault="00AC0832">
      <w:pPr>
        <w:pStyle w:val="Heading6"/>
      </w:pPr>
      <w:r>
        <w:t>A508015 NAKNADE ZASLUŽNIM OSOBAMA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A508015-NAKNADE ZASLUŽNIM OSOBAMA</w:t>
            </w:r>
          </w:p>
        </w:tc>
        <w:tc>
          <w:tcPr>
            <w:tcW w:w="2322" w:type="dxa"/>
          </w:tcPr>
          <w:p w:rsidR="00AC0832" w:rsidRDefault="00AC0832">
            <w:pPr>
              <w:pStyle w:val="CellColumn"/>
            </w:pPr>
            <w:r>
              <w:t>7.550.000</w:t>
            </w:r>
          </w:p>
        </w:tc>
        <w:tc>
          <w:tcPr>
            <w:tcW w:w="2322" w:type="dxa"/>
          </w:tcPr>
          <w:p w:rsidR="00AC0832" w:rsidRDefault="00AC0832">
            <w:pPr>
              <w:pStyle w:val="CellColumn"/>
            </w:pPr>
            <w:r>
              <w:t>7.431.404</w:t>
            </w:r>
          </w:p>
        </w:tc>
        <w:tc>
          <w:tcPr>
            <w:tcW w:w="2322" w:type="dxa"/>
          </w:tcPr>
          <w:p w:rsidR="00AC0832" w:rsidRDefault="00AC0832">
            <w:pPr>
              <w:pStyle w:val="CellColumn"/>
            </w:pPr>
            <w:r>
              <w:t>98,4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okviru aktivnosti A508015 Naknade zaslužnim osobama utrošena su sredstva za isplatu stalnih novčanih nadoknada zaslužnim osobama. Na temelju članka 26. Poslovnika Vlade Republike Hrvatske sukladno Zakonu o dodjeljivanju stalnih novčanih naknada zaslužnim osobama, Administrativna komisija Vlade Republike Hrvatske donosi Odluku o načinu isplate stalnih novčanih nadoknada zaslužnim osobama. Isplata stalne novčane nadoknade vrši se na temelju rješenja Administrativne komisije Vlade Republike Hrvatske po kategorijama u mjesečnim iznosima. U 2012. godini bilo je 791 korisnika stalne novčane nadoknade.</w:t>
      </w:r>
    </w:p>
    <w:p w:rsidR="00AC0832" w:rsidRDefault="00AC0832">
      <w:pPr>
        <w:pStyle w:val="Heading6"/>
      </w:pPr>
      <w:r>
        <w:t>A508024 ODRŽAVANJE FUNKCIONALNOSTI I PROGRAMSKIH RJEŠENJA INFORMACIJSKOG SUSTAVA VRH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A508024-ODRŽAVANJE FUNKCIONALNOSTI I PROGRAMSKIH RJEŠENJA INFORMACIJSKOG SUSTAVA VRH</w:t>
            </w:r>
          </w:p>
        </w:tc>
        <w:tc>
          <w:tcPr>
            <w:tcW w:w="2322" w:type="dxa"/>
          </w:tcPr>
          <w:p w:rsidR="00AC0832" w:rsidRDefault="00AC0832">
            <w:pPr>
              <w:pStyle w:val="CellColumn"/>
            </w:pPr>
            <w:r>
              <w:t>130.000</w:t>
            </w:r>
          </w:p>
        </w:tc>
        <w:tc>
          <w:tcPr>
            <w:tcW w:w="2322" w:type="dxa"/>
          </w:tcPr>
          <w:p w:rsidR="00AC0832" w:rsidRDefault="00AC0832">
            <w:pPr>
              <w:pStyle w:val="CellColumn"/>
            </w:pPr>
            <w:r>
              <w:t>119.840</w:t>
            </w:r>
          </w:p>
        </w:tc>
        <w:tc>
          <w:tcPr>
            <w:tcW w:w="2322" w:type="dxa"/>
          </w:tcPr>
          <w:p w:rsidR="00AC0832" w:rsidRDefault="00AC0832">
            <w:pPr>
              <w:pStyle w:val="CellColumn"/>
            </w:pPr>
            <w:r>
              <w:t>92,2</w:t>
            </w:r>
          </w:p>
        </w:tc>
      </w:tr>
    </w:tbl>
    <w:p w:rsidR="00AC0832" w:rsidRDefault="00AC0832">
      <w:pPr>
        <w:jc w:val="left"/>
      </w:pPr>
    </w:p>
    <w:p w:rsidR="00AC0832" w:rsidRDefault="00AC0832">
      <w:pPr>
        <w:pStyle w:val="Heading6"/>
      </w:pPr>
      <w:r>
        <w:t>A508025 OBVEZE PO SUDSKIM SPOROVIMA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A508025-OBVEZE PO SUDSKIM SPOROVIMA</w:t>
            </w:r>
          </w:p>
        </w:tc>
        <w:tc>
          <w:tcPr>
            <w:tcW w:w="2322" w:type="dxa"/>
          </w:tcPr>
          <w:p w:rsidR="00AC0832" w:rsidRDefault="00AC0832">
            <w:pPr>
              <w:pStyle w:val="CellColumn"/>
            </w:pPr>
            <w:r>
              <w:t>305.000</w:t>
            </w:r>
          </w:p>
        </w:tc>
        <w:tc>
          <w:tcPr>
            <w:tcW w:w="2322" w:type="dxa"/>
          </w:tcPr>
          <w:p w:rsidR="00AC0832" w:rsidRDefault="00AC0832">
            <w:pPr>
              <w:pStyle w:val="CellColumn"/>
            </w:pPr>
            <w:r>
              <w:t>238.986</w:t>
            </w:r>
          </w:p>
        </w:tc>
        <w:tc>
          <w:tcPr>
            <w:tcW w:w="2322" w:type="dxa"/>
          </w:tcPr>
          <w:p w:rsidR="00AC0832" w:rsidRDefault="00AC0832">
            <w:pPr>
              <w:pStyle w:val="CellColumn"/>
            </w:pPr>
            <w:r>
              <w:t>78,4</w:t>
            </w:r>
          </w:p>
        </w:tc>
      </w:tr>
    </w:tbl>
    <w:p w:rsidR="00AC0832" w:rsidRDefault="00AC0832">
      <w:pPr>
        <w:jc w:val="left"/>
      </w:pPr>
    </w:p>
    <w:p w:rsidR="00AC0832" w:rsidRDefault="00AC0832">
      <w:pPr>
        <w:pStyle w:val="Heading6"/>
      </w:pPr>
      <w:r>
        <w:t>K508012 INFORMATIZACIJA I ZAŠTITNI SUSTAVI U VLADI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K508012-INFORMATIZACIJA I ZAŠTITNI SUSTAVI U VLADI RH</w:t>
            </w:r>
          </w:p>
        </w:tc>
        <w:tc>
          <w:tcPr>
            <w:tcW w:w="2322" w:type="dxa"/>
          </w:tcPr>
          <w:p w:rsidR="00AC0832" w:rsidRDefault="00AC0832">
            <w:pPr>
              <w:pStyle w:val="CellColumn"/>
            </w:pPr>
            <w:r>
              <w:t>875.300</w:t>
            </w:r>
          </w:p>
        </w:tc>
        <w:tc>
          <w:tcPr>
            <w:tcW w:w="2322" w:type="dxa"/>
          </w:tcPr>
          <w:p w:rsidR="00AC0832" w:rsidRDefault="00AC0832">
            <w:pPr>
              <w:pStyle w:val="CellColumn"/>
            </w:pPr>
            <w:r>
              <w:t>737.101</w:t>
            </w:r>
          </w:p>
        </w:tc>
        <w:tc>
          <w:tcPr>
            <w:tcW w:w="2322" w:type="dxa"/>
          </w:tcPr>
          <w:p w:rsidR="00AC0832" w:rsidRDefault="00AC0832">
            <w:pPr>
              <w:pStyle w:val="CellColumn"/>
            </w:pPr>
            <w:r>
              <w:t>84,2</w:t>
            </w:r>
          </w:p>
        </w:tc>
      </w:tr>
    </w:tbl>
    <w:p w:rsidR="00AC0832" w:rsidRDefault="00AC0832">
      <w:pPr>
        <w:jc w:val="left"/>
      </w:pPr>
    </w:p>
    <w:p w:rsidR="00AC0832" w:rsidRDefault="00AC0832">
      <w:pPr>
        <w:pStyle w:val="Heading2"/>
      </w:pPr>
      <w:r>
        <w:t>02006 Ured predsjednika Vlade Republike Hrvatske</w:t>
      </w:r>
    </w:p>
    <w:p w:rsidR="00AC0832" w:rsidRDefault="00AC0832">
      <w:pPr>
        <w:pStyle w:val="Heading4"/>
      </w:pPr>
      <w:r>
        <w:t>Uvod</w:t>
      </w:r>
    </w:p>
    <w:p w:rsidR="00AC0832" w:rsidRDefault="00AC0832">
      <w:pPr>
        <w:pStyle w:val="Normal3"/>
      </w:pPr>
      <w:r>
        <w:t xml:space="preserve">Sukladno Ustavu Republike Hrvatske i Zakonu o Vladi Republike Hrvatske, Ured predsjednika Vlade Republike Hrvatske obavlja savjetodavne, analitičke, stručne i administrativne poslove za potrebe predsjednika Vlade Republike Hrvatske, a osobito poslove: </w:t>
      </w:r>
    </w:p>
    <w:p w:rsidR="00AC0832" w:rsidRDefault="00AC0832">
      <w:pPr>
        <w:pStyle w:val="Normal3"/>
      </w:pPr>
      <w:r>
        <w:t xml:space="preserve">– sustavnog praćenja, razmatranja i utvrđivanja stanja u pojedinom području radi izrade stručnih mišljenja i studija, </w:t>
      </w:r>
    </w:p>
    <w:p w:rsidR="00AC0832" w:rsidRDefault="00AC0832">
      <w:pPr>
        <w:pStyle w:val="Normal3"/>
      </w:pPr>
      <w:r>
        <w:t xml:space="preserve">– izrade strateških razvojnih planova i analiza, </w:t>
      </w:r>
    </w:p>
    <w:p w:rsidR="00AC0832" w:rsidRDefault="00AC0832">
      <w:pPr>
        <w:pStyle w:val="Normal3"/>
      </w:pPr>
      <w:r>
        <w:t xml:space="preserve">– pripreme prijedloga pojedinih projekata iz programa Vlade Republike Hrvatske i usklađivanja njihove provedbe, </w:t>
      </w:r>
    </w:p>
    <w:p w:rsidR="00AC0832" w:rsidRDefault="00AC0832">
      <w:pPr>
        <w:pStyle w:val="Normal3"/>
      </w:pPr>
      <w:r>
        <w:t xml:space="preserve">– stručne obrade i pripreme materijala potrebnih za sudjelovanje predsjednika Vlade Republike Hrvatske u radu Užega kabineta Vlade Republike Hrvatske, Vlade Republike Hrvatske i Hrvatskoga sabora, </w:t>
      </w:r>
    </w:p>
    <w:p w:rsidR="00AC0832" w:rsidRDefault="00AC0832">
      <w:pPr>
        <w:pStyle w:val="Normal3"/>
      </w:pPr>
      <w:r>
        <w:t xml:space="preserve">– izrade materijala potrebnih za sudjelovanje predsjednika Vlade Republike Hrvatske na radnim, konzultativnim i koordinativnim sastancima, </w:t>
      </w:r>
    </w:p>
    <w:p w:rsidR="00AC0832" w:rsidRDefault="00AC0832">
      <w:pPr>
        <w:pStyle w:val="Normal3"/>
      </w:pPr>
      <w:r>
        <w:t xml:space="preserve">– koordinacije između Vlade Republike Hrvatske i Hrvatskoga sabora, </w:t>
      </w:r>
    </w:p>
    <w:p w:rsidR="00AC0832" w:rsidRDefault="00AC0832">
      <w:pPr>
        <w:pStyle w:val="Normal3"/>
      </w:pPr>
      <w:r>
        <w:t xml:space="preserve">– sudjelovanja, u suradnji s Glavnim tajništvom Vlade Republike Hrvatske, u pripremi i sazivanju sjednica Užega kabineta i savjeta predsjednika Vlade Republike Hrvatske, </w:t>
      </w:r>
    </w:p>
    <w:p w:rsidR="00AC0832" w:rsidRDefault="00AC0832">
      <w:pPr>
        <w:pStyle w:val="Normal3"/>
      </w:pPr>
      <w:r>
        <w:t xml:space="preserve">– provedbe pripremnih aktivnosti potrebnih za imenovanje posebnih savjetnika predsjednika Vlade Republike Hrvatske, odnosno za osnivanje savjeta predsjednika Vlade Republike Hrvatske i imenovanje članova savjeta iz članka 23. Zakona o Vladi Republike Hrvatske, </w:t>
      </w:r>
    </w:p>
    <w:p w:rsidR="00AC0832" w:rsidRDefault="00AC0832">
      <w:pPr>
        <w:pStyle w:val="Normal3"/>
      </w:pPr>
      <w:r>
        <w:t xml:space="preserve">– usklađivanja rada ureda Vlade Republike Hrvatske iz članka 27. Zakona o Vladi Republike Hrvatske, </w:t>
      </w:r>
    </w:p>
    <w:p w:rsidR="00AC0832" w:rsidRDefault="00AC0832">
      <w:pPr>
        <w:pStyle w:val="Normal3"/>
      </w:pPr>
      <w:r>
        <w:t xml:space="preserve">– stručne pripreme i organizacije posjeta predsjednika Vlade Republike Hrvatske u zemlji i inozemstvu, </w:t>
      </w:r>
    </w:p>
    <w:p w:rsidR="00AC0832" w:rsidRDefault="00AC0832">
      <w:pPr>
        <w:pStyle w:val="Normal3"/>
      </w:pPr>
      <w:r>
        <w:t xml:space="preserve">– druge poslove po nalogu predsjednika Vlade Republike Hrvatske. </w:t>
      </w:r>
    </w:p>
    <w:p w:rsidR="00AC0832" w:rsidRDefault="00AC0832">
      <w:pPr>
        <w:pStyle w:val="Normal3"/>
      </w:pPr>
      <w:r>
        <w:t xml:space="preserve"> </w:t>
      </w:r>
    </w:p>
    <w:p w:rsidR="00AC0832" w:rsidRDefault="00AC0832">
      <w:pPr>
        <w:pStyle w:val="Normal3"/>
      </w:pPr>
      <w:r>
        <w:t xml:space="preserve">U Uredu predsjednika Vlade Republike Hrvatske se obavljaju i poslovi izvješćivanja javnosti o politici i aktivnostima Vlade Republike Hrvatske – predsjednika i potpredsjednika Vlade Republike Hrvatske, upoznavanja Vlade Republike Hrvatske o sadržaju i stajalištima medija i javnosti, poslovi izravne komunikacije s građanima, koordiniranja komunikacijskih aktivnosti ministarstava i državnih ureda, vođenja dokumentacije koja se odnosi na priopćenja za javnost, poslovi akreditacije novinara i drugi poslovi s tim u vezi, te se obavljaju drugi poslovi koje Uredu povjeri predsjednik Vlade Republike Hrvatske. </w:t>
      </w:r>
    </w:p>
    <w:p w:rsidR="00AC0832" w:rsidRDefault="00AC0832">
      <w:pPr>
        <w:pStyle w:val="Normal3"/>
      </w:pPr>
      <w:r>
        <w:t xml:space="preserve"> </w:t>
      </w:r>
    </w:p>
    <w:p w:rsidR="00AC0832" w:rsidRDefault="00AC0832">
      <w:pPr>
        <w:pStyle w:val="Normal3"/>
      </w:pPr>
      <w:r>
        <w:t xml:space="preserve">Za obavljanje gore navedenih poslova, u Uredu se ustrojavaju sljedeće unutarnje ustrojstvene jedinice: </w:t>
      </w:r>
    </w:p>
    <w:p w:rsidR="00AC0832" w:rsidRDefault="00AC0832">
      <w:pPr>
        <w:pStyle w:val="Normal3"/>
      </w:pPr>
      <w:r>
        <w:t xml:space="preserve"> - Služba za koordinaciju rada savjetnika predsjednika Vlade i savjetnika u Uredu </w:t>
      </w:r>
    </w:p>
    <w:p w:rsidR="00AC0832" w:rsidRDefault="00AC0832">
      <w:pPr>
        <w:pStyle w:val="Normal3"/>
      </w:pPr>
      <w:r>
        <w:tab/>
        <w:t xml:space="preserve">- Odjel za koordinaciju rada savjetnika predsjednika Vlade </w:t>
      </w:r>
    </w:p>
    <w:p w:rsidR="00AC0832" w:rsidRDefault="00AC0832">
      <w:pPr>
        <w:pStyle w:val="Normal3"/>
      </w:pPr>
      <w:r>
        <w:tab/>
        <w:t xml:space="preserve">- Odjel za koordinaciju rada savjetnika u Uredu </w:t>
      </w:r>
    </w:p>
    <w:p w:rsidR="00AC0832" w:rsidRDefault="00AC0832">
      <w:pPr>
        <w:pStyle w:val="Normal3"/>
      </w:pPr>
      <w:r>
        <w:t xml:space="preserve"> - Služba za odnose s javnošću </w:t>
      </w:r>
    </w:p>
    <w:p w:rsidR="00AC0832" w:rsidRDefault="00AC0832">
      <w:pPr>
        <w:pStyle w:val="Normal3"/>
      </w:pPr>
      <w:r>
        <w:tab/>
        <w:t xml:space="preserve">- Odjel za medije </w:t>
      </w:r>
    </w:p>
    <w:p w:rsidR="00AC0832" w:rsidRDefault="00AC0832">
      <w:pPr>
        <w:pStyle w:val="Normal3"/>
      </w:pPr>
      <w:r>
        <w:tab/>
        <w:t xml:space="preserve">- Odjel za on-line komunikaciju </w:t>
      </w:r>
    </w:p>
    <w:p w:rsidR="00AC0832" w:rsidRDefault="00AC0832">
      <w:pPr>
        <w:pStyle w:val="Normal3"/>
      </w:pPr>
      <w:r>
        <w:tab/>
        <w:t xml:space="preserve">- Odjel za analitiku </w:t>
      </w:r>
    </w:p>
    <w:p w:rsidR="00AC0832" w:rsidRDefault="00AC0832">
      <w:pPr>
        <w:pStyle w:val="Normal3"/>
      </w:pPr>
      <w:r>
        <w:t xml:space="preserve"> - Odjel za građane </w:t>
      </w:r>
    </w:p>
    <w:p w:rsidR="00AC0832" w:rsidRDefault="00AC0832">
      <w:pPr>
        <w:pStyle w:val="Normal3"/>
      </w:pPr>
      <w:r>
        <w:t xml:space="preserve"> - Odjel općih, administrativnih i organizacijskih poslova za potrebe predsjednika Vlade.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02006-Ured predsjednika Vlade Republike Hrvatske</w:t>
            </w:r>
          </w:p>
        </w:tc>
        <w:tc>
          <w:tcPr>
            <w:tcW w:w="2322" w:type="dxa"/>
          </w:tcPr>
          <w:p w:rsidR="00AC0832" w:rsidRDefault="00AC0832">
            <w:pPr>
              <w:pStyle w:val="CellColumn"/>
            </w:pPr>
            <w:r>
              <w:t>7.781.403</w:t>
            </w:r>
          </w:p>
        </w:tc>
        <w:tc>
          <w:tcPr>
            <w:tcW w:w="2322" w:type="dxa"/>
          </w:tcPr>
          <w:p w:rsidR="00AC0832" w:rsidRDefault="00AC0832">
            <w:pPr>
              <w:pStyle w:val="CellColumn"/>
            </w:pPr>
            <w:r>
              <w:t>6.624.591</w:t>
            </w:r>
          </w:p>
        </w:tc>
        <w:tc>
          <w:tcPr>
            <w:tcW w:w="2322" w:type="dxa"/>
          </w:tcPr>
          <w:p w:rsidR="00AC0832" w:rsidRDefault="00AC0832">
            <w:pPr>
              <w:pStyle w:val="CellColumn"/>
            </w:pPr>
            <w:r>
              <w:t>85,1</w:t>
            </w:r>
          </w:p>
        </w:tc>
      </w:tr>
      <w:tr w:rsidR="00AC0832" w:rsidTr="00BE20ED">
        <w:trPr>
          <w:jc w:val="center"/>
        </w:trPr>
        <w:tc>
          <w:tcPr>
            <w:tcW w:w="2322" w:type="dxa"/>
          </w:tcPr>
          <w:p w:rsidR="00AC0832" w:rsidRDefault="00AC0832">
            <w:pPr>
              <w:pStyle w:val="CellColumnSmall"/>
            </w:pPr>
            <w:r>
              <w:t>2107-PRUŽANJE PODRŠKE RADU VLADE REPUBLIKE HRVATSKE</w:t>
            </w:r>
          </w:p>
        </w:tc>
        <w:tc>
          <w:tcPr>
            <w:tcW w:w="2322" w:type="dxa"/>
          </w:tcPr>
          <w:p w:rsidR="00AC0832" w:rsidRDefault="00AC0832">
            <w:pPr>
              <w:pStyle w:val="CellColumnSmall"/>
            </w:pPr>
            <w:r>
              <w:t>7.781.403</w:t>
            </w:r>
          </w:p>
        </w:tc>
        <w:tc>
          <w:tcPr>
            <w:tcW w:w="2322" w:type="dxa"/>
          </w:tcPr>
          <w:p w:rsidR="00AC0832" w:rsidRDefault="00AC0832">
            <w:pPr>
              <w:pStyle w:val="CellColumnSmall"/>
            </w:pPr>
            <w:r>
              <w:t>6.624.591</w:t>
            </w:r>
          </w:p>
        </w:tc>
        <w:tc>
          <w:tcPr>
            <w:tcW w:w="2322" w:type="dxa"/>
          </w:tcPr>
          <w:p w:rsidR="00AC0832" w:rsidRDefault="00AC0832">
            <w:pPr>
              <w:pStyle w:val="CellColumnSmall"/>
            </w:pPr>
            <w:r>
              <w:t>85,1</w:t>
            </w:r>
          </w:p>
        </w:tc>
      </w:tr>
    </w:tbl>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pStyle w:val="Heading4"/>
      </w:pPr>
      <w:r>
        <w:t>OBRAZLOŽENJE PROGRAMA</w:t>
      </w:r>
    </w:p>
    <w:p w:rsidR="00AC0832" w:rsidRDefault="00AC0832">
      <w:pPr>
        <w:pStyle w:val="Heading5"/>
      </w:pPr>
      <w:r>
        <w:t>2107 PRUŽANJE PODRŠKE RADU VLADE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2107-PRUŽANJE PODRŠKE RADU VLADE REPUBLIKE HRVATSKE</w:t>
            </w:r>
          </w:p>
        </w:tc>
        <w:tc>
          <w:tcPr>
            <w:tcW w:w="2322" w:type="dxa"/>
          </w:tcPr>
          <w:p w:rsidR="00AC0832" w:rsidRDefault="00AC0832">
            <w:pPr>
              <w:pStyle w:val="CellColumn"/>
            </w:pPr>
            <w:r>
              <w:t>7.781.403</w:t>
            </w:r>
          </w:p>
        </w:tc>
        <w:tc>
          <w:tcPr>
            <w:tcW w:w="2322" w:type="dxa"/>
          </w:tcPr>
          <w:p w:rsidR="00AC0832" w:rsidRDefault="00AC0832">
            <w:pPr>
              <w:pStyle w:val="CellColumn"/>
            </w:pPr>
            <w:r>
              <w:t>6.624.591</w:t>
            </w:r>
          </w:p>
        </w:tc>
        <w:tc>
          <w:tcPr>
            <w:tcW w:w="2322" w:type="dxa"/>
          </w:tcPr>
          <w:p w:rsidR="00AC0832" w:rsidRDefault="00AC0832">
            <w:pPr>
              <w:pStyle w:val="CellColumn"/>
            </w:pPr>
            <w:r>
              <w:t>85,1</w:t>
            </w:r>
          </w:p>
        </w:tc>
      </w:tr>
    </w:tbl>
    <w:p w:rsidR="00AC0832" w:rsidRDefault="00AC0832">
      <w:pPr>
        <w:jc w:val="left"/>
      </w:pPr>
    </w:p>
    <w:p w:rsidR="00AC0832" w:rsidRDefault="00AC0832">
      <w:pPr>
        <w:pStyle w:val="Heading6"/>
      </w:pPr>
      <w:r>
        <w:t>Opis programa</w:t>
      </w:r>
    </w:p>
    <w:p w:rsidR="00AC0832" w:rsidRDefault="00AC0832">
      <w:pPr>
        <w:pStyle w:val="Normal5"/>
      </w:pPr>
      <w:r>
        <w:t>Pružanje podrške radu Vlade Republike Hrvatske od strane Ureda predsjednika Vlade Republike Hrvatske podrazumijeva pripremu stručnih i analitičkih materijala potrebnih za sudjelovanje predsjednika Vlade Republike Hrvatske u radu Užeg kabineta Vlade Republike Hrvatske, Vlade Republike Hrvatske i Hrvatskoga sabora, koordinaciju između Vlade Republike Hrvatske i Hrvatskog sabora, sazivanje i pripremu sjednica Užeg kabineta i savjeta predsjednika Vlade Republike Hrvatske u suradnji s Glavnim tajništvom Vlade Republike Hrvatske, te druge poslove po nalogu predsjednika Vlade Republike Hrvatske.</w:t>
      </w:r>
    </w:p>
    <w:p w:rsidR="00AC0832" w:rsidRDefault="00AC0832">
      <w:pPr>
        <w:pStyle w:val="Heading6"/>
      </w:pPr>
      <w:r>
        <w:t>Zakonske i druge pravne osnove</w:t>
      </w:r>
    </w:p>
    <w:p w:rsidR="00AC0832" w:rsidRDefault="00AC0832">
      <w:pPr>
        <w:pStyle w:val="Heading7"/>
      </w:pPr>
      <w:r>
        <w:t>Cilj 1. Kontinuitet i poboljšanje efikasnosti Vlade Republike Hrvatske</w:t>
      </w:r>
    </w:p>
    <w:p w:rsidR="00AC0832" w:rsidRDefault="00AC0832">
      <w:pPr>
        <w:pStyle w:val="Heading8"/>
        <w:jc w:val="left"/>
      </w:pPr>
      <w:r>
        <w:t>Opis provedbe cilja programa</w:t>
      </w:r>
    </w:p>
    <w:p w:rsidR="00AC0832" w:rsidRDefault="00AC0832">
      <w:pPr>
        <w:pStyle w:val="Normal6"/>
      </w:pPr>
      <w:r>
        <w:t>Obavljanjem savjetodavnih, analitičkih, stručnih i administrativnih poslova za potrebe predsjednika Vlade Republike Hrvatske osigurava se kontinuirano funkcioniranje Vlade Republike Hrvatske odnosno omogućuje se uključivanje predsjednika Vlade Republike Hrvatske u rad Vlade Republike Hrvatske.</w:t>
      </w:r>
    </w:p>
    <w:p w:rsidR="00AC0832" w:rsidRDefault="00AC0832">
      <w:pPr>
        <w:pStyle w:val="Heading6"/>
      </w:pPr>
      <w:r>
        <w:t>A696002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A696002-ADMINISTRACIJA I UPRAVLJANJE</w:t>
            </w:r>
          </w:p>
        </w:tc>
        <w:tc>
          <w:tcPr>
            <w:tcW w:w="2322" w:type="dxa"/>
          </w:tcPr>
          <w:p w:rsidR="00AC0832" w:rsidRDefault="00AC0832">
            <w:pPr>
              <w:pStyle w:val="CellColumn"/>
            </w:pPr>
            <w:r>
              <w:t>7.711.403</w:t>
            </w:r>
          </w:p>
        </w:tc>
        <w:tc>
          <w:tcPr>
            <w:tcW w:w="2322" w:type="dxa"/>
          </w:tcPr>
          <w:p w:rsidR="00AC0832" w:rsidRDefault="00AC0832">
            <w:pPr>
              <w:pStyle w:val="CellColumn"/>
            </w:pPr>
            <w:r>
              <w:t>6.557.549</w:t>
            </w:r>
          </w:p>
        </w:tc>
        <w:tc>
          <w:tcPr>
            <w:tcW w:w="2322" w:type="dxa"/>
          </w:tcPr>
          <w:p w:rsidR="00AC0832" w:rsidRDefault="00AC0832">
            <w:pPr>
              <w:pStyle w:val="CellColumn"/>
            </w:pPr>
            <w:r>
              <w:t>85,0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Dva su osnovna zadatka koja su bila stavljena pred Ured predsjednika Vlade Republike Hrvatske u 2012. godini:  </w:t>
      </w:r>
    </w:p>
    <w:p w:rsidR="00AC0832" w:rsidRDefault="00AC0832">
      <w:pPr>
        <w:pStyle w:val="Normal6"/>
      </w:pPr>
      <w:r>
        <w:t xml:space="preserve">1. praćenje i analiziranje stanja u pojedinim sektorima za potrebe predsjednika Vlade  </w:t>
      </w:r>
    </w:p>
    <w:p w:rsidR="00AC0832" w:rsidRDefault="00AC0832">
      <w:pPr>
        <w:pStyle w:val="Normal6"/>
      </w:pPr>
      <w:r>
        <w:t xml:space="preserve">2. komunikacija s medijima i izvješćivanje javnosti o radu Vlade.  </w:t>
      </w:r>
    </w:p>
    <w:p w:rsidR="00AC0832" w:rsidRDefault="00AC0832">
      <w:pPr>
        <w:pStyle w:val="Normal6"/>
      </w:pPr>
      <w:r>
        <w:t xml:space="preserve">Oba zadatka uključivala su cijeli niz povezanih aktivnosti.  </w:t>
      </w:r>
    </w:p>
    <w:p w:rsidR="00AC0832" w:rsidRDefault="00AC0832">
      <w:pPr>
        <w:pStyle w:val="Normal6"/>
      </w:pPr>
      <w:r>
        <w:t xml:space="preserve"> </w:t>
      </w:r>
    </w:p>
    <w:p w:rsidR="00AC0832" w:rsidRDefault="00AC0832">
      <w:pPr>
        <w:pStyle w:val="Normal6"/>
      </w:pPr>
      <w:r>
        <w:t xml:space="preserve">Tako se Ured tijekom 2012. godine bavio praćenjem, analizom i suradnjom u području vanjske politike, koordinacije europskih politika, gospodarstva i poduzetništva, velikih strateških projekata, medija i odnosa s javnošću, a po potrebi i drugim temama. Bavio se izradom materijala potrebnih za sudjelovanje predsjednika Vlade na radnim, konzultativnim i koordinativnim sastancima, koordinacijom između Vlade i Hrvatskoga sabora, stručnom obradom i pripremom materijala potrebnih za sudjelovanje predsjednika Vlade u radu Užega kabineta Vlade, Vlade i Hrvatskoga sabora. U suradnji s Glavnim tajništvom Vlade Ured je pripremao i sazivao sjednice Užega kabineta i savjeta predsjednika Vlade.   </w:t>
      </w:r>
    </w:p>
    <w:p w:rsidR="00AC0832" w:rsidRDefault="00AC0832">
      <w:pPr>
        <w:pStyle w:val="Normal6"/>
      </w:pPr>
      <w:r>
        <w:t xml:space="preserve"> </w:t>
      </w:r>
    </w:p>
    <w:p w:rsidR="00AC0832" w:rsidRDefault="00AC0832">
      <w:pPr>
        <w:pStyle w:val="Normal6"/>
      </w:pPr>
      <w:r>
        <w:t xml:space="preserve">Također, vrlo značajna aktivnost Ureda u 2012. godini bila je redovita stručna priprema i organizacija posjeta predsjednika Vlade u zemlji i inozemstvu. Posebno značajni i organizacijski zahtjevni bili su u 2012. godini sljedeći vanjskopolitički posjeti:  </w:t>
      </w:r>
    </w:p>
    <w:p w:rsidR="00AC0832" w:rsidRDefault="00AC0832">
      <w:pPr>
        <w:pStyle w:val="Normal6"/>
      </w:pPr>
      <w:r>
        <w:t xml:space="preserve">•Sudjelovanje na Europskim vijećima (Europski Summit) </w:t>
      </w:r>
    </w:p>
    <w:p w:rsidR="00AC0832" w:rsidRDefault="00AC0832">
      <w:pPr>
        <w:pStyle w:val="Normal6"/>
      </w:pPr>
      <w:r>
        <w:t xml:space="preserve">•NATO summit u Chicagu u svibnju 2012. </w:t>
      </w:r>
    </w:p>
    <w:p w:rsidR="00AC0832" w:rsidRDefault="00AC0832">
      <w:pPr>
        <w:pStyle w:val="Normal6"/>
      </w:pPr>
      <w:r>
        <w:t xml:space="preserve">•Opća skupština UN-a u rujnu 2012. </w:t>
      </w:r>
    </w:p>
    <w:p w:rsidR="00AC0832" w:rsidRDefault="00AC0832">
      <w:pPr>
        <w:pStyle w:val="Normal6"/>
      </w:pPr>
      <w:r>
        <w:t xml:space="preserve"> </w:t>
      </w:r>
    </w:p>
    <w:p w:rsidR="00AC0832" w:rsidRDefault="00AC0832">
      <w:pPr>
        <w:pStyle w:val="Normal6"/>
      </w:pPr>
      <w:r>
        <w:t xml:space="preserve">Ured je tijekom 2012. godine dodatno sudjelovao i u pripremi i provedbi nekoliko velikih projekata od šireg značaja kao što su Referendum za ulazak Hrvatske u EU, održan u veljači 2012. godine te Croatia Summit u Dubrovniku u srpnju 2012. </w:t>
      </w:r>
    </w:p>
    <w:p w:rsidR="00AC0832" w:rsidRDefault="00AC0832">
      <w:pPr>
        <w:pStyle w:val="Normal6"/>
      </w:pPr>
      <w:r>
        <w:t xml:space="preserve"> </w:t>
      </w:r>
    </w:p>
    <w:p w:rsidR="00AC0832" w:rsidRDefault="00AC0832">
      <w:pPr>
        <w:pStyle w:val="Normal6"/>
      </w:pPr>
      <w:r>
        <w:t xml:space="preserve">Jedna od redovnih aktivnosti Ureda također je bilo i sudjelovanje kao redovnih članova na sjednicama svih vladinih koordinacijskih tijela. Osim redovnih tjednih sjednica koordinacijskih tijela Ured je osim toga aktivno sudjelovao i na sjednicama drugih radnih tijela Vlade RH, kao što su Povjerenstvo za Kinu, Povjerenstvo za željeznice, Radne skupine za javne investicije, za privatne investicije te radna skupina za fondove EU. Ured trajno sudjeluje u radu Partnerstva inicijative za otvorenu vlast.  </w:t>
      </w:r>
    </w:p>
    <w:p w:rsidR="00AC0832" w:rsidRDefault="00AC0832">
      <w:pPr>
        <w:pStyle w:val="Normal6"/>
      </w:pPr>
      <w:r>
        <w:t xml:space="preserve"> </w:t>
      </w:r>
    </w:p>
    <w:p w:rsidR="00AC0832" w:rsidRDefault="00AC0832">
      <w:pPr>
        <w:pStyle w:val="Normal6"/>
      </w:pPr>
      <w:r>
        <w:t xml:space="preserve">Redovna aktivnost Ureda tijekom 2012. godine bila je i koordinacija rada vladinih ureda. U sklopu te aktivnosti Ured je tijekom 2012. godine koordinirao i uspješno proveo javne natječaje za ravnatelje svih vladinih ureda.  </w:t>
      </w:r>
    </w:p>
    <w:p w:rsidR="00AC0832" w:rsidRDefault="00AC0832">
      <w:pPr>
        <w:pStyle w:val="Normal6"/>
      </w:pPr>
      <w:r>
        <w:t xml:space="preserve"> </w:t>
      </w:r>
    </w:p>
    <w:p w:rsidR="00AC0832" w:rsidRDefault="00AC0832">
      <w:pPr>
        <w:pStyle w:val="Normal6"/>
      </w:pPr>
      <w:r>
        <w:t>Pored navedenih poslova u Uredu su se redovito obavljali i poslovi izvješćivanja javnosti o politici i aktivnostima Vlade – predsjednika i potpredsjednika Vlade, upoznavanja Vlade o sadržaju i stajalištima medija i javnosti, poslovi izravne komunikacije s građanima, koordiniranja komunikacijskih aktivnosti ministarstava i državnih ureda, vođenja dokumentacije koja se odnosi na priopćenja za javnost, poslovi akreditacije novinara i drugi poslovi s tim u vezi, koji su u izravnoj nadležnosti glasnogovornice Vlade. U kontekstu odnosa s javnošću Ured je aktivno sudjelovao u projektu pripreme natječajne dokumentacije te tehničkih specifikacija za izradu novih Internet stranica Vlade.</w:t>
      </w:r>
    </w:p>
    <w:p w:rsidR="00AC0832" w:rsidRDefault="00AC0832">
      <w:pPr>
        <w:pStyle w:val="Normal6"/>
      </w:pPr>
    </w:p>
    <w:p w:rsidR="00AC0832" w:rsidRDefault="00AC0832">
      <w:pPr>
        <w:pStyle w:val="Normal6"/>
      </w:pPr>
    </w:p>
    <w:p w:rsidR="00AC0832" w:rsidRDefault="00AC0832">
      <w:pPr>
        <w:pStyle w:val="Normal6"/>
      </w:pPr>
    </w:p>
    <w:p w:rsidR="00AC0832" w:rsidRDefault="00AC0832">
      <w:pPr>
        <w:pStyle w:val="Heading2"/>
      </w:pPr>
      <w:r>
        <w:t>02010 Ured Vlade Republike Hrvatske za udruge</w:t>
      </w:r>
    </w:p>
    <w:p w:rsidR="00AC0832" w:rsidRDefault="00AC0832">
      <w:pPr>
        <w:pStyle w:val="Heading4"/>
      </w:pPr>
      <w:r>
        <w:t>Uvod</w:t>
      </w:r>
    </w:p>
    <w:p w:rsidR="00AC0832" w:rsidRDefault="00AC0832">
      <w:pPr>
        <w:pStyle w:val="Normal3"/>
      </w:pPr>
      <w:r>
        <w:t xml:space="preserve">Prema važećoj Uredbi o Uredu za udruge (NN 34/2012), Ured obavlja stručne, analitičke, savjetodavne i administrativne poslove za Vladu Republike Hrvatske usmjerene na stvaranje uvjeta za razvoj učinkovite suradnje s udrugama i drugim organizacijama civilnoga društva u Republici Hrvatskoj. Djelokrug Ured za udruge pokriva širok raspon aktivnosti koje uključuju: izradu, sustavno praćenje, analizu i ocjenu provedbe strateških programa za stvaranje poticajnog okruženja za razvoj civilnoga društva te pripremu i provedbu mjera ostalih strateških dokumenata koji obuhvaćaju aktivnosti suradnje s udrugama; sudjelovanje u izradi, sustavnom praćenju, analizi i ocjeni normativnog okvira za djelovanje udruga i ostalih organizacija civilnoga društva u Republici Hrvatskoj; koordinaciju rada tijela državne uprave i ostalih javnih institucija na području harmonizacije politike, kriterija i standarda financiranja projekata udruga i ostalih organizacija civilnoga društva iz državnog proračuna i drugih javnih izvora; pružanje stručne pomoći državnim tijelima u pripremi i provedbi natječaja za financiranje projekata i programa udruga iz državnog proračuna; suradnju u oblikovanju programa potpore razvoju civilnoga društva koje provodi Nacionalna zaklada za razvoj civilnoga društva i koji se financiraju iz sredstava državnog proračuna raspoloživih na proračunskoj poziciji Ureda; razvoj i vođenje učinkovitog sustava praćenja i vrednovanja projekata i programa udruga financiranih iz državnog proračuna i drugih javnih izvora te fondova Europske unije; pripremu analize i izvješća za Vladu Republike Hrvatske o utrošku sredstava koja su, kao potpora programskim aktivnostima, osigurana i isplaćena udrugama iz državnog proračuna, drugih javnih izvora i fondova Europske unije; oblikovanje i vođenje javne baze podataka o dodijeljenim bespovratnim sredstvima za projekte i programe organizacija civilnoga društva iz državnog proračuna i drugih javnih izvora; koordinaciju rada tijela državne uprave na području razvoja savjetovanja sa zainteresiranom javnošću u postupcima donošenja zakona, drugih propisa i akata te uključivanja udruga i ostalih organizacija civilnoga društva u donošenje, provedbu i vrednovanje javnih politika; stručnu i administrativnu potporu radu pojedinih savjetodavnih tijela Vlade Republike Hrvatske; pripremu i provedbu programa stručnog osposobljavanja i usavršavanja državnih službenika i drugih korisnika u području razvoja suradnje s civilnim društvom u oblikovanju javnih politika; pružanje informacija i davanje stručne pomoći građanima i predstavnicima organizacija civilnoga društva iz nadležnosti Ureda; uspostavu, provedbu i razvoj međunarodne suradnje s tijelima Europske unije, drugim međunarodnim tijelima i srodnim institucijama sukladno djelokrugu Ureda; pripremu i provedbe aktivnosti međunarodne razvojne suradnje na području potpore razvoju civilnoga društva; pripremu, koordinaciju i provedbu projekata i programa Europske unije i drugih međunarodnih organizacija za potporu razvoju civilnoga društva; provedbe aktivnosti financijskog upravljanja i kontrole kvalitete provedbe projekata i programa za sektor civilnoga društva koji se financiraju iz fondova Europske unije; te sufinanciranja projekata udruga i ostalih organizacija civilnoga društva koji ostvaruju potporu iz fondova Europske unije. </w:t>
      </w:r>
    </w:p>
    <w:p w:rsidR="00AC0832" w:rsidRDefault="00AC0832">
      <w:pPr>
        <w:pStyle w:val="Normal3"/>
      </w:pPr>
      <w:r>
        <w:t xml:space="preserve">Sukladno obvezi iz Kodeksa savjetovanja sa zainteresiranom javnošću u postupcima donošenja zakona, drugih propisa i akata kojeg je u studenome 2009. usvojila Vlada RH, a Ured izradio Smjernice za primjenu Kodeksa savjetovanja kao vodič za državne i javne institucije, Ured sustavno radi na uspostavi standarda savjetovanja s udrugama i ostalom zainteresiranom javnosti u postupcima donošenja novih zakona, drugih propisa i akata, te je u tom smislu u 2012. godini proveo tri modula edukacije koordinatora za savjetovanje, sudjelovao u izradi Priručnika za savjetovanje sa zainteresiranom javnošću, a održava i redovite koordinacijske sastanke sa koordinatorima savjetovanja u pojedinim tijelima državne uprave i na svojoj internetskoj stranici informira zainteresiranu javnost o otvorenim savjetovanjima pojedinih tijela državne uprave.   </w:t>
      </w:r>
    </w:p>
    <w:p w:rsidR="00AC0832" w:rsidRDefault="00AC0832">
      <w:pPr>
        <w:pStyle w:val="Normal3"/>
      </w:pPr>
      <w:r>
        <w:t xml:space="preserve">Ured radi na jačanju sposobnosti udruga za korištenje pretpristupnih i strukturnih fondova Europske unije usmjerenih potpori razvoju civilnog društva i provodi projekte za potporu razvoju civilnog društva koje iz programa Europske unije financira i ugovara Središnja agencija za financiranje i ugovaranje. Osim već provedenih projekata iz programa CARDS, te započetih projekata iz programa PHARE i IPA te onih planiranih iz programa IPA, Ured je od 2007. godine nadležan i za provedbu programa Zajednice Europa za građane kojim su otvorene dodatne mogućnosti za financiranje projekata organizacija civilnog društva u Hrvatskoj. Ured za udruge, koji u okviru decentraliziranog sustava provedbe programa EU u pretpristupnom razdoblju ima ulogu Jedinice za provedbu projekata, ujedno će djelovati i kao posredničko tijelo prve razine za program Razvoj ljudskih potencijala u prijedlogu nove operativne strukture za korištenje sredstava ESF-a, za što je u 2012. dobio i akreditaciju Europske komisije (sukladno Uredbi o tijelima u sustavu upravljanja i kontrole korištenja strukturnih instrumenata Europske unije u Republici Hrvatskoj, Narodne novine br.: 97/2012). </w:t>
      </w:r>
    </w:p>
    <w:p w:rsidR="00AC0832" w:rsidRDefault="00AC0832">
      <w:pPr>
        <w:pStyle w:val="Normal3"/>
      </w:pPr>
      <w:r>
        <w:t>Ured provodi i program sufinanciranja EU projekata organizacijama civilnog društva iz sredstava od igara na sreću. U provođenju spomenutih zadaća, Ured usko surađuje sa Savjetom za razvoj civilnog društva kojemu ujedno pruža tehničku, administrativnu, stručnu i financijsku potporu u radu, kao i s Nacionalnom zakladom za razvoj civilnog društva.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02010-Ured Vlade Republike Hrvatske za udruge</w:t>
            </w:r>
          </w:p>
        </w:tc>
        <w:tc>
          <w:tcPr>
            <w:tcW w:w="2322" w:type="dxa"/>
          </w:tcPr>
          <w:p w:rsidR="00AC0832" w:rsidRDefault="00AC0832">
            <w:pPr>
              <w:pStyle w:val="CellColumn"/>
            </w:pPr>
            <w:r>
              <w:t>104.317.082</w:t>
            </w:r>
          </w:p>
        </w:tc>
        <w:tc>
          <w:tcPr>
            <w:tcW w:w="2322" w:type="dxa"/>
          </w:tcPr>
          <w:p w:rsidR="00AC0832" w:rsidRDefault="00AC0832">
            <w:pPr>
              <w:pStyle w:val="CellColumn"/>
            </w:pPr>
            <w:r>
              <w:t>78.649.128</w:t>
            </w:r>
          </w:p>
        </w:tc>
        <w:tc>
          <w:tcPr>
            <w:tcW w:w="2322" w:type="dxa"/>
          </w:tcPr>
          <w:p w:rsidR="00AC0832" w:rsidRDefault="00AC0832">
            <w:pPr>
              <w:pStyle w:val="CellColumn"/>
            </w:pPr>
            <w:r>
              <w:t>75,4</w:t>
            </w:r>
          </w:p>
        </w:tc>
      </w:tr>
      <w:tr w:rsidR="00AC0832" w:rsidTr="00BE20ED">
        <w:trPr>
          <w:jc w:val="center"/>
        </w:trPr>
        <w:tc>
          <w:tcPr>
            <w:tcW w:w="2322" w:type="dxa"/>
          </w:tcPr>
          <w:p w:rsidR="00AC0832" w:rsidRDefault="00AC0832">
            <w:pPr>
              <w:pStyle w:val="CellColumnSmall"/>
            </w:pPr>
            <w:r>
              <w:t>2108-RAZVOJ CIVILNOG DRUŠTVA I SURADNJA S NEVLADINIM ORGANIZACIJAMA</w:t>
            </w:r>
          </w:p>
        </w:tc>
        <w:tc>
          <w:tcPr>
            <w:tcW w:w="2322" w:type="dxa"/>
          </w:tcPr>
          <w:p w:rsidR="00AC0832" w:rsidRDefault="00AC0832">
            <w:pPr>
              <w:pStyle w:val="CellColumnSmall"/>
            </w:pPr>
            <w:r>
              <w:t>104.317.082</w:t>
            </w:r>
          </w:p>
        </w:tc>
        <w:tc>
          <w:tcPr>
            <w:tcW w:w="2322" w:type="dxa"/>
          </w:tcPr>
          <w:p w:rsidR="00AC0832" w:rsidRDefault="00AC0832">
            <w:pPr>
              <w:pStyle w:val="CellColumnSmall"/>
            </w:pPr>
            <w:r>
              <w:t>78.649.128</w:t>
            </w:r>
          </w:p>
        </w:tc>
        <w:tc>
          <w:tcPr>
            <w:tcW w:w="2322" w:type="dxa"/>
          </w:tcPr>
          <w:p w:rsidR="00AC0832" w:rsidRDefault="00AC0832">
            <w:pPr>
              <w:pStyle w:val="CellColumnSmall"/>
            </w:pPr>
            <w:r>
              <w:t>75,4</w:t>
            </w:r>
          </w:p>
        </w:tc>
      </w:tr>
    </w:tbl>
    <w:p w:rsidR="00AC0832" w:rsidRDefault="00AC0832">
      <w:pPr>
        <w:jc w:val="left"/>
      </w:pPr>
    </w:p>
    <w:p w:rsidR="00AC0832" w:rsidRDefault="00AC0832">
      <w:pPr>
        <w:pStyle w:val="Heading4"/>
      </w:pPr>
      <w:r>
        <w:t>OBRAZLOŽENJE PROGRAMA</w:t>
      </w:r>
    </w:p>
    <w:p w:rsidR="00AC0832" w:rsidRDefault="00AC0832">
      <w:pPr>
        <w:pStyle w:val="Heading5"/>
      </w:pPr>
      <w:r>
        <w:t>2108 RAZVOJ CIVILNOG DRUŠTVA I SURADNJA S NEVLADINIM ORGANIZACIJAMA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2108-RAZVOJ CIVILNOG DRUŠTVA I SURADNJA S NEVLADINIM ORGANIZACIJAMA</w:t>
            </w:r>
          </w:p>
        </w:tc>
        <w:tc>
          <w:tcPr>
            <w:tcW w:w="2322" w:type="dxa"/>
          </w:tcPr>
          <w:p w:rsidR="00AC0832" w:rsidRDefault="00AC0832">
            <w:pPr>
              <w:pStyle w:val="CellColumn"/>
            </w:pPr>
            <w:r>
              <w:t>104.317.082</w:t>
            </w:r>
          </w:p>
        </w:tc>
        <w:tc>
          <w:tcPr>
            <w:tcW w:w="2322" w:type="dxa"/>
          </w:tcPr>
          <w:p w:rsidR="00AC0832" w:rsidRDefault="00AC0832">
            <w:pPr>
              <w:pStyle w:val="CellColumn"/>
            </w:pPr>
            <w:r>
              <w:t>78.649.128</w:t>
            </w:r>
          </w:p>
        </w:tc>
        <w:tc>
          <w:tcPr>
            <w:tcW w:w="2322" w:type="dxa"/>
          </w:tcPr>
          <w:p w:rsidR="00AC0832" w:rsidRDefault="00AC0832">
            <w:pPr>
              <w:pStyle w:val="CellColumn"/>
            </w:pPr>
            <w:r>
              <w:t>75,4</w:t>
            </w:r>
          </w:p>
        </w:tc>
      </w:tr>
    </w:tbl>
    <w:p w:rsidR="00AC0832" w:rsidRDefault="00AC0832">
      <w:pPr>
        <w:jc w:val="left"/>
      </w:pPr>
    </w:p>
    <w:p w:rsidR="00AC0832" w:rsidRDefault="00AC0832">
      <w:pPr>
        <w:pStyle w:val="Heading6"/>
      </w:pPr>
      <w:r>
        <w:t>Opis programa</w:t>
      </w:r>
    </w:p>
    <w:p w:rsidR="00AC0832" w:rsidRDefault="00AC0832">
      <w:pPr>
        <w:pStyle w:val="Normal5"/>
      </w:pPr>
      <w:r>
        <w:t>Program P 2108 Razvoj civilnog društva i suradnja s nevladinim organizacijama uklapa se u širi program jačanja, stabilizacije i daljnje demokratizacije političkog sustava RH u kojemu civilno društvo, a posebno udruge imaju važnu ulogu. Stvaranje poticajnog okruženja za razvoj civilnog društva iziskuje osiguranje održive potpore projektima i programima udruga i drugih organizacija civilnog društva kao ključnih čimbenika pluralizma, učinkovite zaštite temeljnih prava i sloboda te aktivnog demokratskog građanstva. Kroz ovaj program, Ured za udruge, kao tijelo zaduženo za suradnju s udrugama odnosno organizacijama civilnog društva, djeluje  u smjeru učinkovitije koordinacije rada tijela državne uprave na području razvoja, suradnje i savjetovanja s udrugama i ostalim organizacijama civilnog društva, kao i na provođenju učinkovitog praćenja i evaluacije financijskih projekata i programa udruga, te provođenja projekata i programa Europske unije za potrebu razvoja civilnog društva.</w:t>
      </w:r>
    </w:p>
    <w:p w:rsidR="00AC0832" w:rsidRDefault="00AC0832">
      <w:pPr>
        <w:pStyle w:val="Heading6"/>
      </w:pPr>
      <w:r>
        <w:t>Zakonske i druge pravne osnove</w:t>
      </w:r>
    </w:p>
    <w:p w:rsidR="00AC0832" w:rsidRDefault="00AC0832">
      <w:pPr>
        <w:pStyle w:val="Normal5"/>
      </w:pPr>
      <w:r>
        <w:t xml:space="preserve">-Zakon o Vladi RH </w:t>
      </w:r>
    </w:p>
    <w:p w:rsidR="00AC0832" w:rsidRDefault="00AC0832">
      <w:pPr>
        <w:pStyle w:val="Normal5"/>
      </w:pPr>
      <w:r>
        <w:t xml:space="preserve">-Zakon o sustavu državne uprave </w:t>
      </w:r>
    </w:p>
    <w:p w:rsidR="00AC0832" w:rsidRDefault="00AC0832">
      <w:pPr>
        <w:pStyle w:val="Normal5"/>
      </w:pPr>
      <w:r>
        <w:t xml:space="preserve">-Uredba o načelima za unutarnje ustrojstvo tijela državne uprave,  </w:t>
      </w:r>
    </w:p>
    <w:p w:rsidR="00AC0832" w:rsidRDefault="00AC0832">
      <w:pPr>
        <w:pStyle w:val="Normal5"/>
      </w:pPr>
      <w:r>
        <w:t xml:space="preserve">-Uredba o Uredu za udruge </w:t>
      </w:r>
    </w:p>
    <w:p w:rsidR="00AC0832" w:rsidRDefault="00AC0832">
      <w:pPr>
        <w:pStyle w:val="Normal5"/>
      </w:pPr>
      <w:r>
        <w:t xml:space="preserve">-Nacionalna strategije stvaranja poticajnog okruženja za razvoj civilnog društva za razdoblje 2012. – 2016.   </w:t>
      </w:r>
    </w:p>
    <w:p w:rsidR="00AC0832" w:rsidRDefault="00AC0832">
      <w:pPr>
        <w:pStyle w:val="Normal5"/>
      </w:pPr>
      <w:r>
        <w:t xml:space="preserve">-Strategija suzbijanja korupcije i Akcijski plan njezine provedbe </w:t>
      </w:r>
    </w:p>
    <w:p w:rsidR="00AC0832" w:rsidRDefault="00AC0832">
      <w:pPr>
        <w:pStyle w:val="Normal5"/>
      </w:pPr>
      <w:r>
        <w:t xml:space="preserve">-Zakon o igrama na sreću </w:t>
      </w:r>
    </w:p>
    <w:p w:rsidR="00AC0832" w:rsidRDefault="00AC0832">
      <w:pPr>
        <w:pStyle w:val="Normal5"/>
      </w:pPr>
      <w:r>
        <w:t xml:space="preserve">-Uredba o kriterijima za utvrđivanje korisnika i načinu raspodjele dijela prihoda od igara na sreću za 2012. godinu </w:t>
      </w:r>
    </w:p>
    <w:p w:rsidR="00AC0832" w:rsidRDefault="00AC0832">
      <w:pPr>
        <w:pStyle w:val="Normal5"/>
      </w:pPr>
      <w:r>
        <w:t xml:space="preserve">-Kodeks pozitivne prakse, standarda i mjerila za ostvarivanje financijske potpore programima i projektima udruga </w:t>
      </w:r>
    </w:p>
    <w:p w:rsidR="00AC0832" w:rsidRDefault="00AC0832">
      <w:pPr>
        <w:pStyle w:val="Normal5"/>
      </w:pPr>
      <w:r>
        <w:t xml:space="preserve">-Drugi nacionalni programi i strategije u kojima je Ured za udruge nositelj provedbe pojedinih mjera među kojima su: Akcijski plan za provedbu inicijative Partnerstvo za otvorenu vlast; Nacionalna strategija izjednačavanja mogućnosti za osobe s invaliditetom od 2007.-2015., Nacionalni program zaštite i promicanja ljudskih prava 2008.-2011., Nacionalna politika za promicanje ravnopravnosti spolova 2011.-2015., Program aktivnosti za prevenciju nasilja među mladima, Nacionalni program za mlade 2009.-2013.; Provedbeni program razvojne suradnje, itd. </w:t>
      </w:r>
    </w:p>
    <w:p w:rsidR="00AC0832" w:rsidRDefault="00AC0832">
      <w:pPr>
        <w:pStyle w:val="Normal5"/>
      </w:pPr>
      <w:r>
        <w:t>-Strateško planiranje i praćenje provedbe projekata financiranih iz sredstava EU provode se na temelju memoranduma o razumijevanju i godišnjih financijskih ugovora potpisanih između Europske unije i Republike Hrvatske i Odluke o strateškim dokumentima i institucionalnom okviru za korištenje strukturnih instrumenata Europske unije u Republici Hrvatskoj</w:t>
      </w:r>
    </w:p>
    <w:p w:rsidR="00AC0832" w:rsidRDefault="00AC0832">
      <w:pPr>
        <w:pStyle w:val="Heading7"/>
      </w:pPr>
      <w:r>
        <w:t>Cilj 1. Poboljšanje okruženja za razvoj civilnog društva</w:t>
      </w:r>
    </w:p>
    <w:p w:rsidR="00AC0832" w:rsidRDefault="00AC0832">
      <w:pPr>
        <w:pStyle w:val="Heading8"/>
        <w:jc w:val="left"/>
      </w:pPr>
      <w:r>
        <w:t>Opis provedbe cilja programa</w:t>
      </w:r>
    </w:p>
    <w:p w:rsidR="00AC0832" w:rsidRDefault="00AC0832">
      <w:pPr>
        <w:pStyle w:val="Normal6"/>
      </w:pPr>
      <w:r>
        <w:t xml:space="preserve">Postojeća praksa suradnje državnih tijela s udrugama još uvijek nije u potpunosti  integrirani sustav koji bi trebao omogućiti kvalitetnu podlogu za stvaranje poticajnog okruženja za razvoj civilnog društva, učinkovito praćenje rezultata financiranih projekata udruga iz javnih izvora, uspješno uključivanje udruga u korištenje sredstava iz strukturnih fondova i programa Zajednice te, u konačnici, uspješno suočavanje s izazovom višerazinskog upravljanja europskim javnim politikama. </w:t>
      </w:r>
    </w:p>
    <w:p w:rsidR="00AC0832" w:rsidRDefault="00AC0832">
      <w:pPr>
        <w:pStyle w:val="Normal6"/>
      </w:pPr>
      <w:r>
        <w:t>Suradnja Vlade i tijela državne uprave s udrugama i ostalim organizacijama civilnog društva značajno će se unaprijediti na svim razinama boljom koordinacijom i sustavnim praćenjem provedbe Nacionalne strategije stvaranja poticajnog okruženja za razvoj civilnog društva, od 2012. do 2016. jačanjem sposobnosti udruga za učinkovito korištenje raspoloživih fondova Europske unije za potporu razvoju civilnoga društva, poboljšanjem standarda za dodjelu, praćenje i vrednovanje financijskih potpora projektima i programima udruga iz državnog proračuna i drugih javnih izvora, kao i dodatnim razvojem suradnje i savjetovanja s udrugama i ostalim predstavnicima zainteresirane javnosti u donošenju i provedbi javnih politika.</w:t>
      </w:r>
    </w:p>
    <w:p w:rsidR="00AC0832" w:rsidRDefault="00AC0832">
      <w:pPr>
        <w:jc w:val="left"/>
      </w:pPr>
    </w:p>
    <w:p w:rsidR="00AC0832" w:rsidRDefault="00AC0832">
      <w:pPr>
        <w:pStyle w:val="Heading6"/>
      </w:pPr>
      <w:r>
        <w:t>A509000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A509000-ADMINISTRACIJA I UPRAVLJANJE</w:t>
            </w:r>
          </w:p>
        </w:tc>
        <w:tc>
          <w:tcPr>
            <w:tcW w:w="2322" w:type="dxa"/>
          </w:tcPr>
          <w:p w:rsidR="00AC0832" w:rsidRDefault="00AC0832">
            <w:pPr>
              <w:pStyle w:val="CellColumn"/>
            </w:pPr>
            <w:r>
              <w:t>3.728.000</w:t>
            </w:r>
          </w:p>
        </w:tc>
        <w:tc>
          <w:tcPr>
            <w:tcW w:w="2322" w:type="dxa"/>
          </w:tcPr>
          <w:p w:rsidR="00AC0832" w:rsidRDefault="00AC0832">
            <w:pPr>
              <w:pStyle w:val="CellColumn"/>
            </w:pPr>
            <w:r>
              <w:t>3.241.203</w:t>
            </w:r>
          </w:p>
        </w:tc>
        <w:tc>
          <w:tcPr>
            <w:tcW w:w="2322" w:type="dxa"/>
          </w:tcPr>
          <w:p w:rsidR="00AC0832" w:rsidRDefault="00AC0832">
            <w:pPr>
              <w:pStyle w:val="CellColumn"/>
            </w:pPr>
            <w:r>
              <w:t>86,9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sklopu svojih redovitih djelatnosti, Ured za udruge je tijekom 2012. godine kontinuirano sudjelovao u pripremi i provedbi mjera svih važnijih strateških dokumenata koji obuhvaćaju aktivnosti suradnje s udrugama; provodio aktivnosti koordinacije rada tijela državne uprave i ostalih javnih institucija na području harmonizacije politike, kriterija i standarda financiranja projekata udruga i ostalih organizacija civilnoga društva iz državnog proračuna i drugih javnih izvora; unaprjeđivao, pratio i aktivno poticao provedbu standarda vezanih uz savjetovanje sa zainteresiranom javnošću u donošenju zakona, drugih propisa i akata; pripremao i provodio programe stručnog osposobljavanja i usavršavanja državnih službenika i drugih korisnika u području razvoja suradnje s civilnim društvom u oblikovanju javnih politika; pružao informacije i davao stručnu pomoć građanima i predstavnicima organizacija civilnoga društva iz nadležnosti Ureda; pripremao i provodio aktivnosti međunarodne razvojne suradnje na području potpore razvoju civilnoga društva, kao i druge srodne aktivnosti. </w:t>
      </w:r>
    </w:p>
    <w:p w:rsidR="00AC0832" w:rsidRDefault="00AC0832">
      <w:pPr>
        <w:pStyle w:val="Normal6"/>
      </w:pPr>
      <w:r>
        <w:t xml:space="preserve">U organizaciji Ureda za udruge Vlade Republike Hrvatske, a u suradnji s tijelima državne uprave, uredima Vlade RH te javnim institucijama – davateljima financijskih potpora – 27. i 28. ožujka 2012. u Velikoj dvorani Ministarstva znanosti, obrazovanja i sporta održani su Info dani o natječajima za potpore projektima i programima organizacija civilnog društva iz sredstava državnog proračuna i dijela prihoda od igara na sreću za 2012. godinu. Treću godinu zaredom zainteresiranim udrugama predstavljeni su natječaji koje će ministarstva, Vladini uredi, Nacionalna zaklada za razvoj civilnoga društva, te Fond za zaštitu okoliša i energetsku učinkovitost raspisivati u 2012. za financiranje projekata i programa udruga. I u 2012. godini su organizacije civilnoga društva iskazale vrlo velik interes za ovo događanje, kojem je prisustvovalo više od 250 sudionika iz više od 200 udruga i zaklada. Svrha Info dana je prezentirati planove i prioritete financiranja projekata i programa organizacija civilnoga društva iz sredstava državnog proračuna i dijela prihoda od igara na sreću u 2012., ali i omogućiti priliku za dijalog o tome da li su kroz planirane natječaje potrebe na terenu pogođene i koje su mogućnosti za unaprjeđenje sustava. </w:t>
      </w:r>
    </w:p>
    <w:p w:rsidR="00AC0832" w:rsidRDefault="00AC0832">
      <w:pPr>
        <w:pStyle w:val="Normal6"/>
      </w:pPr>
      <w:r>
        <w:t xml:space="preserve">U Zagrebu je od 14. do 16. lipnja 2012. održana tradicionalna manifestacija Dani udruga koju je Ured za udruge Vlade Republike Hrvatske organizirao u suradnji s TACSO – uredom tehničke pomoći organizacijama civilnog društva u Republici Hrvatskoj i Nacionalnom zakladom za razvoj civilnog društva. Dani udruga započeli su panel raspravom o strateškim prioritetima za potporu razvoju civilnog društva u Republici Hrvatskoj, u kontekstu donošenja nove Nacionalne strategije stvaranja poticajnog okruženja za razvoj civilnoga društva. Drugog dana konferencije održano je sedam paralelnih okruglih stolova i rasprava o aktualnim temama, relevantnim za stvaranje poticajnog okruženja za razvoj civilnoga društva, na kojima je sudjelovalo više od 250 sudionika. Treći dan, po prvi puta, u udrugama širom Hrvatske održan je Dan otvorenih vrata udruga.  Cilj ovog događanja bio je građanima i široj javnosti približiti programe i projekte od interesa za opće dobro koje provode udruge u Hrvatskoj. Udruge koje su se prijavile za sudjelovanje otvorile su 16. lipnja svoja vrata zainteresiranim građanima kako bi ih informirale o radu udruge, uslugama koje pružajui mogućnostima za uključivanje u njihove aktivnosti. Dan otvorenih vrata održalo je više od 120 udruga s područja cijele Hrvatske, a organizatori Dana udruga tijekom srpnja 2012. odabrali su 5 najuspješnijih udruga koje su zaslužile posebne nagrade za svoj trud. Prilikom odabira posebna pozornost pridana je načinu na koji je udruga osmislila Dan otvorenih vrata i okupila zainteresirane građane u svojoj lokalnoj zajednici, ponuđenom sadržaju, broju posjetitelja, te popraćenosti u lokalnim medijima. </w:t>
      </w:r>
    </w:p>
    <w:p w:rsidR="00AC0832" w:rsidRDefault="00AC0832">
      <w:pPr>
        <w:pStyle w:val="Normal6"/>
      </w:pPr>
      <w:r>
        <w:t xml:space="preserve">Na sjednici održanoj 12. srpnja 2012. Vlada Republike Hrvatske usvojila je Izvješće o financiranju projekata i programa organizacija civilnog društva iz javnih izvora u 2011. godini. Prikupljeni su podaci za ukupno 23 davatelja bespovratnih sredstava koji su imali ustrojen program za dodjeljivanje nekog vida financijskih ili nefinancijskih sredstava. Na osnovu prikupljenih podataka utvrđeno je da je iz javnih izvora na nacionalnoj razini u 2011. godini programima i projektima organizacija civilnog društva dodijeljeno ukupno 549.979.601,16 kuna. Osim detaljne analize financiranih projekata i programa iz javnih izvora na nacionalnoj razini, Izvješće sadrži i primjere uspješno provedenih projekata organizacija civilnoga društva financiranih iz javnih izvora na nacionalnoj razini u 2011., popis svih 5.258 projekata s podacima o davatelju financijskih sredstava i nazivu natječaja, nazivu organizacije civilnoga društva i nazivu projekta ili programa, voditelju projekta ili programa i dodijeljenom iznosu, te objedinjeni prikaz iznosa bespovratnih financijskih sredstava dodijeljenih organizacijama civilnog društva u 2011. godini iz proračuna županija, gradova i općina. Jedna od novina u ovogodišnjem izvješću su podaci o broju uključenih volontera u provedbu aktivnosti financiranih projekata i programa, prikazani prema općim područjima financiranja. Od ukupno 5.258 projekata i programa financiranih u 2011., podatke o postojanju uključenih volontera davatelji financijskih sredstava dali su za 958 projekata i programa, na kojima je bilo uključeno 25.454 volontera. Podaci za regionalnu i lokalnu razinu su obrađeni i objavljeni u cjelovitom Izvješću o financijskim potporama dodijeljenim organizacijama civilnoga društva u 2011. godini koje je tiskano u posebnoj publikaciji. </w:t>
      </w:r>
    </w:p>
    <w:p w:rsidR="00AC0832" w:rsidRDefault="00AC0832">
      <w:pPr>
        <w:pStyle w:val="Normal6"/>
      </w:pPr>
      <w:r>
        <w:t xml:space="preserve">Na sjednici održanoj 12. srpnja 2012. Vlada Republike Hrvatske donijela je Odluku o osnivanju Međuresornog povjerenstva za koordinaciju politike financiranja projekata i programa udruga iz državnog proračuna Republike Hrvatske, kojim predsjedava potpredsjednica Vlade Republike Hrvatske za društvene djelatnosti i ljudska prava te ministrica socijalne politike i mladih, Milanka Opačić. Međuresorno povjerenstvo osnovano je s ciljem uspostave i provedbe djelotvorne koordinacije tijela državne uprave, Vladinih ureda i drugih javnih institucija u postupcima dodjele bespovratnih sredstava iz državnog proračuna projektima i programima od osobitog interesa za opće/javno dobro koje provode udruge u Republici Hrvatskoj. Imajući u vidu očekivano znatno veće financiranje projekata i programa udruga iz fondova Europske unije, pa tako i potrebu osiguravanja većeg nacionalnog sufinanciranja, osnivanje Međuresornog povjerenstva ujedno je odgovor i na potrebu cjelokupnog usklađivanja financiranja projekata i programa udruga iz nacionalnih izvora i fondova Europske unije, posebice zbog učinkovitog korištenja raspoloživih resursa u društvu i racionalnog i transparentnog korištenja sredstava iz svih javnih izvora. Stručnu i tehničku potporu radu Međuresornog povjerenstva pruža Ured za udruge Vlade Republike Hrvatske.  </w:t>
      </w:r>
    </w:p>
    <w:p w:rsidR="00AC0832" w:rsidRDefault="00AC0832">
      <w:pPr>
        <w:pStyle w:val="Normal6"/>
      </w:pPr>
      <w:r>
        <w:t xml:space="preserve">Tijekom 2012. Međuresorno povjerenstvo održalo je četiri sjednice, a jedan od glavnih rezultata njegovog rada očituje se u objavi Godišnjeg plan natječaja, javnih poziva i drugih programa financiranja projekata i programa organizacija civilnog društva u 2013. iz državnog proračuna. Godišnji plan izrađen je temeljem sektorskih analiza u kojima su davatelji bespovratnih sredstava identificirali potrebe u svojim resorima, ali i temeljem javnih rasprava te internetskog savjetovanja sa zainteresiranom javnošću, a objavljen je sredinom prosinca 2012. Godišnji plan natječaja prikazuje popis ukupno 118 programa za dodjelu bespovratnih sredstava projektima i programima organizacija civilnoga društva koje će u 2013., u sklopu svojih nadležnosti, raspisati 19 državnih tijela. Ukupno planirani iznos od oko 600 milijuna kuna raspodijelit će se putem 82 planirana natječaja, 21 programa potpore temeljem javnih potreba, operativnog djelovanja kroz partnerstvo s udrugama te sufinanciranja EU projekata te 15 programa potpore temeljem preuzetih obveza iz prijašnjih godina, odnosno, putem višegodišnjeg ugovaranja projekata. Osim usuglašavanja Godišnjeg plana natječaja, Međuresorno povjerenstvo na sjednicama tijekom 2012. dogovorilo je i zajedničke minimalne standarde za raspisivanje i provedbu natječaja, istovjetne minimalne formalne uvjete za sve natječaje i javne pozive za financiranje udruga iz državnog proračuna te dogovorilo zajedničko korištenje sustava pravodobne informacijske koordinacije svih davatelja bespovratnih sredstava iz državnog proračuna, što će omogućiti učinkovitije raspolaganje sredstvima te pokrivanje potreba u zajednici, a u konačnici i kvalitetnije izvještavanje javnosti o rezultatima provedenih projekata i programa organizacija civilnoga društva. </w:t>
      </w:r>
    </w:p>
    <w:p w:rsidR="00AC0832" w:rsidRDefault="00AC0832">
      <w:pPr>
        <w:pStyle w:val="Normal6"/>
      </w:pPr>
      <w:r>
        <w:t xml:space="preserve">S ciljem djelotvornog financiranja projekata i programa i njihovog usklađivanja sa zahtjevima nacionalnog sufinanciranja projekata koji će se podupirati iz strukturnih fondova i uspostavom potpune informatizacije sustava financiranja projekata i programa udruga iz državnog proračuna u svakom državnom tijelu koje financira projekte i programe udruga iz državnog proračuna Ured za udruge, u suradnji s Nacionalnom zakladom za razvoj civilnog društva tijekom, tijekom prethodnog razdoblja radio je na izradi novog informacijskog sustava za praćenje financijskih potpora udrugama Potpora plus koji će značajno unaprijediti postupke provedbe natječaja, te praćenja i vrednovanja projekata i programa udruga financiranih iz državnog proračuna. Ujedno su stvoreni i tehnički preduvjeti za početak rada sustava (nabava novog servera), a tijekom 2012. svi su Vladini uredi i gotovo sva tijela državne uprave, koja imaju ustrojen neki vid dodjele bespovratnih sredstava za projekte i programe organizacija civilnoga društva, započeli s aktivnim korištenjem sustava. Tijekom 2013. očekuje se nadogradnja informacijskog sustava uvođenjem elektroničke prijave na sve natječaje tijela javnih vlasti na nacionalnoj razini, a putem Potpore plus sve relevantne informacije o rezultatima provedenih projekata i programa organizacija civilnoga društva bit će i javno dostupne. </w:t>
      </w:r>
    </w:p>
    <w:p w:rsidR="00AC0832" w:rsidRDefault="00AC0832">
      <w:pPr>
        <w:pStyle w:val="Normal6"/>
      </w:pPr>
      <w:r>
        <w:t xml:space="preserve">Ured za udruge uspostavio je poseban dio mrežnih stranica posvećen savjetovanju sa zainteresiranom javnošću. Na ovom dijelu stranice mogu se naći sve informacije o otvorenim i okončanim savjetovanjima za propise čije je donošenje u nadležnosti Ureda za udruge Vlade Republike Hrvatske te drugih tijela državne uprave i ureda Vlade, kao i kontakt podatke koordinatora za savjetovanje u Uredu za udruge i ostale vijesti važne za konzultativni proces.  </w:t>
      </w:r>
    </w:p>
    <w:p w:rsidR="00AC0832" w:rsidRDefault="00AC0832">
      <w:pPr>
        <w:pStyle w:val="Normal6"/>
      </w:pPr>
      <w:r>
        <w:t xml:space="preserve">Tijekom 2011. i prve polovice 2012., Ured za udruge provodio je projekt tehničke pomoći IPA 2009 Jačanje kapaciteta Vladinog Ureda za udruge za izgradnju učinkovitog partnerstva s organizacijama civilnog društva u borbi protiv korupcije čiji je cilj bio poboljšati suradnju državnih tijela i organizacija civilnog društva u suzbijanju korupcije, a glavne aktivnosti uključivale su oblikovanje cjelovitog programa izobrazbe i treninga za koordinatore savjetovanja, imenovane u tijelima državne uprave i uredima Vlade Republike Hrvatske, održavanje nekoliko javnih rasprava te izrada i tisak sveobuhvatnog priručnika za savjetovanje. Program izobrazbe i treninga za koordinatore savjetovanja proveden je kroz tri modula, a Ured za udruge, u suradnji s Državnom školom za javnu upravu, priprema modul vezan uz savjetovanje sa zainteresiranom javnošću koji bi trebao biti uvršten u katalog programa Državne škole za javnu upravu. Ured za udruge redovito je tijekom 2012. organizirao sastanke svih koordinatora savjetovanja na kojima se razmjenjuju informacije i iskustva te provode dodatne edukacije koordinatora savjetovanja. Također, Ured je radio na daljnjem podizanju svijesti o važnosti ovog područja u daljnjem razvoju usluga tijela javne vlasti.  </w:t>
      </w:r>
    </w:p>
    <w:p w:rsidR="00AC0832" w:rsidRDefault="00AC0832">
      <w:pPr>
        <w:pStyle w:val="Normal6"/>
      </w:pPr>
      <w:r>
        <w:t xml:space="preserve">Ured za udruge pripremio je i Izvještaj o provedbi Kodeksa savjetovanja u 2011. godini, iz kojeg je vidljivo da su u 2011. godini tijela državne uprave i Vladini uredi izradili ukupno 57 nacrta zakona, od čega je za 19 njih proveden postupak savjetovanja sa zainteresiranom javnošću. Od ukupno 117 drugih propisa za koje je izrađen nacrt u 2011. godini, za njih 29 je proveden postupak savjetovanja sa zainteresiranom javnošću. Prema tome, u 2011. godini provedena su savjetovanja o 48 zakona i drugih propisa.  </w:t>
      </w:r>
    </w:p>
    <w:p w:rsidR="00AC0832" w:rsidRDefault="00AC0832" w:rsidP="00712567">
      <w:pPr>
        <w:pStyle w:val="Normal6"/>
      </w:pPr>
      <w:r>
        <w:t>Ciljevi programa u 2012. godini ostvareni su i u pogledu zapošljavanja jednog novog djelatnika u Uredu za udruge na poslovima vezanim uz IPA programe.</w:t>
      </w:r>
    </w:p>
    <w:p w:rsidR="00AC0832" w:rsidRDefault="00AC0832">
      <w:pPr>
        <w:pStyle w:val="Heading6"/>
      </w:pPr>
      <w:r>
        <w:t>A509014 NACIONALNA ZAKLADA ZA RAZVOJ CIVILNOG DRUŠTVA - UDRUGE ZA RAZVOJ ZAJEDNICE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A509014-NACIONALNA ZAKLADA ZA RAZVOJ CIVILNOG DRUŠTVA - UDRUGE ZA RAZVOJ ZAJEDNICE</w:t>
            </w:r>
          </w:p>
        </w:tc>
        <w:tc>
          <w:tcPr>
            <w:tcW w:w="2322" w:type="dxa"/>
          </w:tcPr>
          <w:p w:rsidR="00AC0832" w:rsidRDefault="00AC0832">
            <w:pPr>
              <w:pStyle w:val="CellColumn"/>
            </w:pPr>
            <w:r>
              <w:t>55.463.031</w:t>
            </w:r>
          </w:p>
        </w:tc>
        <w:tc>
          <w:tcPr>
            <w:tcW w:w="2322" w:type="dxa"/>
          </w:tcPr>
          <w:p w:rsidR="00AC0832" w:rsidRDefault="00AC0832">
            <w:pPr>
              <w:pStyle w:val="CellColumn"/>
            </w:pPr>
            <w:r>
              <w:t>54.153.197</w:t>
            </w:r>
          </w:p>
        </w:tc>
        <w:tc>
          <w:tcPr>
            <w:tcW w:w="2322" w:type="dxa"/>
          </w:tcPr>
          <w:p w:rsidR="00AC0832" w:rsidRDefault="00AC0832">
            <w:pPr>
              <w:pStyle w:val="CellColumn"/>
            </w:pPr>
            <w:r>
              <w:t>97,6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Temeljem Uredbe o kriterijima za utvrđivanje korisnika i načinu raspodjele dijela prihoda od igara na sreću za 2012. godinu (NN, 31/2012) vršio se transfer sredstava (dijela prihoda od igara na sreću) Nacionalnoj zakladi za razvoj civilnog društva.  </w:t>
      </w:r>
    </w:p>
    <w:p w:rsidR="00AC0832" w:rsidRDefault="00AC0832">
      <w:pPr>
        <w:pStyle w:val="Normal6"/>
      </w:pPr>
      <w:r>
        <w:t>Utrošena sredstva su bila namijenjena provedbi slijedećih programa Nacionalne zaklade za razvoj civilnoga društva: Institucionalna podrška stabilizaciji i/ili razvoju udruge (ugovorena provedba za razdoblja 20010.-2011., 2013.-2013., 2012.-2014.); Demokratizacija i razvoj civilnoga društva (A: Aktivno sudjelovanje u društvenim procesima, B: Jačanje utjecaja kroz umrežavanje, C: Ulaganje za lokalno djelovanje); Nagrade za društvenu inovaciju u 2012. godini; Programi podrške provedbi društvenih inovacija (stipendije); Škola – prijatelj zajednice (A: Nagrade za volonterske inicijative u osnovnim školama, B: Nagrade za modele volontiranja mladih u srednjim školama); Program podrške provedbi nagrađenih volonterskih inicijativa/modela i posjeta učenika Udrugama u različitim županijama u RH; Ugovorena suradnja u području istraživanja o razvoju civilnoga društva u Republici Hrvatskoj; Ugovorena suradnja u području neprofitnih medijskih projekata za poticanje demokratizacije i razvoja civilnoga društva; Ugovorena suradnja u području međunarodne razvojne pomoći „Suradnjom do razvoja“; Ugovorena suradnja u području razvoja novih projekata "Od ideje do projekta"; Ugovorena suradnja u području prijenosa znanja – znanje bez granica; Ugovorena suradnja u okviru programa „Suradnja na Euro-mediteranu“; Program „Za Dobro.BIT“; Programi razvojne suradnje; Ugovorena razvojna suradnja u području neprofitnih medija; Ugovoreni programi informiranja, izdavaštva i izobrazbe; Ugovorena razvojna suradnja kroz pilot-program centara znanja za društveni razvoj; Ugovorena razvojna suradnja kroz pilot-program sustavnog financiranja saveza udruga osoba s invaliditetom (u suradnji s Ministarstvom socijalne politike i mladih); Ugovorena razvojna suradnja u području sudioničke demokracije „Zajedno za bolje“; Ugovoreno partnerstvo u provođenju programa regionalnog razvoja i jačanja sposobnosti organizacija civilnoga društva na lokalnoj i regionalnoj razini; Ugovoreno partnerstvo u provođenju decentraliziranog modela financiranja razvoja civilnoga društva u Republici Hrvatskoj u 2011. godini; Ulaganje u unapređenje i višekorisništvo programa „Potpora_Plus“; Ugovorena provedba operativnih aktivnosti Nacionalne zaklade za razvoj civilnoga društva u 2012. godini.</w:t>
      </w:r>
    </w:p>
    <w:p w:rsidR="00AC0832" w:rsidRDefault="00AC0832">
      <w:pPr>
        <w:pStyle w:val="Heading6"/>
      </w:pPr>
    </w:p>
    <w:p w:rsidR="00AC0832" w:rsidRDefault="00AC0832">
      <w:pPr>
        <w:pStyle w:val="Heading6"/>
      </w:pPr>
    </w:p>
    <w:p w:rsidR="00AC0832" w:rsidRDefault="00AC0832">
      <w:pPr>
        <w:pStyle w:val="Heading6"/>
      </w:pPr>
      <w:r>
        <w:t>A509024 PROVEDBA NACIONALNE STRATEGIJE STVARANJA POTICAJNOG OKRUŽENJA ZA RAZVOJ CIVILNOG DRUŠTVA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A509024-PROVEDBA NACIONALNE STRATEGIJE STVARANJA POTICAJNOG OKRUŽENJA ZA RAZVOJ CIVILNOG DRUŠTVA</w:t>
            </w:r>
          </w:p>
        </w:tc>
        <w:tc>
          <w:tcPr>
            <w:tcW w:w="2322" w:type="dxa"/>
          </w:tcPr>
          <w:p w:rsidR="00AC0832" w:rsidRDefault="00AC0832">
            <w:pPr>
              <w:pStyle w:val="CellColumn"/>
            </w:pPr>
            <w:r>
              <w:t>53.000</w:t>
            </w:r>
          </w:p>
        </w:tc>
        <w:tc>
          <w:tcPr>
            <w:tcW w:w="2322" w:type="dxa"/>
          </w:tcPr>
          <w:p w:rsidR="00AC0832" w:rsidRDefault="00AC0832">
            <w:pPr>
              <w:pStyle w:val="CellColumn"/>
            </w:pPr>
            <w:r>
              <w:t>48.830</w:t>
            </w:r>
          </w:p>
        </w:tc>
        <w:tc>
          <w:tcPr>
            <w:tcW w:w="2322" w:type="dxa"/>
          </w:tcPr>
          <w:p w:rsidR="00AC0832" w:rsidRDefault="00AC0832">
            <w:pPr>
              <w:pStyle w:val="CellColumn"/>
            </w:pPr>
            <w:r>
              <w:t>92,1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 sjednici održanoj 12. srpnja 2012., Vlada Republike Hrvatske usvojila je Nacionalnu strategiju stvaranja poticajnog okruženja za razvoj civilnoga društva od 2012. do 2016. godine. Radi se o dokumentu u kojemu se, na strateškoj razini,  određuju ciljevi koje Republika Hrvatska u sferi razvoja civilnoga društva želi postići u narednom petogodišnjom razdoblju. Dokument, osim uvodnih i završnih odredbi te pojmovnika, sadrži četiri glavna dijela: vrijednosno utemeljenje odnosa države i civilnog društva, razvoj civilnog društva u Hrvatskoj, područja Nacionalne strategije i provedba Nacionalne strategije. Najvažniji i najopsežniji dio je onaj u kojemu se određuju temeljna područja Nacionalne strategije, pri čemu se u dokumentu navode četiri takva područja: institucionalni okvir za potporu razvoju civilnog društva, civilno društvo i sudionička demokracija, osnaživanje uloge organizacija civilnoga društva za društveno-ekonomski razvoj i djelovanje i daljnji razvoj civilnog društva u međunarodnom kontekstu. Za svako od navedenih područja određeni su ciljevi i mjere koje se Nacionalnom strategijom žele ostvariti, provedbene aktivnosti potrebne za ostvarenje tih ciljeva i mjera, nositelji i sunositelji tih aktivnosti, rokovi i izvori sredstava potrebni za provedbu aktivnosti te pokazatelji na temelju kojih bi se trebao vrednovati napredak u provedbi. U dokumentu je tako navedeno ukupno 26 ciljeva,  27 mjera te  91 provedbena aktivnost.</w:t>
      </w:r>
    </w:p>
    <w:p w:rsidR="00AC0832" w:rsidRDefault="00AC0832">
      <w:pPr>
        <w:jc w:val="left"/>
      </w:pPr>
    </w:p>
    <w:p w:rsidR="00AC0832" w:rsidRDefault="00AC0832">
      <w:pPr>
        <w:pStyle w:val="Heading6"/>
      </w:pPr>
      <w:r>
        <w:t>A509030 SAVJET ZA RAZVOJ CIVILNOG DRUŠTVA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A509030-SAVJET ZA RAZVOJ CIVILNOG DRUŠTVA</w:t>
            </w:r>
          </w:p>
        </w:tc>
        <w:tc>
          <w:tcPr>
            <w:tcW w:w="2322" w:type="dxa"/>
          </w:tcPr>
          <w:p w:rsidR="00AC0832" w:rsidRDefault="00AC0832">
            <w:pPr>
              <w:pStyle w:val="CellColumn"/>
            </w:pPr>
            <w:r>
              <w:t>15.000</w:t>
            </w:r>
          </w:p>
        </w:tc>
        <w:tc>
          <w:tcPr>
            <w:tcW w:w="2322" w:type="dxa"/>
          </w:tcPr>
          <w:p w:rsidR="00AC0832" w:rsidRDefault="00AC0832">
            <w:pPr>
              <w:pStyle w:val="CellColumn"/>
            </w:pPr>
            <w:r>
              <w:t>9.371</w:t>
            </w:r>
          </w:p>
        </w:tc>
        <w:tc>
          <w:tcPr>
            <w:tcW w:w="2322" w:type="dxa"/>
          </w:tcPr>
          <w:p w:rsidR="00AC0832" w:rsidRDefault="00AC0832">
            <w:pPr>
              <w:pStyle w:val="CellColumn"/>
            </w:pPr>
            <w:r>
              <w:t>62,5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Ured za udruge pruža stručnu potporu radu Savjeta za razvoj civilnog društva, koji je osnovan Odlukom Vlade Republike Hrvatske iz 2002. godine kao savjetodavno tijelo Vlade koje ima za cilj kontinuirano pratiti razvoj i provedbu javnih politika koje se tiču razvoja civilnoga društva u Republici Hrvatskoj i koji je jedino savjetodavno tijelo koje na jednom mjestu okuplja predstavnike organizacija civilnog društva iz gotovo svih područja djelovanja i predstavnike nadležnih tijela državne uprave, a u svrhu redovitog dijaloga o ključnim pitanjima od značaja za djelovanje udruga i ostalih organizacija civilnog društva, kao i općenito za stvaranje poticajnog okruženja za razvoj civilnog društva. Savjet za razvoj civilnog društva djeluje u svom četvrtom mandatu i nerijetko se ističe kao primjer dobre prakse u strukturiranju dijaloga sa zainteresiranom javnošću u oblikovanju javnih politika. U 2012. godini održane su četiri sjednice Savjeta, a članovi Savjeta i zamjenici članova  članovi sudjelovali su na brojnim događanjima na kojima su dali svoj aktivan doprinos ili su sami mogli dobiti potrebna saznanja. Aktivno su sudjelovali i u brojnim javnim savjetovanjima u postupcima donošenja zakona, drugih propisa i akata, o čemu su izvještavali na sjednicama Savjeta. Treba napomenuti da je, zbog promjene djelokruga pojedinih tijela državne uprave, tijekom 2012. došlo i do potrebe donošenja Odluke o izmjenama Odluke o osnivanju Savjeta za razvoj civilnoga društva koju je Vlada RH donijela 5. travnja 2012. (NN, 42/2012.). Naime, povećanjem broja ministarstava u Vladi i promjenom njihova djelokruga, broj članova iz tijela državne uprave i Ureda Vlade povećao se s 12 na 14 članova, a time je u Savjetu počelo djelovati 29 članova i toliko njihovih zamjenika.</w:t>
      </w:r>
    </w:p>
    <w:p w:rsidR="00AC0832" w:rsidRDefault="00AC0832">
      <w:pPr>
        <w:pStyle w:val="Heading6"/>
      </w:pPr>
      <w:r>
        <w:t>A509042 PROVEDBA NACIONALNOG PROGRAMA SUZBIJANJA KORUPCIJE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A509042-PROVEDBA NACIONALNOG PROGRAMA SUZBIJANJA KORUPCIJE</w:t>
            </w:r>
          </w:p>
        </w:tc>
        <w:tc>
          <w:tcPr>
            <w:tcW w:w="2322" w:type="dxa"/>
          </w:tcPr>
          <w:p w:rsidR="00AC0832" w:rsidRDefault="00AC0832">
            <w:pPr>
              <w:pStyle w:val="CellColumn"/>
            </w:pPr>
            <w:r>
              <w:t>50.000</w:t>
            </w:r>
          </w:p>
        </w:tc>
        <w:tc>
          <w:tcPr>
            <w:tcW w:w="2322" w:type="dxa"/>
          </w:tcPr>
          <w:p w:rsidR="00AC0832" w:rsidRDefault="00AC0832">
            <w:pPr>
              <w:pStyle w:val="CellColumn"/>
            </w:pPr>
            <w:r>
              <w:t>28.604</w:t>
            </w:r>
          </w:p>
        </w:tc>
        <w:tc>
          <w:tcPr>
            <w:tcW w:w="2322" w:type="dxa"/>
          </w:tcPr>
          <w:p w:rsidR="00AC0832" w:rsidRDefault="00AC0832">
            <w:pPr>
              <w:pStyle w:val="CellColumn"/>
            </w:pPr>
            <w:r>
              <w:t>57,2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Republika Hrvatska poslala je krajem kolovoza 2011. službeno pismo namjere sudjelovanja u Partnerstvu za otvorenu vlast i time je preuzela obvezu izraditi nacionalni akcijski plan te ga predstaviti ostalim državama sudionicama inicijative na godišnjem sastanku u travnju 2012. U proces izrade prijedloga Akcijskog plana za provedbu inicijative u Republici Hrvatskoj bila je uključena šira zainteresirana javnost, kroz organizirane javne rasprave te provedeno internetsko savjetovanje. </w:t>
      </w:r>
    </w:p>
    <w:p w:rsidR="00AC0832" w:rsidRDefault="00AC0832">
      <w:pPr>
        <w:pStyle w:val="Normal6"/>
      </w:pPr>
      <w:r>
        <w:t xml:space="preserve">Prva javna rasprava održana je 14. rujna 2011., u organizaciji Ureda predsjednika RH, Ureda za udruge Vlade RH i Veleposlanstva SAD-a u RH i okupila je 180 sudionika (predstavnika državnih tijela, organizacija civilnog društva, akademske zajednice, medija i diplomatskog zbora). Javno savjetovanje o prioritetnim pitanjima Akcijskog plana za provedbu inicijative Partnerstvo za otvorenu vlast u RH održano je 31. siječnja 2012., u organizaciji Ureda za udruge Vlade RH , MVEP-a, Veleposlanstva SAD-a u RH, uz potporu Europske unije kroz program IPA 2009, a na njemu je bilo prisutno 100 sudionika (predstavnika državnih tijela, organizacija civilnog društva, akademske zajednice, medija i diplomatskog zbora). Završno javno savjetovanje je održano 26. ožujka, u organizaciji Ureda za udruge Vlade RH i ono je okupilo 40 sudionika (predstavnika državnih tijela, organizacija civilnog društva i akademske zajednice). Internetsko savjetovanje o prioritetnim pitanjima koja će biti pokrivena Akcijskim planom bilo je otvoreno od 27. siječnja do 13. veljače 2012. Odlukom Vlade od 26. siječnja 2012. uspostavljen je Savjet inicijative Partnerstvo za otvorenu vlast. Savjet ima 19 članova (predstavnika državnih, lokalnih i regionalnih vlasti, organizacija civilnog društva, akademske zajednice i medija). </w:t>
      </w:r>
    </w:p>
    <w:p w:rsidR="00AC0832" w:rsidRDefault="00AC0832">
      <w:pPr>
        <w:pStyle w:val="Normal6"/>
      </w:pPr>
      <w:r>
        <w:t xml:space="preserve">Akcijski plan za provedbu inicijative Partnerstvo za otvorenu vlast u Republici Hrvatskoj za razdoblje 2012.-2013., koji je Vlada Republike Hrvatske usvojila na sjednici održanoj 4. travnja 2012., izrađen je na temelju održanih javnih savjetovanja, rasprava na sjednicama Savjeta te očitovanja pristiglih od tijela državne uprave koja su određena kao nositelji i sunositelji mjera. Akcijski plan potom je predstavljen na godišnjoj konferenciji Partnerstva za otvorenu vlast, 17.-18. travnja, u Brazilu. Svrha Akcijskog plana je: povećati kvalitetu i djelotvornost upravljanja javnim resursima provedbom mjera u područjima fiskalne transparentnosti, pristupa informacijama, korištenja informacijskih tehnologija te sudjelovanja građana u oblikovanju javnih politika. Akcijski plan obuhvaća 4 prioritetna područja: fiskalnu transparentnost, pristup informacijama, korištenje informacijskih tehnologija te sudjelovanje građana i civilnog društva, a u svrhu ispunjenja ciljeva tih prioritetnih područja predviđena je provedba 9 mjera, odnosno 34 provedbene aktivnosti. Provedbu Akcijskog plana prati i koordinira Savjet inicijative Partnerstva za otvorenu vlast, koji je tijekom 2012. održao pet sjednica, te Ured za udruge Vlade Republike Hrvatske kao stručna potpora radu Savjeta. Detaljne informacije o tijeku provedbe Akcijskog plana dostupne su putem mrežnih stranica Ureda za udruge. </w:t>
      </w:r>
    </w:p>
    <w:p w:rsidR="00AC0832" w:rsidRDefault="00AC0832">
      <w:pPr>
        <w:pStyle w:val="Normal6"/>
      </w:pPr>
      <w:r>
        <w:t xml:space="preserve">U Hrvatskom saboru, u organizaciji Ureda za udruge Vlade RH, Ministarstva pravosuđa, GONG-a i Transparency Internationala Hrvatska, u petak, 13. srpnja 2012., održana je javna rasprava o odgovornosti i transparentnosti rada trgovačkih društava u većinskom državnom vlasništvu te predstavljen 4. objedinjeni izvještaj o provedbi Antikorupcijskog programa u tim društvima za razdoblje od 2010. do 2012. Javna rasprava je organizirana u okviru provedbe Akcijskog plana provedbe inicijative Partnerstvo za otvorenu vlast, a okupila je predstavnike državnih institucija, trgovačkih društava, civilnog društva i akademske zajednice.  </w:t>
      </w:r>
    </w:p>
    <w:p w:rsidR="00AC0832" w:rsidRDefault="00AC0832">
      <w:pPr>
        <w:pStyle w:val="Normal6"/>
      </w:pPr>
      <w:r>
        <w:t xml:space="preserve">U Dubrovniku je 4. i 5. listopada 2012. održana Konferencija europskih zemalja članica Partnerstva za otvorenu vlast. Konferenciju su organizirali Vlada Republike Hrvatske i hrvatske organizacije civilnog društva, u suradnji s Ujedinjenim Kraljevstvom kao supredsjedateljem POV-a, te uz podršku projekta za tehničku pomoć organizacijama civilnog društva Europske unije (TACSO). Odabir Hrvatske kao zemlje domaćina potvrdio je istaknuti angažman RH u Inicijativi, kvalitetno pripremljen akcijski plan te, osobito, uzornu suradnju vlasti i organizacija civilnog društva. Glavni cilj Konferencije bio je dodatno osnažiti provedbu nacionalnog Akcijskog plana, kojeg je Vlada Republike Hrvatske usvojila 4. travnja 2012. godine. Akcijski je plan izrađen u skladu s uputama Upravljačkog odbora Inicijative, kao rezultat provedene javne rasprave i savjetovanja s organizacijama civilnog društva. Prioritetnim izazovom, na koji su usmjerene mjere Akcijskog plana, istaknuto je djelotvornije upravljanje javnim resursima. U tom kontekstu posebna će se pozornost posvetiti jačanju fiskalne transparentnosti. </w:t>
      </w:r>
    </w:p>
    <w:p w:rsidR="00AC0832" w:rsidRDefault="00AC0832">
      <w:pPr>
        <w:pStyle w:val="Normal6"/>
      </w:pPr>
      <w:r>
        <w:t xml:space="preserve">Kako bi svoj rad još više približio javnosti, Ured za udruge na svojim je mrežnim stranicama otvorio novu podstranica Proračun Ureda za udruge. Na taj se način, u skladu sa zahtjevima fiskalne transparentnosti i odgovornosti te otvorenosti rada tijela javne vlasti, građanima i zainteresiranoj javnosti želi omogućiti uvid u sve transakcije iz proračuna Ureda. Na podstranici se, osim detaljnog proračuna Ureda, mogu pronaći i izvješća o izvršenju državnog proračuna za prethodne dvije godine, te dosadašnja izvješća o radu Ureda za udruge. </w:t>
      </w:r>
    </w:p>
    <w:p w:rsidR="00AC0832" w:rsidRDefault="00AC0832" w:rsidP="00712567">
      <w:pPr>
        <w:pStyle w:val="Normal6"/>
      </w:pPr>
      <w:r>
        <w:t>Ciljevi programa su ostvareni su i izvršavanjem ostalih antikorupcijskih mjera iz Akcijskog plana uz Strategiju suzbijanja korupcije u nadležnosti Ureda.</w:t>
      </w:r>
    </w:p>
    <w:p w:rsidR="00AC0832" w:rsidRDefault="00AC0832">
      <w:pPr>
        <w:pStyle w:val="Heading6"/>
      </w:pPr>
      <w:r>
        <w:t>A509043 PROVEDBA PROGRAMA ZAJEDNICE - EUROPA ZA GRAĐANE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A509043-PROVEDBA PROGRAMA ZAJEDNICE - EUROPA ZA GRAĐANE</w:t>
            </w:r>
          </w:p>
        </w:tc>
        <w:tc>
          <w:tcPr>
            <w:tcW w:w="2322" w:type="dxa"/>
          </w:tcPr>
          <w:p w:rsidR="00AC0832" w:rsidRDefault="00AC0832">
            <w:pPr>
              <w:pStyle w:val="CellColumn"/>
            </w:pPr>
            <w:r>
              <w:t>260.000</w:t>
            </w:r>
          </w:p>
        </w:tc>
        <w:tc>
          <w:tcPr>
            <w:tcW w:w="2322" w:type="dxa"/>
          </w:tcPr>
          <w:p w:rsidR="00AC0832" w:rsidRDefault="00AC0832">
            <w:pPr>
              <w:pStyle w:val="CellColumn"/>
            </w:pPr>
            <w:r>
              <w:t>256.069</w:t>
            </w:r>
          </w:p>
        </w:tc>
        <w:tc>
          <w:tcPr>
            <w:tcW w:w="2322" w:type="dxa"/>
          </w:tcPr>
          <w:p w:rsidR="00AC0832" w:rsidRDefault="00AC0832">
            <w:pPr>
              <w:pStyle w:val="CellColumn"/>
            </w:pPr>
            <w:r>
              <w:t>98,5</w:t>
            </w:r>
          </w:p>
        </w:tc>
      </w:tr>
    </w:tbl>
    <w:p w:rsidR="00AC0832" w:rsidRDefault="00AC0832">
      <w:pPr>
        <w:jc w:val="left"/>
      </w:pPr>
    </w:p>
    <w:p w:rsidR="00AC0832" w:rsidRDefault="00AC0832">
      <w:pPr>
        <w:pStyle w:val="Heading8"/>
        <w:jc w:val="left"/>
      </w:pPr>
      <w:r>
        <w:t>Opis provedbe aktivnosti / projekta</w:t>
      </w:r>
    </w:p>
    <w:p w:rsidR="00AC0832" w:rsidRDefault="00AC0832" w:rsidP="00712567">
      <w:pPr>
        <w:pStyle w:val="Normal6"/>
      </w:pPr>
      <w:r>
        <w:t>Ukupna članarina za sudjelovanje Republike Hrvatske u programu Europa za građane uplaćena u razdoblju 2008. do 2012. iznosi 425.000 EUR. Ukupni iznos povučenih sredstava u tom razdoblju je 2.943.585,35 EUR, pokazuje da je apsorpcija 4-5 puta veća  od petogodišnjeg iznosa članarine. Osim 30 projekata jedinica lokalne i regionalne samouprave i 26 projekata organizacija civilnoga društva koji su ugovoreni u razdoblju 2008. do 2012. , valja napomenuti da su JLRS u svojstvu partnera sudjelovali na više od 82 projekta, a OCD iz Hrvatske na više od 63 projekata OCD-a iz drugih zemalja.</w:t>
      </w:r>
    </w:p>
    <w:p w:rsidR="00AC0832" w:rsidRDefault="00AC0832">
      <w:pPr>
        <w:pStyle w:val="Heading6"/>
      </w:pPr>
      <w:r>
        <w:t>A509044 KONTAKT TOČKA ZA PROGRAM EUROPA ZA GRAĐANE (EU-ECP)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A509044-KONTAKT TOČKA ZA PROGRAM EUROPA ZA GRAĐANE (EU-ECP)</w:t>
            </w:r>
          </w:p>
        </w:tc>
        <w:tc>
          <w:tcPr>
            <w:tcW w:w="2322" w:type="dxa"/>
          </w:tcPr>
          <w:p w:rsidR="00AC0832" w:rsidRDefault="00AC0832">
            <w:pPr>
              <w:pStyle w:val="CellColumn"/>
            </w:pPr>
            <w:r>
              <w:t>150.000</w:t>
            </w:r>
          </w:p>
        </w:tc>
        <w:tc>
          <w:tcPr>
            <w:tcW w:w="2322" w:type="dxa"/>
          </w:tcPr>
          <w:p w:rsidR="00AC0832" w:rsidRDefault="00AC0832">
            <w:pPr>
              <w:pStyle w:val="CellColumn"/>
            </w:pPr>
            <w:r>
              <w:t>203.148</w:t>
            </w:r>
          </w:p>
        </w:tc>
        <w:tc>
          <w:tcPr>
            <w:tcW w:w="2322" w:type="dxa"/>
          </w:tcPr>
          <w:p w:rsidR="00AC0832" w:rsidRDefault="00AC0832">
            <w:pPr>
              <w:pStyle w:val="CellColumn"/>
            </w:pPr>
            <w:r>
              <w:t>135,4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Ured za udruge Vlade RH djeluje u svojstvu Kontakt točke za program Europa za građane, i u opsegu svojih aktivnosti informira potencijalne prijavitelje o izvorima financiranja i propozicijama natjecanja za financijske potpore iz izvora ovoga Programa, pruža tehničku podršku prijaviteljima i provoditeljima projekata ugovorenih u sklopu ovoga Programa te koordinira provedbu programa na nacionalnoj razini, u suradnji s Izvršnom agencijom za obrazovne, audio-vizualne i kulturne politike u Bruxellesu. </w:t>
      </w:r>
    </w:p>
    <w:p w:rsidR="00AC0832" w:rsidRDefault="00AC0832">
      <w:pPr>
        <w:pStyle w:val="Normal6"/>
      </w:pPr>
      <w:r>
        <w:t xml:space="preserve">U 2012. godini Kontakt točka održala je ukupno 7 radionica za oko 250 sudionika, a  održane su u Zagrebu (18.1.), Varaždinu (20.1.), Rijeci (4.5.), Koprivnici (15.5.), Šibeniku (17.5.), Senju (22.5.) i Splitu (21.7). Navedene radionice su započinjale uvodom u Program i njegove ciljeve te prioritetna područja. Nakon toga su predstavljeni opći uvjeti, kriteriji prihvatljivosti te primjeri dobre prakse svakog pojedinog natječaja u sklopu Programa. Slijedio je pregled prijavnih obrazaca, zajedno s radom na projektnim idejama – konkretnim projektnim prijedlozima koji su se izrađivali uz pomoć trenera i kroz grupnu raspravu. Radionice su završavale individualnim konzultacijama za one potencijalne korisnike koji su imali konkretna pitanja vezana za već popunjene obrasce. </w:t>
      </w:r>
    </w:p>
    <w:p w:rsidR="00AC0832" w:rsidRDefault="00AC0832">
      <w:pPr>
        <w:pStyle w:val="Normal6"/>
      </w:pPr>
      <w:r>
        <w:t xml:space="preserve">U travnju 2012. tiskana je dopunjena verzija letka programa Europa za građane koji sadrži sažeti opis Programa s informacijama tko,  što,  kada, pod kojim uvjetima i u kojem rasponu može ostvariti financijsku potporu ovim Programom. Letak Europa za građane predstavljen je javnosti putem info-pulta koji je posjetilo oko 200 zainteresiranih građana na središnjem događanju 5. svibnja 2012. povodom proslave Dana Europe na Trgu P. Preradovića u Zagrebu, kao i na Danima udruga u organizaciji Ureda za udruge VRH, TACSO Hrvatske i Nacionalne zaklade za razvoj civilnog društva, 14-16 lipanj 2012, u Zagrebu. Letak je kao radni materijal podijeljen na svim radionicama, regionalnom forumu i svim ostalim događanjima gdje se govorilo o Programu, kako u organizaciji Ureda za udruge Vlade Republike Hrvatske tako i drugih tijela državne i lokalne samouprave.  </w:t>
      </w:r>
    </w:p>
    <w:p w:rsidR="00AC0832" w:rsidRDefault="00AC0832">
      <w:pPr>
        <w:pStyle w:val="Normal6"/>
      </w:pPr>
      <w:r>
        <w:t xml:space="preserve">U suradnji s Hrvatskom radio-televizijom, osmišljen je, snimljen i objavljivan radio-spot na Hrvatskoj radio mreži. Spot je emitiran 20 puta tijekom druge polovice svibnja. Slušateljima Hrvatske radio mreže je pružena informacija o predstojećim rokovima, pozivajući javnost i potencijalne korisnice da se prijave i da potraže dodatne informacije o programu Europa za građane na web stranici Ureda za udruge VRH. </w:t>
      </w:r>
    </w:p>
    <w:p w:rsidR="00AC0832" w:rsidRDefault="00AC0832">
      <w:pPr>
        <w:pStyle w:val="Normal6"/>
      </w:pPr>
      <w:r>
        <w:t xml:space="preserve">Ured za udruge predstavio je svoj rad i na informativno-edukativnom događanju „3. Dani EU fondova“ 15. i 16. listopada 2012. na kojem je sudjelovalo više od 1700  posjetitelja. Na info-pultu Ureda predstavljene su publikacije o uspješno provedenim projektima OCD-a financiranih sredstvima EU iz CARDS i PHARE programa te dvije publikacije o programu Europa za građane. Tom prigodom je održana i radionica na temu „Potpora EU za organizacije civilnoga društva““ na kojoj je sudjelovalo oko 100 sudionika.  </w:t>
      </w:r>
    </w:p>
    <w:p w:rsidR="00AC0832" w:rsidRDefault="00AC0832">
      <w:pPr>
        <w:pStyle w:val="Normal6"/>
      </w:pPr>
      <w:r>
        <w:t xml:space="preserve">15 i 16.. studenog 2012. održan je Regionalni Forum Europa za građane 2012 u Varaždinu na kojem se okupilo 86 sudionika. Sudionicima Foruma – predstavnicima 80 organizacija civilnog društva i lokalne samouprave iz Bosne i Hercegovine, Slovenije, Austrije, Mađarske i Hrvatske – osigurana je platforma za kreativno osmišljanje projektnih ideja, odnosno budućih projektnih prijedloga u sklopu programa Europa za građane. Koristeći metodu Otvorenog prostora, sudionici su identificirali partnere i razvili 23 projektne teme i ideje koje tijekom slijedeće godine planiraju prijaviti na program Europa za građane. Spomenute projektne ideje okupljene su u Compendiumu projektnih prijedloga koji je objavljen na stranicama Ureda za udruge VRH. Trajna aktivnost Kontakt točke obuhvaća informiranje javnosti o predstojećim natječajima putem objava u medijima kroz radio oglase, gostovanja u radio emisijama, TV emisijama, objavama na internetskim stranicama Ureda za udruge te internetskim stranicama regionalnih mreža i zaklada. Djelatnici Kontakt točke pružaju  stalnu tehničku podršku  provoditeljima i  prijaviteljima putem telefona i elektronske pošte. </w:t>
      </w:r>
    </w:p>
    <w:p w:rsidR="00AC0832" w:rsidRDefault="00AC0832">
      <w:pPr>
        <w:pStyle w:val="Normal6"/>
      </w:pPr>
      <w:r>
        <w:t>Kontakt točka je do 2012. Europskoj komisiji predložila i provela 5 godišnja Radna programa, kojima je za svoje aktivnosti edukacije i informiranja prijavitelja ostvarila financijsku potporu od 90.000,00 EUR.</w:t>
      </w:r>
    </w:p>
    <w:p w:rsidR="00AC0832" w:rsidRDefault="00AC0832">
      <w:pPr>
        <w:pStyle w:val="Heading6"/>
      </w:pPr>
      <w:r>
        <w:t>A509045 IPA 2008 - JAČANJE KAPACITETA SEKTORA CIVILNOG DRUŠTVA ZA PRAĆENJE PRIMJENE EUROPSKE PRAVNE STEČEVINE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A509045-IPA 2008 - JAČANJE KAPACITETA SEKTORA CIVILNOG DRUŠTVA ZA PRAĆENJE PRIMJENE EUROPSKE PRAVNE STEČEVINE</w:t>
            </w:r>
          </w:p>
        </w:tc>
        <w:tc>
          <w:tcPr>
            <w:tcW w:w="2322" w:type="dxa"/>
          </w:tcPr>
          <w:p w:rsidR="00AC0832" w:rsidRDefault="00AC0832">
            <w:pPr>
              <w:pStyle w:val="CellColumn"/>
            </w:pPr>
            <w:r>
              <w:t>11.220.000</w:t>
            </w:r>
          </w:p>
        </w:tc>
        <w:tc>
          <w:tcPr>
            <w:tcW w:w="2322" w:type="dxa"/>
          </w:tcPr>
          <w:p w:rsidR="00AC0832" w:rsidRDefault="00AC0832">
            <w:pPr>
              <w:pStyle w:val="CellColumn"/>
            </w:pPr>
            <w:r>
              <w:t>4.694.609</w:t>
            </w:r>
          </w:p>
        </w:tc>
        <w:tc>
          <w:tcPr>
            <w:tcW w:w="2322" w:type="dxa"/>
          </w:tcPr>
          <w:p w:rsidR="00AC0832" w:rsidRDefault="00AC0832">
            <w:pPr>
              <w:pStyle w:val="CellColumn"/>
            </w:pPr>
            <w:r>
              <w:t>41,8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Tijekom 2012. godine nastavljena je provedba 16 projekata vrijednosti 3,3 mil. EUR, koji su ugovoreni u 2011. godini u sklopu programa IPA 2008 I. komponenta naziva Jačanje kapaciteta organizacija civilnoga društva za praćenje provedbe pravne stečevine EU, i to kroz tri sheme bespovratnih sredstava: Osnaživanje uloga i kapaciteta OCD za praćenje provedbe pravne stečevine EU na području antidiskriminacijske strategije; Osnaživanje sudjelovanja OCD u praćenju provedbe pravne stečevine Europske unije, na području borbe protiv korupcije i sveukupne transparentnosti, otvorenosti i odgovornosti tijela javne uprave; Razvijanje kapaciteta OCD za sustavno praćenje i zagovaranje politika održivog razvoja i integriranih pristupa upravljanja otpadom i vodama, transporta, energetske učinkovitosti, regionalnog razvoja, održivog korištenja prirodnih izvora te okolišne sigurnosti. Projektom se želi povećati učinkovitost hrvatskih organizacija civilnog društva za neovisno zagovaranje u područjima koja su posebno važna za pristupanje Hrvatske EU: transparentnost i odgovornost javne administracije u borbi protiv korupcije, sveobuhvatne antidiskriminacijske strategije i održivog razvoja.  </w:t>
      </w:r>
    </w:p>
    <w:p w:rsidR="00AC0832" w:rsidRDefault="00AC0832">
      <w:pPr>
        <w:pStyle w:val="Normal6"/>
      </w:pPr>
      <w:r>
        <w:t xml:space="preserve">Kao Jedinica za provedbu projekata, Ured za udruge je, u suradnji sa Središnjom agencijom za financiranje i ugovaranje, odgovoran za praćenje uspješnosti ovih šesnaest projekata organizacija civilnog društva. Tijekom 2012. voditelji projekata Jedinice za provedbu projekata obavili su 17 terenskih posjeta korisnicima potpore EU te analizirali i izradili osvrt na 78 tromjesečnih izvješća, 15 među-izvještaja i 3 finalna izvještaja. U tom su procesu djelatnici Jedinice za provedbu projekata stalno pružali usluge tehničke podrške korisnicima bespovratnih sredstava. Iznos među-plaćanja izvršen u 2012. godini je 4.694.608,80 kuna. </w:t>
      </w:r>
    </w:p>
    <w:p w:rsidR="00AC0832" w:rsidRDefault="00AC0832">
      <w:pPr>
        <w:pStyle w:val="Normal6"/>
      </w:pPr>
      <w:r>
        <w:t xml:space="preserve">Ured za udruge Vlade Republike Hrvatske i Nacionalna zaklada za razvoj civilnoga društva su od 16. kolovoza 2012. godine, odlukom Europske komisije, postala tijela akreditirana za provođenje Operativnog programa "Razvoj ljudskih potencijala". Ured za udruge je, temeljem Uredbe o tijelima u sustavu upravljanja i kontrole korištenja strukturnih instrumenata Europske unije u Republici Hrvatskoj, definiran kao Posredničko tijelo razine 1 u provedbi Operativnog programa "Razvoj ljudskih potencijala" za prioritetnu os 5 – intervencije iz područja razvoja civilnog društva.  </w:t>
      </w:r>
    </w:p>
    <w:p w:rsidR="00AC0832" w:rsidRDefault="00AC0832">
      <w:pPr>
        <w:pStyle w:val="Normal6"/>
      </w:pPr>
      <w:r>
        <w:t xml:space="preserve">Dokumentacija za natječaje u sklopu programa IPA 2011 I. komponenta „Aktivno civilno društvo za osiguranje trajnosti političkih reformi u Hrvatskoj“ („Jačanje potpore organizacijama civilnog društva za povećanje transparentnosti i dobrog upravljanja javne uprave u Hrvatskoj“ i „Potpora organizacijama civilnog društva za razvijanje partnerstava za održivo korištenje zaštićenih područja u Hrvatskoj, uključujući moguća područja unutar NATURA 2000“) usuglašavana je sa SAFU tijekom 2012. godine, ali nije još objavljena.  </w:t>
      </w:r>
    </w:p>
    <w:p w:rsidR="00AC0832" w:rsidRDefault="00AC0832">
      <w:pPr>
        <w:pStyle w:val="Normal6"/>
      </w:pPr>
      <w:r>
        <w:t xml:space="preserve">U listopadu 2012. Ured za udruge dostavio je u SAFU prvu verziju dokumentacije za projekte u sklopu IPA 2012 i 2013 komponente I: „Izgradnja lokalnih partnerstava za otvoreno upravljanje i borbu protiv korupcije u odgovornom upravljanju prirodnim resursima“, „Poticanje inovativnih oblika filantropije u lokalnim zajednicama radi podrške održivosti civilnog društva“ i „Izgradnja kapaciteta civilnog društva za osiguranje učinkovite provedbe EU standarda u provođenju ljudskih prava“. </w:t>
      </w:r>
    </w:p>
    <w:p w:rsidR="00AC0832" w:rsidRDefault="00AC0832">
      <w:pPr>
        <w:pStyle w:val="Normal6"/>
      </w:pPr>
      <w:r>
        <w:t xml:space="preserve">U listopadu 2012. Nacionalna zaklada za razvoj civilnog društva proslijedila je projektnu dokumentaciju za IPA 2012 i 2013 komponente IV „Jačanje regionalnih i lokalnih struktura za podršku razvoju civilnoga društva“ Delegaciji EU. Delegacija EU poslala je odobrenje dokumentacije 17. prosinca 2012. Zakladi za razvoj civilnog društva.  </w:t>
      </w:r>
    </w:p>
    <w:p w:rsidR="00AC0832" w:rsidRDefault="00AC0832">
      <w:pPr>
        <w:pStyle w:val="Normal6"/>
      </w:pPr>
      <w:r>
        <w:t xml:space="preserve">U rujnu 2012. Ured za udruge poslao je projektnu dokumentaciju za „Potporu programa organizacija civilnog društva u području zagovaranja i motivacije za socijalno isključene skupine“ Nacionalnoj zakladi za razvoj civilnog društva. Dokumentacija je proslijeđena u Delegaciju EU u listopadu 2012. Dokumentacija je odobrena od DEU 27. prosinca 2012.  </w:t>
      </w:r>
    </w:p>
    <w:p w:rsidR="00AC0832" w:rsidRDefault="00AC0832">
      <w:pPr>
        <w:pStyle w:val="Normal6"/>
      </w:pPr>
      <w:r>
        <w:t>U prosincu 2012. projektna dokumentacija za „Podršku programima organizacija civilnog društva aktivnih u području volonterstva za jačanje gospodarske i socijalne kohezije“ poslana je Nacionalnoj zakladi za razvoj civilnog društva koja ju je 20. prosinca proslijedila DEU.</w:t>
      </w:r>
    </w:p>
    <w:p w:rsidR="00AC0832" w:rsidRDefault="00AC0832">
      <w:pPr>
        <w:pStyle w:val="Heading6"/>
      </w:pPr>
    </w:p>
    <w:p w:rsidR="00AC0832" w:rsidRDefault="00AC0832">
      <w:pPr>
        <w:pStyle w:val="Heading6"/>
      </w:pPr>
    </w:p>
    <w:p w:rsidR="00AC0832" w:rsidRDefault="00AC0832">
      <w:pPr>
        <w:pStyle w:val="Heading6"/>
      </w:pPr>
      <w:r>
        <w:t>A509047 IPA 2009 - JAČANJE ODRŽIVOSTI I RAZVOJ ORGANIZACIJA CIVILNOGA DRUŠTVA (OCD-a) KAO PRO-AKTIVNIH DRUŠTVENIH DIONIKA PRI PROVEDBI PRAVNE STEČEVINE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A509047-IPA 2009 - JAČANJE ODRŽIVOSTI I RAZVOJ ORGANIZACIJA CIVILNOGA DRUŠTVA (OCD-a) KAO PRO-AKTIVNIH DRUŠTVENIH DIONIKA PRI PROVEDBI PRAVNE STEČEVINE EU</w:t>
            </w:r>
          </w:p>
        </w:tc>
        <w:tc>
          <w:tcPr>
            <w:tcW w:w="2322" w:type="dxa"/>
          </w:tcPr>
          <w:p w:rsidR="00AC0832" w:rsidRDefault="00AC0832">
            <w:pPr>
              <w:pStyle w:val="CellColumn"/>
            </w:pPr>
            <w:r>
              <w:t>9.164.000</w:t>
            </w:r>
          </w:p>
        </w:tc>
        <w:tc>
          <w:tcPr>
            <w:tcW w:w="2322" w:type="dxa"/>
          </w:tcPr>
          <w:p w:rsidR="00AC0832" w:rsidRDefault="00AC0832">
            <w:pPr>
              <w:pStyle w:val="CellColumn"/>
            </w:pPr>
            <w:r>
              <w:t>9.843.120</w:t>
            </w:r>
          </w:p>
        </w:tc>
        <w:tc>
          <w:tcPr>
            <w:tcW w:w="2322" w:type="dxa"/>
          </w:tcPr>
          <w:p w:rsidR="00AC0832" w:rsidRDefault="00AC0832">
            <w:pPr>
              <w:pStyle w:val="CellColumn"/>
            </w:pPr>
            <w:r>
              <w:t>107,4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Nakon završetka procesa evaluacije pristiglih prijava i odabira korisnika bespovratnih sredstava Ured za udruge je u Zagrebu 27. siječnja 2012. organizirao javno predstavljanje projekata u sklopu programa IPA 2009 „Jačanje kapaciteta organizacija civilnog društva za praćenje i zagovaranje u područjima demokratizacije, ljudskih prava, integracije manjina te održivog povratka izbjeglica u područjima od posebne državne skrbi“. U sklopu navedenog programa, devet projekata organizacija civilnog društva primilo je potporu vrijednu više od 13 milijuna kuna (1.800.000,00 eura).  </w:t>
      </w:r>
    </w:p>
    <w:p w:rsidR="00AC0832" w:rsidRDefault="00AC0832">
      <w:pPr>
        <w:pStyle w:val="Normal6"/>
      </w:pPr>
      <w:r>
        <w:t xml:space="preserve">Predstavljanje projekata udruga ugovorenih u okviru programa IPA 2009 „Jačanje kapaciteta organizacija civilnog društva za provedbu programa inovativnih socijalnih usluga u područjima posebne državne skrbi“ organizirano je 30. svibnja 2012. u Zagrebu. U sklopu natječaja, šest udruga i sedamnaest partnerskih organizacija diljem Hrvatske ugovorilo je potporu vrijednu više od 7 milijuna kuna (1.012.500,00 eura) za aktivnosti pružanja programa inovativnih socijalnih usluga u područjima od posebne državne skrbi. U obje sheme su nakon predstavljanja projekata održane radionice za korisnike navedene sheme bespovratnih sredstava s ciljem informiranja korisnika o obvezama koje proizlaze iz ugovora i načinu administriranja projekta. </w:t>
      </w:r>
    </w:p>
    <w:p w:rsidR="00AC0832" w:rsidRDefault="00AC0832">
      <w:pPr>
        <w:pStyle w:val="Normal6"/>
      </w:pPr>
      <w:r>
        <w:t>Ured za udruge u svojstvu korisničke institucije, u suradnji sa Središnjom agencijom za financiranje i ugovaranje, sudjelovao je u praćenju provedbe ovih projekata. Tijekom 2012. voditelji projekata Jedinice za provedbu projekata obavili su 7 terenskih posjeta korisnicima potpore EU te analizirali i izradili osvrt na 45 tromjesečnih izvješća. U tom procesu djelatnici Jedinice za provedbu projekata su pratili provedbu svakog pojedinog ugovorenog projekta i pružali tehničku podršku organizacijama nositeljima projekata.</w:t>
      </w:r>
    </w:p>
    <w:p w:rsidR="00AC0832" w:rsidRDefault="00AC0832">
      <w:pPr>
        <w:pStyle w:val="Heading6"/>
      </w:pPr>
    </w:p>
    <w:p w:rsidR="00AC0832" w:rsidRDefault="00AC0832">
      <w:pPr>
        <w:pStyle w:val="Heading6"/>
      </w:pPr>
    </w:p>
    <w:p w:rsidR="00AC0832" w:rsidRDefault="00AC0832">
      <w:pPr>
        <w:pStyle w:val="Heading6"/>
      </w:pPr>
      <w:r>
        <w:t>A509050 IPA I 2009 FFP RAC - JAČANJE KAPACITETA UREDA ZA UDRUGE VLADE RH U BORBI PROTIV KORUPCIJE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A509050-IPA I 2009 FFP RAC - JAČANJE KAPACITETA UREDA ZA UDRUGE VLADE RH U BORBI PROTIV KORUPCIJE</w:t>
            </w:r>
          </w:p>
        </w:tc>
        <w:tc>
          <w:tcPr>
            <w:tcW w:w="2322" w:type="dxa"/>
          </w:tcPr>
          <w:p w:rsidR="00AC0832" w:rsidRDefault="00AC0832">
            <w:pPr>
              <w:pStyle w:val="CellColumn"/>
            </w:pPr>
            <w:r>
              <w:t>148.000</w:t>
            </w:r>
          </w:p>
        </w:tc>
        <w:tc>
          <w:tcPr>
            <w:tcW w:w="2322" w:type="dxa"/>
          </w:tcPr>
          <w:p w:rsidR="00AC0832" w:rsidRDefault="00AC0832">
            <w:pPr>
              <w:pStyle w:val="CellColumn"/>
            </w:pPr>
            <w:r>
              <w:t>132.002</w:t>
            </w:r>
          </w:p>
        </w:tc>
        <w:tc>
          <w:tcPr>
            <w:tcW w:w="2322" w:type="dxa"/>
          </w:tcPr>
          <w:p w:rsidR="00AC0832" w:rsidRDefault="00AC0832">
            <w:pPr>
              <w:pStyle w:val="CellColumn"/>
            </w:pPr>
            <w:r>
              <w:t>89,2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Projekt IPA 2009 FPP RAC Jačanje kapaciteta Vladinog Ureda za udruge za izgradnju učinkovitog partnerstva s organizacijama civilnog društva u borbi protiv korupcije je bio usmjeren na jačanje kapaciteta Ureda za udruge VRH za učinkovitu provedbu mjera iz Nacionalne strategije za sprječavanje korupcije  i Akcijskog plana, te se u tom smislu željelo poboljšati suradnju civilnog sektora i relevantnih tijela državne uprave u provedbi anti-korupcijskih mjera kao i usklađivanje savjetodavnih standarda i mjera unutar samih tijela, i to putem triju radionice za Koordinatore za savjetovanje imenovane u relevantnim tijelima državne uprave, te Priručnikom temeljenom na Kodeksu o savjetovanju u postupcima donošenja zakona i drugih propisa koji bi uključivao metodologiju rada imenovanih koordinatora i primjera iz prakse EU, kao i javnim savjetovanjima u ukupnom trajanju od šest mjeseci. Projekt je provodila tvrtka Paritcip GmbH ih Njemačke, a ugovor je potpisan u svibnju 2011.  </w:t>
      </w:r>
    </w:p>
    <w:p w:rsidR="00AC0832" w:rsidRDefault="00AC0832">
      <w:pPr>
        <w:pStyle w:val="Normal6"/>
      </w:pPr>
      <w:r>
        <w:t xml:space="preserve">Projekt je trajao do 8. ožujka 2012. U razdoblju od siječnja do ožujka 2012. (30.1., 20.2. i 5.3.) održane su tri radionice za ciljane skupine, koordinatore za savjetovanje imenovane od strane relevantnih tijela državne uprave te je također u svrhu edukacije izrađen i Priručnik </w:t>
      </w:r>
    </w:p>
    <w:p w:rsidR="00AC0832" w:rsidRDefault="00AC0832">
      <w:pPr>
        <w:pStyle w:val="Normal6"/>
      </w:pPr>
      <w:r>
        <w:t xml:space="preserve">Također su u sklopu praćenja provedbe Nacionalne strategije suzbijanja korupcije i pripadajućeg Akcijskog plana, kao i informiranja šire javnosti održane tri javne rasprave na temu: „Partnerstvo za otvorenu vlast“, „Nacrt Kurikuluma za građansko obrazovanje“ i „Izazovi u provedbi Zakona o udrugama“, također u razdoblju od siječnja do ožujka 2012. </w:t>
      </w:r>
    </w:p>
    <w:p w:rsidR="00AC0832" w:rsidRDefault="00AC0832">
      <w:pPr>
        <w:pStyle w:val="Normal6"/>
      </w:pPr>
      <w:r>
        <w:t>Završni izvještaj je dostavljen u travnju 2012. Usuglašena verzija odobrena je od strane Središnje agencije za financiranje i ugovaranje u kolovozu 2012.</w:t>
      </w:r>
    </w:p>
    <w:p w:rsidR="00AC0832" w:rsidRDefault="00AC0832">
      <w:pPr>
        <w:pStyle w:val="Heading6"/>
      </w:pPr>
      <w:r>
        <w:t>A509051 SUFINANCIRANJE EU PROJEKATA ORGANIZACIJAMA CIVILNOG DRUŠTVA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A509051-SUFINANCIRANJE EU PROJEKATA ORGANIZACIJAMA CIVILNOG DRUŠTVA</w:t>
            </w:r>
          </w:p>
        </w:tc>
        <w:tc>
          <w:tcPr>
            <w:tcW w:w="2322" w:type="dxa"/>
          </w:tcPr>
          <w:p w:rsidR="00AC0832" w:rsidRDefault="00AC0832">
            <w:pPr>
              <w:pStyle w:val="CellColumn"/>
            </w:pPr>
            <w:r>
              <w:t>10.016.051</w:t>
            </w:r>
          </w:p>
        </w:tc>
        <w:tc>
          <w:tcPr>
            <w:tcW w:w="2322" w:type="dxa"/>
          </w:tcPr>
          <w:p w:rsidR="00AC0832" w:rsidRDefault="00AC0832">
            <w:pPr>
              <w:pStyle w:val="CellColumn"/>
            </w:pPr>
            <w:r>
              <w:t>5.384.799</w:t>
            </w:r>
          </w:p>
        </w:tc>
        <w:tc>
          <w:tcPr>
            <w:tcW w:w="2322" w:type="dxa"/>
          </w:tcPr>
          <w:p w:rsidR="00AC0832" w:rsidRDefault="00AC0832">
            <w:pPr>
              <w:pStyle w:val="CellColumn"/>
            </w:pPr>
            <w:r>
              <w:t>53,8</w:t>
            </w:r>
          </w:p>
        </w:tc>
      </w:tr>
    </w:tbl>
    <w:p w:rsidR="00AC0832" w:rsidRDefault="00AC0832">
      <w:pPr>
        <w:jc w:val="left"/>
      </w:pPr>
    </w:p>
    <w:p w:rsidR="00AC0832" w:rsidRDefault="00AC0832">
      <w:pPr>
        <w:pStyle w:val="Normal6"/>
      </w:pPr>
      <w:r>
        <w:t xml:space="preserve">U 2012. godini nastavljen je projekt sufinanciranja projekata organizacija civilnoga društva ugovorenih u okviru programa Europske unije, s ciljem da se korisnicima sredstava EU olakša zatvaranje financijskih konstrukcija njihovih projekata. U tu svrhu odvojen je dio prihoda od igara na sreću, sukladno članku 3., točka 8. Uredbe o kriterijima za utvrđivanje korisnika i načinu raspodjele dijela prihoda od igara na sreću za 2012. godinu („Narodne novine“ br. 31/2012.), a 5. lipnja 2012. Ured za udruge raspisao je Javni poziv za podnošenje zahtjeva za sufinanciranje projekata organizacija civilnoga društva ugovorenih u okviru programa Europske unije za 2012. godinu, namijenjen organizacijama civilnoga društva koji provode projekte u sklopu slijedećih programa: IPA 2008 (I. komponenta), IPA 2009 (I. i IV. komponenta), IPA Prekogranična suradnja, Europa za građane, Mladi na djelu, PROGRESS, Zdravstvo, Europski instrument za demokraciju i ljudska prava, IPA INFO, Višekorisnička IPA i programe koje raspisuju pojedine Opće uprave EK. </w:t>
      </w:r>
    </w:p>
    <w:p w:rsidR="00AC0832" w:rsidRDefault="00AC0832">
      <w:pPr>
        <w:pStyle w:val="Normal6"/>
      </w:pPr>
      <w:r>
        <w:t>U 2012. godini ukupno je zaprimljeno 78 zahtjeva od čega je za 63 zahtjeva pozitivno donesena Odluka o sufinanciranju. Ukupni iznos sufinanciranja pozitivno riješenih Zahtjeva za 2012. iznosio je 667.662,16 EUR, odnosno 5.384.798,68 HRK. Iznosi za sufinanciranje utvrđeni su na temelju Odluka o sufinanciranju koje je donio ravnatelj Ureda za udruge na temelju izvješća Povjerenstva za procjenu zahtjeva za sufinanciranje projekata i programa udruga prijavljenih na Javni poziv. Povjerenstvo je svoje odluke donijelo temeljem Pravila za sufinanciranje projekata organizacija civilnoga društva ugovorenih u okviru programa Europske unije za 2012. godinu.</w:t>
      </w: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pStyle w:val="Heading2"/>
      </w:pPr>
      <w:r>
        <w:t>02015 Ured zastupnika Republike Hrvatske pred Europskim sudom za ljudska prava</w:t>
      </w:r>
    </w:p>
    <w:p w:rsidR="00AC0832" w:rsidRDefault="00AC0832">
      <w:pPr>
        <w:pStyle w:val="Heading4"/>
      </w:pPr>
      <w:r>
        <w:t>Uvod</w:t>
      </w:r>
    </w:p>
    <w:p w:rsidR="00AC0832" w:rsidRDefault="00AC0832">
      <w:pPr>
        <w:pStyle w:val="Normal3"/>
      </w:pPr>
      <w:r>
        <w:t xml:space="preserve">Ured zastupnika RH pred Europskim sudom za ljudska je stručna služba Vlade RH, u kojoj se obavljaju svi poslovi vezani za zastupanje, odnosno obranu državnih interesa u sudskim postupcima protiv RH pred Europskim sudom za ljudska prava u Strasbourgu, koordinira izvršenje presuda Europskog suda za ljudska prava u Hrvatskoj, te širi znanje o Konvenciji i sudskoj praksi Suda. </w:t>
      </w:r>
    </w:p>
    <w:p w:rsidR="00AC0832" w:rsidRDefault="00AC0832">
      <w:pPr>
        <w:pStyle w:val="Normal3"/>
      </w:pPr>
      <w:r>
        <w:t xml:space="preserve">U vezi sa zastupanjem Republike Hrvatske pred Europskim sudom za ljudska prava i drugim tijelima Vijeća Europe u Uredu se obavljaju sljedeći poslovi: </w:t>
      </w:r>
    </w:p>
    <w:p w:rsidR="00AC0832" w:rsidRDefault="00AC0832">
      <w:pPr>
        <w:pStyle w:val="Normal3"/>
      </w:pPr>
      <w:r>
        <w:t xml:space="preserve">– poslovi pripreme svih očitovanja države u postupcima pred Europskim sudom za ljudska prava, </w:t>
      </w:r>
    </w:p>
    <w:p w:rsidR="00AC0832" w:rsidRDefault="00AC0832">
      <w:pPr>
        <w:pStyle w:val="Normal3"/>
      </w:pPr>
      <w:r>
        <w:t xml:space="preserve">– poslovi pripreme i sudjelovanja na usmenim ročištima pred Europskim sudom za ljudska prava, </w:t>
      </w:r>
    </w:p>
    <w:p w:rsidR="00AC0832" w:rsidRDefault="00AC0832">
      <w:pPr>
        <w:pStyle w:val="Normal3"/>
      </w:pPr>
      <w:r>
        <w:t xml:space="preserve">– poslovi pripreme i sudjelovanja u koordiniranju izvršenja presuda i odluka Europskog suda za ljudska prava, </w:t>
      </w:r>
    </w:p>
    <w:p w:rsidR="00AC0832" w:rsidRDefault="00AC0832">
      <w:pPr>
        <w:pStyle w:val="Normal3"/>
      </w:pPr>
      <w:r>
        <w:t xml:space="preserve">– poslovi pripreme i sudjelovanja na sastancima Odbora ministara Vijeća Europe o izvršenju presuda Europskog suda za ljudska prava, </w:t>
      </w:r>
    </w:p>
    <w:p w:rsidR="00AC0832" w:rsidRDefault="00AC0832">
      <w:pPr>
        <w:pStyle w:val="Normal3"/>
      </w:pPr>
      <w:r>
        <w:t xml:space="preserve">– poslovi pripreme mišljenja o usklađenosti hrvatskih propisa s Konvencijom i sudskom praksom Europskog suda za ljudska prava, </w:t>
      </w:r>
    </w:p>
    <w:p w:rsidR="00AC0832" w:rsidRDefault="00AC0832">
      <w:pPr>
        <w:pStyle w:val="Normal3"/>
      </w:pPr>
      <w:r>
        <w:t xml:space="preserve">– te poslovi usmjereni na upoznavanje države s Konvencijom i sudskom praksom Europskog suda.  </w:t>
      </w:r>
    </w:p>
    <w:p w:rsidR="00AC0832" w:rsidRDefault="00AC0832">
      <w:pPr>
        <w:pStyle w:val="Normal3"/>
      </w:pPr>
      <w:r>
        <w:t xml:space="preserve">U obavljanju povjerenih poslova zastupnik je ovlašten: </w:t>
      </w:r>
    </w:p>
    <w:p w:rsidR="00AC0832" w:rsidRDefault="00AC0832">
      <w:pPr>
        <w:pStyle w:val="Normal3"/>
      </w:pPr>
      <w:r>
        <w:t xml:space="preserve">– zastupati Republiku Hrvatsku u svim postupcima pred Europskim sudom za ljudska prava, </w:t>
      </w:r>
    </w:p>
    <w:p w:rsidR="00AC0832" w:rsidRDefault="00AC0832">
      <w:pPr>
        <w:pStyle w:val="Normal3"/>
      </w:pPr>
      <w:r>
        <w:t xml:space="preserve">– koordinirati izvršenja presuda i odluka Europskog suda za ljudska prava u Republici Hrvatskoj, </w:t>
      </w:r>
    </w:p>
    <w:p w:rsidR="00AC0832" w:rsidRDefault="00AC0832">
      <w:pPr>
        <w:pStyle w:val="Normal3"/>
      </w:pPr>
      <w:r>
        <w:t xml:space="preserve">– predstavljati Republiku Hrvatsku u postupku nadzora izvršenja pred Odborom ministara Vijeća Europe, </w:t>
      </w:r>
    </w:p>
    <w:p w:rsidR="00AC0832" w:rsidRDefault="00AC0832">
      <w:pPr>
        <w:pStyle w:val="Normal3"/>
      </w:pPr>
      <w:r>
        <w:t xml:space="preserve">– davati mišljenje o usklađenosti hrvatskih propisa s Konvencijom za zaštitu ljudskih prava i temeljnih sloboda (u daljnjem tekstu: Konvencija) i sudskom praksom Europskog suda za ljudska prava, </w:t>
      </w:r>
    </w:p>
    <w:p w:rsidR="00AC0832" w:rsidRDefault="00AC0832">
      <w:pPr>
        <w:pStyle w:val="Normal3"/>
      </w:pPr>
      <w:r>
        <w:t xml:space="preserve">– pregovarati sa strankama koje sudjeluju u postupku pred Europskim sudom za ljudska prava u svrhu postizanja prijateljskog rješenja spora sukladno članku 39. Konvencije, </w:t>
      </w:r>
    </w:p>
    <w:p w:rsidR="00AC0832" w:rsidRDefault="00AC0832">
      <w:pPr>
        <w:pStyle w:val="Normal3"/>
      </w:pPr>
      <w:r>
        <w:t xml:space="preserve">– pratiti razvoj sudske prakse Europskog suda za ljudska prava i upoznavati sve grane vlasti s istom kao i s razvojem Konvencije, te pratiti razvoj sudske prakse sudova Europske unije i drugih međunarodnih tijela u području ljudskih prava, </w:t>
      </w:r>
    </w:p>
    <w:p w:rsidR="00AC0832" w:rsidRDefault="00AC0832">
      <w:pPr>
        <w:pStyle w:val="Normal3"/>
      </w:pPr>
      <w:r>
        <w:t xml:space="preserve">– sudjelovati u postupcima izrade nacrta prijedloga zakona radi usklađivanja s Konvencijom i sudskom praksom Europskog suda za ljudska prava, </w:t>
      </w:r>
    </w:p>
    <w:p w:rsidR="00AC0832" w:rsidRDefault="00AC0832">
      <w:pPr>
        <w:pStyle w:val="Normal3"/>
      </w:pPr>
      <w:r>
        <w:t xml:space="preserve">– predstavljati Republiku Hrvatsku u stručnim tijelima Vijeća Europe vezanim za rad Europskog suda za ljudska prava, te u drugim tijelima vezanim za razvoj Konvencije i konvencijskog prava. </w:t>
      </w:r>
    </w:p>
    <w:p w:rsidR="00AC0832" w:rsidRDefault="00AC0832">
      <w:pPr>
        <w:pStyle w:val="Normal3"/>
      </w:pPr>
      <w:r>
        <w:t>Zastupnik je središnja točka u Republici Hrvatskoj kojoj Europski sud za ljudska prava dostavlja prijedloge za izdavanje privremenih mjera protiv Republike Hrvatske.</w:t>
      </w:r>
    </w:p>
    <w:p w:rsidR="00AC0832" w:rsidRDefault="00AC0832">
      <w:pPr>
        <w:pStyle w:val="Normal3"/>
      </w:pPr>
    </w:p>
    <w:p w:rsidR="00AC0832" w:rsidRDefault="00AC0832">
      <w:pPr>
        <w:pStyle w:val="Normal3"/>
      </w:pPr>
    </w:p>
    <w:p w:rsidR="00AC0832" w:rsidRDefault="00AC0832">
      <w:pPr>
        <w:pStyle w:val="Normal3"/>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02015-Ured zastupnika Republike Hrvatske pred Europskim sudom za ljudska prava</w:t>
            </w:r>
          </w:p>
        </w:tc>
        <w:tc>
          <w:tcPr>
            <w:tcW w:w="2322" w:type="dxa"/>
          </w:tcPr>
          <w:p w:rsidR="00AC0832" w:rsidRDefault="00AC0832">
            <w:pPr>
              <w:pStyle w:val="CellColumn"/>
            </w:pPr>
            <w:r>
              <w:t>3.700.000</w:t>
            </w:r>
          </w:p>
        </w:tc>
        <w:tc>
          <w:tcPr>
            <w:tcW w:w="2322" w:type="dxa"/>
          </w:tcPr>
          <w:p w:rsidR="00AC0832" w:rsidRDefault="00AC0832">
            <w:pPr>
              <w:pStyle w:val="CellColumn"/>
            </w:pPr>
            <w:r>
              <w:t>3.235.312</w:t>
            </w:r>
          </w:p>
        </w:tc>
        <w:tc>
          <w:tcPr>
            <w:tcW w:w="2322" w:type="dxa"/>
          </w:tcPr>
          <w:p w:rsidR="00AC0832" w:rsidRDefault="00AC0832">
            <w:pPr>
              <w:pStyle w:val="CellColumn"/>
            </w:pPr>
            <w:r>
              <w:t>87,4</w:t>
            </w:r>
          </w:p>
        </w:tc>
      </w:tr>
      <w:tr w:rsidR="00AC0832" w:rsidTr="00BE20ED">
        <w:trPr>
          <w:jc w:val="center"/>
        </w:trPr>
        <w:tc>
          <w:tcPr>
            <w:tcW w:w="2322" w:type="dxa"/>
          </w:tcPr>
          <w:p w:rsidR="00AC0832" w:rsidRDefault="00AC0832">
            <w:pPr>
              <w:pStyle w:val="CellColumnSmall"/>
            </w:pPr>
            <w:r>
              <w:t>2119-ZASTUPANJE REPUBLIKE HRVATSKE PRED EUROPSKIM SUDOM ZA LJUDSKA PRAVA</w:t>
            </w:r>
          </w:p>
        </w:tc>
        <w:tc>
          <w:tcPr>
            <w:tcW w:w="2322" w:type="dxa"/>
          </w:tcPr>
          <w:p w:rsidR="00AC0832" w:rsidRDefault="00AC0832">
            <w:pPr>
              <w:pStyle w:val="CellColumnSmall"/>
            </w:pPr>
            <w:r>
              <w:t>3.700.000</w:t>
            </w:r>
          </w:p>
        </w:tc>
        <w:tc>
          <w:tcPr>
            <w:tcW w:w="2322" w:type="dxa"/>
          </w:tcPr>
          <w:p w:rsidR="00AC0832" w:rsidRDefault="00AC0832">
            <w:pPr>
              <w:pStyle w:val="CellColumnSmall"/>
            </w:pPr>
            <w:r>
              <w:t>3.235.312</w:t>
            </w:r>
          </w:p>
        </w:tc>
        <w:tc>
          <w:tcPr>
            <w:tcW w:w="2322" w:type="dxa"/>
          </w:tcPr>
          <w:p w:rsidR="00AC0832" w:rsidRDefault="00AC0832">
            <w:pPr>
              <w:pStyle w:val="CellColumnSmall"/>
            </w:pPr>
            <w:r>
              <w:t>87,4</w:t>
            </w:r>
          </w:p>
        </w:tc>
      </w:tr>
    </w:tbl>
    <w:p w:rsidR="00AC0832" w:rsidRDefault="00AC0832">
      <w:pPr>
        <w:jc w:val="left"/>
      </w:pPr>
    </w:p>
    <w:p w:rsidR="00AC0832" w:rsidRDefault="00AC0832">
      <w:pPr>
        <w:pStyle w:val="Heading4"/>
      </w:pPr>
      <w:r>
        <w:t>OBRAZLOŽENJE PROGRAMA</w:t>
      </w:r>
    </w:p>
    <w:p w:rsidR="00AC0832" w:rsidRDefault="00AC0832">
      <w:pPr>
        <w:pStyle w:val="Heading5"/>
      </w:pPr>
      <w:r>
        <w:t>2119 ZASTUPANJE REPUBLIKE HRVATSKE PRED EUROPSKIM SUDOM ZA LJUDSKA PRAVA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2119-ZASTUPANJE REPUBLIKE HRVATSKE PRED EUROPSKIM SUDOM ZA LJUDSKA PRAVA</w:t>
            </w:r>
          </w:p>
        </w:tc>
        <w:tc>
          <w:tcPr>
            <w:tcW w:w="2322" w:type="dxa"/>
          </w:tcPr>
          <w:p w:rsidR="00AC0832" w:rsidRDefault="00AC0832">
            <w:pPr>
              <w:pStyle w:val="CellColumn"/>
            </w:pPr>
            <w:r>
              <w:t>3.700.000</w:t>
            </w:r>
          </w:p>
        </w:tc>
        <w:tc>
          <w:tcPr>
            <w:tcW w:w="2322" w:type="dxa"/>
          </w:tcPr>
          <w:p w:rsidR="00AC0832" w:rsidRDefault="00AC0832">
            <w:pPr>
              <w:pStyle w:val="CellColumn"/>
            </w:pPr>
            <w:r>
              <w:t>3.235.312</w:t>
            </w:r>
          </w:p>
        </w:tc>
        <w:tc>
          <w:tcPr>
            <w:tcW w:w="2322" w:type="dxa"/>
          </w:tcPr>
          <w:p w:rsidR="00AC0832" w:rsidRDefault="00AC0832">
            <w:pPr>
              <w:pStyle w:val="CellColumn"/>
            </w:pPr>
            <w:r>
              <w:t>87,4</w:t>
            </w:r>
          </w:p>
        </w:tc>
      </w:tr>
    </w:tbl>
    <w:p w:rsidR="00AC0832" w:rsidRDefault="00AC0832">
      <w:pPr>
        <w:jc w:val="left"/>
      </w:pPr>
    </w:p>
    <w:p w:rsidR="00AC0832" w:rsidRDefault="00AC0832">
      <w:pPr>
        <w:pStyle w:val="Heading6"/>
      </w:pPr>
      <w:r>
        <w:t>Opis programa</w:t>
      </w:r>
    </w:p>
    <w:p w:rsidR="00AC0832" w:rsidRDefault="00AC0832">
      <w:pPr>
        <w:pStyle w:val="Normal5"/>
      </w:pPr>
      <w:r>
        <w:t xml:space="preserve">Republika Hrvatska tužena je u sve većem broju predmeta pred Europskim sudom za ljudska prava, stalnim međunarodnim specijaliziranim sudom. Broj tužbi protiv države i složenost predmeta u stalnom su porastu.  </w:t>
      </w:r>
    </w:p>
    <w:p w:rsidR="00AC0832" w:rsidRDefault="00AC0832">
      <w:pPr>
        <w:pStyle w:val="Normal5"/>
      </w:pPr>
      <w:r>
        <w:t xml:space="preserve">BROJ NOVIH ZAHTJEVA (TUŽBI) KOJE SU DANE U RAD SUDSKOM VIJEĆU  </w:t>
      </w:r>
    </w:p>
    <w:p w:rsidR="00AC0832" w:rsidRDefault="00AC0832">
      <w:pPr>
        <w:pStyle w:val="Normal5"/>
      </w:pPr>
      <w:r>
        <w:t>2007.</w:t>
      </w:r>
      <w:r>
        <w:tab/>
        <w:t>2008.</w:t>
      </w:r>
      <w:r>
        <w:tab/>
        <w:t>2009.</w:t>
      </w:r>
      <w:r>
        <w:tab/>
        <w:t>2010.</w:t>
      </w:r>
      <w:r>
        <w:tab/>
        <w:t>2011.</w:t>
      </w:r>
      <w:r>
        <w:tab/>
        <w:t xml:space="preserve">2012.  </w:t>
      </w:r>
    </w:p>
    <w:p w:rsidR="00AC0832" w:rsidRDefault="00AC0832">
      <w:pPr>
        <w:pStyle w:val="Normal5"/>
      </w:pPr>
      <w:r>
        <w:t>558</w:t>
      </w:r>
      <w:r>
        <w:tab/>
        <w:t>608</w:t>
      </w:r>
      <w:r>
        <w:tab/>
        <w:t>755</w:t>
      </w:r>
      <w:r>
        <w:tab/>
        <w:t>992</w:t>
      </w:r>
      <w:r>
        <w:tab/>
        <w:t>1752</w:t>
      </w:r>
      <w:r>
        <w:tab/>
        <w:t xml:space="preserve">1912  </w:t>
      </w:r>
    </w:p>
    <w:p w:rsidR="00AC0832" w:rsidRDefault="00AC0832">
      <w:pPr>
        <w:pStyle w:val="Normal5"/>
      </w:pPr>
      <w:r>
        <w:t xml:space="preserve">Sve ukazuje da će se taj trend ubrzano nastaviti budući da građani, pravne osobe i nevladine udruge učestalo traže međunarodnu pravnu zaštitu svojih prava stoga što je ne mogu ostvariti u Republici Hrvatskoj.  </w:t>
      </w:r>
    </w:p>
    <w:p w:rsidR="00AC0832" w:rsidRDefault="00AC0832">
      <w:pPr>
        <w:pStyle w:val="Normal5"/>
      </w:pPr>
      <w:r>
        <w:t xml:space="preserve">Osuđujuće presude Europskog suda imaju, osim pravnih, negativne političke i financijske posljedice za državu. Ilustracije radi, samo za kršenje jednog elementa prava na pošteno suđenje, a to je pravo na suđenje u razumnom roku, Republika  Hrvatska je u zadnjih 12 godina izdvojila više od 35 milijuna EUR-a. </w:t>
      </w:r>
    </w:p>
    <w:p w:rsidR="00AC0832" w:rsidRDefault="00AC0832">
      <w:pPr>
        <w:pStyle w:val="Normal5"/>
      </w:pPr>
      <w:r>
        <w:t xml:space="preserve">Učinkovitost rada Ureda zastupnika RH bitna je, ne samo za smanjenje opterećenja na državni proračun (veći uspjeh u zastupanju države pred Europskim sudom za ljudska prava ogleda se u smanjenju iznosa pravičnih naknada koje Europski sud za ljudska prava dosuđuje podnositeljima u slučajevima kada utvrdi povredu Konvencije), već i za osiguranje poštivanja ljudskih prava kao jednog od strateških ciljeva Vlade Republike Hrvatske, prema njenom Programu.  </w:t>
      </w:r>
    </w:p>
    <w:p w:rsidR="00AC0832" w:rsidRDefault="00AC0832">
      <w:pPr>
        <w:pStyle w:val="Normal5"/>
      </w:pPr>
      <w:r>
        <w:t xml:space="preserve">Učinkovitost postupka izvršenja presuda i odluka Europskog suda za ljudska prava koje na nacionalnoj razini koordinira Ured zastupnika RH pronalazi svoje opravdanje u smanjenju broja postupaka protiv Republike Hrvatske pred Europskim sudom za ljudska prava, a istom cilju doprinosi i kvalitetan rad na usklađivanju domaćeg zakonodavstva s konvencijskim sustavom.  </w:t>
      </w:r>
    </w:p>
    <w:p w:rsidR="00AC0832" w:rsidRDefault="00AC0832">
      <w:pPr>
        <w:pStyle w:val="Normal5"/>
      </w:pPr>
      <w:r>
        <w:t>Dakle, Ured zastupnika RH je ustvari usko specijaliziran odvjetnički ured države koji svakodnevno brani državne interese pred stalnim međunarodnim sudom, sa dodatnim zadacima. Jak Ured zastupnika RH u kojem će se osigurati preduvjeti za uspješno obavljanje poslova zastupanja državnih interesa, prvenstveno putem suradnje sa državnim tijelima svih razina, dovodi do smanjenja broja postupaka protiv Republike Hrvatske pred Europskim sudom, a time posljedično donosi i značajne uštede u državnom proračunu.</w:t>
      </w:r>
    </w:p>
    <w:p w:rsidR="00AC0832" w:rsidRDefault="00AC0832">
      <w:pPr>
        <w:pStyle w:val="Heading6"/>
      </w:pPr>
      <w:r>
        <w:t>Zakonske i druge pravne osnove</w:t>
      </w:r>
    </w:p>
    <w:p w:rsidR="00AC0832" w:rsidRDefault="00AC0832">
      <w:pPr>
        <w:pStyle w:val="Normal5"/>
      </w:pPr>
      <w:r>
        <w:t xml:space="preserve">Ustav RH (NN, 56/90, 135/97, 8/98, 113/00, 124/00, 28/01, 41/01, 55/01, 76/10 i 85/10)  </w:t>
      </w:r>
    </w:p>
    <w:p w:rsidR="00AC0832" w:rsidRDefault="00AC0832">
      <w:pPr>
        <w:pStyle w:val="Normal5"/>
      </w:pPr>
      <w:r>
        <w:t xml:space="preserve">Zakon o Vladi Republike Hrvatske (NN, 150/2011) </w:t>
      </w:r>
    </w:p>
    <w:p w:rsidR="00AC0832" w:rsidRDefault="00AC0832">
      <w:pPr>
        <w:pStyle w:val="Normal5"/>
      </w:pPr>
      <w:r>
        <w:t xml:space="preserve">Zakon o potvrđivanju Konvencije za zaštitu ljudskih prava i temeljnih sloboda i Protokola br. 1., 4., 6., 7. i 11. uz Konvenciju za zaštitu ljudskih prava i temeljnih sloboda (NN-MU, 18/1997) </w:t>
      </w:r>
    </w:p>
    <w:p w:rsidR="00AC0832" w:rsidRDefault="00AC0832">
      <w:pPr>
        <w:pStyle w:val="Normal5"/>
      </w:pPr>
      <w:r>
        <w:t xml:space="preserve">Konvencija za zaštitu ljudskih prava i temeljnih sloboda i protokoli br. 1, 4, 6 i 7. uz Konvenciju (pročišćeni tekst) (NN-MU, 6/1999) </w:t>
      </w:r>
    </w:p>
    <w:p w:rsidR="00AC0832" w:rsidRDefault="00AC0832">
      <w:pPr>
        <w:pStyle w:val="Normal5"/>
      </w:pPr>
      <w:r>
        <w:t xml:space="preserve">Ispravak Konvencije za zaštitu ljudskih prava i temeljnih sloboda te Protokola br. 1, protokola br. 4, Protokola br. 6 i Protokola br. 7 (NN-MU, 8/1999) </w:t>
      </w:r>
    </w:p>
    <w:p w:rsidR="00AC0832" w:rsidRDefault="00AC0832">
      <w:pPr>
        <w:pStyle w:val="Normal5"/>
      </w:pPr>
      <w:r>
        <w:t xml:space="preserve">Objava o stupanju na snagu Protokola br. 14 uz Konvenciju za zaštitu ljudskih prava i temeljnih sloboda, o izmjeni nadzornog sustava Konvencije (NN-MU, 2/2010) </w:t>
      </w:r>
    </w:p>
    <w:p w:rsidR="00AC0832" w:rsidRDefault="00AC0832">
      <w:pPr>
        <w:pStyle w:val="Normal5"/>
      </w:pPr>
      <w:r>
        <w:t xml:space="preserve">Uredba o Uredu zastupnika Republike Hrvatske pred Europskim sudom za ljudska prava (NN, 18/12) </w:t>
      </w:r>
    </w:p>
    <w:p w:rsidR="00AC0832" w:rsidRDefault="00AC0832">
      <w:pPr>
        <w:pStyle w:val="Normal5"/>
      </w:pPr>
      <w:r>
        <w:t>Poslovnik Europskog suda za ljudska prava</w:t>
      </w:r>
    </w:p>
    <w:p w:rsidR="00AC0832" w:rsidRDefault="00AC0832">
      <w:pPr>
        <w:pStyle w:val="Heading7"/>
      </w:pPr>
      <w:r>
        <w:t xml:space="preserve">Cilj 1. Kvalitetna obrana interesa Republike Hrvatske u postupcima pred Europskim sudom za ljudska prava i pred Odborom ministara Vijeća Europe, te doprinos smanjenju broja tužbi protiv Republike Hrvatske pred Europskim sudom za ljudska prava </w:t>
      </w:r>
    </w:p>
    <w:p w:rsidR="00AC0832" w:rsidRDefault="00AC0832">
      <w:pPr>
        <w:pStyle w:val="Heading8"/>
        <w:jc w:val="left"/>
      </w:pPr>
      <w:r>
        <w:t>Opis provedbe cilja programa</w:t>
      </w:r>
    </w:p>
    <w:p w:rsidR="00AC0832" w:rsidRDefault="00AC0832">
      <w:pPr>
        <w:pStyle w:val="Normal6"/>
      </w:pPr>
      <w:r>
        <w:t xml:space="preserve">Kvalitetna obrana hrvatskih interesa, a su to interesi zaštite ljudskih prava građana i zaštite hrvatskih tijela vlasti kad primjenjuju konvencijsko pravo ovisi o: poznavanju i pravilnoj primjeni konvencijskog prava svih tijela i grana vlasti i visokih predstavnika vlasti, kao i o usklađenosti hrvatskih propisa (Ustava, zakona i svih podzakonskih akata) s konvencijskim pravom. Hrvatska tijela nisu uopće ili su nedovoljno upoznata s konvencijskim pravom, pa ga ne primjenjuju na odgovarajući način, što dovodi do sve većeg broja tužbi protiv države pred Europskim sudom. Zbog nedostatka institucionalizirane i stalne kontrole usklađenosti hrvatskih propisa s Konvencijom za zaštitu ljudskih prava i temeljnih sloboda (zadnju puta je to učinjeno 1996. god. na ad hoc bazi) povrede ljudskih prava događaju se već i zbog samog sadržaja propisa.  </w:t>
      </w:r>
    </w:p>
    <w:p w:rsidR="00AC0832" w:rsidRDefault="00AC0832">
      <w:pPr>
        <w:pStyle w:val="Normal6"/>
      </w:pPr>
      <w:r>
        <w:t xml:space="preserve">Tužbe protiv Republike Hrvatske su se u 2012. odnosile na povrede za koje su odgovorna tijela izvršne i pravosudnih vlasti i to: povrede prava na pošteno suđenje u različitim vrstama sporova na različitim razinama odlučivanja, na probleme povezane s neučinkovitošću istraga, na problem neosnovanog ograničavanja ili lišavanja prava građana na mirno uživanje vlasništva, posebice u odnosu na isplate mirovina. Međutim,  ubrzano se širi dijapazon povreda drugih prava i sloboda zaštićenih Konvencijom (npr. povreda prava na brak zbog duljine trajanja razvoda, predmeti povrede prava na život, zabrane mučenja, prava na poštovanje obiteljskog i privatnog života, povreda slobode izražavanja, te slobode okupljanja i udruživanja itd.).       </w:t>
      </w:r>
    </w:p>
    <w:p w:rsidR="00AC0832" w:rsidRDefault="00AC0832">
      <w:pPr>
        <w:pStyle w:val="Normal6"/>
      </w:pPr>
      <w:r>
        <w:t xml:space="preserve">Postojanje Ureda omogućuje državi da na jednom mjestu: a) koncentrira sve poslove zastupanja u svim predmetima koji se odnose na povrede Konvencije; b) da može brzo i učinkovito izvršavati presude Europskog suda jer se cijeli proces izvršenja koordinira iz Ureda koji surađuje s Odborom ministara, tijelom VE koji nadzire izvršenje svake presude i odluke Suda, pod uvjetom da sva tijela surađuju s Uredom; c) da s tog mjesta širi znanje o konvencijskom pravu u hrvatski pravni poredak radi sprječavanja nastajanja novih povreda koje generiraju nove tužbe protiv države.  </w:t>
      </w:r>
    </w:p>
    <w:p w:rsidR="00AC0832" w:rsidRDefault="00AC0832">
      <w:pPr>
        <w:pStyle w:val="Normal6"/>
      </w:pPr>
      <w:r>
        <w:t xml:space="preserve">Ujedno, takvim pristupom država može razviti kvalitetne pravne stručnjake specijaliste međunarodnog prava o ljudskim pravima koji rade isključivo za državu na tri različita područja, pred Europskim sudom, pred Odborom ministara, te u državi.  </w:t>
      </w:r>
    </w:p>
    <w:p w:rsidR="00AC0832" w:rsidRDefault="00AC0832">
      <w:pPr>
        <w:pStyle w:val="Normal6"/>
      </w:pPr>
      <w:r>
        <w:t xml:space="preserve">Konvencijsko pravo je živući pravni instrument koji se mijenja. Postojanje ovog Ureda donosi državi i dodanu vrijednost jer Ured prati sve promjene konvencijskog prava u svrhu kvalitetne obrane države, te stoga može na vrijeme upoznati pravni sustav s promjenama konvencijskog prava kako bi sustav uskladio svoje propise i/ili postupanja s novim konvencijskim standardima.        </w:t>
      </w:r>
    </w:p>
    <w:p w:rsidR="00AC0832" w:rsidRDefault="00AC0832">
      <w:pPr>
        <w:pStyle w:val="Normal6"/>
      </w:pPr>
      <w:r>
        <w:t>Stoga je Ured zastupnika jedan od mehanizama zaštite ljudskih prava u RH koji svojim aktivnostima utječe na jačanje zaštite ljudskih prava i temeljnih sloboda građana u Republici Hrvatskoj i na smanjenje broja tužbi protiv države pred Europskim sudom za ljudska prava, a time i smanjenja financijskih izdataka države zbog kršenja ljudskih prava njezinih tijela.</w:t>
      </w:r>
    </w:p>
    <w:p w:rsidR="00AC0832" w:rsidRDefault="00AC0832">
      <w:pPr>
        <w:pStyle w:val="Heading6"/>
      </w:pPr>
      <w:r>
        <w:t>A860001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A860001-ADMINISTRACIJA I UPRAVLJANJE</w:t>
            </w:r>
          </w:p>
        </w:tc>
        <w:tc>
          <w:tcPr>
            <w:tcW w:w="2322" w:type="dxa"/>
          </w:tcPr>
          <w:p w:rsidR="00AC0832" w:rsidRDefault="00AC0832">
            <w:pPr>
              <w:pStyle w:val="CellColumn"/>
            </w:pPr>
            <w:r>
              <w:t>1.243.000</w:t>
            </w:r>
          </w:p>
        </w:tc>
        <w:tc>
          <w:tcPr>
            <w:tcW w:w="2322" w:type="dxa"/>
          </w:tcPr>
          <w:p w:rsidR="00AC0832" w:rsidRDefault="00AC0832">
            <w:pPr>
              <w:pStyle w:val="CellColumn"/>
            </w:pPr>
            <w:r>
              <w:t>1.014.595</w:t>
            </w:r>
          </w:p>
        </w:tc>
        <w:tc>
          <w:tcPr>
            <w:tcW w:w="2322" w:type="dxa"/>
          </w:tcPr>
          <w:p w:rsidR="00AC0832" w:rsidRDefault="00AC0832">
            <w:pPr>
              <w:pStyle w:val="CellColumn"/>
            </w:pPr>
            <w:r>
              <w:t>81,6</w:t>
            </w:r>
          </w:p>
        </w:tc>
      </w:tr>
    </w:tbl>
    <w:p w:rsidR="00AC0832" w:rsidRDefault="00AC0832">
      <w:pPr>
        <w:pStyle w:val="Heading6"/>
      </w:pPr>
      <w:r>
        <w:t>A860006 ZASTUPANJE REPUBLIKE HRVATSKE PRED EUROPSKIM SUDOM ZA LJUDSKA PRAVA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A860006-ZASTUPANJE REPUBLIKE HRVATSKE PRED EUROPSKIM SUDOM ZA LJUDSKA PRAVA</w:t>
            </w:r>
          </w:p>
        </w:tc>
        <w:tc>
          <w:tcPr>
            <w:tcW w:w="2322" w:type="dxa"/>
          </w:tcPr>
          <w:p w:rsidR="00AC0832" w:rsidRDefault="00AC0832">
            <w:pPr>
              <w:pStyle w:val="CellColumn"/>
            </w:pPr>
            <w:r>
              <w:t>470.000</w:t>
            </w:r>
          </w:p>
        </w:tc>
        <w:tc>
          <w:tcPr>
            <w:tcW w:w="2322" w:type="dxa"/>
          </w:tcPr>
          <w:p w:rsidR="00AC0832" w:rsidRDefault="00AC0832">
            <w:pPr>
              <w:pStyle w:val="CellColumn"/>
            </w:pPr>
            <w:r>
              <w:t>265.831</w:t>
            </w:r>
          </w:p>
        </w:tc>
        <w:tc>
          <w:tcPr>
            <w:tcW w:w="2322" w:type="dxa"/>
          </w:tcPr>
          <w:p w:rsidR="00AC0832" w:rsidRDefault="00AC0832">
            <w:pPr>
              <w:pStyle w:val="CellColumn"/>
            </w:pPr>
            <w:r>
              <w:t>56,6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Aktivnost zastupanja u svakom pojedinom predmetu uključuje sljedeće poslove koji se obavljaju u Uredu zastupnika: 1) analizu svakog zahtjeva (tužbe) podnositelja i činjenica definiranih od strane Suda, a na temelju dokumentacije podnositelja dostavljene Sudu; 2) prikupljanje svih dokumenata, najčešće preslika cjelokupnih spisa od raznih tijela vlasti (sudova, državnog odvjetništva, upravnih tijela, javnih ustanova, izvršnih tijela itd.) radi utvrđenja točnog i potpunog činjeničnog stanja svakog predmeta; 3) utvrđivanje točnog i potpunog činjeničnog stanja predmeta pred Sudom na temelju dostavljene dokumentacije; 4) izradu  nacrta dijela očitovanja države Sudu koji se odnosi na Izjavu države o činjenicama predmeta; 5) definiranje relevantnog hrvatskog prava (svih propisa), te hrvatske sudske i upravne prakse; 6) izradu  nacrta dijela očitovanja države koje se odnosi na Relevantno domaće pravo i praksu; 7) proučavanje i analizu sudske prakse Europskog suda za ljudska prava koja se odnosi na procesne elemente svake povrede ljudskih prava ili temeljnih sloboda koje je utužio podnositelj, te sudske prakse koja se odnosi na meritum svake utužene povrede; 8) analizu dopuštenosti zahtjeva (tužbe) protiv Hrvatske, odnosno provođenje tzv. testa dopuštenosti (admissibility test) za svaku utuženu povredu ljudskog prava ili temeljne slobode zajamčene Konvencijom u svakom predmetu (utvrđivanje postojanja ili nepostojanja formalnih pretpostavki za dopuštenost zahtjeva pred Sudom); 9) izrada nacrta dijela očitovanja države koje se odnosi na Formalne pretpostavke za dopuštenost zahtjeva pred Sudom; 10) analizu usklađenosti domaćih propisa koji su bili primijenjeni u konkretnom predmetu, te utvrđivanje usklađenosti načina postupanja ili propuštanja državnih tijela u predmetu podnositelja u Hrvatskoj sa konvencijskim standardima i sa praksom Suda; 11) dodatnu analizu sudske prakse drugih međunarodnih sudova, ili parasudskih tijela ukoliko ne postoji praksa Europskog suda ili je ona nepovoljna za državu, ili se postupak ne vodi pred Europskim sudom već pred drugim međunarodnim parasudskim tijelom  (npr. analiza prakse Suda EU Luxebmourg, Međunarodnog suda pravde, Međunarodnog kaznenog suda, UN Odbora za ljudska prava, Odbora socijalne povelje itd.); 12) izradu nacrta dijela očitovanja države koji se odnosi na meritum predmeta, odnosno na Materijalne uvjete za dopuštenost zahtjeva pred Sudom; 13) objedinjavanje svih dijelova nacrta očitovanja države, i izradu završnog očitovanja države (tzv. odgovora na tužbu) u svakom predmetu pred Sudom, najvažnijeg pisanog dokumenta  države u svakom predmetu pred Sudom; 14) izradu svih ostalih podneska upućenih Sudu tijekom postupaka na engleskom jeziku koji je službeni jezik Suda; 15) komunikaciju i izradu podnesaka, te traženje informacija od nadležnih tijela u Hrvatskoj; 16) obavještavanje Vlade i resornih ministara o tijeku postupka u određenim predmetima; 17) kontrolu prijevoda i završnu lekturu svakog očitovanja upućenih Sudu.  </w:t>
      </w:r>
    </w:p>
    <w:p w:rsidR="00AC0832" w:rsidRDefault="00AC0832">
      <w:pPr>
        <w:pStyle w:val="Normal6"/>
      </w:pPr>
      <w:r>
        <w:t xml:space="preserve"> </w:t>
      </w:r>
    </w:p>
    <w:p w:rsidR="00AC0832" w:rsidRDefault="00AC0832">
      <w:pPr>
        <w:pStyle w:val="Normal6"/>
      </w:pPr>
      <w:r>
        <w:t>U zastupanje ulaze i poslovi, koji čine dio priprema za samo određene predmete te drugi poslovi: 18) analiza predmeta radi utvrđivanja je li podoban za predlaganje nagodbe, odnosno za predlaganje prijateljskog rješenja spora; 19) izrada nacrta prijedloga nagodbi između podnositelja i države, koji zastupnica upućuje na suglasnost resornim tijelima i Vladi RH (nakon analize i utvrđenja opravdanosti sklapanja nagodbe); 20) komunikacija sa Sudom u postupku sklapanja nagodbe sa podnositeljem; 21) izrada nacrta zahtjeva za preispitivanje određene presude vijeća Suda (tzv. refferal request) pred velikim vijećem Suda, kad se utvrdi postojanje razloga za podnošenje zahtjeva; 22) priprema predmeta (izrada novog očitovanja države, govora pred Sudom, priprema za odgovore na pitanja sudaca) za veliko vijeće Suda; 23) zastupanje države na usmenim ročištima velikog vijeća Suda; 24) rad po zahtjevima Suda za izdavanje privremene mjere (zastupnik je i središnja točka u državi kojoj Sud dostavlja zahtjeve za izdavanje privremene mjere. Po dostavi zahtjeva zastupnica mora u roku od 48 sati prikupiti od državnih tijela sve potrebne informacije o njihovim radnjama ili propuštanjima u povodu predmeta pred Sudom, te izraditi očitovanje države i dostaviti Sudu); 25) zastupanje države na redovnim sastancima zastupnika sa Sudom; 26) redovna komunikacija i suradnja sa tajnikom Vijeća Europe zaduženog za hrvatske predmete i tajnikom Suda, kao i s pravnicima u Vijeću Europe; 27) rad u stručnim tijelima Vijeća Europe u svrhu razvoja konvencijskog sustava zaštite ljudskih prava.</w:t>
      </w:r>
    </w:p>
    <w:p w:rsidR="00AC0832" w:rsidRDefault="00AC0832">
      <w:pPr>
        <w:pStyle w:val="Normal6"/>
      </w:pPr>
    </w:p>
    <w:p w:rsidR="00AC0832" w:rsidRDefault="00AC0832">
      <w:pPr>
        <w:pStyle w:val="Heading6"/>
      </w:pPr>
      <w:r>
        <w:t>A860007 IZVRŠENJE PRESUDA EUROPSKOG SUDA ZA LJUDSKA PRAVA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A860007-IZVRŠENJE PRESUDA EUROPSKOG SUDA ZA LJUDSKA PRAVA</w:t>
            </w:r>
          </w:p>
        </w:tc>
        <w:tc>
          <w:tcPr>
            <w:tcW w:w="2322" w:type="dxa"/>
          </w:tcPr>
          <w:p w:rsidR="00AC0832" w:rsidRDefault="00AC0832">
            <w:pPr>
              <w:pStyle w:val="CellColumn"/>
            </w:pPr>
            <w:r>
              <w:t>1.983.700</w:t>
            </w:r>
          </w:p>
        </w:tc>
        <w:tc>
          <w:tcPr>
            <w:tcW w:w="2322" w:type="dxa"/>
          </w:tcPr>
          <w:p w:rsidR="00AC0832" w:rsidRDefault="00AC0832">
            <w:pPr>
              <w:pStyle w:val="CellColumn"/>
            </w:pPr>
            <w:r>
              <w:t>1.951.853</w:t>
            </w:r>
          </w:p>
        </w:tc>
        <w:tc>
          <w:tcPr>
            <w:tcW w:w="2322" w:type="dxa"/>
          </w:tcPr>
          <w:p w:rsidR="00AC0832" w:rsidRDefault="00AC0832">
            <w:pPr>
              <w:pStyle w:val="CellColumn"/>
            </w:pPr>
            <w:r>
              <w:t>98,4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Aktivnost koordiniranja izvršenja presuda i odluka Europskog suda uključuje sljedeće poslove koji se obavljaju u Uredu zastupnika: 1) obavještavanje svih državnih tijela o presudi; 2) kontrolu prijevoda i lektura svake presude/odluke o nedopuštenosti Suda, 3) izradu pravne analize svake presude/odluke o nedopuštenosti Suda; 4) diseminaciju svake presude i odluke Suda i obavještavanje o uzrocima utvrđenih povreda i o posljedicama presude svim tijelima koja su doprinijela kršenju ljudskih prava kada je Sud utvrdio kršenje, odnosno koja su postupala sukladno Konvenciji u slučaju kada nije došlo do kršenja ljudskih prava; 5) koordinaciju sa UZOP Vlade i Sabora radi plaćanja pravične novčane naknade i praćenja plaćanja iste; 6) stalnu komunikaciju i koordinaciju rada sa državnim tijelima koja trebaju osmisliti i provesti mjere za izvršenje svake presude Suda; 7) stalno nadgledanje izvršenja individualnih mjera po presudama Suda (npr. u slučaju duljine trajanja apeliranje na domaće sudove da završe postupke, praćenje ponavljanja postupaka po presudama Suda, apeliranje na ministarstva i druga tijela državne vlasti) i općih mjera; 8) upoznavanje pravosudnih, upravnih, izvršenih tijela sa obvezama u izvršenju (međuresorni sastanci), te prikupljanje informacija radi izrade akcijskih planova/ izvješća o načinima kako će RH izvršiti presudu ili odluku Suda; 9) izradu akcijskog plana/ izvješća države u izvršenju određene presude/odluke Suda i dostava istog OM VE; 10) redovno obavještavanje Odbora ministara VE o napretku u provođenju mjera izvršenja; 11) zastupanje aktivnosti koje je RH poduzela u izvršenju presuda, te rad u Odboru ministarskih zastupnika Vijeća Europe (DH) u okviru kojeg se razmatraju izvršenja svake pojedine presude ili skupine presuda protiv država, te konsenzusom ili glasovanjem usvajaju rezolucije o izvršenju.</w:t>
      </w:r>
    </w:p>
    <w:p w:rsidR="00AC0832" w:rsidRDefault="00AC0832">
      <w:pPr>
        <w:pStyle w:val="Heading6"/>
      </w:pPr>
      <w:r>
        <w:t>K860008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K860008-INFORMATIZACIJA</w:t>
            </w:r>
          </w:p>
        </w:tc>
        <w:tc>
          <w:tcPr>
            <w:tcW w:w="2322" w:type="dxa"/>
          </w:tcPr>
          <w:p w:rsidR="00AC0832" w:rsidRDefault="00AC0832">
            <w:pPr>
              <w:pStyle w:val="CellColumn"/>
            </w:pPr>
            <w:r>
              <w:t>3.300</w:t>
            </w:r>
          </w:p>
        </w:tc>
        <w:tc>
          <w:tcPr>
            <w:tcW w:w="2322" w:type="dxa"/>
          </w:tcPr>
          <w:p w:rsidR="00AC0832" w:rsidRDefault="00AC0832">
            <w:pPr>
              <w:pStyle w:val="CellColumn"/>
            </w:pPr>
            <w:r>
              <w:t>3.032</w:t>
            </w:r>
          </w:p>
        </w:tc>
        <w:tc>
          <w:tcPr>
            <w:tcW w:w="2322" w:type="dxa"/>
          </w:tcPr>
          <w:p w:rsidR="00AC0832" w:rsidRDefault="00AC0832">
            <w:pPr>
              <w:pStyle w:val="CellColumn"/>
            </w:pPr>
            <w:r>
              <w:t>91,9</w:t>
            </w:r>
          </w:p>
        </w:tc>
      </w:tr>
    </w:tbl>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pStyle w:val="Heading2"/>
      </w:pPr>
      <w:r>
        <w:t>02021 Stručna služba Savjeta za nacionalne manjine</w:t>
      </w:r>
    </w:p>
    <w:p w:rsidR="00AC0832" w:rsidRDefault="00AC0832">
      <w:pPr>
        <w:pStyle w:val="Heading4"/>
      </w:pPr>
      <w:r>
        <w:t>Uvod</w:t>
      </w:r>
    </w:p>
    <w:p w:rsidR="00AC0832" w:rsidRDefault="00AC0832">
      <w:pPr>
        <w:pStyle w:val="Normal3"/>
      </w:pPr>
      <w:r>
        <w:t>Savjet za nacionalne manjine u cilju ostvarivanja i zaštite prava i sloboda nacionalnih manjina u Republici Hrvatskoj propisanim Ustavnim zakonom o pravima nacionalnih manjina „Narodne novine“ br.155/2002;47/2010 i 80/2010 članka 35. stavka 4. i 36. stavak 11., osigurava sredstva iz Državnog proračuna Republike Hrvatske za potpore udrugama i ustanovama nacionalnih manjina za ostvarivanje programa kulturne autonomije nacionalnih manjina i to za programe informiranja i izdavaštva, kulturnog amaterizma, kulturnih manifestacija, programa koji proizlaze iz bilateralnih sporazuma, programa stvaranja pretpostavki za ostvarivanje kulturne autonomije nacionalnih manjina, zajedničke programe koja organizira Savjet za nacionalne manjine, informiranje i osposobljavanje članova Vijeća i predstavnika nacionalnih manjina, izdavanje časopisa „Manjinski forum“ i održavanje internetske stranice Savjeta za nacionalne manjine.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02021-Stručna služba Savjeta za nacionalne manjine</w:t>
            </w:r>
          </w:p>
        </w:tc>
        <w:tc>
          <w:tcPr>
            <w:tcW w:w="2322" w:type="dxa"/>
          </w:tcPr>
          <w:p w:rsidR="00AC0832" w:rsidRDefault="00AC0832">
            <w:pPr>
              <w:pStyle w:val="CellColumn"/>
            </w:pPr>
            <w:r>
              <w:t>42.436.618</w:t>
            </w:r>
          </w:p>
        </w:tc>
        <w:tc>
          <w:tcPr>
            <w:tcW w:w="2322" w:type="dxa"/>
          </w:tcPr>
          <w:p w:rsidR="00AC0832" w:rsidRDefault="00AC0832">
            <w:pPr>
              <w:pStyle w:val="CellColumn"/>
            </w:pPr>
            <w:r>
              <w:t>42.159.476</w:t>
            </w:r>
          </w:p>
        </w:tc>
        <w:tc>
          <w:tcPr>
            <w:tcW w:w="2322" w:type="dxa"/>
          </w:tcPr>
          <w:p w:rsidR="00AC0832" w:rsidRDefault="00AC0832">
            <w:pPr>
              <w:pStyle w:val="CellColumn"/>
            </w:pPr>
            <w:r>
              <w:t>99,3</w:t>
            </w:r>
          </w:p>
        </w:tc>
      </w:tr>
      <w:tr w:rsidR="00AC0832" w:rsidTr="00BE20ED">
        <w:trPr>
          <w:jc w:val="center"/>
        </w:trPr>
        <w:tc>
          <w:tcPr>
            <w:tcW w:w="2322" w:type="dxa"/>
          </w:tcPr>
          <w:p w:rsidR="00AC0832" w:rsidRDefault="00AC0832">
            <w:pPr>
              <w:pStyle w:val="CellColumnSmall"/>
            </w:pPr>
            <w:r>
              <w:t>2109-ZAŠTITA PRAVA NACIONALNIH MANJINA</w:t>
            </w:r>
          </w:p>
        </w:tc>
        <w:tc>
          <w:tcPr>
            <w:tcW w:w="2322" w:type="dxa"/>
          </w:tcPr>
          <w:p w:rsidR="00AC0832" w:rsidRDefault="00AC0832">
            <w:pPr>
              <w:pStyle w:val="CellColumnSmall"/>
            </w:pPr>
            <w:r>
              <w:t>42.436.618</w:t>
            </w:r>
          </w:p>
        </w:tc>
        <w:tc>
          <w:tcPr>
            <w:tcW w:w="2322" w:type="dxa"/>
          </w:tcPr>
          <w:p w:rsidR="00AC0832" w:rsidRDefault="00AC0832">
            <w:pPr>
              <w:pStyle w:val="CellColumnSmall"/>
            </w:pPr>
            <w:r>
              <w:t>42.159.476</w:t>
            </w:r>
          </w:p>
        </w:tc>
        <w:tc>
          <w:tcPr>
            <w:tcW w:w="2322" w:type="dxa"/>
          </w:tcPr>
          <w:p w:rsidR="00AC0832" w:rsidRDefault="00AC0832">
            <w:pPr>
              <w:pStyle w:val="CellColumnSmall"/>
            </w:pPr>
            <w:r>
              <w:t>99,3</w:t>
            </w:r>
          </w:p>
        </w:tc>
      </w:tr>
    </w:tbl>
    <w:p w:rsidR="00AC0832" w:rsidRDefault="00AC0832">
      <w:pPr>
        <w:jc w:val="left"/>
      </w:pPr>
    </w:p>
    <w:p w:rsidR="00AC0832" w:rsidRDefault="00AC0832">
      <w:pPr>
        <w:pStyle w:val="Heading4"/>
      </w:pPr>
      <w:r>
        <w:t>OBRAZLOŽENJE PROGRAMA</w:t>
      </w:r>
    </w:p>
    <w:p w:rsidR="00AC0832" w:rsidRDefault="00AC0832">
      <w:pPr>
        <w:pStyle w:val="Heading5"/>
      </w:pPr>
      <w:r>
        <w:t>2109 ZAŠTITA PRAVA NACIONALNIH MANJINA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2109-ZAŠTITA PRAVA NACIONALNIH MANJINA</w:t>
            </w:r>
          </w:p>
        </w:tc>
        <w:tc>
          <w:tcPr>
            <w:tcW w:w="2322" w:type="dxa"/>
          </w:tcPr>
          <w:p w:rsidR="00AC0832" w:rsidRDefault="00AC0832">
            <w:pPr>
              <w:pStyle w:val="CellColumn"/>
            </w:pPr>
            <w:r>
              <w:t>42.436.618</w:t>
            </w:r>
          </w:p>
        </w:tc>
        <w:tc>
          <w:tcPr>
            <w:tcW w:w="2322" w:type="dxa"/>
          </w:tcPr>
          <w:p w:rsidR="00AC0832" w:rsidRDefault="00AC0832">
            <w:pPr>
              <w:pStyle w:val="CellColumn"/>
            </w:pPr>
            <w:r>
              <w:t>42.159.476</w:t>
            </w:r>
          </w:p>
        </w:tc>
        <w:tc>
          <w:tcPr>
            <w:tcW w:w="2322" w:type="dxa"/>
          </w:tcPr>
          <w:p w:rsidR="00AC0832" w:rsidRDefault="00AC0832">
            <w:pPr>
              <w:pStyle w:val="CellColumn"/>
            </w:pPr>
            <w:r>
              <w:t>99,3</w:t>
            </w:r>
          </w:p>
        </w:tc>
      </w:tr>
    </w:tbl>
    <w:p w:rsidR="00AC0832" w:rsidRDefault="00AC0832">
      <w:pPr>
        <w:jc w:val="left"/>
      </w:pPr>
    </w:p>
    <w:p w:rsidR="00AC0832" w:rsidRDefault="00AC0832">
      <w:pPr>
        <w:pStyle w:val="Heading6"/>
      </w:pPr>
      <w:r>
        <w:t>Opis programa</w:t>
      </w:r>
    </w:p>
    <w:p w:rsidR="00AC0832" w:rsidRDefault="00AC0832">
      <w:pPr>
        <w:pStyle w:val="Normal5"/>
      </w:pPr>
      <w:r>
        <w:t xml:space="preserve">Savjet za nacionalne manjine osigurava sredstva iz Državnog proračuna za sufinanciranje programa udruga i ustanova nacionalnih manjina. Dodijeljena sredstva odnose se na potrebe 17 nacionalnih manjine i njihovih preko 100 udruga ne računajući ogranke (preko 220) u Republici Hrvatskoj. Savjet za nacionalne manjine raspisuje jednom godišnje Javni poziv udrugama i ustanovama nacionalnih manjina za potpore čime se potiče ostvarivanje kulturne autonomije u područjima: informiranja, izdavaštva, kulturnog amaterizma, kulturnih manifestacija, kao i ostvarivanje bilateralnih sporazuma i stvaranje pretpostavki za ostvarivanje kulturne autonomije. Predloženi iznosi sredstava, koja se u Državnom proračunu osiguravaju za potrebe nacionalnih manjina, temelji se na analizi programa udruga i ustanova nacionalnih manjina, koja kontinuirano pokazuje pozitivni razvitak, te pozitivne učinke, vezane za integraciju nacionalnih manjina u hrvatsko društvo, sa svojim identitetom, te daljnji napredak razine financijske discipline i odgovornost za dobivena sredstva. Poticanjem rada udruga i ustanova nacionalnih manjina upućuje da se putem ostvarivanja programa kulturne autonomije kao krajnji rezultat vidno i značajno poboljšava položaj nacionalnih manjina u Republici Hrvatskoj, sukladno politici Vlade Republike Hrvatske i </w:t>
      </w:r>
    </w:p>
    <w:p w:rsidR="00AC0832" w:rsidRDefault="00AC0832">
      <w:pPr>
        <w:pStyle w:val="Normal5"/>
      </w:pPr>
      <w:r>
        <w:t xml:space="preserve">provedbi Akcijskog plana za provedbu Ustavnog zakona o pravima nacionalnih manjina. Savjet za nacionalne manjine surađuje u pitanjima od interesa za nacionalne manjine u Republici Hrvatskoj s nadležnim tijelima međunarodnih organizacija i institucijama koje se bave pitanjima nacionalnih manjina, kao i s nadležnim tijelima matičnih država pripadnika nacionalnih manjina u Republici Hrvatskoj; predlaže poduzimanje gospodarskih, socijalnih i drugih mjera na područjima tradicionalno ili u znatnijem broju nastanjenim pripadnicima nacionalnih manjina kako bi se očuvalo njihovo postojanje na tim područjima; analizira učinke ostvarivanja pojedinih prava pripadnika nacionalnih manjina u školstvu, dvojezičnosti, informiranja, korištenju simbola i ostale probleme u ostvarivanju prava pripadnika nacionalnih manjina; daje suglasnost na odluke </w:t>
      </w:r>
    </w:p>
    <w:p w:rsidR="00AC0832" w:rsidRDefault="00AC0832">
      <w:pPr>
        <w:pStyle w:val="Normal5"/>
      </w:pPr>
      <w:r>
        <w:t>koordinacija vijeća nacionalnih manjina jedinica područne (regionalne) samouprave o odlukama o znamenju i simbolima nacionalnih manjina i načinu obilježavanja praznika nacionalnih manjina, kao i mišljenja, prijedloge, analizira programe javnih radiopostaja i javne televizije namijenjenih nacionalnim manjinama, o zastupljenosti pitanja namijenjenih nacionalnim manjinama u programima javnih radiopostaja i javne televizije i drugim sredstvima priopćavanja.</w:t>
      </w:r>
    </w:p>
    <w:p w:rsidR="00AC0832" w:rsidRDefault="00AC0832">
      <w:pPr>
        <w:pStyle w:val="Heading6"/>
      </w:pPr>
      <w:r>
        <w:t>Zakonske i druge pravne osnove</w:t>
      </w:r>
    </w:p>
    <w:p w:rsidR="00AC0832" w:rsidRDefault="00AC0832">
      <w:pPr>
        <w:pStyle w:val="Normal5"/>
      </w:pPr>
      <w:r>
        <w:t>Savjet za nacionalne manjine sukladno Ustavnom zakonu o pravima nacionalnih manjina (NN 155/02) raspoređuje sredstva koja se državnom proračunu Republike Hrvatske osiguravaju za potrebe nacionalnih manjina u Republici Hrvatskoj. Rad Savjeta je određen Statutom Savjeta za nacionalne manjine (NN 106/2003). Za dodjelu potpora za programe udruga i ustanovama nacionalnih manjina donešeni su Kriteriji za utvrđivanje financijske potpore za programe nevladinih udruga i ustanova nacionalnih manjina (NN 129/09 i 70/2011), a za praćenje izvršenje programa Metodologija praćenja ostvarivanja programa nevladinih udruga i ustanova nacionalnih manjina (NN 129/09 i 70/2011).</w:t>
      </w:r>
    </w:p>
    <w:p w:rsidR="00AC0832" w:rsidRDefault="00AC0832">
      <w:pPr>
        <w:pStyle w:val="Heading7"/>
      </w:pPr>
      <w:r>
        <w:t xml:space="preserve">Cilj 1. Ostvarivanje i unapređivanje prava nacionalnih manjina za kulturnom autonomijom </w:t>
      </w:r>
    </w:p>
    <w:p w:rsidR="00AC0832" w:rsidRDefault="00AC0832">
      <w:pPr>
        <w:pStyle w:val="Heading8"/>
        <w:jc w:val="left"/>
      </w:pPr>
      <w:r>
        <w:t>Opis provedbe cilja programa</w:t>
      </w:r>
    </w:p>
    <w:p w:rsidR="00AC0832" w:rsidRDefault="00AC0832">
      <w:pPr>
        <w:pStyle w:val="Normal6"/>
      </w:pPr>
      <w:r>
        <w:t>U cilju ostvarivanja manjinskih prava i sloboda Savjet surađuje i s nadležnim državnim tijelima i tijelima jedinica samouprave, predstavnicima, vijećima i koordinacijama vijeća nacionalnih manjina, udrugama nacionalnih manjina i pravnim osobama koje obavljaju djelatnosti od interesa za nacionalne manjine, međunarodnim organizacijama i institucijama koje se bave pitanjima nacionalnih manjina, te tijelima matičnih država pripadnika nacionalnih manjina u Republici Hrvatskoj; stvara uvjete i potiče prava nacionalnih manjina na jednakost pred zakonom, nediskriminaciju, te unapređuje položaj nacionalnih manjina, kao i uključivanje predstavnika nacionalnih manjina u javni i politički život Republike Hrvatske, kao relevantnih partnera, promicanjem tolerancije i suživota nacionalnih manjina. Opći cilj je u suglasnosti sa Ustavnim zakonom o pravima nacionalnih manjina i drugim zakonima i propisima kojima su regulirana prava pripadnika nacionalnih manjina kao i s Akcijskim planom Vlade Republike Hrvatske za provedbu Ustavnog zakona o pravima nacionalnih manjina.</w:t>
      </w:r>
    </w:p>
    <w:p w:rsidR="00AC0832" w:rsidRDefault="00AC0832">
      <w:pPr>
        <w:pStyle w:val="Heading6"/>
      </w:pPr>
    </w:p>
    <w:p w:rsidR="00AC0832" w:rsidRDefault="00AC0832">
      <w:pPr>
        <w:pStyle w:val="Heading6"/>
      </w:pPr>
    </w:p>
    <w:p w:rsidR="00AC0832" w:rsidRDefault="00AC0832">
      <w:pPr>
        <w:pStyle w:val="Heading6"/>
      </w:pPr>
      <w:r>
        <w:t>A732003 POTPORE ZA PROGRAME OSTVARIVANJA KULTURNE AUTONOMIJE NACIONALNIH MANJINA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A732003-POTPORE ZA PROGRAME OSTVARIVANJA KULTURNE AUTONOMIJE NACIONALNIH MANJINA</w:t>
            </w:r>
          </w:p>
        </w:tc>
        <w:tc>
          <w:tcPr>
            <w:tcW w:w="2322" w:type="dxa"/>
          </w:tcPr>
          <w:p w:rsidR="00AC0832" w:rsidRDefault="00AC0832">
            <w:pPr>
              <w:pStyle w:val="CellColumn"/>
            </w:pPr>
            <w:r>
              <w:t>41.024.218</w:t>
            </w:r>
          </w:p>
        </w:tc>
        <w:tc>
          <w:tcPr>
            <w:tcW w:w="2322" w:type="dxa"/>
          </w:tcPr>
          <w:p w:rsidR="00AC0832" w:rsidRDefault="00AC0832">
            <w:pPr>
              <w:pStyle w:val="CellColumn"/>
            </w:pPr>
            <w:r>
              <w:t>40.922.631</w:t>
            </w:r>
          </w:p>
        </w:tc>
        <w:tc>
          <w:tcPr>
            <w:tcW w:w="2322" w:type="dxa"/>
          </w:tcPr>
          <w:p w:rsidR="00AC0832" w:rsidRDefault="00AC0832">
            <w:pPr>
              <w:pStyle w:val="CellColumn"/>
            </w:pPr>
            <w:r>
              <w:t>99,8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Sredstva na navedenoj aktivnosti su utrošena za davanje potpora za programe udruga i ustanova nacionalnih manjina u ostvarivanju kulturne autonomije u područjima: informiranja, izdavaštva, kulturnog amaterizma, kulturnih manifestacija, kao i ostvarivanje bilateralnih sporazuma i stvaranje pretpostavki za ostvarivanje kulturne autonomije, zajedničke programe koja organizira Savjet za nacionalne manjine, informiranje i osposobljavanje članova Vijeća i predstavnika nacionalnih manjina, izdavanje časopisa „Manjinski forum“ i održavanje internetske stranice Savjeta za nacionalne manjine. Provođenje gore navedenih programa i aktivnosti se provodi u skladu sa Strategijom Vladinih programa za razdoblje 2012-2015. i neposredno je povezana sa Općim ciljem 3. Jačanje pravne države i vladavine prava i posebnim ciljem 3.3. Jačanje zaštite ljudskih prava i sloboda. </w:t>
      </w:r>
    </w:p>
    <w:p w:rsidR="00AC0832" w:rsidRDefault="00AC0832">
      <w:pPr>
        <w:pStyle w:val="Normal6"/>
      </w:pPr>
      <w:r>
        <w:t xml:space="preserve">Savjet za nacionalne manjine: </w:t>
      </w:r>
    </w:p>
    <w:p w:rsidR="00AC0832" w:rsidRDefault="00AC0832">
      <w:pPr>
        <w:pStyle w:val="Normal6"/>
      </w:pPr>
      <w:r>
        <w:t xml:space="preserve">- potiče i pruža financijsku potporu za ostvarivanje, razvoj, unapređivanje i povećanje kulturnih i informativno-izdavačkih programa udruga i ustanova, koje artikuliraju većinu djelatnosti manjinskih zajednica, te izražavaju potrebu za </w:t>
      </w:r>
    </w:p>
    <w:p w:rsidR="00AC0832" w:rsidRDefault="00AC0832">
      <w:pPr>
        <w:pStyle w:val="Normal6"/>
      </w:pPr>
      <w:r>
        <w:t xml:space="preserve">očuvanjem etničkog, kulturnog i jezičnog identiteta, a istovremeno znače doprinos kulturnom, društvenom i gospodarskom razvitku Republike Hrvatske, te njihovoj integraciji u hrvatsko društvo, vodeći računa o broju pripadnika nacionalnih manjina, broju članova udruga i ustanova koje okupljaju, dužini djelovanja , te dosadašnjem radu; </w:t>
      </w:r>
    </w:p>
    <w:p w:rsidR="00AC0832" w:rsidRDefault="00AC0832">
      <w:pPr>
        <w:pStyle w:val="Normal6"/>
      </w:pPr>
      <w:r>
        <w:t xml:space="preserve">- održava i podiže dostignutu razinu ostvarivanja etničkih prava koja su značajna za pripadnike nacionalnih manjina; </w:t>
      </w:r>
    </w:p>
    <w:p w:rsidR="00AC0832" w:rsidRDefault="00AC0832">
      <w:pPr>
        <w:pStyle w:val="Normal6"/>
      </w:pPr>
      <w:r>
        <w:t xml:space="preserve">- poklanja posebnu pozornost kulturnom amaterizmu i ustanovama kulture zbog njihove važnosti u očuvanju etničkog identiteta; </w:t>
      </w:r>
    </w:p>
    <w:p w:rsidR="00AC0832" w:rsidRDefault="00AC0832">
      <w:pPr>
        <w:pStyle w:val="Normal6"/>
      </w:pPr>
      <w:r>
        <w:t xml:space="preserve">- podupire programe koji doprinose unapređivanju tolerancije i uspostavljanju multietničkog i multikulturalnog povjerenja; </w:t>
      </w:r>
    </w:p>
    <w:p w:rsidR="00AC0832" w:rsidRDefault="00AC0832">
      <w:pPr>
        <w:pStyle w:val="Normal6"/>
      </w:pPr>
      <w:r>
        <w:t xml:space="preserve">- provodi zaključke i odredbe ugovora i sporazuma o zaštiti prava nacionalnih manjina kojih je potpisnik Republika Hrvatska. </w:t>
      </w:r>
    </w:p>
    <w:p w:rsidR="00AC0832" w:rsidRDefault="00AC0832">
      <w:pPr>
        <w:pStyle w:val="Normal6"/>
      </w:pPr>
      <w:r>
        <w:t xml:space="preserve">Davanjem potpore udrugama i ustanovama nacionalnih manjina za gore navedene programe nastoji se poboljšati i unaprijediti očuvanje etničkog, kulturnog i jezičnog identiteta pripadnika nacionalnih manjina na njihovom jeziku i pismu. </w:t>
      </w:r>
    </w:p>
    <w:p w:rsidR="00AC0832" w:rsidRDefault="00AC0832">
      <w:pPr>
        <w:pStyle w:val="Normal6"/>
      </w:pPr>
      <w:r>
        <w:t>Odobrene potpore se doznačuju udrugama i ustanovama nacionalnih manjina kontinuirano tijekom cijele godine, jedanput mjesečno. Programi se provode svake godine i traju 12 mjeseci.</w:t>
      </w:r>
    </w:p>
    <w:p w:rsidR="00AC0832" w:rsidRDefault="00AC0832">
      <w:pPr>
        <w:pStyle w:val="Heading6"/>
      </w:pPr>
      <w:r>
        <w:t>A732004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A732004-ADMINISTRACIJA I UPRAVLJANJE</w:t>
            </w:r>
          </w:p>
        </w:tc>
        <w:tc>
          <w:tcPr>
            <w:tcW w:w="2322" w:type="dxa"/>
          </w:tcPr>
          <w:p w:rsidR="00AC0832" w:rsidRDefault="00AC0832">
            <w:pPr>
              <w:pStyle w:val="CellColumn"/>
            </w:pPr>
            <w:r>
              <w:t>1.015.500</w:t>
            </w:r>
          </w:p>
        </w:tc>
        <w:tc>
          <w:tcPr>
            <w:tcW w:w="2322" w:type="dxa"/>
          </w:tcPr>
          <w:p w:rsidR="00AC0832" w:rsidRDefault="00AC0832">
            <w:pPr>
              <w:pStyle w:val="CellColumn"/>
            </w:pPr>
            <w:r>
              <w:t>878.453</w:t>
            </w:r>
          </w:p>
        </w:tc>
        <w:tc>
          <w:tcPr>
            <w:tcW w:w="2322" w:type="dxa"/>
          </w:tcPr>
          <w:p w:rsidR="00AC0832" w:rsidRDefault="00AC0832">
            <w:pPr>
              <w:pStyle w:val="CellColumn"/>
            </w:pPr>
            <w:r>
              <w:t>86,5</w:t>
            </w:r>
          </w:p>
        </w:tc>
      </w:tr>
    </w:tbl>
    <w:p w:rsidR="00AC0832" w:rsidRDefault="00AC0832">
      <w:pPr>
        <w:jc w:val="left"/>
      </w:pPr>
    </w:p>
    <w:p w:rsidR="00AC0832" w:rsidRDefault="00AC0832">
      <w:pPr>
        <w:pStyle w:val="Heading6"/>
      </w:pPr>
      <w:r>
        <w:t>A732005 RAD SAVJETA ZA NACIONALNE MANJINE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A732005-RAD SAVJETA ZA NACIONALNE MANJINE</w:t>
            </w:r>
          </w:p>
        </w:tc>
        <w:tc>
          <w:tcPr>
            <w:tcW w:w="2322" w:type="dxa"/>
          </w:tcPr>
          <w:p w:rsidR="00AC0832" w:rsidRDefault="00AC0832">
            <w:pPr>
              <w:pStyle w:val="CellColumn"/>
            </w:pPr>
            <w:r>
              <w:t>364.400</w:t>
            </w:r>
          </w:p>
        </w:tc>
        <w:tc>
          <w:tcPr>
            <w:tcW w:w="2322" w:type="dxa"/>
          </w:tcPr>
          <w:p w:rsidR="00AC0832" w:rsidRDefault="00AC0832">
            <w:pPr>
              <w:pStyle w:val="CellColumn"/>
            </w:pPr>
            <w:r>
              <w:t>329.713</w:t>
            </w:r>
          </w:p>
        </w:tc>
        <w:tc>
          <w:tcPr>
            <w:tcW w:w="2322" w:type="dxa"/>
          </w:tcPr>
          <w:p w:rsidR="00AC0832" w:rsidRDefault="00AC0832">
            <w:pPr>
              <w:pStyle w:val="CellColumn"/>
            </w:pPr>
            <w:r>
              <w:t>90,5</w:t>
            </w:r>
          </w:p>
        </w:tc>
      </w:tr>
    </w:tbl>
    <w:p w:rsidR="00AC0832" w:rsidRDefault="00AC0832">
      <w:pPr>
        <w:jc w:val="left"/>
      </w:pPr>
    </w:p>
    <w:p w:rsidR="00AC0832" w:rsidRDefault="00AC0832">
      <w:pPr>
        <w:pStyle w:val="Heading6"/>
      </w:pPr>
      <w:r>
        <w:t>K732001 INFORMATIZACIJA STRUČNE SLUŽBE SAVJETA ZA NACIONALNE MANJINE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K732001-INFORMATIZACIJA STRUČNE SLUŽBE SAVJETA ZA NACIONALNE MANJINE</w:t>
            </w:r>
          </w:p>
        </w:tc>
        <w:tc>
          <w:tcPr>
            <w:tcW w:w="2322" w:type="dxa"/>
          </w:tcPr>
          <w:p w:rsidR="00AC0832" w:rsidRDefault="00AC0832">
            <w:pPr>
              <w:pStyle w:val="CellColumn"/>
            </w:pPr>
            <w:r>
              <w:t>32.500</w:t>
            </w:r>
          </w:p>
        </w:tc>
        <w:tc>
          <w:tcPr>
            <w:tcW w:w="2322" w:type="dxa"/>
          </w:tcPr>
          <w:p w:rsidR="00AC0832" w:rsidRDefault="00AC0832">
            <w:pPr>
              <w:pStyle w:val="CellColumn"/>
            </w:pPr>
            <w:r>
              <w:t>28.680</w:t>
            </w:r>
          </w:p>
        </w:tc>
        <w:tc>
          <w:tcPr>
            <w:tcW w:w="2322" w:type="dxa"/>
          </w:tcPr>
          <w:p w:rsidR="00AC0832" w:rsidRDefault="00AC0832">
            <w:pPr>
              <w:pStyle w:val="CellColumn"/>
            </w:pPr>
            <w:r>
              <w:t>88,2</w:t>
            </w:r>
          </w:p>
        </w:tc>
      </w:tr>
    </w:tbl>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pStyle w:val="Heading2"/>
      </w:pPr>
      <w:r>
        <w:t>02025 Ured za nacionalne manjine</w:t>
      </w:r>
    </w:p>
    <w:p w:rsidR="00AC0832" w:rsidRDefault="00AC0832">
      <w:pPr>
        <w:pStyle w:val="Heading4"/>
      </w:pPr>
      <w:r>
        <w:t>Uvod</w:t>
      </w:r>
    </w:p>
    <w:p w:rsidR="00AC0832" w:rsidRDefault="00AC0832">
      <w:pPr>
        <w:pStyle w:val="Normal3"/>
      </w:pPr>
      <w:r>
        <w:t xml:space="preserve">Ured za nacionalne manjine osnovan je Uredbom o Uredu za nacionalne manjine (NN, br. 52/1990, 36/1991, 132/1998, 70/2001, 189/2003, 27/2007, 38/2009, 91/2011) kao stručna služba Vlade Republike Hrvatske koja obavlja stručne poslove u vezi s ostvarivanjem utvrđene politike ravnopravnosti nacionalnih manjina u Republici Hrvatskoj kao i njihovih prava utvrđenih Ustavom i Ustavnim zakonom o pravima nacionalnih manjina. U cilju unaprjeđenja prava nacionalnih manjina Ured provodi mjere za ostvarivanje tih prava, surađuje s nadležnim ministarstvima i drugim tijelima državne uprave i drugim institucijama kao i s Vijećem Europe u svezi s primjenom dokumenata Vijeća Europe u ostvarivanju prava nacionalnih manjina. Djelokrug Ureda za nacionalne manjine je: </w:t>
      </w:r>
    </w:p>
    <w:p w:rsidR="00AC0832" w:rsidRDefault="00AC0832">
      <w:pPr>
        <w:pStyle w:val="Normal3"/>
      </w:pPr>
      <w:r>
        <w:t xml:space="preserve">•obavljanje stručnih poslova u vezi s ostvarivanjem utvrđene politike ostvarivanja ravnopravnosti nacionalnih manjina koje žive na području Republike Hrvatske, kao i njihovih prava utvrđenih Ustavom Republike Hrvatske i Ustavnim zakonom o pravima nacionalnih manjina, te predlaže mjere za ostvarivanje tih prava;  </w:t>
      </w:r>
    </w:p>
    <w:p w:rsidR="00AC0832" w:rsidRDefault="00AC0832">
      <w:pPr>
        <w:pStyle w:val="Normal3"/>
      </w:pPr>
      <w:r>
        <w:t xml:space="preserve">•suradnja s nadležnim ministarstvima i drugim tijelima državne uprave te drugim institucijama, suradnja s tijelima lokalne i područne (regionalne) samouprave na područjima gdje živi veći broj pripadnika nacionalnih manjina, suradnja sa Savjetom za nacionalne manjine; </w:t>
      </w:r>
    </w:p>
    <w:p w:rsidR="00AC0832" w:rsidRDefault="00AC0832">
      <w:pPr>
        <w:pStyle w:val="Normal3"/>
      </w:pPr>
      <w:r>
        <w:t xml:space="preserve">•suradnja s Vijećem Europe glede primjene dokumenata Vijeća Europe u vezi s pravima nacionalnih manjina;  </w:t>
      </w:r>
    </w:p>
    <w:p w:rsidR="00AC0832" w:rsidRDefault="00AC0832">
      <w:pPr>
        <w:pStyle w:val="Normal3"/>
      </w:pPr>
      <w:r>
        <w:t xml:space="preserve">•provođenje programa i projekata Europske unije za potporu nacionalnim manjinama;  </w:t>
      </w:r>
    </w:p>
    <w:p w:rsidR="00AC0832" w:rsidRDefault="00AC0832">
      <w:pPr>
        <w:pStyle w:val="Normal3"/>
      </w:pPr>
      <w:r>
        <w:t xml:space="preserve">•sudjelovanje u aktivnostima Desetljeća za uključivanje Roma 2005.-2015.; </w:t>
      </w:r>
    </w:p>
    <w:p w:rsidR="00AC0832" w:rsidRDefault="00AC0832">
      <w:pPr>
        <w:pStyle w:val="Normal3"/>
      </w:pPr>
      <w:r>
        <w:t xml:space="preserve">•praćenje međunarodnih dokumenata u vezi s pravima nacionalnih manjina, te suradnja s drugim međunarodnim institucijama koje iskažu interes za ostvarivanje prava nacionalnih manjina; </w:t>
      </w:r>
    </w:p>
    <w:p w:rsidR="00AC0832" w:rsidRDefault="00AC0832">
      <w:pPr>
        <w:pStyle w:val="Normal3"/>
      </w:pPr>
      <w:r>
        <w:t xml:space="preserve">•praćenje ostvarivanja prava vijeća i predstavnika nacionalnih manjina, praćenje suradnje udruga i ustanova nacionalnih manjina s institucijama u njihovim matičnim državama;  </w:t>
      </w:r>
    </w:p>
    <w:p w:rsidR="00AC0832" w:rsidRDefault="00AC0832">
      <w:pPr>
        <w:pStyle w:val="Normal3"/>
      </w:pPr>
      <w:r>
        <w:t>•priprema mišljenja i stručne analize u vezi s primjenom međunarodnih dokumenata u ostvarivanju prava pripadnika nacionalnih manjina, te obavljanje drugih povjerenih poslova.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02025-Ured za nacionalne manjine</w:t>
            </w:r>
          </w:p>
        </w:tc>
        <w:tc>
          <w:tcPr>
            <w:tcW w:w="2322" w:type="dxa"/>
          </w:tcPr>
          <w:p w:rsidR="00AC0832" w:rsidRDefault="00AC0832">
            <w:pPr>
              <w:pStyle w:val="CellColumn"/>
            </w:pPr>
            <w:r>
              <w:t>895.699</w:t>
            </w:r>
          </w:p>
        </w:tc>
        <w:tc>
          <w:tcPr>
            <w:tcW w:w="2322" w:type="dxa"/>
          </w:tcPr>
          <w:p w:rsidR="00AC0832" w:rsidRDefault="00AC0832">
            <w:pPr>
              <w:pStyle w:val="CellColumn"/>
            </w:pPr>
            <w:r>
              <w:t>1.028.288</w:t>
            </w:r>
          </w:p>
        </w:tc>
        <w:tc>
          <w:tcPr>
            <w:tcW w:w="2322" w:type="dxa"/>
          </w:tcPr>
          <w:p w:rsidR="00AC0832" w:rsidRDefault="00AC0832">
            <w:pPr>
              <w:pStyle w:val="CellColumn"/>
            </w:pPr>
            <w:r>
              <w:t>114,8</w:t>
            </w:r>
          </w:p>
        </w:tc>
      </w:tr>
      <w:tr w:rsidR="00AC0832" w:rsidTr="00BE20ED">
        <w:trPr>
          <w:jc w:val="center"/>
        </w:trPr>
        <w:tc>
          <w:tcPr>
            <w:tcW w:w="2322" w:type="dxa"/>
          </w:tcPr>
          <w:p w:rsidR="00AC0832" w:rsidRDefault="00AC0832">
            <w:pPr>
              <w:pStyle w:val="CellColumnSmall"/>
            </w:pPr>
            <w:r>
              <w:t>2109-ZAŠTITA PRAVA NACIONALNIH MANJINA</w:t>
            </w:r>
          </w:p>
        </w:tc>
        <w:tc>
          <w:tcPr>
            <w:tcW w:w="2322" w:type="dxa"/>
          </w:tcPr>
          <w:p w:rsidR="00AC0832" w:rsidRDefault="00AC0832">
            <w:pPr>
              <w:pStyle w:val="CellColumnSmall"/>
            </w:pPr>
            <w:r>
              <w:t>895.699</w:t>
            </w:r>
          </w:p>
        </w:tc>
        <w:tc>
          <w:tcPr>
            <w:tcW w:w="2322" w:type="dxa"/>
          </w:tcPr>
          <w:p w:rsidR="00AC0832" w:rsidRDefault="00AC0832">
            <w:pPr>
              <w:pStyle w:val="CellColumnSmall"/>
            </w:pPr>
            <w:r>
              <w:t>1.028.288</w:t>
            </w:r>
          </w:p>
        </w:tc>
        <w:tc>
          <w:tcPr>
            <w:tcW w:w="2322" w:type="dxa"/>
          </w:tcPr>
          <w:p w:rsidR="00AC0832" w:rsidRDefault="00AC0832">
            <w:pPr>
              <w:pStyle w:val="CellColumnSmall"/>
            </w:pPr>
            <w:r>
              <w:t>114,8</w:t>
            </w:r>
          </w:p>
        </w:tc>
      </w:tr>
    </w:tbl>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pStyle w:val="Heading4"/>
      </w:pPr>
      <w:r>
        <w:t>OBRAZLOŽENJE PROGRAMA</w:t>
      </w:r>
    </w:p>
    <w:p w:rsidR="00AC0832" w:rsidRDefault="00AC0832">
      <w:pPr>
        <w:pStyle w:val="Heading5"/>
      </w:pPr>
      <w:r>
        <w:t>2109 ZAŠTITA PRAVA NACIONALNIH MANJINA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2109-ZAŠTITA PRAVA NACIONALNIH MANJINA</w:t>
            </w:r>
          </w:p>
        </w:tc>
        <w:tc>
          <w:tcPr>
            <w:tcW w:w="2322" w:type="dxa"/>
          </w:tcPr>
          <w:p w:rsidR="00AC0832" w:rsidRDefault="00AC0832">
            <w:pPr>
              <w:pStyle w:val="CellColumn"/>
            </w:pPr>
            <w:r>
              <w:t>895.699</w:t>
            </w:r>
          </w:p>
        </w:tc>
        <w:tc>
          <w:tcPr>
            <w:tcW w:w="2322" w:type="dxa"/>
          </w:tcPr>
          <w:p w:rsidR="00AC0832" w:rsidRDefault="00AC0832">
            <w:pPr>
              <w:pStyle w:val="CellColumn"/>
            </w:pPr>
            <w:r>
              <w:t>1.028.288</w:t>
            </w:r>
          </w:p>
        </w:tc>
        <w:tc>
          <w:tcPr>
            <w:tcW w:w="2322" w:type="dxa"/>
          </w:tcPr>
          <w:p w:rsidR="00AC0832" w:rsidRDefault="00AC0832">
            <w:pPr>
              <w:pStyle w:val="CellColumn"/>
            </w:pPr>
            <w:r>
              <w:t>114,8</w:t>
            </w:r>
          </w:p>
        </w:tc>
      </w:tr>
    </w:tbl>
    <w:p w:rsidR="00AC0832" w:rsidRDefault="00AC0832">
      <w:pPr>
        <w:jc w:val="left"/>
      </w:pPr>
    </w:p>
    <w:p w:rsidR="00AC0832" w:rsidRDefault="00AC0832">
      <w:pPr>
        <w:pStyle w:val="Heading6"/>
      </w:pPr>
      <w:r>
        <w:t>Opis programa</w:t>
      </w:r>
    </w:p>
    <w:p w:rsidR="00AC0832" w:rsidRDefault="00AC0832">
      <w:pPr>
        <w:pStyle w:val="Normal5"/>
      </w:pPr>
      <w:r>
        <w:t xml:space="preserve">Ured za nacionalne manjine u okviru svog djelokruga predlaže mjere za ostvarivanje prava i poboljšanje položaja nacionalnih manjina u Republici Hrvatskoj. Ured prati provedbu Ustavnog zakona o pravima nacionalnih manjina kao i provedbu Akcijskog plana za provođenje Ustavnog zakona o pravima nacionalnih manjina. Pored toga, prati provedbu Nacionalnog programa za Rome i Akcijskog plana Desetljeća za uključivanje Roma 2005.-2015. kao i ostvarivanje prava vijeća i predstavnika nacionalnih manjina te suradnju udruga i ustanova nacionalnih manjina s institucijama u njihovim matičnim državama. Ured priprema mišljenja i stručne analize u vezi s primjenom međunarodnih standarda u ostvarivanju prava pripadnika nacionalnih manjina, te provodi projekte i programe Europske unije za potporu nacionalnim manjinama. Ured prati i primjenu međunarodnih dokumenata kojih je Republika Hrvatska stranka, u prvom redu Okvirne konvencije za zaštitu nacionalnih manjina. </w:t>
      </w:r>
    </w:p>
    <w:p w:rsidR="00AC0832" w:rsidRDefault="00AC0832">
      <w:pPr>
        <w:pStyle w:val="Normal5"/>
      </w:pPr>
      <w:r>
        <w:t>Ured obavlja stručne i administrativne poslove Povjerenstva za praćenje provedbe Nacionalnog programa za Rome te provodi projekte i programe Europske unije.</w:t>
      </w:r>
    </w:p>
    <w:p w:rsidR="00AC0832" w:rsidRDefault="00AC0832">
      <w:pPr>
        <w:pStyle w:val="Heading6"/>
      </w:pPr>
      <w:r>
        <w:t>Zakonske i druge pravne osnove</w:t>
      </w:r>
    </w:p>
    <w:p w:rsidR="00AC0832" w:rsidRDefault="00AC0832">
      <w:pPr>
        <w:pStyle w:val="Normal5"/>
      </w:pPr>
      <w:r>
        <w:t xml:space="preserve">Pripadnicima svih nacionalnih manjina jamči se sloboda izražavanja nacionalne pripadnosti, slobodno služenje svojim jezikom i pismom i kulturna autonomija. Za provođenje ostvarivanja utvrđene politike ravnopravnosti nacionalnih manjina zakonska osnova su: </w:t>
      </w:r>
    </w:p>
    <w:p w:rsidR="00AC0832" w:rsidRDefault="00AC0832">
      <w:pPr>
        <w:pStyle w:val="Normal5"/>
      </w:pPr>
      <w:r>
        <w:t>Ustav Republike Hrvatske, Ustavni zakon o pravima nacionalnih manjina, Zakon o odgoju i obrazovanju na jeziku i pismu nacionalnih manjina, Zakon o uporabi jezika i pisma nacionalnih manjina, Zakon o izboru zastupnika u Hrvatski sabor, Zakon o izboru članova predstavničkih tijela jedinica lokalne i područne (regionalne) samouprave, Zakon o sudovima, Zakon o državnom odvjetništvu, Zakon o suzbijanju diskriminacije. Također, zadaće i obaveze Ureda za nacionalne manjine proizlaze i iz Nacionalnog programa za Rome, te Akcijskog plana Desetljeća za uključivanje Roma 2005.-2015., kao i Nacionalnog programa zaštite i promicanja ljudskih prava 2008.-2013. Strateško planiranje i praćenje provedbe projekata financiranih iz sredstava EU provode se na temelju financijskih ugovora potpisanih između Europske unije i Republike Hrvatske i Operativnog sporazuma potpisanog između Ureda za nacionalne manjine i Središnje agencije za financiranje i ugovaranje programa i projekata Europske unije.</w:t>
      </w:r>
    </w:p>
    <w:p w:rsidR="00AC0832" w:rsidRDefault="00AC0832">
      <w:pPr>
        <w:pStyle w:val="Heading7"/>
      </w:pPr>
      <w:r>
        <w:t>Cilj 1. Unaprjeđenje i zaštita prava nacionalnih manjina</w:t>
      </w:r>
    </w:p>
    <w:p w:rsidR="00AC0832" w:rsidRDefault="00AC0832">
      <w:pPr>
        <w:pStyle w:val="Heading8"/>
        <w:jc w:val="left"/>
      </w:pPr>
      <w:r>
        <w:t>Opis provedbe cilja programa</w:t>
      </w:r>
    </w:p>
    <w:p w:rsidR="00AC0832" w:rsidRDefault="00AC0832">
      <w:pPr>
        <w:pStyle w:val="Normal6"/>
      </w:pPr>
      <w:r>
        <w:t xml:space="preserve">Ustavni zakon o pravima nacionalnih manjina sveobuhvatan je zakon koji uređuje gotovo sva prava nacionalnih manjina, dok je jedan manji dio odredbi uređen posebnim zakonima. Ustavni zakon o pravima nacionalnih manjina i cijeli zakonodavni okvir u Republici Hrvatskoj osigurao je visoku razinu prava nacionalnih manjina sukladno međunarodnim dokumentima. </w:t>
      </w:r>
    </w:p>
    <w:p w:rsidR="00AC0832" w:rsidRDefault="00AC0832">
      <w:pPr>
        <w:pStyle w:val="Normal6"/>
      </w:pPr>
      <w:r>
        <w:t xml:space="preserve">Vlada Republike Hrvatske, sukladno odredbi članka 37. stavak 3. Ustavnog zakona o pravima nacionalnih manjina (NN, br. 155/02, 47/10. i 80/10.), najmanje jednom godišnje podnosi Hrvatskome saboru Izvješće o provođenju Ustavnog zakona o pravima nacionalnih manjina i o utrošku sredstava koja se u Državnom proračunu Republike Hrvatske osiguravaju za potrebe nacionalnih manjina. Tijekom prve polovice 2012. godine Ured za nacionalne manjine koordinirao je izradu navedenog Izvješća za 2011. godinu.  </w:t>
      </w:r>
    </w:p>
    <w:p w:rsidR="00AC0832" w:rsidRDefault="00AC0832">
      <w:pPr>
        <w:pStyle w:val="Normal6"/>
      </w:pPr>
      <w:r>
        <w:t>Poboljšanju provedbe Ustavnog zakona o pravima nacionalnih  pridonijelo je i donošenje Akcijskog plana za provedbu Ustavnog zakona o pravima nacionalnih manjina za razdoblje od 2011.-2013. Tijekom prve polovice 2012. godine Ured za nacionalne manjine koordinirao je izradu Izvješća o provođenju Akcijskog plana za provedbu Ustavnog zakona o pravima nacionalnih manjina za 2011. godinu.</w:t>
      </w:r>
    </w:p>
    <w:p w:rsidR="00AC0832" w:rsidRDefault="00AC0832">
      <w:pPr>
        <w:jc w:val="left"/>
      </w:pPr>
    </w:p>
    <w:p w:rsidR="00AC0832" w:rsidRDefault="00AC0832">
      <w:pPr>
        <w:pStyle w:val="Heading6"/>
      </w:pPr>
      <w:r>
        <w:t>A513000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A513000-ADMINISTRACIJA I UPRAVLJANJE</w:t>
            </w:r>
          </w:p>
        </w:tc>
        <w:tc>
          <w:tcPr>
            <w:tcW w:w="2322" w:type="dxa"/>
          </w:tcPr>
          <w:p w:rsidR="00AC0832" w:rsidRDefault="00AC0832">
            <w:pPr>
              <w:pStyle w:val="CellColumn"/>
            </w:pPr>
            <w:r>
              <w:t>468.119</w:t>
            </w:r>
          </w:p>
        </w:tc>
        <w:tc>
          <w:tcPr>
            <w:tcW w:w="2322" w:type="dxa"/>
          </w:tcPr>
          <w:p w:rsidR="00AC0832" w:rsidRDefault="00AC0832">
            <w:pPr>
              <w:pStyle w:val="CellColumn"/>
            </w:pPr>
            <w:r>
              <w:t>468.114</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A513013 PROGRAMI ZA ROME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A513013-PROGRAMI ZA ROME</w:t>
            </w:r>
          </w:p>
        </w:tc>
        <w:tc>
          <w:tcPr>
            <w:tcW w:w="2322" w:type="dxa"/>
          </w:tcPr>
          <w:p w:rsidR="00AC0832" w:rsidRDefault="00AC0832">
            <w:pPr>
              <w:pStyle w:val="CellColumn"/>
            </w:pPr>
            <w:r>
              <w:t>48.657</w:t>
            </w:r>
          </w:p>
        </w:tc>
        <w:tc>
          <w:tcPr>
            <w:tcW w:w="2322" w:type="dxa"/>
          </w:tcPr>
          <w:p w:rsidR="00AC0832" w:rsidRDefault="00AC0832">
            <w:pPr>
              <w:pStyle w:val="CellColumn"/>
            </w:pPr>
            <w:r>
              <w:t>48.654</w:t>
            </w:r>
          </w:p>
        </w:tc>
        <w:tc>
          <w:tcPr>
            <w:tcW w:w="2322" w:type="dxa"/>
          </w:tcPr>
          <w:p w:rsidR="00AC0832" w:rsidRDefault="00AC0832">
            <w:pPr>
              <w:pStyle w:val="CellColumn"/>
            </w:pPr>
            <w:r>
              <w:t>100,0</w:t>
            </w:r>
          </w:p>
        </w:tc>
      </w:tr>
    </w:tbl>
    <w:p w:rsidR="00AC0832" w:rsidRDefault="00AC0832" w:rsidP="00712567">
      <w:pPr>
        <w:pStyle w:val="Heading6"/>
        <w:ind w:left="0"/>
      </w:pPr>
    </w:p>
    <w:p w:rsidR="00AC0832" w:rsidRDefault="00AC0832">
      <w:pPr>
        <w:pStyle w:val="Heading6"/>
      </w:pPr>
      <w:r>
        <w:t>A513025 ZAJEDNIČKO VIJEĆE OPĆINA, VUKOVAR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A513025-ZAJEDNIČKO VIJEĆE OPĆINA, VUKOVAR</w:t>
            </w:r>
          </w:p>
        </w:tc>
        <w:tc>
          <w:tcPr>
            <w:tcW w:w="2322" w:type="dxa"/>
          </w:tcPr>
          <w:p w:rsidR="00AC0832" w:rsidRDefault="00AC0832">
            <w:pPr>
              <w:pStyle w:val="CellColumn"/>
            </w:pPr>
            <w:r>
              <w:t>375.000</w:t>
            </w:r>
          </w:p>
        </w:tc>
        <w:tc>
          <w:tcPr>
            <w:tcW w:w="2322" w:type="dxa"/>
          </w:tcPr>
          <w:p w:rsidR="00AC0832" w:rsidRDefault="00AC0832">
            <w:pPr>
              <w:pStyle w:val="CellColumn"/>
            </w:pPr>
            <w:r>
              <w:t>375.000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K513010 INFORMATIZACIJA UREDA ZA NACIONALNE MANJINE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K513010-INFORMATIZACIJA UREDA ZA NACIONALNE MANJINE</w:t>
            </w:r>
          </w:p>
        </w:tc>
        <w:tc>
          <w:tcPr>
            <w:tcW w:w="2322" w:type="dxa"/>
          </w:tcPr>
          <w:p w:rsidR="00AC0832" w:rsidRDefault="00AC0832">
            <w:pPr>
              <w:pStyle w:val="CellColumn"/>
            </w:pPr>
            <w:r>
              <w:t>3.923</w:t>
            </w:r>
          </w:p>
        </w:tc>
        <w:tc>
          <w:tcPr>
            <w:tcW w:w="2322" w:type="dxa"/>
          </w:tcPr>
          <w:p w:rsidR="00AC0832" w:rsidRDefault="00AC0832">
            <w:pPr>
              <w:pStyle w:val="CellColumn"/>
            </w:pPr>
            <w:r>
              <w:t>3.922</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2"/>
      </w:pPr>
      <w:r>
        <w:t>02030 Ured za zakonodavstvo</w:t>
      </w:r>
    </w:p>
    <w:p w:rsidR="00AC0832" w:rsidRDefault="00AC0832">
      <w:pPr>
        <w:pStyle w:val="Heading4"/>
      </w:pPr>
      <w:r>
        <w:t>Uvod</w:t>
      </w:r>
    </w:p>
    <w:p w:rsidR="00AC0832" w:rsidRDefault="00AC0832">
      <w:pPr>
        <w:pStyle w:val="Normal3"/>
      </w:pPr>
      <w:r>
        <w:t xml:space="preserve">Djelokrug i unutarnje ustrojstvo Ureda za zakonodavstvo Vlade Republike Hrvatske propisani su Zakonom o Vladi Republike Hrvatske („Narodne novine“ br. 150/11), Poslovnikom Vlade Republike Hrvatske ("Narodne novine" br. 154/11, 121/12), Zakonom o procjeni učinaka propisa ("Narodne novine" br. 90/11), te Uredbom o postupku procjene učinaka propisa ("Narodne novine" br. 66/12). </w:t>
      </w:r>
    </w:p>
    <w:p w:rsidR="00AC0832" w:rsidRDefault="00AC0832">
      <w:pPr>
        <w:pStyle w:val="Normal3"/>
      </w:pPr>
      <w:r>
        <w:t xml:space="preserve">Prema članku 27. Zakona o Vladi Republike Hrvatske, Vlada za obavljanje stručnih poslova osniva Ured za zakonodavstvo, a nadležnost i način rada Ureda Vlade detaljnije se uređuju uredbom Vlade.  </w:t>
      </w:r>
    </w:p>
    <w:p w:rsidR="00AC0832" w:rsidRDefault="00AC0832">
      <w:pPr>
        <w:pStyle w:val="Normal3"/>
      </w:pPr>
      <w:r>
        <w:t xml:space="preserve">Djelokrugom Ureda za zakonodavstvo obuhvaćeni su svi poslovi koje je ovaj Ured do sada obavljao u skladu sa ranije važećim Zakonom o Vladi Republike Hrvatske kao i poslovi koji su ovom Uredu stavljeni u djelokrug Zakonom o procjeni učinaka propisa kao posebnim zakonom, te Uredbom o postupku procjene učinaka propisa. </w:t>
      </w:r>
    </w:p>
    <w:p w:rsidR="00AC0832" w:rsidRDefault="00AC0832">
      <w:pPr>
        <w:pStyle w:val="Normal3"/>
      </w:pPr>
      <w:r>
        <w:t xml:space="preserve">Djelokrug Ureda usklađen je i sa novim Poslovnikom Vlade Republike Hrvatske  te su djelokrugom Ureda obuhvaćeni i svi poslovi koji se sada izrijekom Poslovnikom Vlade Republike Hrvatske navode i stavljanju u djelokrug Ureda.    </w:t>
      </w:r>
    </w:p>
    <w:p w:rsidR="00AC0832" w:rsidRDefault="00AC0832">
      <w:pPr>
        <w:pStyle w:val="Normal3"/>
      </w:pPr>
      <w:r>
        <w:t xml:space="preserve">Unutarnja organizacijska struktura Ureda u cijelosti je strukturirana sukladno Uredbi o načelima za unutarnje ustrojstvo tijela državne uprave („Narodne novine“ broj 154/11) i načelima na kojima se prema članku 4. Uredbe treba temeljiti unutarnje ustrojstvo tijela državne uprave i stručnih službi Vlade, a to su: načelo racionalizacije; načelo funkcionalnosti; načelo vertikalne i horizontalne povezanosti; načelo harmonizacije temeljnih elemenata unutarnjeg ustrojstva; načelo fleksibilnosti unutarnjeg ustrojstva i načelo dostupnosti. </w:t>
      </w:r>
    </w:p>
    <w:p w:rsidR="00AC0832" w:rsidRDefault="00AC0832">
      <w:pPr>
        <w:pStyle w:val="Normal3"/>
      </w:pPr>
      <w:r>
        <w:t xml:space="preserve">Vodeći se spomenutim načelima za unutarnje ustrojstvo tijela državne uprave, a posebice razlozima funkcionalnosti i fleksibilnosti u obavljanju specifičnih stručnih poslova za Vladu u okviru propisanog djelokruga ovog Ureda, predloženo je  novo unutarnje ustrojstvo Ureda koje  se naslanja na unutarnje ustrojstvo Glavnog tajništva, i odgovara potrebama usklađenog rada ovog Ureda, Glavnog tajništva Vlade i stalnih radnih tijela Vlade, Koordinacije za unutarnju i vanjsku politiku, Koordinacije za društvene djelatnosti i ljudska prava, Koordinacije za regionalni razvoj i fondove Europske unije i Koordinacije za gospodarstvo. </w:t>
      </w:r>
    </w:p>
    <w:p w:rsidR="00AC0832" w:rsidRDefault="00AC0832">
      <w:pPr>
        <w:pStyle w:val="Normal3"/>
      </w:pPr>
      <w:r>
        <w:t xml:space="preserve">Za učinkovito obavljanje poslova iz djelokruga Ureda ustrojene su sljedeće jedinice:  </w:t>
      </w:r>
    </w:p>
    <w:p w:rsidR="00AC0832" w:rsidRDefault="00AC0832">
      <w:pPr>
        <w:pStyle w:val="Normal3"/>
      </w:pPr>
      <w:r>
        <w:t xml:space="preserve">-Jedinica za zakonodavne poslove iz područja gospodarstva; </w:t>
      </w:r>
    </w:p>
    <w:p w:rsidR="00AC0832" w:rsidRDefault="00AC0832">
      <w:pPr>
        <w:pStyle w:val="Normal3"/>
      </w:pPr>
      <w:r>
        <w:t xml:space="preserve">-Jedinica za zakonodavne poslove iz područja unutarnje i vanjske politike, društvenih djelatnosti i ljudskih prava; </w:t>
      </w:r>
    </w:p>
    <w:p w:rsidR="00AC0832" w:rsidRDefault="00AC0832">
      <w:pPr>
        <w:pStyle w:val="Normal3"/>
      </w:pPr>
      <w:r>
        <w:t xml:space="preserve">-Jedinica za zakonodavne poslove iz područja regionalnog razvoja i fondova Europske unije, za sustav i koordinaciju procjene učinaka propisa, te poslove Europske unije i </w:t>
      </w:r>
    </w:p>
    <w:p w:rsidR="00AC0832" w:rsidRDefault="00AC0832">
      <w:pPr>
        <w:pStyle w:val="Normal3"/>
      </w:pPr>
      <w:r>
        <w:t xml:space="preserve">-Jedinica za objavu zakona i drugih propisa u „Narodnim novinama“ – službenom listu Republike Hrvatske. </w:t>
      </w:r>
    </w:p>
    <w:p w:rsidR="00AC0832" w:rsidRDefault="00AC0832">
      <w:pPr>
        <w:pStyle w:val="Normal3"/>
      </w:pPr>
      <w:r>
        <w:t xml:space="preserve">Stupanjem na snagu posebnog Zakona o procjeni učinaka propisa ("Narodne novine" br. 90/11) te  Uredbe o provedbi postupka procjene učinaka propisa ("Narodne novine" br. 66/12), Ured za zakonodavstvo je postao nadležan za koordinaciju i izradu dokumenata iz članka 8. i 9. Zakona o procjeni učinaka propisa, za davanje suglasnosti na Prijedlog iskaza i za izradu provedbenog propisa koji se donosi na temelju ovoga Zakona. </w:t>
      </w:r>
    </w:p>
    <w:p w:rsidR="00AC0832" w:rsidRDefault="00AC0832">
      <w:pPr>
        <w:pStyle w:val="Normal3"/>
      </w:pPr>
      <w:r>
        <w:t xml:space="preserve">Ured za zakonodavstvo nadležan je i za obavljanje poslova stručnog osposobljavanja i usavršavanja u području procjene učinaka propisa i području izrade propisa, za davanje mišljenja i izradu potrebnih akata, radi postizanja pravne i pojmovne koherentnosti hrvatskog zakonodavstva, kao i za davanje mišljenja i izradu potrebnih akata, radi pravnog i pojmovnog usuglašavanja hrvatskog zakonodavstva sa standardima Europske unije, na zahtjev Stručnog nositelja izrade propisa, za izradu Nomotehničkih smjernica kao podloge za izradu pravnih propisa. Nomotehničke smjernice, na prijedlog Ureda za zakonodavstvo, donosi Vlada Republike Hrvatske odlukom. U nadležnosti Ureda za zakonodavstvo su i drugi poslovi vezani za sustav učinaka propisa koji su uređeni posebnim propisima kojima se uređuje djelokrug Vlade Republike Hrvatske i djelokrug Ureda za zakonodavstvo. </w:t>
      </w:r>
    </w:p>
    <w:p w:rsidR="00AC0832" w:rsidRDefault="00AC0832">
      <w:pPr>
        <w:pStyle w:val="Normal3"/>
      </w:pPr>
      <w:r>
        <w:t xml:space="preserve">Poboljšanje procesa donošenja odluka Vlade Republike Hrvatske ostvaruje se stručnim i pravovremenim postupanjem Ureda, praćenjem procesa usklađivanja zakona i drugih propisa s pravnom stečevinom EU i međunarodnim dokumentima, koordiniranjem poslova prikupljanja, evidentiranja, obrađivanja i analiziranja podataka o procjeni učinka propisa u suradnji s nadležnim ministarstvima, izradom mišljenja i prijedloga nacrta mjera za daljnji razvoj i unaprjeđenje sustava, podizanjem razine kvalitete prijedloga akata te stručnom edukacijom i jačanjem kapaciteta Ureda. </w:t>
      </w:r>
    </w:p>
    <w:p w:rsidR="00AC0832" w:rsidRDefault="00AC0832">
      <w:pPr>
        <w:pStyle w:val="Normal3"/>
      </w:pPr>
      <w:r>
        <w:t xml:space="preserve">Od studenog 2009. godine Ured za zakonodavstvo nadležan je za razvoj sustava procjene učinka propisa, te koordinaciju procesa u suradnji s nadležnim ministarstvima. Sva ministarstva imenovala su minimalno po jednog koordinatora vezano za procjenu učinaka propisa koji kontinuirano sudjeluju u uspostavi i razvoju sustava procjene učinka propisa u Republici Hrvatskoj. </w:t>
      </w:r>
    </w:p>
    <w:p w:rsidR="00AC0832" w:rsidRDefault="00AC0832">
      <w:pPr>
        <w:pStyle w:val="Normal3"/>
      </w:pPr>
      <w:r>
        <w:t xml:space="preserve">Zakonodavni okvir koji je nastao iz projekta IPA 2007 pružit će kvalitetnu podlogu za jačanje i daljnji razvoj zakonodavstva u Republici Hrvatskoj u području procjene učinaka propisa.  </w:t>
      </w:r>
    </w:p>
    <w:p w:rsidR="00AC0832" w:rsidRDefault="00AC0832">
      <w:pPr>
        <w:pStyle w:val="Normal3"/>
      </w:pPr>
      <w:r>
        <w:t xml:space="preserve">Vlada Republike Hrvatske donijela je na svojoj 68. sjednici, održanoj 20. prosinca 2012. godine, Strategiju procjene učinaka propisa za razdoblje od 2013. do 2015. godine i Akcijski plan procjene učinaka propisa za istoimeno razdoblje. Odluka Vlade Republike Hrvatske o donošenju naprijed navedenih akata objavljena je u "Narodnim novinama", br. 146 iz 2012. godine. </w:t>
      </w:r>
    </w:p>
    <w:p w:rsidR="00AC0832" w:rsidRDefault="00AC0832">
      <w:pPr>
        <w:pStyle w:val="Normal3"/>
      </w:pPr>
      <w:r>
        <w:t xml:space="preserve">Slijedom članka 8. Zakona o procjeni učinaka propisa (NN 90/11) Vlada Republike Hrvatske, na prijedlog Ureda za zakonodavstvo, donosi Strategiju i Akcijski plan za razdoblje od tri godine.  </w:t>
      </w:r>
    </w:p>
    <w:p w:rsidR="00AC0832" w:rsidRDefault="00AC0832">
      <w:pPr>
        <w:pStyle w:val="Normal3"/>
      </w:pPr>
      <w:r>
        <w:t xml:space="preserve">Strategijom se dugoročno usmjerava razvoj procjene učinaka propisa u Republici Hrvatskoj i njegova provedivost, ciljevi, poboljšanje kvalitete propisa i razvoj administrativnih kapaciteta. Ovaj strateški dokument predstavlja strateško usmjerenje Vlade Republike Hrvatske prema povećanju kvalitete zakonodavstva u Republici Hrvatskoj. Strateški dokument osnova je za dugoročno usmjeravanje razvoja procjene učinaka propisa i jamstvo provedbe, ostvarenja ciljeva te poboljšanja kvalitete zakonodavstva.  </w:t>
      </w:r>
    </w:p>
    <w:p w:rsidR="00AC0832" w:rsidRDefault="00AC0832">
      <w:pPr>
        <w:pStyle w:val="Normal3"/>
      </w:pPr>
      <w:r>
        <w:t xml:space="preserve">Strategijom procjene učinaka propisa, Vlada Republike Hrvatske postavlja strateško usmjerenje razvoja procjene učinaka propisa određujući viziju, misiju i četiri prioritetna cilja kako slijedi:  </w:t>
      </w:r>
    </w:p>
    <w:p w:rsidR="00AC0832" w:rsidRDefault="00AC0832">
      <w:pPr>
        <w:pStyle w:val="Normal3"/>
      </w:pPr>
      <w:r>
        <w:t xml:space="preserve">Vizija - kroz sustav procjene učinaka propisa osigurati razvoj boljeg i kvalitetnijeg zakonodavstva tako da novo zakonodavstvo postiže zadane ciljeve uz niske troškove i bez nepotrebnih prepreka. </w:t>
      </w:r>
    </w:p>
    <w:p w:rsidR="00AC0832" w:rsidRDefault="00AC0832">
      <w:pPr>
        <w:pStyle w:val="Normal3"/>
      </w:pPr>
      <w:r>
        <w:t xml:space="preserve">Misija - osigurati razvoj učinkovitog i samostalnog sustava procjene učinaka propisa kroz aktivnu ulogu svih odgovornih tijela za sustav procjene učinaka propisa uz sudjelovanje ostalih tijela državne uprave te zainteresiranih dionika. </w:t>
      </w:r>
    </w:p>
    <w:p w:rsidR="00AC0832" w:rsidRDefault="00AC0832">
      <w:pPr>
        <w:pStyle w:val="Normal3"/>
      </w:pPr>
      <w:r>
        <w:t xml:space="preserve">Prioritetni ciljevi:  </w:t>
      </w:r>
    </w:p>
    <w:p w:rsidR="00AC0832" w:rsidRDefault="00AC0832">
      <w:pPr>
        <w:pStyle w:val="Normal3"/>
      </w:pPr>
      <w:r>
        <w:t xml:space="preserve">-osigurati provođenje postupka procjene učinaka propisa u skladu sa propisima kojima se uređuje procjena učinaka propisa; </w:t>
      </w:r>
    </w:p>
    <w:p w:rsidR="00AC0832" w:rsidRDefault="00AC0832">
      <w:pPr>
        <w:pStyle w:val="Normal3"/>
      </w:pPr>
      <w:r>
        <w:t xml:space="preserve">-osigurati pravodobno informiranje i sudjelovanje dionika te zainteresirane javnosti u sustavu procjene učinaka propisa; </w:t>
      </w:r>
    </w:p>
    <w:p w:rsidR="00AC0832" w:rsidRDefault="00AC0832">
      <w:pPr>
        <w:pStyle w:val="Normal3"/>
      </w:pPr>
      <w:r>
        <w:t xml:space="preserve">-razvijati dobru praksu provedbe procjene učinaka propisa i provoditi stručno osposobljavanje državnih službenika i drugih osoba u području procjene učinaka propisa; </w:t>
      </w:r>
    </w:p>
    <w:p w:rsidR="00AC0832" w:rsidRDefault="00AC0832">
      <w:pPr>
        <w:pStyle w:val="Normal3"/>
      </w:pPr>
      <w:r>
        <w:t xml:space="preserve">-osigurati aktivnu provedbu akcijskog plana kako bi se osiguralo strateško usmjerenje uz korektivne mjere po potrebi.  </w:t>
      </w:r>
    </w:p>
    <w:p w:rsidR="00AC0832" w:rsidRDefault="00AC0832">
      <w:pPr>
        <w:pStyle w:val="Normal3"/>
      </w:pPr>
      <w:r>
        <w:t xml:space="preserve">Akcijskim planom, u razdoblju od tri godine, obuhvaćaju se jednogodišnje aktivnosti za postizanje prioritetnih ciljeva. Akcijski plan određuje prioritetne mjere i aktivnosti na razvoju procjene učinaka propisa, način provedbe mjera, rokove izvršavanja, nositelje provedbe, procjenu sredstava potrebnih za provedbu aktivnosti predviđenih Akcijskim planom.  </w:t>
      </w:r>
    </w:p>
    <w:p w:rsidR="00AC0832" w:rsidRDefault="00AC0832">
      <w:pPr>
        <w:pStyle w:val="Normal3"/>
      </w:pPr>
      <w:r>
        <w:t xml:space="preserve">Svi naprijed navedeni strateški dokumenti pripremljeni su u suradnji s ovlaštenim predstavnicima ministarstava i konzultantima SIGMA-e (Inicijativom EU i OECD-a). </w:t>
      </w:r>
    </w:p>
    <w:p w:rsidR="00AC0832" w:rsidRDefault="00AC0832">
      <w:pPr>
        <w:pStyle w:val="Normal3"/>
      </w:pPr>
      <w:r>
        <w:t xml:space="preserve">U ožujku 2010. godine Delegacija EU u Zagrebu odobrila je twinning projekt „Razvoj sustava procjene učinka propisa“ iz IPA 2007 pretpristupnog fonda. Delegacija EU objavila je 9. ožujka 2010. g. natječaj za izbor twinning partnera, te je Twinning ugovor broj HR/2007/IB/FI/02 potpisan 11. studenoga 2010. godine. Ukupna ugovorena vrijednost ovog projekta iznosila je 1.100.000 EUR. Twinning projekt provodio se uz pomoć tvrtke (ovlaštenog tijela) Northern Ireland Co-operation Overseas - NI-CO i Ministarstva pravosuđa Republike Estonije (twinning partner zemlje članice).  </w:t>
      </w:r>
    </w:p>
    <w:p w:rsidR="00AC0832" w:rsidRDefault="00AC0832">
      <w:pPr>
        <w:pStyle w:val="Normal3"/>
      </w:pPr>
      <w:r>
        <w:t xml:space="preserve">Twinning projekt uspješno je završen 12. srpnja 2012. godine unutar kojeg je Ured za zakonodavstvo razvio i uspostavio zakonodavni okvir, te ojačao kapacitete za procjenu učinaka propisa.  </w:t>
      </w:r>
    </w:p>
    <w:p w:rsidR="00AC0832" w:rsidRDefault="00AC0832">
      <w:pPr>
        <w:pStyle w:val="Normal3"/>
      </w:pPr>
      <w:r>
        <w:t xml:space="preserve">Postignuti rezultati projekta IPA 2007 kroz I Komponentu razvoj zakonodavnog okvira su: Zakon o procjeni učinaka propisa ("Narodne novine" br. 90/11), Uredba o provedbi postupka procjene učinaka propisa ("Narodne novine" br. 66/12), Strategija procjene učinaka propisa za razdoblje od 2013. do 2015. godine i Akcijski plan procjene učinaka propisa za istoimeno razdoblje ("Narodne novine" br. 146/12), te tri vrste smjernica: smjernice za Ured za zakonodavstvo, smjernice za državne službenike, te smjernice za dionike kao kvalitetna podrška metodologiji procjene učinaka propisa.  </w:t>
      </w:r>
    </w:p>
    <w:p w:rsidR="00AC0832" w:rsidRDefault="00AC0832">
      <w:pPr>
        <w:pStyle w:val="Normal3"/>
      </w:pPr>
      <w:r>
        <w:t xml:space="preserve">U sklopu II Komponente IPA 2007 razvoj administrativnih kapaciteta za provedbu procjene učinaka propisa ojačani su administrativni kapaciteti tijela državne uprave, putem seminara, radionica i pilot projekata. </w:t>
      </w:r>
    </w:p>
    <w:p w:rsidR="00AC0832" w:rsidRDefault="00AC0832">
      <w:pPr>
        <w:pStyle w:val="Normal3"/>
      </w:pPr>
      <w:r>
        <w:t xml:space="preserve">U sklopu II Komponente twinning projekta IPA 2007 "Razvoj sustava procjene učinaka propisa" provedena su ukupno četiri pilot projekta izrade procjene učinaka propisa. U pilot projektima sudjelovali su Ministarstvo socijalne politike i mladih, Ministarstvo zaštite okoliša i prirode, Ministarstvo pravosuđa i Ministarstvo branitelja.  </w:t>
      </w:r>
    </w:p>
    <w:p w:rsidR="00AC0832" w:rsidRDefault="00AC0832">
      <w:pPr>
        <w:pStyle w:val="Normal3"/>
      </w:pPr>
      <w:r>
        <w:t xml:space="preserve">Naprijed navedeni pilot projekti rezultat su višemjesečnog napornog rada službenika ministarstava, kratkoročnih stručnjaka iz administracije zemalja twinning partnera Ujedinjenog Kraljevstva, Estonije te državnih službenika Ureda za zakonodavstvo.  </w:t>
      </w:r>
    </w:p>
    <w:p w:rsidR="00AC0832" w:rsidRDefault="00AC0832">
      <w:pPr>
        <w:pStyle w:val="Normal3"/>
      </w:pPr>
      <w:r>
        <w:t xml:space="preserve">Tako su u Ministarstvu socijalne politike i mladih analizirali problematiku udomiteljstva, dok je Ministarstvo pravosuđa razmatralo problematiku osobnog stečaja potrošača. Ministarstvo zaštite okoliša i prirode bavilo se usklađivanjem zakonodavstva s novim pravilima EU o načinima trgovanja emisijskim jedinicama stakleničkih plinova, dok je Ministarstvo branitelja posvetilo pažnju problematici stambenog zbrinjavanja hrvatskih branitelja.  </w:t>
      </w:r>
    </w:p>
    <w:p w:rsidR="00AC0832" w:rsidRDefault="00AC0832">
      <w:pPr>
        <w:pStyle w:val="Normal3"/>
      </w:pPr>
      <w:r>
        <w:t>Kroz III Komponentu IPA 2007 izrađena je Komunikacijska strategija za podizanje javne svijesti o procjeni učinaka propisa.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02030-Ured za zakonodavstvo</w:t>
            </w:r>
          </w:p>
        </w:tc>
        <w:tc>
          <w:tcPr>
            <w:tcW w:w="2322" w:type="dxa"/>
          </w:tcPr>
          <w:p w:rsidR="00AC0832" w:rsidRDefault="00AC0832">
            <w:pPr>
              <w:pStyle w:val="CellColumn"/>
            </w:pPr>
            <w:r>
              <w:t>7.315.500</w:t>
            </w:r>
          </w:p>
        </w:tc>
        <w:tc>
          <w:tcPr>
            <w:tcW w:w="2322" w:type="dxa"/>
          </w:tcPr>
          <w:p w:rsidR="00AC0832" w:rsidRDefault="00AC0832">
            <w:pPr>
              <w:pStyle w:val="CellColumn"/>
            </w:pPr>
            <w:r>
              <w:t>6.162.485</w:t>
            </w:r>
          </w:p>
        </w:tc>
        <w:tc>
          <w:tcPr>
            <w:tcW w:w="2322" w:type="dxa"/>
          </w:tcPr>
          <w:p w:rsidR="00AC0832" w:rsidRDefault="00AC0832">
            <w:pPr>
              <w:pStyle w:val="CellColumn"/>
            </w:pPr>
            <w:r>
              <w:t>84,2</w:t>
            </w:r>
          </w:p>
        </w:tc>
      </w:tr>
      <w:tr w:rsidR="00AC0832" w:rsidTr="00BE20ED">
        <w:trPr>
          <w:jc w:val="center"/>
        </w:trPr>
        <w:tc>
          <w:tcPr>
            <w:tcW w:w="2322" w:type="dxa"/>
          </w:tcPr>
          <w:p w:rsidR="00AC0832" w:rsidRDefault="00AC0832">
            <w:pPr>
              <w:pStyle w:val="CellColumnSmall"/>
            </w:pPr>
            <w:r>
              <w:t>2404-USKLAĐIVANJE PRAVNIH AKATA S PRAVNIM PORETKOM REPUBLIKE HRVATSKE</w:t>
            </w:r>
          </w:p>
        </w:tc>
        <w:tc>
          <w:tcPr>
            <w:tcW w:w="2322" w:type="dxa"/>
          </w:tcPr>
          <w:p w:rsidR="00AC0832" w:rsidRDefault="00AC0832">
            <w:pPr>
              <w:pStyle w:val="CellColumnSmall"/>
            </w:pPr>
            <w:r>
              <w:t>7.315.500</w:t>
            </w:r>
          </w:p>
        </w:tc>
        <w:tc>
          <w:tcPr>
            <w:tcW w:w="2322" w:type="dxa"/>
          </w:tcPr>
          <w:p w:rsidR="00AC0832" w:rsidRDefault="00AC0832">
            <w:pPr>
              <w:pStyle w:val="CellColumnSmall"/>
            </w:pPr>
            <w:r>
              <w:t>6.162.485</w:t>
            </w:r>
          </w:p>
        </w:tc>
        <w:tc>
          <w:tcPr>
            <w:tcW w:w="2322" w:type="dxa"/>
          </w:tcPr>
          <w:p w:rsidR="00AC0832" w:rsidRDefault="00AC0832">
            <w:pPr>
              <w:pStyle w:val="CellColumnSmall"/>
            </w:pPr>
            <w:r>
              <w:t>84,2</w:t>
            </w:r>
          </w:p>
        </w:tc>
      </w:tr>
    </w:tbl>
    <w:p w:rsidR="00AC0832" w:rsidRDefault="00AC0832">
      <w:pPr>
        <w:jc w:val="left"/>
      </w:pPr>
    </w:p>
    <w:p w:rsidR="00AC0832" w:rsidRDefault="00AC0832">
      <w:pPr>
        <w:pStyle w:val="Heading4"/>
      </w:pPr>
      <w:r>
        <w:t>OBRAZLOŽENJE PROGRAMA</w:t>
      </w:r>
    </w:p>
    <w:p w:rsidR="00AC0832" w:rsidRDefault="00AC0832">
      <w:pPr>
        <w:pStyle w:val="Heading5"/>
      </w:pPr>
      <w:r>
        <w:t>2404 USKLAĐIVANJE PRAVNIH AKATA S PRAVNIM PORETKOM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2404-USKLAĐIVANJE PRAVNIH AKATA S PRAVNIM PORETKOM REPUBLIKE HRVATSKE</w:t>
            </w:r>
          </w:p>
        </w:tc>
        <w:tc>
          <w:tcPr>
            <w:tcW w:w="2322" w:type="dxa"/>
          </w:tcPr>
          <w:p w:rsidR="00AC0832" w:rsidRDefault="00AC0832">
            <w:pPr>
              <w:pStyle w:val="CellColumn"/>
            </w:pPr>
            <w:r>
              <w:t>7.315.500</w:t>
            </w:r>
          </w:p>
        </w:tc>
        <w:tc>
          <w:tcPr>
            <w:tcW w:w="2322" w:type="dxa"/>
          </w:tcPr>
          <w:p w:rsidR="00AC0832" w:rsidRDefault="00AC0832">
            <w:pPr>
              <w:pStyle w:val="CellColumn"/>
            </w:pPr>
            <w:r>
              <w:t>6.162.485</w:t>
            </w:r>
          </w:p>
        </w:tc>
        <w:tc>
          <w:tcPr>
            <w:tcW w:w="2322" w:type="dxa"/>
          </w:tcPr>
          <w:p w:rsidR="00AC0832" w:rsidRDefault="00AC0832">
            <w:pPr>
              <w:pStyle w:val="CellColumn"/>
            </w:pPr>
            <w:r>
              <w:t>84,2</w:t>
            </w:r>
          </w:p>
        </w:tc>
      </w:tr>
    </w:tbl>
    <w:p w:rsidR="00AC0832" w:rsidRDefault="00AC0832">
      <w:pPr>
        <w:jc w:val="left"/>
      </w:pPr>
    </w:p>
    <w:p w:rsidR="00AC0832" w:rsidRDefault="00AC0832">
      <w:pPr>
        <w:pStyle w:val="Heading6"/>
      </w:pPr>
      <w:r>
        <w:t>Opis programa</w:t>
      </w:r>
    </w:p>
    <w:p w:rsidR="00AC0832" w:rsidRDefault="00AC0832">
      <w:pPr>
        <w:pStyle w:val="Normal5"/>
      </w:pPr>
      <w:r>
        <w:t xml:space="preserve">Ured za zakonodavstvo obavlja sljedeće poslove i zadatke: </w:t>
      </w:r>
    </w:p>
    <w:p w:rsidR="00AC0832" w:rsidRDefault="00AC0832">
      <w:pPr>
        <w:pStyle w:val="Normal5"/>
      </w:pPr>
      <w:r>
        <w:t xml:space="preserve">daje mišljenja o usklađenosti prijedloga zakona, konačnih prijedloga zakona, propisa i akata iz djelokruga Vlade s Ustavom Republike Hrvatske i  pravnim poretkom Republike Hrvatske, uvažavajući pri tome  pravne propise odnosno pravni sustav Europske unije; </w:t>
      </w:r>
    </w:p>
    <w:p w:rsidR="00AC0832" w:rsidRDefault="00AC0832">
      <w:pPr>
        <w:pStyle w:val="Normal5"/>
      </w:pPr>
      <w:r>
        <w:t xml:space="preserve">daje mišljenja na uredbe i druge propise, upravne akte, akte poslovanja i druge akte koje donosi Vlada, odnosno koje Vlada predlaže Hrvatskom saboru, a u vezi njihove usklađenosti sa zakonom i pravnim sustavom; </w:t>
      </w:r>
    </w:p>
    <w:p w:rsidR="00AC0832" w:rsidRDefault="00AC0832">
      <w:pPr>
        <w:pStyle w:val="Normal5"/>
      </w:pPr>
      <w:r>
        <w:t xml:space="preserve">sudjeluje u  pravilnom oblikovanju pravnih odredbi u zakonima i drugim propisima i/ili aktima koje donosi odnosno predlaže Vlada, i odgovoran je  za pravilnu primjenu nomotehnike; </w:t>
      </w:r>
    </w:p>
    <w:p w:rsidR="00AC0832" w:rsidRDefault="00AC0832">
      <w:pPr>
        <w:pStyle w:val="Normal5"/>
      </w:pPr>
      <w:r>
        <w:t xml:space="preserve">priprema i izrađuje prijedloge zakona  odnosno prijedloge drugih propisa i akata po nalogu Vlade; </w:t>
      </w:r>
    </w:p>
    <w:p w:rsidR="00AC0832" w:rsidRDefault="00AC0832">
      <w:pPr>
        <w:pStyle w:val="Normal5"/>
      </w:pPr>
      <w:r>
        <w:t xml:space="preserve">obavlja odgovarajuće normativne preinake i ispravke u prijedlogu zakona, drugog propisa i/ili akta, sukladno zaduženju Vlade i u suradnji s tijelom državne uprave koje je stručni nositelj izrade predloženog propisa odnosno akta; </w:t>
      </w:r>
    </w:p>
    <w:p w:rsidR="00AC0832" w:rsidRDefault="00AC0832">
      <w:pPr>
        <w:pStyle w:val="Normal5"/>
      </w:pPr>
      <w:r>
        <w:t xml:space="preserve">daje stručna mišljenja središnjim tijelima državne uprave u vezi s primjenom zakona i drugih propisa nakon prethodno  iznesenog stajališta nadležnog tijela; </w:t>
      </w:r>
    </w:p>
    <w:p w:rsidR="00AC0832" w:rsidRDefault="00AC0832">
      <w:pPr>
        <w:pStyle w:val="Normal5"/>
      </w:pPr>
      <w:r>
        <w:t xml:space="preserve">pruža po potrebi stručnu pomoć  Uredu predsjednika Vlade o pitanjima iz njegovog djelokruga; </w:t>
      </w:r>
    </w:p>
    <w:p w:rsidR="00AC0832" w:rsidRDefault="00AC0832">
      <w:pPr>
        <w:pStyle w:val="Normal5"/>
      </w:pPr>
      <w:r>
        <w:t xml:space="preserve">sudjeluje u radu stalnih radnih tijela Vlade i njihovim stručnim radnim skupinama u skladu s Poslovnikom Vlade; </w:t>
      </w:r>
    </w:p>
    <w:p w:rsidR="00AC0832" w:rsidRDefault="00AC0832">
      <w:pPr>
        <w:pStyle w:val="Normal5"/>
      </w:pPr>
      <w:r>
        <w:t xml:space="preserve">priprema objavu i daje na objavu zakone i druge propise u „Narodnim novinama“ - službenom listu Republike Hrvatske, brine o njihovoj pravodobnoj objavi, te priprema ispravke tiskarskih pogrešaka; </w:t>
      </w:r>
    </w:p>
    <w:p w:rsidR="00AC0832" w:rsidRDefault="00AC0832">
      <w:pPr>
        <w:pStyle w:val="Normal5"/>
      </w:pPr>
      <w:r>
        <w:t xml:space="preserve">razmatra pitanja razvoja pravnog sustava u suradnji s  resornim ministarstvima te pitanja  ustavnosti i zakonitosti; </w:t>
      </w:r>
    </w:p>
    <w:p w:rsidR="00AC0832" w:rsidRDefault="00AC0832">
      <w:pPr>
        <w:pStyle w:val="Normal5"/>
      </w:pPr>
      <w:r>
        <w:t xml:space="preserve">izrađuje i predlaže Vladi  na usvajanje Nomotehničke smjernice kao podlogu za izradu pravnih propisa; </w:t>
      </w:r>
    </w:p>
    <w:p w:rsidR="00AC0832" w:rsidRDefault="00AC0832">
      <w:pPr>
        <w:pStyle w:val="Normal5"/>
      </w:pPr>
      <w:r>
        <w:t>sudjeluje u pripremi odgovora na tužbe u postupcima  u kojima je tužena strana Vlada, na temelju prethodno pripremljenog nacrta odgovora resornog tijela državne uprave;</w:t>
      </w:r>
      <w:r>
        <w:tab/>
        <w:t xml:space="preserve"> </w:t>
      </w:r>
    </w:p>
    <w:p w:rsidR="00AC0832" w:rsidRDefault="00AC0832">
      <w:pPr>
        <w:pStyle w:val="Normal5"/>
      </w:pPr>
      <w:r>
        <w:t xml:space="preserve">-koordinira izradu i prati provedbu Godišnjeg plana normativnih aktivnosti, sukladno  zakonu kojim se uređuje procjena učinaka propisa; </w:t>
      </w:r>
    </w:p>
    <w:p w:rsidR="00AC0832" w:rsidRDefault="00AC0832">
      <w:pPr>
        <w:pStyle w:val="Normal5"/>
      </w:pPr>
      <w:r>
        <w:t xml:space="preserve">koordinira propisani sustav procjene učinaka propisa i izvršava poslove koji su stavljeni Uredu u djelokrug  zakonom kojim se uređuje  procjena učinaka propisa; </w:t>
      </w:r>
    </w:p>
    <w:p w:rsidR="00AC0832" w:rsidRDefault="00AC0832">
      <w:pPr>
        <w:pStyle w:val="Normal5"/>
      </w:pPr>
      <w:r>
        <w:t xml:space="preserve">sudjeluje u uspostavi, održavanju i razvoju pravnog internetskog portala „e-propisi“, koji sadrži bazu podataka  važećih zakonskih i podzakonskih propisa; </w:t>
      </w:r>
    </w:p>
    <w:p w:rsidR="00AC0832" w:rsidRDefault="00AC0832">
      <w:pPr>
        <w:pStyle w:val="Normal5"/>
      </w:pPr>
      <w:r>
        <w:t xml:space="preserve">sudjeluje u pripremi i provedbi projekata financiranih iz fondova Europske unije i projekata drugih međunarodnih organizacija, vezano uz  djelokrug Ureda; </w:t>
      </w:r>
    </w:p>
    <w:p w:rsidR="00AC0832" w:rsidRDefault="00AC0832">
      <w:pPr>
        <w:pStyle w:val="Normal5"/>
      </w:pPr>
      <w:r>
        <w:t xml:space="preserve">uspostavlja, provodi i razvija  međunarodnu suradnju sa tijelima Europske unije, drugim međunarodnim tijelima i srodnim institucijama sukladno djelokrugu Ureda; </w:t>
      </w:r>
    </w:p>
    <w:p w:rsidR="00AC0832" w:rsidRDefault="00AC0832">
      <w:pPr>
        <w:pStyle w:val="Normal5"/>
      </w:pPr>
      <w:r>
        <w:t xml:space="preserve">priprema i provodi programe stručnog osposobljavanja i usavršavanja državnih službenika i drugih korisnika u području procjene učinaka propisa i u području izrade propisa; </w:t>
      </w:r>
    </w:p>
    <w:p w:rsidR="00AC0832" w:rsidRDefault="00AC0832">
      <w:pPr>
        <w:pStyle w:val="Normal5"/>
      </w:pPr>
      <w:r>
        <w:t xml:space="preserve">sudjeluje u pravnom i pojmovnom usuglašavanju hrvatskog zakonodavstva sa standardima Europske unije, u suradnji sa stručnim nositeljima  izrade propisa te </w:t>
      </w:r>
    </w:p>
    <w:p w:rsidR="00AC0832" w:rsidRDefault="00AC0832">
      <w:pPr>
        <w:pStyle w:val="Normal5"/>
      </w:pPr>
      <w:r>
        <w:t xml:space="preserve">-obavlja i druge poslove u skladu sa zakonom kojim se uređuje  procjena učinaka propisa.  </w:t>
      </w:r>
    </w:p>
    <w:p w:rsidR="00AC0832" w:rsidRDefault="00AC0832">
      <w:pPr>
        <w:pStyle w:val="Normal5"/>
      </w:pPr>
      <w:r>
        <w:t>Pored gore navedenih poslova u Uredu se obavljaju i poslovi pripreme podataka vezano za financijsko-materijalno poslovanje Ureda i njihove dostave nadležnim tijelima za pripremu izvješća i izradu Državnog proračuna, poslovi pripreme i obrade izvješća koja su relevantna za praćenje unutarnjih procesa i rad unutarnje revizije te  stručni i administrativni poslovi za potrebe rada Ureda i za potrebe pravodobne objave zakona i drugih propisa u „Narodnim novinama“- službenom listu Republike Hrvatske.</w:t>
      </w:r>
    </w:p>
    <w:p w:rsidR="00AC0832" w:rsidRDefault="00AC0832">
      <w:pPr>
        <w:pStyle w:val="Heading6"/>
      </w:pPr>
      <w:r>
        <w:t>Zakonske i druge pravne osnove</w:t>
      </w:r>
    </w:p>
    <w:p w:rsidR="00AC0832" w:rsidRDefault="00AC0832">
      <w:pPr>
        <w:pStyle w:val="Normal5"/>
      </w:pPr>
      <w:r>
        <w:t>Zakonska osnova za provedbu navedenog programa uspostavljena je temeljem Ustava i Međunarodnih ugovora. Vezano za procjenu učinaka propisa krajem 2012. godine donešene su zakonske osnove za kvalitetno provođenje procjene učinaka propisa (Strategija s Akcijskim planom).</w:t>
      </w:r>
    </w:p>
    <w:p w:rsidR="00AC0832" w:rsidRDefault="00AC0832">
      <w:pPr>
        <w:pStyle w:val="Heading7"/>
      </w:pPr>
      <w:r>
        <w:t xml:space="preserve">Cilj 1. Učinkovita koordinacija i provedba specifičnih Vladinih programa i strategija kroz poboljšanje procesa donošenja akata Vlade Republike Hrvatske </w:t>
      </w:r>
    </w:p>
    <w:p w:rsidR="00AC0832" w:rsidRDefault="00AC0832">
      <w:pPr>
        <w:pStyle w:val="Heading8"/>
        <w:jc w:val="left"/>
      </w:pPr>
      <w:r>
        <w:t>Opis provedbe cilja programa</w:t>
      </w:r>
    </w:p>
    <w:p w:rsidR="00AC0832" w:rsidRDefault="00AC0832">
      <w:pPr>
        <w:pStyle w:val="Normal6"/>
      </w:pPr>
      <w:r>
        <w:t xml:space="preserve">Učinkovitu koordinaciju i provedbu specifičnih Vladinih programa omogućit će poboljšanje procesa donošenja akata Vlade Republike Hrvatske uz kvalitetnu izradu procjene učinaka propisa, kontinuirana izobrazba stručnog kadra i jačanje kapaciteta Ureda, te kontinuirana koordinacija i suradnja s različitim tijelima državne uprave pri donošenju novih propisa.  </w:t>
      </w:r>
    </w:p>
    <w:p w:rsidR="00AC0832" w:rsidRDefault="00AC0832">
      <w:pPr>
        <w:pStyle w:val="Normal6"/>
      </w:pPr>
      <w:r>
        <w:t>Poboljšanje procesa donošenja akata Vlade Republike Hrvatske omogućit će uključenost svih dionika društva (interesnih skupina, osjetljivih skupina, javnosti i zainteresirane javnosti) u procesu donošenja prijedloga nacrta propisa.</w:t>
      </w:r>
    </w:p>
    <w:p w:rsidR="00AC0832" w:rsidRDefault="00AC0832">
      <w:pPr>
        <w:jc w:val="left"/>
      </w:pPr>
    </w:p>
    <w:p w:rsidR="00AC0832" w:rsidRDefault="00AC0832">
      <w:pPr>
        <w:pStyle w:val="Heading6"/>
      </w:pPr>
      <w:r>
        <w:t>A514000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A514000-ADMINISTRACIJA I UPRAVLJANJE</w:t>
            </w:r>
          </w:p>
        </w:tc>
        <w:tc>
          <w:tcPr>
            <w:tcW w:w="2322" w:type="dxa"/>
          </w:tcPr>
          <w:p w:rsidR="00AC0832" w:rsidRDefault="00AC0832">
            <w:pPr>
              <w:pStyle w:val="CellColumn"/>
            </w:pPr>
            <w:r>
              <w:t>3.482.500</w:t>
            </w:r>
          </w:p>
        </w:tc>
        <w:tc>
          <w:tcPr>
            <w:tcW w:w="2322" w:type="dxa"/>
          </w:tcPr>
          <w:p w:rsidR="00AC0832" w:rsidRDefault="00AC0832">
            <w:pPr>
              <w:pStyle w:val="CellColumn"/>
            </w:pPr>
            <w:r>
              <w:t>3.109.412</w:t>
            </w:r>
          </w:p>
        </w:tc>
        <w:tc>
          <w:tcPr>
            <w:tcW w:w="2322" w:type="dxa"/>
          </w:tcPr>
          <w:p w:rsidR="00AC0832" w:rsidRDefault="00AC0832">
            <w:pPr>
              <w:pStyle w:val="CellColumn"/>
            </w:pPr>
            <w:r>
              <w:t>89,3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Tijekom 2012.g. Ured je u sklopu A 514000 Administracija i upravljanje obavljao sljedeće redovite poslove kao što su: davanje mišljenja o usklađenosti prijedloga zakona, konačnih prijedloga zakona, propisa i akata iz djelokruga Vlade s Ustavom Republike Hrvatske i pravnim poretkom Republike Hrvatske, uvažavajući pri tome pravne propise odnosno pravni sustav Europske unije, davanje mišljenja na uredbe i druge propise, upravne akte, akte poslovanja i druge akte koje donosi Vlada, odnosno koje Vlada predlaže Hrvatskom saboru, a u vezi njihove usklađenosti sa zakonom i pravnim sustavom, sudjelovanje u pravilnom oblikovanju pravnih odredbi u zakonima i drugim propisima i/ili aktima koje donosi odnosno predlaže Vlada, i odgovoran je za pravilnu primjenu nomotehnike, pripremanje i izrada prijedloga zakona odnosno prijedloge drugih propisa i akata po nalogu Vlade, obavljanje odgovarajuće normativne preinake i ispravke u prijedlogu zakona, drugog propisa i/ili akta, sukladno zaduženju Vlade i u suradnji s tijelom državne uprave koje je stručni nositelj izrade predloženog propisa odnosno akta, davanje stručnih mišljenja središnjim tijelima državne uprave u vezi s primjenom zakona i drugih propisa nakon prethodno iznesenog stajališta nadležnog tijela, pružanje po potrebi stručne pomoć Uredu predsjednika Vlade o pitanjima iz njegovog djelokruga, sudjelovanje u radu stalnih radnih tijela Vlade i njihovim stručnim radnim skupinama u skladu s Poslovnikom Vlade. </w:t>
      </w:r>
    </w:p>
    <w:p w:rsidR="00AC0832" w:rsidRDefault="00AC0832">
      <w:pPr>
        <w:pStyle w:val="Normal6"/>
      </w:pPr>
      <w:r>
        <w:t>Sve aktivnosti Ureda za zakonodavstvo tijekom 2012. godine odvijale su se prema planu.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danih mišljenja na prijedloge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60</w:t>
            </w:r>
          </w:p>
        </w:tc>
        <w:tc>
          <w:tcPr>
            <w:tcW w:w="1300" w:type="dxa"/>
          </w:tcPr>
          <w:p w:rsidR="00AC0832" w:rsidRDefault="00AC0832">
            <w:pPr>
              <w:pStyle w:val="CellColumn"/>
            </w:pPr>
            <w:r>
              <w:t>Ured</w:t>
            </w:r>
          </w:p>
        </w:tc>
        <w:tc>
          <w:tcPr>
            <w:tcW w:w="1300" w:type="dxa"/>
          </w:tcPr>
          <w:p w:rsidR="00AC0832" w:rsidRDefault="00AC0832">
            <w:pPr>
              <w:pStyle w:val="CellColumn"/>
            </w:pPr>
            <w:r>
              <w:t>70</w:t>
            </w:r>
          </w:p>
        </w:tc>
        <w:tc>
          <w:tcPr>
            <w:tcW w:w="1300" w:type="dxa"/>
          </w:tcPr>
          <w:p w:rsidR="00AC0832" w:rsidRDefault="00AC0832">
            <w:pPr>
              <w:pStyle w:val="CellColumn"/>
            </w:pPr>
            <w:r>
              <w:t>65</w:t>
            </w:r>
          </w:p>
        </w:tc>
      </w:tr>
    </w:tbl>
    <w:p w:rsidR="00AC0832" w:rsidRDefault="00AC0832">
      <w:pPr>
        <w:jc w:val="left"/>
      </w:pPr>
    </w:p>
    <w:p w:rsidR="00AC0832" w:rsidRDefault="00AC0832">
      <w:pPr>
        <w:pStyle w:val="Heading6"/>
      </w:pPr>
      <w:r>
        <w:t>A514013 IPA 2007 - RAZVOJ KOORDINACIJE PROCJENE UČINKA PROPISA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A514013-IPA 2007 - RAZVOJ KOORDINACIJE PROCJENE UČINKA PROPISA</w:t>
            </w:r>
          </w:p>
        </w:tc>
        <w:tc>
          <w:tcPr>
            <w:tcW w:w="2322" w:type="dxa"/>
          </w:tcPr>
          <w:p w:rsidR="00AC0832" w:rsidRDefault="00AC0832">
            <w:pPr>
              <w:pStyle w:val="CellColumn"/>
            </w:pPr>
            <w:r>
              <w:t>3.814.000</w:t>
            </w:r>
          </w:p>
        </w:tc>
        <w:tc>
          <w:tcPr>
            <w:tcW w:w="2322" w:type="dxa"/>
          </w:tcPr>
          <w:p w:rsidR="00AC0832" w:rsidRDefault="00AC0832">
            <w:pPr>
              <w:pStyle w:val="CellColumn"/>
            </w:pPr>
            <w:r>
              <w:t>3.037.960</w:t>
            </w:r>
          </w:p>
        </w:tc>
        <w:tc>
          <w:tcPr>
            <w:tcW w:w="2322" w:type="dxa"/>
          </w:tcPr>
          <w:p w:rsidR="00AC0832" w:rsidRDefault="00AC0832">
            <w:pPr>
              <w:pStyle w:val="CellColumn"/>
            </w:pPr>
            <w:r>
              <w:t>79,7</w:t>
            </w:r>
          </w:p>
        </w:tc>
      </w:tr>
    </w:tbl>
    <w:p w:rsidR="00AC0832" w:rsidRDefault="00AC0832">
      <w:pPr>
        <w:jc w:val="left"/>
      </w:pPr>
    </w:p>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Slijedom članka 9. Zakona o procjeni učinaka propisa (NN 90/11) Vlada Republike Hrvatske, na prijedlog Ureda za zakonodavstvo, u zadnjem tromjesečju 2012. godine usvojila je Godišnji plan normativnih aktivnosti za 2013. godinu.  </w:t>
      </w:r>
    </w:p>
    <w:p w:rsidR="00AC0832" w:rsidRDefault="00AC0832">
      <w:pPr>
        <w:pStyle w:val="Normal6"/>
      </w:pPr>
      <w:r>
        <w:t xml:space="preserve">Prijedlog Godišnjeg plana normativnih aktivnosti izrađen je sukladno dostavljenim Prijedlozima planova propisa središnjih tijela državne uprave u razdoblju od rujna do prosinca 2012. godine. Svi Prijedlozi plana propisa bili su objavljeni na internetskim stranicama stručnih nositelja radi informiranja javnosti u trajanju od najmanje 15 dana te su usuglašeni s Uredom za zakonodavstvo koji je, kao koordinator sustava procjene učinaka propisa u Republici Hrvatskoj, objedinio Prijedloge planova propisa u jedinstveni dokument pod nazivom Godišnji plan normativnih aktivnosti.  </w:t>
      </w:r>
    </w:p>
    <w:p w:rsidR="00AC0832" w:rsidRDefault="00AC0832">
      <w:pPr>
        <w:pStyle w:val="Normal6"/>
      </w:pPr>
      <w:r>
        <w:t xml:space="preserve">Godišnji plan normativnih aktivnosti sadrži:  </w:t>
      </w:r>
    </w:p>
    <w:p w:rsidR="00AC0832" w:rsidRDefault="00AC0832">
      <w:pPr>
        <w:pStyle w:val="Normal6"/>
      </w:pPr>
      <w:r>
        <w:t xml:space="preserve">– Plan normativnih aktivnosti u području hrvatskog zakonodavstva, koji obuhvaća normativne aktivnosti na nacionalnoj razini (72 zakona) i  </w:t>
      </w:r>
    </w:p>
    <w:p w:rsidR="00AC0832" w:rsidRDefault="00AC0832">
      <w:pPr>
        <w:pStyle w:val="Normal6"/>
      </w:pPr>
      <w:r>
        <w:t xml:space="preserve">– Plan normativnih aktivnosti vezano za postupak procjene učinaka propisa, koji obuhvaća planirane postupke procjene učinaka propisa, čije je donošenje predviđeno u Planu normativnih aktivnosti u području hrvatskog zakonodavstva te u Planu usklađivanja zakonodavstva Republike Hrvatske s pravnom stečevinom Europske unije (61 zakon).  </w:t>
      </w:r>
    </w:p>
    <w:p w:rsidR="00AC0832" w:rsidRDefault="00AC0832">
      <w:pPr>
        <w:pStyle w:val="Normal6"/>
      </w:pPr>
      <w:r>
        <w:t xml:space="preserve">Podaci u Godišnjem planu normativnih aktivnosti iskazuju se po aktivnostima planiranim u tromjesečnim razdobljima.  </w:t>
      </w:r>
    </w:p>
    <w:p w:rsidR="00AC0832" w:rsidRDefault="00AC0832">
      <w:pPr>
        <w:pStyle w:val="Normal6"/>
      </w:pPr>
      <w:r>
        <w:t xml:space="preserve">Propisi koji se usklađuju s pravnom stečevinom Europske unije, a prethodnom procjenom utvrđeno je da ne podliježu postupku procjene učinaka propisa, nisu sadržani u Prijedlogu Godišnjeg plana normativnih aktivnosti već u Planu usklađivanja zakonodavstva s pravnom stečevinom EU.  </w:t>
      </w:r>
    </w:p>
    <w:p w:rsidR="00AC0832" w:rsidRDefault="00AC0832">
      <w:pPr>
        <w:pStyle w:val="Normal6"/>
      </w:pPr>
      <w:r>
        <w:t xml:space="preserve">Za sve zakone koji se ne nalaze u Godišnjem planu normativnih aktivnosti a tijekom godine se ukaže potreba za njihovim donošenjem, stručni nositelji izrade propisa obvezni su provesti Prethodnu procjenu vezano za taj zakon. Ovisno o rezultatima Prethodne procjene potrebno je provesti i postupak procjene učinaka propisa. </w:t>
      </w:r>
    </w:p>
    <w:p w:rsidR="00AC0832" w:rsidRDefault="00AC0832">
      <w:pPr>
        <w:pStyle w:val="Normal6"/>
      </w:pPr>
      <w:r>
        <w:t xml:space="preserve">Tijekom 2012.g. odslušano je seminara i radionica vezano za fondove EU i procjenu učinaka propisa više nego što je planirano. </w:t>
      </w:r>
    </w:p>
    <w:p w:rsidR="00AC0832" w:rsidRDefault="00AC0832">
      <w:pPr>
        <w:pStyle w:val="Normal6"/>
      </w:pPr>
      <w:r>
        <w:t xml:space="preserve">U okviru Komponente II twinning projekta održan je ciklus predavanja o metodologiji procjene učinaka propisa na kojoj su sudjelovali predstavnici tijela </w:t>
      </w:r>
    </w:p>
    <w:p w:rsidR="00AC0832" w:rsidRDefault="00AC0832">
      <w:pPr>
        <w:pStyle w:val="Normal6"/>
      </w:pPr>
      <w:r>
        <w:t xml:space="preserve">državne uprave, poslovne zajednice, nevaldinog sektora i akademske zajednice. </w:t>
      </w:r>
    </w:p>
    <w:p w:rsidR="00AC0832" w:rsidRDefault="00AC0832">
      <w:pPr>
        <w:pStyle w:val="Normal6"/>
      </w:pPr>
      <w:r>
        <w:t xml:space="preserve">Osnovna namjera suradnje imenovanih koordinatora za procjenu učinka propisa i Ureda za zakonodavstvo je priprema ministarstava na novi sustav procjene učinaka propisa kroz jačanje administrativnih kapaciteta i aktivniju međuresornu </w:t>
      </w:r>
    </w:p>
    <w:p w:rsidR="00AC0832" w:rsidRDefault="00AC0832">
      <w:pPr>
        <w:pStyle w:val="Normal6"/>
      </w:pPr>
      <w:r>
        <w:t xml:space="preserve">komunikaciju. </w:t>
      </w:r>
    </w:p>
    <w:p w:rsidR="00AC0832" w:rsidRDefault="00AC0832">
      <w:pPr>
        <w:pStyle w:val="Normal6"/>
      </w:pPr>
      <w:r>
        <w:t xml:space="preserve">U srpnju 2012. godine Delegacija Europske unije u Hrvatskoj i Ured za zakonodavstvo obilježili su završetak projekta IPA 2007 "Razvoj sustava procjene učinaka propisa" unutar kojeg je Ured razvio i uspostavio zakonodavni </w:t>
      </w:r>
    </w:p>
    <w:p w:rsidR="00AC0832" w:rsidRDefault="00AC0832">
      <w:pPr>
        <w:pStyle w:val="Normal6"/>
      </w:pPr>
      <w:r>
        <w:t xml:space="preserve">zakonodavni okvir i ojačao kapacitete za procjenu učinaka propisa.  </w:t>
      </w:r>
    </w:p>
    <w:p w:rsidR="00AC0832" w:rsidRDefault="00AC0832">
      <w:pPr>
        <w:pStyle w:val="Normal6"/>
      </w:pPr>
      <w:r>
        <w:t xml:space="preserve">Twinning IPA 2007 I Komponenta  - projekt "Procjena učinaka propisa" trajao je 18 mjeseci. Početak projekta je bio 17. siječnja 2011. godine, a završetak srpanj 2012. godine. </w:t>
      </w:r>
    </w:p>
    <w:p w:rsidR="00AC0832" w:rsidRDefault="00AC0832">
      <w:pPr>
        <w:pStyle w:val="Normal6"/>
      </w:pPr>
      <w:r>
        <w:t xml:space="preserve">Sve projektne aktivnosti pravovremeno su i uspješno realizirane u skladu sa svim obvezama proizašlim iz twinning ugovora za sve tri komponente kako slijedi: </w:t>
      </w:r>
    </w:p>
    <w:p w:rsidR="00AC0832" w:rsidRDefault="00AC0832">
      <w:pPr>
        <w:pStyle w:val="Normal6"/>
      </w:pPr>
      <w:r>
        <w:t xml:space="preserve">I Komponenta – DALJNJI RAZVOJ ZAKONODAVNOG OKVIRA ZA </w:t>
      </w:r>
    </w:p>
    <w:p w:rsidR="00AC0832" w:rsidRDefault="00AC0832">
      <w:pPr>
        <w:pStyle w:val="Normal6"/>
      </w:pPr>
      <w:r>
        <w:t xml:space="preserve">PROCJENU UČINKA PROPISA </w:t>
      </w:r>
    </w:p>
    <w:p w:rsidR="00AC0832" w:rsidRDefault="00AC0832">
      <w:pPr>
        <w:pStyle w:val="Normal6"/>
      </w:pPr>
      <w:r>
        <w:t xml:space="preserve">II Komponenta – RAZVOJ ADMINISTRATIVNIH KAPACITETA ZA </w:t>
      </w:r>
    </w:p>
    <w:p w:rsidR="00AC0832" w:rsidRDefault="00AC0832">
      <w:pPr>
        <w:pStyle w:val="Normal6"/>
      </w:pPr>
      <w:r>
        <w:t xml:space="preserve">PROVEDBU PROCJENE UČINKA PROPISA </w:t>
      </w:r>
    </w:p>
    <w:p w:rsidR="00AC0832" w:rsidRDefault="00AC0832">
      <w:pPr>
        <w:pStyle w:val="Normal6"/>
      </w:pPr>
      <w:r>
        <w:t xml:space="preserve">III Komponenta – RAZVOJ I PROVEDBA PR KAMPANJE ZA PODIZANJE JAVNE SVIJESTI O OPROCJENI UČINKA PROPISA </w:t>
      </w:r>
    </w:p>
    <w:p w:rsidR="00AC0832" w:rsidRDefault="00AC0832">
      <w:pPr>
        <w:pStyle w:val="Normal6"/>
      </w:pPr>
      <w:r>
        <w:t xml:space="preserve">Tijekom i po završetku projekta, Ured je uspostavio međunarodnu suradnju sa tijelima Europske unije te drugim međunarodnim tijelima i srodnim institucijama sukladno djelokrugu Ureda.  </w:t>
      </w:r>
    </w:p>
    <w:p w:rsidR="00AC0832" w:rsidRDefault="00AC0832">
      <w:pPr>
        <w:pStyle w:val="Normal6"/>
      </w:pPr>
      <w:r>
        <w:t>Tijekom 2012.g. održano je cca 50% više sastanaka, radionica, seminara i konferencija na temu procjene učinaka propisao nego što je planirano.</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4"/>
        <w:gridCol w:w="1028"/>
        <w:gridCol w:w="1300"/>
        <w:gridCol w:w="1300"/>
        <w:gridCol w:w="1300"/>
        <w:gridCol w:w="1300"/>
        <w:gridCol w:w="1300"/>
      </w:tblGrid>
      <w:tr w:rsidR="00AC0832" w:rsidTr="00712567">
        <w:trPr>
          <w:jc w:val="center"/>
        </w:trPr>
        <w:tc>
          <w:tcPr>
            <w:tcW w:w="1634" w:type="dxa"/>
            <w:shd w:val="clear" w:color="auto" w:fill="B5C0D8"/>
          </w:tcPr>
          <w:p w:rsidR="00AC0832" w:rsidRPr="00BE20ED" w:rsidRDefault="00AC0832">
            <w:pPr>
              <w:rPr>
                <w:sz w:val="20"/>
                <w:lang w:eastAsia="hr-HR"/>
              </w:rPr>
            </w:pPr>
            <w:r w:rsidRPr="00BE20ED">
              <w:rPr>
                <w:sz w:val="20"/>
                <w:lang w:eastAsia="hr-HR"/>
              </w:rPr>
              <w:t>Pokazatelj rezultata</w:t>
            </w:r>
          </w:p>
        </w:tc>
        <w:tc>
          <w:tcPr>
            <w:tcW w:w="966"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712567">
        <w:trPr>
          <w:jc w:val="center"/>
        </w:trPr>
        <w:tc>
          <w:tcPr>
            <w:tcW w:w="1634" w:type="dxa"/>
          </w:tcPr>
          <w:p w:rsidR="00AC0832" w:rsidRDefault="00AC0832">
            <w:pPr>
              <w:pStyle w:val="CellColumn"/>
            </w:pPr>
            <w:r>
              <w:t>povećanje broja danih iskaza procjene učinaka propisa (fiskalni, ekonomski, socijalni, ekološki) koja su izrađena u odnosu na Godišnji plan</w:t>
            </w:r>
          </w:p>
        </w:tc>
        <w:tc>
          <w:tcPr>
            <w:tcW w:w="966"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Ured</w:t>
            </w:r>
          </w:p>
        </w:tc>
        <w:tc>
          <w:tcPr>
            <w:tcW w:w="1300" w:type="dxa"/>
          </w:tcPr>
          <w:p w:rsidR="00AC0832" w:rsidRDefault="00AC0832">
            <w:pPr>
              <w:pStyle w:val="CellColumn"/>
            </w:pPr>
            <w:r>
              <w:t>0</w:t>
            </w:r>
          </w:p>
        </w:tc>
        <w:tc>
          <w:tcPr>
            <w:tcW w:w="1300" w:type="dxa"/>
          </w:tcPr>
          <w:p w:rsidR="00AC0832" w:rsidRDefault="00AC0832">
            <w:pPr>
              <w:pStyle w:val="CellColumn"/>
            </w:pPr>
            <w:r>
              <w:t>0</w:t>
            </w:r>
          </w:p>
        </w:tc>
      </w:tr>
      <w:tr w:rsidR="00AC0832" w:rsidTr="00712567">
        <w:trPr>
          <w:jc w:val="center"/>
        </w:trPr>
        <w:tc>
          <w:tcPr>
            <w:tcW w:w="1634" w:type="dxa"/>
          </w:tcPr>
          <w:p w:rsidR="00AC0832" w:rsidRDefault="00AC0832">
            <w:pPr>
              <w:pStyle w:val="CellColumn"/>
            </w:pPr>
            <w:r>
              <w:t>povećanje broja certifikata odslušanih seminara i radionica vezano za fondove EU i procjenu učinaka propisa</w:t>
            </w:r>
          </w:p>
        </w:tc>
        <w:tc>
          <w:tcPr>
            <w:tcW w:w="966"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3</w:t>
            </w:r>
          </w:p>
        </w:tc>
        <w:tc>
          <w:tcPr>
            <w:tcW w:w="1300" w:type="dxa"/>
          </w:tcPr>
          <w:p w:rsidR="00AC0832" w:rsidRDefault="00AC0832">
            <w:pPr>
              <w:pStyle w:val="CellColumn"/>
            </w:pPr>
            <w:r>
              <w:t>Ured</w:t>
            </w:r>
          </w:p>
        </w:tc>
        <w:tc>
          <w:tcPr>
            <w:tcW w:w="1300" w:type="dxa"/>
          </w:tcPr>
          <w:p w:rsidR="00AC0832" w:rsidRDefault="00AC0832">
            <w:pPr>
              <w:pStyle w:val="CellColumn"/>
            </w:pPr>
            <w:r>
              <w:t>3</w:t>
            </w:r>
          </w:p>
        </w:tc>
        <w:tc>
          <w:tcPr>
            <w:tcW w:w="1300" w:type="dxa"/>
          </w:tcPr>
          <w:p w:rsidR="00AC0832" w:rsidRDefault="00AC0832">
            <w:pPr>
              <w:pStyle w:val="CellColumn"/>
            </w:pPr>
            <w:r>
              <w:t>6</w:t>
            </w:r>
          </w:p>
        </w:tc>
      </w:tr>
      <w:tr w:rsidR="00AC0832" w:rsidTr="00712567">
        <w:trPr>
          <w:jc w:val="center"/>
        </w:trPr>
        <w:tc>
          <w:tcPr>
            <w:tcW w:w="1634" w:type="dxa"/>
          </w:tcPr>
          <w:p w:rsidR="00AC0832" w:rsidRDefault="00AC0832">
            <w:pPr>
              <w:pStyle w:val="CellColumn"/>
            </w:pPr>
            <w:r>
              <w:t>povećanje broja održanih sastanaka, radionica, seminara, konferencija na temu procjene učinaka propisa</w:t>
            </w:r>
          </w:p>
        </w:tc>
        <w:tc>
          <w:tcPr>
            <w:tcW w:w="966"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2</w:t>
            </w:r>
          </w:p>
        </w:tc>
        <w:tc>
          <w:tcPr>
            <w:tcW w:w="1300" w:type="dxa"/>
          </w:tcPr>
          <w:p w:rsidR="00AC0832" w:rsidRDefault="00AC0832">
            <w:pPr>
              <w:pStyle w:val="CellColumn"/>
            </w:pPr>
            <w:r>
              <w:t>Ured</w:t>
            </w:r>
          </w:p>
        </w:tc>
        <w:tc>
          <w:tcPr>
            <w:tcW w:w="1300" w:type="dxa"/>
          </w:tcPr>
          <w:p w:rsidR="00AC0832" w:rsidRDefault="00AC0832">
            <w:pPr>
              <w:pStyle w:val="CellColumn"/>
            </w:pPr>
            <w:r>
              <w:t>2</w:t>
            </w:r>
          </w:p>
        </w:tc>
        <w:tc>
          <w:tcPr>
            <w:tcW w:w="1300" w:type="dxa"/>
          </w:tcPr>
          <w:p w:rsidR="00AC0832" w:rsidRDefault="00AC0832">
            <w:pPr>
              <w:pStyle w:val="CellColumn"/>
            </w:pPr>
            <w:r>
              <w:t>4</w:t>
            </w:r>
          </w:p>
        </w:tc>
      </w:tr>
    </w:tbl>
    <w:p w:rsidR="00AC0832" w:rsidRDefault="00AC0832">
      <w:pPr>
        <w:jc w:val="left"/>
      </w:pPr>
    </w:p>
    <w:p w:rsidR="00AC0832" w:rsidRDefault="00AC0832">
      <w:pPr>
        <w:pStyle w:val="Heading2"/>
      </w:pPr>
      <w:r>
        <w:t>02035 Ured za opće poslove Hrvatskoga sabora i Vlade Republike Hrvatske</w:t>
      </w:r>
    </w:p>
    <w:p w:rsidR="00AC0832" w:rsidRDefault="00AC0832">
      <w:pPr>
        <w:pStyle w:val="Heading4"/>
      </w:pPr>
      <w:r>
        <w:t>Uvod</w:t>
      </w:r>
    </w:p>
    <w:p w:rsidR="00AC0832" w:rsidRDefault="00AC0832">
      <w:pPr>
        <w:pStyle w:val="Normal3"/>
      </w:pPr>
      <w:r>
        <w:t>Ured je zajednička stručna služba Hrvatskoga sabora, Vlade Republike Hrvatske, Ureda predsjednika Republike Hrvatske, ureda Vlade Republike Hrvatske, Direkcije za korištenje službenih zrakoplova Vlade Republike Hrvatske, Državnog izbornog povjerenstva i Ureda predsjednika Republike Hrvatske po prestanku obnašanja dužnosti (u daljnjem tekstu: državna tijela), koja u okviru svog djelokruga obavlja odgovarajuće stručne pravne poslove, poslove upravljanja ljudskim potencijalima, poslove pisarnice i pismohrane, financijsko-računovodstvene poslove, poslove financijskog planiranja, pripreme, kontrole i izvršenja proračuna, poslove javne nabave, poslove tehničkog održavanja informatičke, telekomunikacijske i elektroničke opreme i uređaja te poslove sigurnosti informacijskog sustava, administrativne, opće i tehničke poslove.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02035-Ured za opće poslove Hrvatskoga sabora i Vlade Republike Hrvatske</w:t>
            </w:r>
          </w:p>
        </w:tc>
        <w:tc>
          <w:tcPr>
            <w:tcW w:w="2322" w:type="dxa"/>
          </w:tcPr>
          <w:p w:rsidR="00AC0832" w:rsidRDefault="00AC0832">
            <w:pPr>
              <w:pStyle w:val="CellColumn"/>
            </w:pPr>
            <w:r>
              <w:t>37.966.492</w:t>
            </w:r>
          </w:p>
        </w:tc>
        <w:tc>
          <w:tcPr>
            <w:tcW w:w="2322" w:type="dxa"/>
          </w:tcPr>
          <w:p w:rsidR="00AC0832" w:rsidRDefault="00AC0832">
            <w:pPr>
              <w:pStyle w:val="CellColumn"/>
            </w:pPr>
            <w:r>
              <w:t>35.391.939</w:t>
            </w:r>
          </w:p>
        </w:tc>
        <w:tc>
          <w:tcPr>
            <w:tcW w:w="2322" w:type="dxa"/>
          </w:tcPr>
          <w:p w:rsidR="00AC0832" w:rsidRDefault="00AC0832">
            <w:pPr>
              <w:pStyle w:val="CellColumn"/>
            </w:pPr>
            <w:r>
              <w:t>93,2</w:t>
            </w:r>
          </w:p>
        </w:tc>
      </w:tr>
      <w:tr w:rsidR="00AC0832" w:rsidTr="00BE20ED">
        <w:trPr>
          <w:jc w:val="center"/>
        </w:trPr>
        <w:tc>
          <w:tcPr>
            <w:tcW w:w="2322" w:type="dxa"/>
          </w:tcPr>
          <w:p w:rsidR="00AC0832" w:rsidRDefault="00AC0832">
            <w:pPr>
              <w:pStyle w:val="CellColumnSmall"/>
            </w:pPr>
            <w:r>
              <w:t>2110-OPĆI POSLOVI ZA POTREBE HRVATSKOG SABORA I VLADE REPUBLIKE HRVATSKE</w:t>
            </w:r>
          </w:p>
        </w:tc>
        <w:tc>
          <w:tcPr>
            <w:tcW w:w="2322" w:type="dxa"/>
          </w:tcPr>
          <w:p w:rsidR="00AC0832" w:rsidRDefault="00AC0832">
            <w:pPr>
              <w:pStyle w:val="CellColumnSmall"/>
            </w:pPr>
            <w:r>
              <w:t>37.966.492</w:t>
            </w:r>
          </w:p>
        </w:tc>
        <w:tc>
          <w:tcPr>
            <w:tcW w:w="2322" w:type="dxa"/>
          </w:tcPr>
          <w:p w:rsidR="00AC0832" w:rsidRDefault="00AC0832">
            <w:pPr>
              <w:pStyle w:val="CellColumnSmall"/>
            </w:pPr>
            <w:r>
              <w:t>35.391.939</w:t>
            </w:r>
          </w:p>
        </w:tc>
        <w:tc>
          <w:tcPr>
            <w:tcW w:w="2322" w:type="dxa"/>
          </w:tcPr>
          <w:p w:rsidR="00AC0832" w:rsidRDefault="00AC0832">
            <w:pPr>
              <w:pStyle w:val="CellColumnSmall"/>
            </w:pPr>
            <w:r>
              <w:t>93,2</w:t>
            </w:r>
          </w:p>
        </w:tc>
      </w:tr>
    </w:tbl>
    <w:p w:rsidR="00AC0832" w:rsidRDefault="00AC0832">
      <w:pPr>
        <w:jc w:val="left"/>
      </w:pPr>
    </w:p>
    <w:p w:rsidR="00AC0832" w:rsidRDefault="00AC0832">
      <w:pPr>
        <w:pStyle w:val="Heading4"/>
      </w:pPr>
      <w:r>
        <w:t>OBRAZLOŽENJE PROGRAMA</w:t>
      </w:r>
    </w:p>
    <w:p w:rsidR="00AC0832" w:rsidRDefault="00AC0832">
      <w:pPr>
        <w:pStyle w:val="Heading5"/>
      </w:pPr>
      <w:r>
        <w:t>2110 OPĆI POSLOVI ZA POTREBE HRVATSKOG SABORA I VLADE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2110-OPĆI POSLOVI ZA POTREBE HRVATSKOG SABORA I VLADE REPUBLIKE HRVATSKE</w:t>
            </w:r>
          </w:p>
        </w:tc>
        <w:tc>
          <w:tcPr>
            <w:tcW w:w="2322" w:type="dxa"/>
          </w:tcPr>
          <w:p w:rsidR="00AC0832" w:rsidRDefault="00AC0832">
            <w:pPr>
              <w:pStyle w:val="CellColumn"/>
            </w:pPr>
            <w:r>
              <w:t>37.966.492</w:t>
            </w:r>
          </w:p>
        </w:tc>
        <w:tc>
          <w:tcPr>
            <w:tcW w:w="2322" w:type="dxa"/>
          </w:tcPr>
          <w:p w:rsidR="00AC0832" w:rsidRDefault="00AC0832">
            <w:pPr>
              <w:pStyle w:val="CellColumn"/>
            </w:pPr>
            <w:r>
              <w:t>35.391.939</w:t>
            </w:r>
          </w:p>
        </w:tc>
        <w:tc>
          <w:tcPr>
            <w:tcW w:w="2322" w:type="dxa"/>
          </w:tcPr>
          <w:p w:rsidR="00AC0832" w:rsidRDefault="00AC0832">
            <w:pPr>
              <w:pStyle w:val="CellColumn"/>
            </w:pPr>
            <w:r>
              <w:t>93,2</w:t>
            </w:r>
          </w:p>
        </w:tc>
      </w:tr>
    </w:tbl>
    <w:p w:rsidR="00AC0832" w:rsidRDefault="00AC0832">
      <w:pPr>
        <w:jc w:val="left"/>
      </w:pPr>
    </w:p>
    <w:p w:rsidR="00AC0832" w:rsidRDefault="00AC0832">
      <w:pPr>
        <w:pStyle w:val="Heading6"/>
      </w:pPr>
      <w:r>
        <w:t>Opis programa</w:t>
      </w:r>
    </w:p>
    <w:p w:rsidR="00AC0832" w:rsidRDefault="00AC0832">
      <w:pPr>
        <w:pStyle w:val="Normal5"/>
      </w:pPr>
      <w:r>
        <w:t xml:space="preserve">Pod navedenim programom podrazumijeva se obavljanje slijedećih poslova: </w:t>
      </w:r>
    </w:p>
    <w:p w:rsidR="00AC0832" w:rsidRDefault="00AC0832">
      <w:pPr>
        <w:pStyle w:val="Normal5"/>
      </w:pPr>
      <w:r>
        <w:t xml:space="preserve"> - poslovi upravljanja ljudskim potencijalima, poslovi u svezi radno-pravnog statusa državnih službenika i namještenika, pravni poslovi u okviru djelokruga Ureda te poslovi vođenja osobnog očevidnika i registra državnih službenika i namještenika </w:t>
      </w:r>
    </w:p>
    <w:p w:rsidR="00AC0832" w:rsidRDefault="00AC0832">
      <w:pPr>
        <w:pStyle w:val="Normal5"/>
      </w:pPr>
      <w:r>
        <w:t xml:space="preserve"> - poslovi vođenja urudžbenog zapisnika, prijema i otpreme pošte, poslovi pismohrane </w:t>
      </w:r>
    </w:p>
    <w:p w:rsidR="00AC0832" w:rsidRDefault="00AC0832">
      <w:pPr>
        <w:pStyle w:val="Normal5"/>
      </w:pPr>
      <w:r>
        <w:t xml:space="preserve"> - poslovi financijskog planiranja pripreme, kontrole i izvršenja proračuna </w:t>
      </w:r>
    </w:p>
    <w:p w:rsidR="00AC0832" w:rsidRDefault="00AC0832">
      <w:pPr>
        <w:pStyle w:val="Normal5"/>
      </w:pPr>
      <w:r>
        <w:t xml:space="preserve"> - financijsko-računovodstveni poslovi, poslovi rukovanja inventarom, opremom i umjetninama te vođenje o tome odgovarajućih očevidnika </w:t>
      </w:r>
    </w:p>
    <w:p w:rsidR="00AC0832" w:rsidRDefault="00AC0832">
      <w:pPr>
        <w:pStyle w:val="Normal5"/>
      </w:pPr>
      <w:r>
        <w:t xml:space="preserve"> - poslovi javne nabave sukladno Zakonu o javnoj nabavi, poslovi skladištenja i distribucije uredskog pribora, potrošnog materijala i tiska </w:t>
      </w:r>
    </w:p>
    <w:p w:rsidR="00AC0832" w:rsidRDefault="00AC0832">
      <w:pPr>
        <w:pStyle w:val="Normal5"/>
      </w:pPr>
      <w:r>
        <w:t xml:space="preserve"> - poslovi tehničkog održavanja informatičke, elektroničke i uredske opreme i uređaja te poslovi sigurnosti informacijskih sustava </w:t>
      </w:r>
    </w:p>
    <w:p w:rsidR="00AC0832" w:rsidRDefault="00AC0832">
      <w:pPr>
        <w:pStyle w:val="Normal5"/>
      </w:pPr>
      <w:r>
        <w:t xml:space="preserve"> - stručno-tehnički poslovi, poslovi investicijskog i tekućeg održavanja poslovnih zgrada te drugih objekata i uredskih prostora o kojima skrbi Ured, poslovi pružanja ugostiteljskih usluga u internim restoranima i buffetima te poslovi održavanja i čišćenja poslovnog i drugog prostora, poslovi održavanja zelenila te poslove autoservisa.</w:t>
      </w:r>
    </w:p>
    <w:p w:rsidR="00AC0832" w:rsidRDefault="00AC0832">
      <w:pPr>
        <w:pStyle w:val="Heading6"/>
      </w:pPr>
      <w:r>
        <w:t>Zakonske i druge pravne osnove</w:t>
      </w:r>
    </w:p>
    <w:p w:rsidR="00AC0832" w:rsidRDefault="00AC0832">
      <w:pPr>
        <w:pStyle w:val="Heading7"/>
      </w:pPr>
      <w:r>
        <w:t>Cilj 1. Dobro gospodarenje imovinom i sredstvima</w:t>
      </w:r>
    </w:p>
    <w:p w:rsidR="00AC0832" w:rsidRDefault="00AC0832">
      <w:pPr>
        <w:pStyle w:val="Heading8"/>
        <w:jc w:val="left"/>
      </w:pPr>
      <w:r>
        <w:t>Opis provedbe cilja programa</w:t>
      </w:r>
    </w:p>
    <w:p w:rsidR="00AC0832" w:rsidRDefault="00AC0832">
      <w:pPr>
        <w:pStyle w:val="Normal6"/>
      </w:pPr>
      <w:r>
        <w:t>Obavljanjem stručnih pravnih poslova, poslova upravljanja ljudskim potencijalima, poslova pisarnice i pismohrane, financijsko-računovodstvenih poslova, poslova financijskog planiranja, pripreme, kontrole i izvršenja proračuna, poslova javne nabave, poslova tehničkog održavanja informatičke, telekomunikacijske i elektroničke opreme i uređaja te poslova sigurnosti informacijskog sustava, administrativnih, općih i tehničkih poslova  osigurava se kontinuirano funkcioniranje ureda o čijem poslovanju kao zajednička služba skrbi Ured za opće poslove Hrvatskoga sabora i Vlade Republike Hrvatske. Pored navedenih poslova bitna je i kontinuirana analiza troškova koja ukazuje na nepravilnosti rada pojedinih ureda te doprinosi boljem raspolaganju odobrenih proračunskih sredstava i kvalitetnijem donošenju odluka.</w:t>
      </w:r>
    </w:p>
    <w:p w:rsidR="00AC0832" w:rsidRDefault="00AC0832">
      <w:pPr>
        <w:pStyle w:val="Heading6"/>
      </w:pPr>
      <w:r>
        <w:t>A515000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A515000-ADMINISTRACIJA I UPRAVLJANJE</w:t>
            </w:r>
          </w:p>
        </w:tc>
        <w:tc>
          <w:tcPr>
            <w:tcW w:w="2322" w:type="dxa"/>
          </w:tcPr>
          <w:p w:rsidR="00AC0832" w:rsidRDefault="00AC0832">
            <w:pPr>
              <w:pStyle w:val="CellColumn"/>
            </w:pPr>
            <w:r>
              <w:t>37.829.492</w:t>
            </w:r>
          </w:p>
        </w:tc>
        <w:tc>
          <w:tcPr>
            <w:tcW w:w="2322" w:type="dxa"/>
          </w:tcPr>
          <w:p w:rsidR="00AC0832" w:rsidRDefault="00AC0832">
            <w:pPr>
              <w:pStyle w:val="CellColumn"/>
            </w:pPr>
            <w:r>
              <w:t>35.291.996</w:t>
            </w:r>
          </w:p>
        </w:tc>
        <w:tc>
          <w:tcPr>
            <w:tcW w:w="2322" w:type="dxa"/>
          </w:tcPr>
          <w:p w:rsidR="00AC0832" w:rsidRDefault="00AC0832">
            <w:pPr>
              <w:pStyle w:val="CellColumn"/>
            </w:pPr>
            <w:r>
              <w:t>93,3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Tijekom 2012. godine aktivnosti Ureda za opće poslove Hrvatskoga sabora i Vlade Republike Hrvatske odvijale su se u skladu sa slijedećim podacima. </w:t>
      </w:r>
    </w:p>
    <w:p w:rsidR="00AC0832" w:rsidRDefault="00AC0832">
      <w:pPr>
        <w:pStyle w:val="Normal6"/>
      </w:pPr>
      <w:r>
        <w:t xml:space="preserve"> </w:t>
      </w:r>
    </w:p>
    <w:p w:rsidR="00AC0832" w:rsidRDefault="00AC0832">
      <w:pPr>
        <w:pStyle w:val="Normal6"/>
      </w:pPr>
      <w:r>
        <w:t xml:space="preserve">Usvajanjem Državnog proračuna Republike Hrvatske za 2012. godinu te projekcija za 2013. – 2014., došlo je do povećanja broja ureda za koje Ured obavlja poslove iz svog djelokruga. Ustrojena su tri državna ureda: Državni ured za trgovinsku politiku, Državni ured za središnju javnu nabavu te Državni ured za Hrvate izvan Republike Hrvatske. Sukladno Odluci Vlade Republike Hrvatske ustrojena su i dva nova vladina ureda: Ured zastupnika Republike Hrvatske pred Europskim sudom za ljudska prava te Ured za razminiranje (zadnji naveden tijekom izrada Izmjena i dopuna Odluke o privremenom financiranju poslova, funkcija i programa državnih tijela i drugih proračunskih korisnika Državnog proračuna Republike Hrvatske u prvom tromjesečju 2012. godine). Tijekom 2012. godine Vlada Republike Hrvatske je donijela Odluke o prestanku važenja uredbi tri vladina ureda (Ured za središnju javnu nabavu Vlade Republike Hrvatske, Ured za odnose s javnošću, Ured za socijalno partnerstvo), dok je za dva ureda (Ured za nacionalne manjine i Ured za ljudska prava) kao pravni sljednik osnovan Ured za ljudska prava i prava nacionalnih manjina.    </w:t>
      </w:r>
    </w:p>
    <w:p w:rsidR="00AC0832" w:rsidRDefault="00AC0832">
      <w:pPr>
        <w:pStyle w:val="Normal6"/>
      </w:pPr>
      <w:r>
        <w:t xml:space="preserve"> </w:t>
      </w:r>
    </w:p>
    <w:p w:rsidR="00AC0832" w:rsidRDefault="00AC0832">
      <w:pPr>
        <w:pStyle w:val="Normal6"/>
      </w:pPr>
      <w:r>
        <w:t xml:space="preserve">Djelovanje Ureda tijekom 2012. godine najbolje se može opisati kroz aktivnosti pojedinih unutarnjih ustrojstvenih jedinica odnosno službi. </w:t>
      </w:r>
    </w:p>
    <w:p w:rsidR="00AC0832" w:rsidRDefault="00AC0832">
      <w:pPr>
        <w:pStyle w:val="Normal6"/>
      </w:pPr>
      <w:r>
        <w:t xml:space="preserve"> </w:t>
      </w:r>
    </w:p>
    <w:p w:rsidR="00AC0832" w:rsidRDefault="00AC0832">
      <w:pPr>
        <w:pStyle w:val="Normal6"/>
      </w:pPr>
      <w:r>
        <w:t xml:space="preserve">Služba za upravljanje ljudskim potencijalima, pravne poslove, poslove pisarnice i pismohrane je tijekom 2012. godine izdala 1.755 akata (sporazuma, ugovora, svih vrsta rješenja kojima se reguliraju prava iz državne službe) te 52 potvrde; izradila je Uredbu o Uredu za opće poslove Hrvatskoga sabora i Vlade Republike Hrvatske i izmjene iste, te Pravilnik o unutarnjem redu s pripadajućom sistematizacijom; kontinuirano je vršila unos novih podataka i ažuriranje postojećih u Očevidnik državnih službenika i Središnji registar državnih službenika; asistirala je u izradi normativnih akata drugim vladinim i državnim uredima; u Odjelu za pisarnicu i poslove pismohrane za potrebe Hrvatskoga sabora i Vlade Republike Hrvatske ukupno je otvoreno 26.529 predmeta (uključujući i ulazne fakture) i urudžbirano je 58.564 pismena i putnih naloga; tijekom 2012. godine otpremljeno je pošte u vrijednosti od 205.647,49 kuna; dostavljači su ukupno prevezli 70.067 km; u pismohranu je tijekom 2012. godine vraćeno 656, a posuđeno 698 akata/predmeta/svežnjeva/registratora; primljeno je cca 227,50 d/m gradiva; obavljene su sve potrebne radnje prema Hrvatskom državnom arhivu za izlučivanje cca 45 d/m gradiva, kao i za predaju cca 8,5 d/m gradiva; pripremljeno je za predaju odgovarajućem uredu ili ministarstvu cca 30,50 d/m gradiva ukinutih ureda; razmješteno je cca 597 d/m kompletnog gradiva Službe za računovodstvo, po uredima, u Arhivu 2 i Arhivu 5; napravljen je novi topografski popis za cca 20 d/m financijskih dosjea. </w:t>
      </w:r>
    </w:p>
    <w:p w:rsidR="00AC0832" w:rsidRDefault="00AC0832">
      <w:pPr>
        <w:pStyle w:val="Normal6"/>
      </w:pPr>
      <w:r>
        <w:t xml:space="preserve"> </w:t>
      </w:r>
    </w:p>
    <w:p w:rsidR="00AC0832" w:rsidRDefault="00AC0832">
      <w:pPr>
        <w:pStyle w:val="Normal6"/>
      </w:pPr>
      <w:r>
        <w:t xml:space="preserve">Služba za proračun je u 2012. godini pripremila je i koordinirala aktivnostima za izradu Izmjena i dopuna privremenog financiranja poslova, funkcija i programa državnih tijela i drugih proračunskih korisnika Državnog proračuna Republike Hrvatske za prvom tromjesečje 2012. godine pri čemu je ustrojen Ured za razminiranje, Središnji državni ured za e-Hrvatsku pripojen je Ministarstvu uprave, a Središnji državni ured za razvojnu strategiju i koordinaciju fondova EU Ministarstvu regionalnog razvoja i fondova EU; koordinirala je aktivnostima izrade dopune strateškog plana razdjela 020 Vlada Republike Hrvatske za razdoblje 2012. – 2014., te aktivnostima izrade navedenog dokumenta za razdoblje 2013. – 2015., uključujući i izradu popratnih priloga i izvještaja za 7 proračunskih korisnika unutar razdjela 020 Vlada Republike Hrvatske; izradila je 24 bilješke uz financijske izvještaje proračunskih korisnika za razdoblje I-XII 2011. godine, te 29 bilješki za razdoblje I-VI 2012. godine; koordinirala je pri prikupljanju dokaza potrebnih za popunjavanje Upitnika o fiskalnoj odgovornosti za 2011. godinu za 21 proračunskog korisnika; popunila je INV-P obrasce za 2011. godinu za 21 proračunskog korisnika; koordinirala je izradom obrazloženja izvršenja financijskih planova za 2011. godinu te je ista unijela u aplikaciju Ministarstva financija za 21 proračunskog korisnika; izradila je mjesečne financijske planove za cijelu 2012. godinu sukladno članku 41. Zakona o proračunu za 26 proračunska korisnika te iste unijela u Sustav državne riznice; obavila je aktivnosti i poslove vezane uz izradu prijedloga financijskih planova za 22 proračunska korisnika za razdoblje 2012. – 2014. te za razdoblje 2013.-2015., uključujući unos prijedloga financijskih planova u Sustav državne riznice, izradu popratnih obrazloženja te unos istih u aplikaciju Ministarstva financija; pripremila je i koordinirala aktivnostima za izradu Izmjena i dopuna Državnog proračuna Republike Hrvatske za 2012. godinu, uključujući unos izmjena u Sustav državne riznice za 21 proračunskog korisnika; izradila je 95 izvještaja o utrošku i stanju sredstva za razdoblja I-XII 2011. godine, I-III, I-VI i I-IX 2012. godine; u Knjizi ulaznih računa evidentirala je 14.521 ulaznih računa te 1.009 izlaznih računa; izradila je 17.963 zahtjeva za plaćanje kroz Sustav državne riznice uključujući i zahtjeve za plaćanje za sredstva pomoći Europske unije; vodila je evidenciju o 791 korisniku stalnih novčanih naknada za koje je izrađivala mjesečne obračune te zahtjeve za plaćanja; pružila je pomoć u izradi te je unijela u aplikaciju Ministarstva financija 77 Obrazaca standardne metodologije za procjenu fiskalnog učinka; četiri puta se očitovala na upite upućene od strane proračunskih korisnika za koje Ured obavlja financijsko-materijalno poslovanje; analizom troškova u Ministarstvo financija je uputila Zahtjev za preraspodjelom sredstava sukladno članku 46. Zakona o proračunu za 17 ureda; pripremila je 1 suglasnost za preuzimanje obveza na teret proračuna slijedećih godina sukladno članku 44. Zakona o proračunu; odaslala je u Ministarstvo financija 4 Suglasnosti za izvršavanje izvora/aktivnosti/stavke do razine ostvarenja prihoda u Državnom proračunu, te 28 Suglasnosti za otvaranje novog izvora/aktivnosti/stavke; svakodnevno je pratila i analizirala trošenje sredstava po izvorima i namjenama te ukazivala na potrebne mjere štednje po pojedinim segmentima; ostvarivala je svakodnevne kontakte s Ministarstvom financija, Središnjom agencijom za financiranje i ugovaranje projekata EU te Nacionalnim fondom. </w:t>
      </w:r>
    </w:p>
    <w:p w:rsidR="00AC0832" w:rsidRDefault="00AC0832">
      <w:pPr>
        <w:pStyle w:val="Normal6"/>
      </w:pPr>
      <w:r>
        <w:t xml:space="preserve"> </w:t>
      </w:r>
    </w:p>
    <w:p w:rsidR="00AC0832" w:rsidRDefault="00AC0832">
      <w:pPr>
        <w:pStyle w:val="Normal6"/>
      </w:pPr>
      <w:r>
        <w:t xml:space="preserve">Služba za računovodstvo je tijekom 2012. godine izradila 368 izvještaja (mjesečni, tromjesečni, godišnji financijski izvještaji); mjesečno je obračunavala plaće za 1.084 državnih službenika i namještenika zaposlenih u urede za koje Ured obavlja poslove iz svog djelokruga; izradila je i dostavila Poreznoj upravi 516 izvještaja (ID, IDD); izradila je i dostavila Zavodu za statistiku 115 izvještaja (RAD-1, Godišnji RAD-1); izradila je i dostavila Financijskoj agenciji 516 izvještaja (RSM obrasci); izradila je i dostavila Ministarstvu financija 115 izvještaja (Izvještaj o ukupno zaposlenima i Izvještaj o strukturi plaća); izradila je i dostavila HZZO-u 543 izvještaja (zahtjevi za refundaciju bolovanja); obradila je 14.521 ulaznih faktura, 1.009 izlaznih faktura, 2.433 temeljnica, 2.177 uplatnica te 9.396 isplatnica;  na 18 lokacija obavila je godišnju inventuru osnovnih sredstava i sitnog inventara, te je obilježila 1.451 komad inventara. </w:t>
      </w:r>
    </w:p>
    <w:p w:rsidR="00AC0832" w:rsidRDefault="00AC0832">
      <w:pPr>
        <w:pStyle w:val="Normal6"/>
      </w:pPr>
      <w:r>
        <w:t xml:space="preserve"> </w:t>
      </w:r>
    </w:p>
    <w:p w:rsidR="00AC0832" w:rsidRDefault="00AC0832">
      <w:pPr>
        <w:pStyle w:val="Normal6"/>
      </w:pPr>
      <w:r>
        <w:t xml:space="preserve">Služba za nabavu je tijekom 2012. godine za Hrvatski sabor provela 7 postupaka javne nabave, od čega 5 otvorenih postupaka i 2 pregovaračka postupka bez prethodne objave, ukupno je sklopila 20 ugovora, te napisala 348 narudžbenica (uključujući narudžbenice za tisak). Ukupan izdatak javne nabave za potrebe Hrvatskoga sabora u 2012. godini iznosio je 3.168.739,01 kuna.  </w:t>
      </w:r>
    </w:p>
    <w:p w:rsidR="00AC0832" w:rsidRDefault="00AC0832">
      <w:pPr>
        <w:pStyle w:val="Normal6"/>
      </w:pPr>
      <w:r>
        <w:t xml:space="preserve">Za Ured za opće poslove Hrvatskoga sabora i Vlade Republike Hrvatske je provela 5 postupaka javne nabave, od čega 3 otvorena postupka, 1 pregovarački postupak bez prethodne objave i 1 postupak sklapanja ugovora o javnim uslugama iz Dodatka II. B Zakona o javnoj nabavi, ukupno je sklopila 18 ugovora od čega 8 ugovora na temelju okvirnih sporazuma sklopljenih u prethodnim godinama, te napisala 284 narudžbenica (uključujući narudžbenice za tisak). Ukupan izdatak javne nabave za potrebe Ureda za opće poslove Hrvatskoga sabora i Vlade Republike Hrvatske u 2012. godini iznosio je 4.135.933,29 kuna. </w:t>
      </w:r>
    </w:p>
    <w:p w:rsidR="00AC0832" w:rsidRDefault="00AC0832">
      <w:pPr>
        <w:pStyle w:val="Normal6"/>
      </w:pPr>
      <w:r>
        <w:t xml:space="preserve">Za Vladu Republike Hrvatske je provela 4 postupka javne nabave, od čega 1 otvoreni postupak, 2 pregovaračka postupka bez prethodne objave i 1 postupak sklapanja ugovora o javnim uslugama iz Dodatka II. B Zakona o javnoj nabavi, ukupno je sklopila 6 ugovora, te napisala 182 narudžbenice (uključujući narudžbenice za tisak). Ukupan izdatak javne nabave za potrebe Vlade Republike Hrvatske u 2012. godini iznosio je 906.406,90 kuna. </w:t>
      </w:r>
    </w:p>
    <w:p w:rsidR="00AC0832" w:rsidRDefault="00AC0832">
      <w:pPr>
        <w:pStyle w:val="Normal6"/>
      </w:pPr>
      <w:r>
        <w:t xml:space="preserve">Za Ured predsjednika Vlade Republike Hrvatske je provela 1 postupak javne nabave (pregovarački postupak bez prethodne objave) u ukupnom iznosu od 172.500,00 kuna. </w:t>
      </w:r>
    </w:p>
    <w:p w:rsidR="00AC0832" w:rsidRDefault="00AC0832">
      <w:pPr>
        <w:pStyle w:val="Normal6"/>
      </w:pPr>
      <w:r>
        <w:t xml:space="preserve">Za Ured zastupnika Republike Hrvatske pred Europskim sudom za ljudska prava je provela 1 postupak javne nabave (postupak sklapanja ugovora o javnim uslugama iz Dodatka II. B Zakona o javnoj nabavi) u ukupnom iznosu od 218.750,00 kuna. </w:t>
      </w:r>
    </w:p>
    <w:p w:rsidR="00AC0832" w:rsidRDefault="00AC0832">
      <w:pPr>
        <w:pStyle w:val="Normal6"/>
      </w:pPr>
      <w:r>
        <w:t xml:space="preserve">Za ostale vladine urede napisala je 298 narudžbenica (uključujući narudžbenice za tisak).  </w:t>
      </w:r>
    </w:p>
    <w:p w:rsidR="00AC0832" w:rsidRDefault="00AC0832">
      <w:pPr>
        <w:pStyle w:val="Normal6"/>
      </w:pPr>
      <w:r>
        <w:t xml:space="preserve">Za Ured Predsjednika Republike Hrvatske je provela 4 postupka javne nabave, od čega 3 otvorena postupka i 1 postupak sklapanja ugovora o javnim uslugama iz Dodatka II. B Zakona o javnoj nabavi (jedan otvoreni postupak je provođen 2 puta i oba puta je bio poništen), ukupno je sklopila 13 ugovora, od čega 11 ugovora na temelju okvirnih sporazuma sklopljenih u prethodnim godinama. </w:t>
      </w:r>
    </w:p>
    <w:p w:rsidR="00AC0832" w:rsidRDefault="00AC0832">
      <w:pPr>
        <w:pStyle w:val="Normal6"/>
      </w:pPr>
      <w:r>
        <w:t xml:space="preserve"> </w:t>
      </w:r>
    </w:p>
    <w:p w:rsidR="00AC0832" w:rsidRDefault="00AC0832">
      <w:pPr>
        <w:pStyle w:val="Normal6"/>
      </w:pPr>
      <w:r>
        <w:t xml:space="preserve">Služba za telekomunikacije, informatiku i praćenje rada sjednica Hrvatskog sabora je tijekom 2012. godine obavljala usluge fiksne i mobilne telefonije za Ured Predsjednika Republike Hrvatske, Hrvatski sabor, Vladu Republike Hrvatske i Vladine urede, usluge tehničkog održavanja informatičke opreme i uređaja za Vladine urede i Ured za opće poslove Hrvatskoga sabora i Vlade Republike Hrvatske, usluge tiskanja, fotokopiranja i uveza za sve navedene korisnike i usluge praćenja rada sjednica Hrvatskog sabora i radnih tijela Hrvatskog sabora.  </w:t>
      </w:r>
    </w:p>
    <w:p w:rsidR="00AC0832" w:rsidRDefault="00AC0832">
      <w:pPr>
        <w:pStyle w:val="Normal6"/>
      </w:pPr>
      <w:r>
        <w:t xml:space="preserve">Odjel za telekomunikacije je tijekom 2012. godine u fiksnoj telefoniji rekonstruirao 2 LIM – a telefonske centrale. U fiksnoj telefoniji brinuo je o 1.800 priključaka (ispitivanje telefonske centrale, uključivanje telefonskih brojeva i aparata, programiranje sekretarskih garnitura, uključivanje ADSL linija, preseljenje postojećih telefonskih brojeva i uređaja, otklanjanje kvarova i smetnji na telefonskim aparatima i linijama, otklanjanje kvarova i smetnji na FAX uređajima). U mobilnoj telefoniji brinuo je za 600 uređaja i priključaka. Vršio je narudžbu DECT telefona, GSM uređaja i uređaja za mobilni internet te ih slao u ovlašteni servis. </w:t>
      </w:r>
    </w:p>
    <w:p w:rsidR="00AC0832" w:rsidRDefault="00AC0832">
      <w:pPr>
        <w:pStyle w:val="Normal6"/>
      </w:pPr>
      <w:r>
        <w:t xml:space="preserve">Tijekom 2012. godine Pododsjek tiskare zaprimio je više od 4.000 zahtjeva za izvršenje usluga korisnicima. U Pododsjeku tiskare obavljaju se poslovi tiskanja, dorade i umnožavanja. Veći dio posla otpada na umnožavanje sjedničkih i drugih materijala (oko 8 milijuna kopija godišnje). U tiskarskom dijelu otisnuti su memorandumi, omoti spisa, koverte, te velik broj posjetnica. </w:t>
      </w:r>
    </w:p>
    <w:p w:rsidR="00AC0832" w:rsidRDefault="00AC0832">
      <w:pPr>
        <w:pStyle w:val="Normal6"/>
      </w:pPr>
      <w:r>
        <w:t xml:space="preserve"> </w:t>
      </w:r>
    </w:p>
    <w:p w:rsidR="00AC0832" w:rsidRDefault="00AC0832">
      <w:pPr>
        <w:pStyle w:val="Normal6"/>
      </w:pPr>
      <w:r>
        <w:t xml:space="preserve">Služba za opće i tehničke poslove odnosno Pododsjek investicijskog i tekućeg održavanja je tijekom 2012. godine obavljao svakodnevnu kontrolu elektro instalacija i uređaja, nabavu i zamjenu žarulja, kontrolu instalacija vode i odvodnje, sustava ventilacije, sustava grijanja i hlađenja, svakodnevno i izvanredno održavanje čistoće u objektima: Hrvatski sabor (Trg Sv. Marka 6, Demetrova 15), Vlada RH (Trg Sv. Marka 2, zgrada Mesnička 23, Opatička 8, Trg Sv. Marka 3, garaža Prisavlje 14, Medvedgradska 29).  </w:t>
      </w:r>
    </w:p>
    <w:p w:rsidR="00AC0832" w:rsidRDefault="00AC0832">
      <w:pPr>
        <w:pStyle w:val="Normal6"/>
      </w:pPr>
      <w:r>
        <w:t xml:space="preserve">Pored redovnih popravaka i servisa na objektu i opremi, od većih građevinskih zahvata treba spomenuti uređenje sanitarnog čvora, klimatizaciju sobe servera, krovopokrivačke radove te uređenje ugostiteljskog prostora u zgradi Vlade Republike Hrvatske; soboslikarske, stolarske, parketarske, bravarske, krovopokrivačke radove na zgradi Hrvatskoga sabora; soboslikarske radove te uređenje sanitarnog čvora zgrade u Mesničkoj 23. </w:t>
      </w:r>
    </w:p>
    <w:p w:rsidR="00AC0832" w:rsidRDefault="00AC0832">
      <w:pPr>
        <w:pStyle w:val="Normal6"/>
      </w:pPr>
      <w:r>
        <w:t xml:space="preserve">Pododsjek prehrane za potrebe Hrvatskoga sabora je tijekom 2012. godine svakodnevno posluživao 150-250 obroka u restoranu samoposluživanja i 30-60 obroka u restoranu zastupnika, a dodatno je odradio: 7 svečanih ručkova, 1 svečanu večeru, 35 radnih ručkova, 1 radnu večeru i 4 domjenka. </w:t>
      </w:r>
    </w:p>
    <w:p w:rsidR="00AC0832" w:rsidRDefault="00AC0832">
      <w:pPr>
        <w:pStyle w:val="Normal6"/>
      </w:pPr>
      <w:r>
        <w:t xml:space="preserve">Pododsjek prehrane za potrebe Vlade Republike Hrvatske i vladinih ureda je tijekom 2012. godine svakodnevno posluživao 80-100 obroka, a dodatno je odradio: 4 svečana ručka, 1 domjenak, 30 radnih ručkova, 3 boravka (doručak, ručak, večera) u rezidenciji Visoka 22, te 3 poklon košare za poklon.  </w:t>
      </w:r>
    </w:p>
    <w:p w:rsidR="00AC0832" w:rsidRDefault="00AC0832">
      <w:pPr>
        <w:pStyle w:val="Normal6"/>
      </w:pPr>
      <w:r>
        <w:t>Pododsjek auto servisa je u 2012. godini raspolagao i skrbio o 89 službenih automobila. U 2012. godini odrađene su 5.432 vožnje, prevezeno je 1.179.244 kilometara i utrošeno 145.191,02 litara goriva. U vlastitoj servisnoj radionici Pododsjeka u 2012. godini izvršena su 536 servisa i popravaka na službenim automobilima (redovni servisi, izvanredni popravci, kontrola i dolijevanje tekućina, pripreme za tehničke preglede), dok su u vanjskim ovlaštenim servisima izvršena 130 servisa i popravka na službenim automobilima.</w:t>
      </w:r>
    </w:p>
    <w:p w:rsidR="00AC0832" w:rsidRDefault="00AC0832">
      <w:pPr>
        <w:pStyle w:val="Heading2"/>
      </w:pPr>
      <w:r>
        <w:t>02040 Ured za središnju javnu nabavu Vlade Republike Hrvatske</w:t>
      </w:r>
    </w:p>
    <w:p w:rsidR="00AC0832" w:rsidRDefault="00AC0832">
      <w:pPr>
        <w:pStyle w:val="Heading4"/>
      </w:pPr>
      <w:r>
        <w:t>Uvod</w:t>
      </w:r>
    </w:p>
    <w:p w:rsidR="00AC0832" w:rsidRDefault="00AC0832">
      <w:pPr>
        <w:pStyle w:val="Normal3"/>
      </w:pPr>
      <w:r>
        <w:t xml:space="preserve">Ured za središnju javnu nabavu Vlade RH ustrojen je Uredbom o Uredu za središnju javnu nabavu Vlade Republike Hrvatske (Narodne Novine, 138/09, 78/10) kao stručna služba Vlade RH koja obavlja poslove središnje javne nabave za središnja tijela državne uprave. Istom Uredbom propisan je djelokrug i način rada, te broj predviđenih državnih službenika.   </w:t>
      </w:r>
    </w:p>
    <w:p w:rsidR="00AC0832" w:rsidRDefault="00AC0832">
      <w:pPr>
        <w:pStyle w:val="Normal3"/>
      </w:pPr>
      <w:r>
        <w:t>Zakonom o ustrojstvu i djelokrugu ministarstva i drugih središnjih tijela državne uprave (Narodne novine, broj 150/2011, dalje u tekstu: Zakon), 22. prosinca 2011. godine osnovan je Državni ured za središnju javnu nabavu, te su člankom 26. Zakona, propisane nadležnosti Državnog ureda za središnju javnu nabavu. S obzirom da Državni ured obavlja upravne i stručne poslove koji se odnose na središnju javnu nabavu za središnja tijela državne uprave, izvršeno je preuzimanje financijskih sredstava, prava i obveza te državnih službenika od Ureda za središnju javnu nabavu Vlade Republike Hrvatske, što je uređeno Zakonom o izmjenama i dopuna Zakona o ustrojstvu i djelokrugu ministarstva i drugih središnjih tijela državne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02040-Ured za središnju javnu nabavu Vlade Republike Hrvatske</w:t>
            </w:r>
          </w:p>
        </w:tc>
        <w:tc>
          <w:tcPr>
            <w:tcW w:w="2322" w:type="dxa"/>
          </w:tcPr>
          <w:p w:rsidR="00AC0832" w:rsidRDefault="00AC0832">
            <w:pPr>
              <w:pStyle w:val="CellColumn"/>
            </w:pPr>
            <w:r>
              <w:t>584.352</w:t>
            </w:r>
          </w:p>
        </w:tc>
        <w:tc>
          <w:tcPr>
            <w:tcW w:w="2322" w:type="dxa"/>
          </w:tcPr>
          <w:p w:rsidR="00AC0832" w:rsidRDefault="00AC0832">
            <w:pPr>
              <w:pStyle w:val="CellColumn"/>
            </w:pPr>
            <w:r>
              <w:t>584.345</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Small"/>
            </w:pPr>
            <w:r>
              <w:t>2407-SREDIŠNJA JAVNA NABAVA</w:t>
            </w:r>
          </w:p>
        </w:tc>
        <w:tc>
          <w:tcPr>
            <w:tcW w:w="2322" w:type="dxa"/>
          </w:tcPr>
          <w:p w:rsidR="00AC0832" w:rsidRDefault="00AC0832">
            <w:pPr>
              <w:pStyle w:val="CellColumnSmall"/>
            </w:pPr>
            <w:r>
              <w:t>584.352</w:t>
            </w:r>
          </w:p>
        </w:tc>
        <w:tc>
          <w:tcPr>
            <w:tcW w:w="2322" w:type="dxa"/>
          </w:tcPr>
          <w:p w:rsidR="00AC0832" w:rsidRDefault="00AC0832">
            <w:pPr>
              <w:pStyle w:val="CellColumnSmall"/>
            </w:pPr>
            <w:r>
              <w:t>584.345</w:t>
            </w:r>
          </w:p>
        </w:tc>
        <w:tc>
          <w:tcPr>
            <w:tcW w:w="2322" w:type="dxa"/>
          </w:tcPr>
          <w:p w:rsidR="00AC0832" w:rsidRDefault="00AC0832">
            <w:pPr>
              <w:pStyle w:val="CellColumnSmall"/>
            </w:pPr>
            <w:r>
              <w:t>100,0</w:t>
            </w:r>
          </w:p>
        </w:tc>
      </w:tr>
    </w:tbl>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pStyle w:val="Heading4"/>
      </w:pPr>
      <w:r>
        <w:t>OBRAZLOŽENJE PROGRAMA</w:t>
      </w:r>
    </w:p>
    <w:p w:rsidR="00AC0832" w:rsidRDefault="00AC0832">
      <w:pPr>
        <w:pStyle w:val="Heading5"/>
      </w:pPr>
      <w:r>
        <w:t>2407 SREDIŠNJA JAVNA NABAVA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2407-SREDIŠNJA JAVNA NABAVA</w:t>
            </w:r>
          </w:p>
        </w:tc>
        <w:tc>
          <w:tcPr>
            <w:tcW w:w="2322" w:type="dxa"/>
          </w:tcPr>
          <w:p w:rsidR="00AC0832" w:rsidRDefault="00AC0832">
            <w:pPr>
              <w:pStyle w:val="CellColumn"/>
            </w:pPr>
            <w:r>
              <w:t>584.352</w:t>
            </w:r>
          </w:p>
        </w:tc>
        <w:tc>
          <w:tcPr>
            <w:tcW w:w="2322" w:type="dxa"/>
          </w:tcPr>
          <w:p w:rsidR="00AC0832" w:rsidRDefault="00AC0832">
            <w:pPr>
              <w:pStyle w:val="CellColumn"/>
            </w:pPr>
            <w:r>
              <w:t>584.345</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A846001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A846001-ADMINISTRACIJA I UPRAVLJANJE</w:t>
            </w:r>
          </w:p>
        </w:tc>
        <w:tc>
          <w:tcPr>
            <w:tcW w:w="2322" w:type="dxa"/>
          </w:tcPr>
          <w:p w:rsidR="00AC0832" w:rsidRDefault="00AC0832">
            <w:pPr>
              <w:pStyle w:val="CellColumn"/>
            </w:pPr>
            <w:r>
              <w:t>584.352</w:t>
            </w:r>
          </w:p>
        </w:tc>
        <w:tc>
          <w:tcPr>
            <w:tcW w:w="2322" w:type="dxa"/>
          </w:tcPr>
          <w:p w:rsidR="00AC0832" w:rsidRDefault="00AC0832">
            <w:pPr>
              <w:pStyle w:val="CellColumn"/>
            </w:pPr>
            <w:r>
              <w:t>584.345</w:t>
            </w:r>
          </w:p>
        </w:tc>
        <w:tc>
          <w:tcPr>
            <w:tcW w:w="2322" w:type="dxa"/>
          </w:tcPr>
          <w:p w:rsidR="00AC0832" w:rsidRDefault="00AC0832">
            <w:pPr>
              <w:pStyle w:val="CellColumn"/>
            </w:pPr>
            <w:r>
              <w:t>100,0</w:t>
            </w:r>
          </w:p>
        </w:tc>
      </w:tr>
    </w:tbl>
    <w:p w:rsidR="00AC0832" w:rsidRDefault="00AC0832">
      <w:pPr>
        <w:pStyle w:val="Heading2"/>
      </w:pPr>
      <w:r>
        <w:t>02042 Ured za protokol Vlade RH</w:t>
      </w:r>
    </w:p>
    <w:p w:rsidR="00AC0832" w:rsidRDefault="00AC0832">
      <w:pPr>
        <w:pStyle w:val="Heading4"/>
      </w:pPr>
      <w:r>
        <w:t>Uvod</w:t>
      </w:r>
    </w:p>
    <w:p w:rsidR="00AC0832" w:rsidRDefault="00AC0832">
      <w:pPr>
        <w:pStyle w:val="Normal3"/>
      </w:pPr>
      <w:r>
        <w:t>Ured za protokol  obavlja stručne, organizacijske i tehničke poslove protokola za potrebe Vlade Republike Hrvatske, predsjednika Vlade Republike Hrvatske te potpredsjednika Vlade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02042-Ured za protokol Vlade RH</w:t>
            </w:r>
          </w:p>
        </w:tc>
        <w:tc>
          <w:tcPr>
            <w:tcW w:w="2322" w:type="dxa"/>
          </w:tcPr>
          <w:p w:rsidR="00AC0832" w:rsidRDefault="00AC0832">
            <w:pPr>
              <w:pStyle w:val="CellColumn"/>
            </w:pPr>
            <w:r>
              <w:t>1.434.600</w:t>
            </w:r>
          </w:p>
        </w:tc>
        <w:tc>
          <w:tcPr>
            <w:tcW w:w="2322" w:type="dxa"/>
          </w:tcPr>
          <w:p w:rsidR="00AC0832" w:rsidRDefault="00AC0832">
            <w:pPr>
              <w:pStyle w:val="CellColumn"/>
            </w:pPr>
            <w:r>
              <w:t>1.143.007</w:t>
            </w:r>
          </w:p>
        </w:tc>
        <w:tc>
          <w:tcPr>
            <w:tcW w:w="2322" w:type="dxa"/>
          </w:tcPr>
          <w:p w:rsidR="00AC0832" w:rsidRDefault="00AC0832">
            <w:pPr>
              <w:pStyle w:val="CellColumn"/>
            </w:pPr>
            <w:r>
              <w:t>79,7</w:t>
            </w:r>
          </w:p>
        </w:tc>
      </w:tr>
      <w:tr w:rsidR="00AC0832" w:rsidTr="00BE20ED">
        <w:trPr>
          <w:jc w:val="center"/>
        </w:trPr>
        <w:tc>
          <w:tcPr>
            <w:tcW w:w="2322" w:type="dxa"/>
          </w:tcPr>
          <w:p w:rsidR="00AC0832" w:rsidRDefault="00AC0832">
            <w:pPr>
              <w:pStyle w:val="CellColumnSmall"/>
            </w:pPr>
            <w:r>
              <w:t>2107-PRUŽANJE PODRŠKE RADU VLADE REPUBLIKE HRVATSKE</w:t>
            </w:r>
          </w:p>
        </w:tc>
        <w:tc>
          <w:tcPr>
            <w:tcW w:w="2322" w:type="dxa"/>
          </w:tcPr>
          <w:p w:rsidR="00AC0832" w:rsidRDefault="00AC0832">
            <w:pPr>
              <w:pStyle w:val="CellColumnSmall"/>
            </w:pPr>
            <w:r>
              <w:t>1.434.600</w:t>
            </w:r>
          </w:p>
        </w:tc>
        <w:tc>
          <w:tcPr>
            <w:tcW w:w="2322" w:type="dxa"/>
          </w:tcPr>
          <w:p w:rsidR="00AC0832" w:rsidRDefault="00AC0832">
            <w:pPr>
              <w:pStyle w:val="CellColumnSmall"/>
            </w:pPr>
            <w:r>
              <w:t>1.143.007</w:t>
            </w:r>
          </w:p>
        </w:tc>
        <w:tc>
          <w:tcPr>
            <w:tcW w:w="2322" w:type="dxa"/>
          </w:tcPr>
          <w:p w:rsidR="00AC0832" w:rsidRDefault="00AC0832">
            <w:pPr>
              <w:pStyle w:val="CellColumnSmall"/>
            </w:pPr>
            <w:r>
              <w:t>79,7</w:t>
            </w:r>
          </w:p>
        </w:tc>
      </w:tr>
    </w:tbl>
    <w:p w:rsidR="00AC0832" w:rsidRDefault="00AC0832">
      <w:pPr>
        <w:jc w:val="left"/>
      </w:pPr>
    </w:p>
    <w:p w:rsidR="00AC0832" w:rsidRDefault="00AC0832">
      <w:pPr>
        <w:pStyle w:val="Heading4"/>
      </w:pPr>
      <w:r>
        <w:t>OBRAZLOŽENJE PROGRAMA</w:t>
      </w:r>
    </w:p>
    <w:p w:rsidR="00AC0832" w:rsidRDefault="00AC0832">
      <w:pPr>
        <w:pStyle w:val="Heading5"/>
      </w:pPr>
      <w:r>
        <w:t>2107 PRUŽANJE PODRŠKE RADU VLADE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2107-PRUŽANJE PODRŠKE RADU VLADE REPUBLIKE HRVATSKE</w:t>
            </w:r>
          </w:p>
        </w:tc>
        <w:tc>
          <w:tcPr>
            <w:tcW w:w="2322" w:type="dxa"/>
          </w:tcPr>
          <w:p w:rsidR="00AC0832" w:rsidRDefault="00AC0832">
            <w:pPr>
              <w:pStyle w:val="CellColumn"/>
            </w:pPr>
            <w:r>
              <w:t>1.434.600</w:t>
            </w:r>
          </w:p>
        </w:tc>
        <w:tc>
          <w:tcPr>
            <w:tcW w:w="2322" w:type="dxa"/>
          </w:tcPr>
          <w:p w:rsidR="00AC0832" w:rsidRDefault="00AC0832">
            <w:pPr>
              <w:pStyle w:val="CellColumn"/>
            </w:pPr>
            <w:r>
              <w:t>1.143.007</w:t>
            </w:r>
          </w:p>
        </w:tc>
        <w:tc>
          <w:tcPr>
            <w:tcW w:w="2322" w:type="dxa"/>
          </w:tcPr>
          <w:p w:rsidR="00AC0832" w:rsidRDefault="00AC0832">
            <w:pPr>
              <w:pStyle w:val="CellColumn"/>
            </w:pPr>
            <w:r>
              <w:t>79,7</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Pružanje podrške radu Vlade Republike Hrvatske od strane Ureda za protokol podrazumijeva obavljanje poslova protokola za potrebe Vlade Republike Hrvatske, predsjednika Vlade Republike Hrvatske te potpredsjednika Vlade Republike Hrvatske odnosno Ured predlaže, osmišljava i provodi aktivnosti vezane za službene posjete i putovanja navedenih dužnosnika; priprema i  organizira poslove u svezi posjeta predsjednika i potpredsjednika Vlade Republike Hrvatske u zemlji i inozemstvu, priprema i organizira službene posjete predsjednika stranih država, predsjednika i potpredsjednika vlada stranih država Vladi Republike Hrvatske; priprema i organizira radne sjednice Vlade Republike Hrvatske van Zagreba, odnosno u drugim županijama kao i svečane sjednice; priprema i organizira obilježavanje državnih praznika, skrbi za tiskanje pozivnica i jestvenika za svečane prigode, skrbi o nabavi poklona te vodi evidenciju istih; priprema i organizira prijeme i sastanke veleposlanika stranih država i visokih dužnosnika međunarodnih organizacija kod predsjednika i potpredsjednika Vlade Republike Hrvatske. </w:t>
      </w:r>
    </w:p>
    <w:p w:rsidR="00AC0832" w:rsidRDefault="00AC0832">
      <w:pPr>
        <w:pStyle w:val="Normal5"/>
      </w:pPr>
      <w:r>
        <w:t>Ured obavlja i poslove ceremonijala posebnih svečanih i drugih prigoda od značaja za Republiku Hrvatsku koje se odvijaju u zgradi Vlade Republike Hrvatske, ili na drugim lokacijama, a u kojima sudjeluju predsjednik i potpredsjednici Vlade Republike Hrvatske.</w:t>
      </w:r>
    </w:p>
    <w:p w:rsidR="00AC0832" w:rsidRDefault="00AC0832">
      <w:pPr>
        <w:pStyle w:val="Heading6"/>
      </w:pPr>
      <w:r>
        <w:t>Zakonske i druge pravne osnove</w:t>
      </w:r>
    </w:p>
    <w:p w:rsidR="00AC0832" w:rsidRDefault="00AC0832">
      <w:pPr>
        <w:pStyle w:val="Heading7"/>
      </w:pPr>
      <w:r>
        <w:t>Cilj 1. Kontinuitet i poboljšanje efikasnosti Vlade Republike Hrvatske</w:t>
      </w:r>
    </w:p>
    <w:p w:rsidR="00AC0832" w:rsidRDefault="00AC0832">
      <w:pPr>
        <w:pStyle w:val="Heading8"/>
        <w:jc w:val="left"/>
      </w:pPr>
      <w:r>
        <w:t>Opis provedbe cilja programa</w:t>
      </w:r>
    </w:p>
    <w:p w:rsidR="00AC0832" w:rsidRDefault="00AC0832">
      <w:pPr>
        <w:pStyle w:val="Normal6"/>
      </w:pPr>
      <w:r>
        <w:t xml:space="preserve">Obavljanjem protokolarnih poslova za potrebe Vlade Republike Hrvatske, predsjednika Vlade Republike Hrvatske te potpredsjednika Vlade Republike Hrvatske koji su navedeni u  </w:t>
      </w:r>
    </w:p>
    <w:p w:rsidR="00AC0832" w:rsidRDefault="00AC0832">
      <w:pPr>
        <w:pStyle w:val="Normal6"/>
      </w:pPr>
      <w:r>
        <w:t>Obrazloženju programa osigurava se kontinuirano funkcioniranje Vlade Republike Hrvatske kao nositelja izvršne vlasti, sukladno Ustavu Republike Hrvatske i zakonima.</w:t>
      </w:r>
    </w:p>
    <w:p w:rsidR="00AC0832" w:rsidRDefault="00AC0832">
      <w:pPr>
        <w:pStyle w:val="Heading6"/>
      </w:pPr>
      <w:r>
        <w:t>A686000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A686000-ADMINISTRACIJA I UPRAVLJANJE</w:t>
            </w:r>
          </w:p>
        </w:tc>
        <w:tc>
          <w:tcPr>
            <w:tcW w:w="2322" w:type="dxa"/>
          </w:tcPr>
          <w:p w:rsidR="00AC0832" w:rsidRDefault="00AC0832">
            <w:pPr>
              <w:pStyle w:val="CellColumn"/>
            </w:pPr>
            <w:r>
              <w:t>1.409.600</w:t>
            </w:r>
          </w:p>
        </w:tc>
        <w:tc>
          <w:tcPr>
            <w:tcW w:w="2322" w:type="dxa"/>
          </w:tcPr>
          <w:p w:rsidR="00AC0832" w:rsidRDefault="00AC0832">
            <w:pPr>
              <w:pStyle w:val="CellColumn"/>
            </w:pPr>
            <w:r>
              <w:t>1.121.841</w:t>
            </w:r>
          </w:p>
        </w:tc>
        <w:tc>
          <w:tcPr>
            <w:tcW w:w="2322" w:type="dxa"/>
          </w:tcPr>
          <w:p w:rsidR="00AC0832" w:rsidRDefault="00AC0832">
            <w:pPr>
              <w:pStyle w:val="CellColumn"/>
            </w:pPr>
            <w:r>
              <w:t>79,6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Kroz aktivnost A686000 Protokol Vlade Ured je u 2012. godini obavio poslove za potrebe Vlade Republike Hrvatske, predsjednika Vlade Republike Hrvatske te potpredsjednika Vlade Republike Hrvatske odnosno predlagao je, osmišljavao i provodio aktivnosti vezane za službene posjete i putovanja navedenih dužnosnika.</w:t>
      </w:r>
    </w:p>
    <w:p w:rsidR="00AC0832" w:rsidRDefault="00AC0832">
      <w:pPr>
        <w:pStyle w:val="Normal6"/>
      </w:pPr>
    </w:p>
    <w:p w:rsidR="00AC0832" w:rsidRDefault="00AC0832">
      <w:pPr>
        <w:pStyle w:val="Normal6"/>
      </w:pPr>
    </w:p>
    <w:p w:rsidR="00AC0832" w:rsidRDefault="00AC0832">
      <w:pPr>
        <w:pStyle w:val="Normal6"/>
      </w:pPr>
    </w:p>
    <w:p w:rsidR="00AC0832" w:rsidRDefault="00AC0832">
      <w:pPr>
        <w:pStyle w:val="Heading2"/>
      </w:pPr>
      <w:r>
        <w:t>02044 Ured Vlade RH za unutarnju reviziju</w:t>
      </w:r>
    </w:p>
    <w:p w:rsidR="00AC0832" w:rsidRDefault="00AC0832">
      <w:pPr>
        <w:pStyle w:val="Heading4"/>
      </w:pPr>
      <w:r>
        <w:t>Uvod</w:t>
      </w:r>
    </w:p>
    <w:p w:rsidR="00AC0832" w:rsidRDefault="00AC0832">
      <w:pPr>
        <w:pStyle w:val="Normal3"/>
      </w:pPr>
      <w:r>
        <w:t xml:space="preserve">Ured Vlade Republike Hrvatske za unutarnju reviziju, kao zajednička jedinica za unutarnju reviziju ureda i drugih stručnih službi Vlade Republike Hrvatske, tijekom 2012. godine obavljao je sljedeće poslove i zadatke:   </w:t>
      </w:r>
    </w:p>
    <w:p w:rsidR="00AC0832" w:rsidRDefault="00AC0832">
      <w:pPr>
        <w:pStyle w:val="Normal3"/>
      </w:pPr>
      <w:r>
        <w:t xml:space="preserve">- unutarnju reviziju ureda i drugih stručnih službi Vlade, </w:t>
      </w:r>
    </w:p>
    <w:p w:rsidR="00AC0832" w:rsidRDefault="00AC0832">
      <w:pPr>
        <w:pStyle w:val="Normal3"/>
      </w:pPr>
      <w:r>
        <w:t xml:space="preserve">- reviziju administracije, financijskog i tehničkog upravljačkog sustava kod korisnika proračuna  </w:t>
      </w:r>
    </w:p>
    <w:p w:rsidR="00AC0832" w:rsidRDefault="00AC0832">
      <w:pPr>
        <w:pStyle w:val="Normal3"/>
      </w:pPr>
      <w:r>
        <w:t xml:space="preserve">  ovlaštenih za provedbu programa i projekata koje financira Europska unija, </w:t>
      </w:r>
    </w:p>
    <w:p w:rsidR="00AC0832" w:rsidRDefault="00AC0832">
      <w:pPr>
        <w:pStyle w:val="Normal3"/>
      </w:pPr>
      <w:r>
        <w:t xml:space="preserve">- davanje stručnih mišljenja u svrhu poboljšanja poslovanja ureda i službi Vlade, </w:t>
      </w:r>
    </w:p>
    <w:p w:rsidR="00AC0832" w:rsidRDefault="00AC0832">
      <w:pPr>
        <w:pStyle w:val="Normal3"/>
      </w:pPr>
      <w:r>
        <w:t xml:space="preserve">- praćenje provedbe preporuka prema planu djelovanja iz prethodno obavljenih revizija, </w:t>
      </w:r>
    </w:p>
    <w:p w:rsidR="00AC0832" w:rsidRDefault="00AC0832">
      <w:pPr>
        <w:pStyle w:val="Normal3"/>
      </w:pPr>
      <w:r>
        <w:t xml:space="preserve">- izrada izvješća o obavljenim unutarnjim revizijama, </w:t>
      </w:r>
    </w:p>
    <w:p w:rsidR="00AC0832" w:rsidRDefault="00AC0832">
      <w:pPr>
        <w:pStyle w:val="Normal3"/>
      </w:pPr>
      <w:r>
        <w:t xml:space="preserve">- izrada strateškog i godišnjeg plana unutarnje revizije ureda i službi Vlade, </w:t>
      </w:r>
    </w:p>
    <w:p w:rsidR="00AC0832" w:rsidRDefault="00AC0832">
      <w:pPr>
        <w:pStyle w:val="Normal3"/>
      </w:pPr>
      <w:r>
        <w:t xml:space="preserve">- izrada godišnjih izvješća unutarnje revizije te pojedinačnih ili povremenih izvješća unutarnje          </w:t>
      </w:r>
    </w:p>
    <w:p w:rsidR="00AC0832" w:rsidRDefault="00AC0832">
      <w:pPr>
        <w:pStyle w:val="Normal3"/>
      </w:pPr>
      <w:r>
        <w:t xml:space="preserve">  revizije, </w:t>
      </w:r>
    </w:p>
    <w:p w:rsidR="00AC0832" w:rsidRDefault="00AC0832">
      <w:pPr>
        <w:pStyle w:val="Normal3"/>
      </w:pPr>
      <w:r>
        <w:t xml:space="preserve">- izrada mišljenja unutarnjih revizora o sustavu financijskog upravljanja i kontrola za područja koja su  </w:t>
      </w:r>
    </w:p>
    <w:p w:rsidR="00AC0832" w:rsidRDefault="00AC0832">
      <w:pPr>
        <w:pStyle w:val="Normal3"/>
      </w:pPr>
      <w:r>
        <w:t xml:space="preserve">  bila revidirana u 2011. godini, kao prilog izjave o fiskalnoj odgovornosti, </w:t>
      </w:r>
    </w:p>
    <w:p w:rsidR="00AC0832" w:rsidRDefault="00AC0832">
      <w:pPr>
        <w:pStyle w:val="Normal3"/>
      </w:pPr>
      <w:r>
        <w:t xml:space="preserve">- procjenu sustava, procesa i sustava unutarnjih kontrola na temelju procjene rizika, </w:t>
      </w:r>
    </w:p>
    <w:p w:rsidR="00AC0832" w:rsidRDefault="00AC0832">
      <w:pPr>
        <w:pStyle w:val="Normal3"/>
      </w:pPr>
      <w:r>
        <w:t>- analizu i ocjenu poslovnih funkcija iz nadležnosti ureda i službi Vlade.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02044-Ured Vlade RH za unutarnju reviziju</w:t>
            </w:r>
          </w:p>
        </w:tc>
        <w:tc>
          <w:tcPr>
            <w:tcW w:w="2322" w:type="dxa"/>
          </w:tcPr>
          <w:p w:rsidR="00AC0832" w:rsidRDefault="00AC0832">
            <w:pPr>
              <w:pStyle w:val="CellColumn"/>
            </w:pPr>
            <w:r>
              <w:t>1.999.271</w:t>
            </w:r>
          </w:p>
        </w:tc>
        <w:tc>
          <w:tcPr>
            <w:tcW w:w="2322" w:type="dxa"/>
          </w:tcPr>
          <w:p w:rsidR="00AC0832" w:rsidRDefault="00AC0832">
            <w:pPr>
              <w:pStyle w:val="CellColumn"/>
            </w:pPr>
            <w:r>
              <w:t>1.868.788</w:t>
            </w:r>
          </w:p>
        </w:tc>
        <w:tc>
          <w:tcPr>
            <w:tcW w:w="2322" w:type="dxa"/>
          </w:tcPr>
          <w:p w:rsidR="00AC0832" w:rsidRDefault="00AC0832">
            <w:pPr>
              <w:pStyle w:val="CellColumn"/>
            </w:pPr>
            <w:r>
              <w:t>93,5</w:t>
            </w:r>
          </w:p>
        </w:tc>
      </w:tr>
      <w:tr w:rsidR="00AC0832" w:rsidTr="00BE20ED">
        <w:trPr>
          <w:jc w:val="center"/>
        </w:trPr>
        <w:tc>
          <w:tcPr>
            <w:tcW w:w="2322" w:type="dxa"/>
          </w:tcPr>
          <w:p w:rsidR="00AC0832" w:rsidRDefault="00AC0832">
            <w:pPr>
              <w:pStyle w:val="CellColumnSmall"/>
            </w:pPr>
            <w:r>
              <w:t>2107-PRUŽANJE PODRŠKE RADU VLADE REPUBLIKE HRVATSKE</w:t>
            </w:r>
          </w:p>
        </w:tc>
        <w:tc>
          <w:tcPr>
            <w:tcW w:w="2322" w:type="dxa"/>
          </w:tcPr>
          <w:p w:rsidR="00AC0832" w:rsidRDefault="00AC0832">
            <w:pPr>
              <w:pStyle w:val="CellColumnSmall"/>
            </w:pPr>
            <w:r>
              <w:t>1.999.271</w:t>
            </w:r>
          </w:p>
        </w:tc>
        <w:tc>
          <w:tcPr>
            <w:tcW w:w="2322" w:type="dxa"/>
          </w:tcPr>
          <w:p w:rsidR="00AC0832" w:rsidRDefault="00AC0832">
            <w:pPr>
              <w:pStyle w:val="CellColumnSmall"/>
            </w:pPr>
            <w:r>
              <w:t>1.868.788</w:t>
            </w:r>
          </w:p>
        </w:tc>
        <w:tc>
          <w:tcPr>
            <w:tcW w:w="2322" w:type="dxa"/>
          </w:tcPr>
          <w:p w:rsidR="00AC0832" w:rsidRDefault="00AC0832">
            <w:pPr>
              <w:pStyle w:val="CellColumnSmall"/>
            </w:pPr>
            <w:r>
              <w:t>93,5</w:t>
            </w:r>
          </w:p>
        </w:tc>
      </w:tr>
    </w:tbl>
    <w:p w:rsidR="00AC0832" w:rsidRDefault="00AC0832">
      <w:pPr>
        <w:jc w:val="left"/>
      </w:pPr>
    </w:p>
    <w:p w:rsidR="00AC0832" w:rsidRDefault="00AC0832">
      <w:pPr>
        <w:pStyle w:val="Heading4"/>
      </w:pPr>
      <w:r>
        <w:t>OBRAZLOŽENJE PROGRAMA</w:t>
      </w:r>
    </w:p>
    <w:p w:rsidR="00AC0832" w:rsidRDefault="00AC0832">
      <w:pPr>
        <w:pStyle w:val="Heading5"/>
      </w:pPr>
      <w:r>
        <w:t>2107 PRUŽANJE PODRŠKE RADU VLADE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2107-PRUŽANJE PODRŠKE RADU VLADE REPUBLIKE HRVATSKE</w:t>
            </w:r>
          </w:p>
        </w:tc>
        <w:tc>
          <w:tcPr>
            <w:tcW w:w="2322" w:type="dxa"/>
          </w:tcPr>
          <w:p w:rsidR="00AC0832" w:rsidRDefault="00AC0832">
            <w:pPr>
              <w:pStyle w:val="CellColumn"/>
            </w:pPr>
            <w:r>
              <w:t>1.999.271</w:t>
            </w:r>
          </w:p>
        </w:tc>
        <w:tc>
          <w:tcPr>
            <w:tcW w:w="2322" w:type="dxa"/>
          </w:tcPr>
          <w:p w:rsidR="00AC0832" w:rsidRDefault="00AC0832">
            <w:pPr>
              <w:pStyle w:val="CellColumn"/>
            </w:pPr>
            <w:r>
              <w:t>1.868.788</w:t>
            </w:r>
          </w:p>
        </w:tc>
        <w:tc>
          <w:tcPr>
            <w:tcW w:w="2322" w:type="dxa"/>
          </w:tcPr>
          <w:p w:rsidR="00AC0832" w:rsidRDefault="00AC0832">
            <w:pPr>
              <w:pStyle w:val="CellColumn"/>
            </w:pPr>
            <w:r>
              <w:t>93,5</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Primarna zadaća Ureda za unutarnju reviziju je da, kao zajednička jedinica za unutarnju reviziju ureda i drugih stručnih službi Vlade, obavlja unutarnju reviziju neovisno i objektivno, utvrđuje ostvarenje njihovih cjelovitih zadaća i funkcija na temelju analize i procjena sustava unutarnjih kontrola.  </w:t>
      </w:r>
    </w:p>
    <w:p w:rsidR="00AC0832" w:rsidRDefault="00AC0832">
      <w:pPr>
        <w:pStyle w:val="Normal5"/>
      </w:pPr>
      <w:r>
        <w:t>Cilj provedbe programa je osiguranje kontinuiteta i povećanje efikasnosti i ekonomičnosti poslovanja ureda i stručnih službi Vlade Republike Hrvatske koji je Ured proveo obavljanjem unutarnjih revizija za koje su izrađena konačna izvješća te povećanjem kvalitete obavljanja poslova iz djelokruga Ureda.</w:t>
      </w:r>
    </w:p>
    <w:p w:rsidR="00AC0832" w:rsidRDefault="00AC0832">
      <w:pPr>
        <w:pStyle w:val="Heading6"/>
      </w:pPr>
      <w:r>
        <w:t>Zakonske i druge pravne osnove</w:t>
      </w:r>
    </w:p>
    <w:p w:rsidR="00AC0832" w:rsidRDefault="00AC0832">
      <w:pPr>
        <w:pStyle w:val="Normal5"/>
      </w:pPr>
      <w:r>
        <w:t xml:space="preserve">•Zakon o sustavu unutarnjih financijskih kontrola u javnom sektoru („Narodne novine“ 141/2006), </w:t>
      </w:r>
    </w:p>
    <w:p w:rsidR="00AC0832" w:rsidRDefault="00AC0832">
      <w:pPr>
        <w:pStyle w:val="Normal5"/>
      </w:pPr>
      <w:r>
        <w:t xml:space="preserve">•Uredba o Uredu Vlade Republike Hrvatske za unutarnju reviziju („Narodne novine“ 39/2012), </w:t>
      </w:r>
    </w:p>
    <w:p w:rsidR="00AC0832" w:rsidRDefault="00AC0832">
      <w:pPr>
        <w:pStyle w:val="Normal5"/>
      </w:pPr>
      <w:r>
        <w:t>•Pravilnik o unutarnjoj reviziji korisnika proračuna („Narodne novine“ 35/2008),</w:t>
      </w:r>
    </w:p>
    <w:p w:rsidR="00AC0832" w:rsidRDefault="00AC0832">
      <w:pPr>
        <w:pStyle w:val="Heading7"/>
      </w:pPr>
      <w:r>
        <w:t xml:space="preserve">Cilj 1. Osiguranje kontinuiteta i povećanje efikasnosti i ekonomičnosti poslovanja ureda i stručnih službi Vlade Republike Hrvatske </w:t>
      </w:r>
    </w:p>
    <w:p w:rsidR="00AC0832" w:rsidRDefault="00AC0832">
      <w:pPr>
        <w:pStyle w:val="Heading8"/>
        <w:jc w:val="left"/>
      </w:pPr>
      <w:r>
        <w:t>Opis provedbe cilja programa</w:t>
      </w:r>
    </w:p>
    <w:p w:rsidR="00AC0832" w:rsidRDefault="00AC0832">
      <w:pPr>
        <w:pStyle w:val="Normal6"/>
      </w:pPr>
      <w:r>
        <w:t xml:space="preserve">Obavljanjem poslova unutarnje revizije kod ureda i drugih stručnih službi Vlade analizira se i utvrđuje ostvarivanje njihovih cjelovitih zadaća i funkcija na temelju procjena sustava unutarnjih kontrola, a davanjem preporuka za otklanjanje uočenih slabosti i nedostataka te praćenjem njihove provedbe utječe se na povećanje efikasnosti i ekonomičnosti njihova poslovanja.  </w:t>
      </w:r>
    </w:p>
    <w:p w:rsidR="00AC0832" w:rsidRDefault="00AC0832">
      <w:pPr>
        <w:pStyle w:val="Normal6"/>
      </w:pPr>
      <w:r>
        <w:t xml:space="preserve">Poslovi unutarnje revizije obavljaju se na temelju godišnjeg plana odobrenog od strane čelnika ureda, stručnih službi odnosno tijela čiji je proces bio predmet revizije.  </w:t>
      </w:r>
    </w:p>
    <w:p w:rsidR="00AC0832" w:rsidRDefault="00AC0832">
      <w:pPr>
        <w:pStyle w:val="Normal6"/>
      </w:pPr>
      <w:r>
        <w:t xml:space="preserve">Godišnjim planom unutarnje revizije za 2012. godinu, odnosno njegovim izmjenama i dopunama planirano je obavljanje 13 unutarnjih revizija i 1 ad hoc. Sve planirane revizije su provedene i za njih su izrađena konačna revizorska izvješća. Za provedbu planirane ad hoc revizije nije iskazan interes od strane čelnika revidiranih subjekata. </w:t>
      </w:r>
    </w:p>
    <w:p w:rsidR="00AC0832" w:rsidRDefault="00AC0832">
      <w:pPr>
        <w:pStyle w:val="Normal6"/>
      </w:pPr>
      <w:r>
        <w:t>U okviru obavljenih 13 revizija u uredima i drugim stručnim službama Vlade te tijelima s kojima Ured ima potpisan sporazum o obavljanju poslova unutarnje revizije dano je 48 preporuka za uklanjanje uočenih slabosti i nedostataka, od kojih je 37 provedeno.  Od preostalih 11 neprovedenih preporuka, 6 preporuka nije provedeno iz razloga što nije istekao rok provedbe, a 5 preporuka koje su se trebale provesti do 31. prosinca 2012. godine nisu provedene zbog otegotnih okolnosti uzrokovanih organizacijskim promjenama revidiranog subjekta.</w:t>
      </w:r>
    </w:p>
    <w:p w:rsidR="00AC0832" w:rsidRDefault="00AC0832">
      <w:pPr>
        <w:pStyle w:val="Heading6"/>
      </w:pPr>
      <w:r>
        <w:t>A687000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A687000-ADMINISTRACIJA I UPRAVLJANJE</w:t>
            </w:r>
          </w:p>
        </w:tc>
        <w:tc>
          <w:tcPr>
            <w:tcW w:w="2322" w:type="dxa"/>
          </w:tcPr>
          <w:p w:rsidR="00AC0832" w:rsidRDefault="00AC0832">
            <w:pPr>
              <w:pStyle w:val="CellColumn"/>
            </w:pPr>
            <w:r>
              <w:t>1.978.271</w:t>
            </w:r>
          </w:p>
        </w:tc>
        <w:tc>
          <w:tcPr>
            <w:tcW w:w="2322" w:type="dxa"/>
          </w:tcPr>
          <w:p w:rsidR="00AC0832" w:rsidRDefault="00AC0832">
            <w:pPr>
              <w:pStyle w:val="CellColumn"/>
            </w:pPr>
            <w:r>
              <w:t>1.851.364</w:t>
            </w:r>
          </w:p>
        </w:tc>
        <w:tc>
          <w:tcPr>
            <w:tcW w:w="2322" w:type="dxa"/>
          </w:tcPr>
          <w:p w:rsidR="00AC0832" w:rsidRDefault="00AC0832">
            <w:pPr>
              <w:pStyle w:val="CellColumn"/>
            </w:pPr>
            <w:r>
              <w:t>93,6</w:t>
            </w:r>
          </w:p>
        </w:tc>
      </w:tr>
    </w:tbl>
    <w:p w:rsidR="00AC0832" w:rsidRDefault="00AC0832">
      <w:pPr>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Aktivnost A 687000 „Administracija i upravljanje“ odnosi se na jedinu djelatnost koju Ured, kao zajednička jedinica za unutarnju reviziju ureda i drugih stručnih službi Vlade može obavljati, a to su poslovi unutarnje revizije ureda, stručnih službi i tijela javne vlasti s kojima Ured ima potpisane sporazume o obavljanju poslova unutarnje revizije.</w:t>
      </w:r>
    </w:p>
    <w:p w:rsidR="00AC0832" w:rsidRDefault="00AC0832">
      <w:pPr>
        <w:pStyle w:val="Heading2"/>
      </w:pPr>
      <w:r>
        <w:t>02046 Direkcija za korištenje službenim zrakoplovom</w:t>
      </w:r>
    </w:p>
    <w:p w:rsidR="00AC0832" w:rsidRDefault="00AC0832">
      <w:pPr>
        <w:pStyle w:val="Heading4"/>
      </w:pPr>
      <w:r>
        <w:t>Uvod</w:t>
      </w:r>
    </w:p>
    <w:p w:rsidR="00AC0832" w:rsidRDefault="00AC0832">
      <w:pPr>
        <w:pStyle w:val="Normal3"/>
      </w:pPr>
      <w:r>
        <w:t>Direkcija za korištenje službenih zrakoplova Vlade RH (u daljnjem tekstu Direkcija) je stručna služba Vlade Republike Hrvatske za obavljanje zračnog prijevoza za vlastite potrebe tijela državne vlasti Republike Hrvatske, te za obavljanje zračnog prijevoza za potrebe pravnih osoba kojih je osnivač ili vlasnik Vlada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02046-Direkcija za korištenje službenim zrakoplovom</w:t>
            </w:r>
          </w:p>
        </w:tc>
        <w:tc>
          <w:tcPr>
            <w:tcW w:w="2322" w:type="dxa"/>
          </w:tcPr>
          <w:p w:rsidR="00AC0832" w:rsidRDefault="00AC0832">
            <w:pPr>
              <w:pStyle w:val="CellColumn"/>
            </w:pPr>
            <w:r>
              <w:t>6.243.600</w:t>
            </w:r>
          </w:p>
        </w:tc>
        <w:tc>
          <w:tcPr>
            <w:tcW w:w="2322" w:type="dxa"/>
          </w:tcPr>
          <w:p w:rsidR="00AC0832" w:rsidRDefault="00AC0832">
            <w:pPr>
              <w:pStyle w:val="CellColumn"/>
            </w:pPr>
            <w:r>
              <w:t>5.154.121</w:t>
            </w:r>
          </w:p>
        </w:tc>
        <w:tc>
          <w:tcPr>
            <w:tcW w:w="2322" w:type="dxa"/>
          </w:tcPr>
          <w:p w:rsidR="00AC0832" w:rsidRDefault="00AC0832">
            <w:pPr>
              <w:pStyle w:val="CellColumn"/>
            </w:pPr>
            <w:r>
              <w:t>82,6</w:t>
            </w:r>
          </w:p>
        </w:tc>
      </w:tr>
      <w:tr w:rsidR="00AC0832" w:rsidTr="00BE20ED">
        <w:trPr>
          <w:jc w:val="center"/>
        </w:trPr>
        <w:tc>
          <w:tcPr>
            <w:tcW w:w="2322" w:type="dxa"/>
          </w:tcPr>
          <w:p w:rsidR="00AC0832" w:rsidRDefault="00AC0832">
            <w:pPr>
              <w:pStyle w:val="CellColumnSmall"/>
            </w:pPr>
            <w:r>
              <w:t>2406-ZRAČNI PRIJEVOZ ZA TIJELA DRŽAVNE VLASTI</w:t>
            </w:r>
          </w:p>
        </w:tc>
        <w:tc>
          <w:tcPr>
            <w:tcW w:w="2322" w:type="dxa"/>
          </w:tcPr>
          <w:p w:rsidR="00AC0832" w:rsidRDefault="00AC0832">
            <w:pPr>
              <w:pStyle w:val="CellColumnSmall"/>
            </w:pPr>
            <w:r>
              <w:t>6.243.600</w:t>
            </w:r>
          </w:p>
        </w:tc>
        <w:tc>
          <w:tcPr>
            <w:tcW w:w="2322" w:type="dxa"/>
          </w:tcPr>
          <w:p w:rsidR="00AC0832" w:rsidRDefault="00AC0832">
            <w:pPr>
              <w:pStyle w:val="CellColumnSmall"/>
            </w:pPr>
            <w:r>
              <w:t>5.154.121</w:t>
            </w:r>
          </w:p>
        </w:tc>
        <w:tc>
          <w:tcPr>
            <w:tcW w:w="2322" w:type="dxa"/>
          </w:tcPr>
          <w:p w:rsidR="00AC0832" w:rsidRDefault="00AC0832">
            <w:pPr>
              <w:pStyle w:val="CellColumnSmall"/>
            </w:pPr>
            <w:r>
              <w:t>82,6</w:t>
            </w:r>
          </w:p>
        </w:tc>
      </w:tr>
    </w:tbl>
    <w:p w:rsidR="00AC0832" w:rsidRDefault="00AC0832">
      <w:pPr>
        <w:jc w:val="left"/>
      </w:pPr>
    </w:p>
    <w:p w:rsidR="00AC0832" w:rsidRDefault="00AC0832">
      <w:pPr>
        <w:pStyle w:val="Heading4"/>
      </w:pPr>
      <w:r>
        <w:t>OBRAZLOŽENJE PROGRAMA</w:t>
      </w:r>
    </w:p>
    <w:p w:rsidR="00AC0832" w:rsidRDefault="00AC0832">
      <w:pPr>
        <w:pStyle w:val="Heading5"/>
      </w:pPr>
      <w:r>
        <w:t>2406 ZRAČNI PRIJEVOZ ZA TIJELA DRŽAVNE VLASTI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2406-ZRAČNI PRIJEVOZ ZA TIJELA DRŽAVNE VLASTI</w:t>
            </w:r>
          </w:p>
        </w:tc>
        <w:tc>
          <w:tcPr>
            <w:tcW w:w="2322" w:type="dxa"/>
          </w:tcPr>
          <w:p w:rsidR="00AC0832" w:rsidRDefault="00AC0832">
            <w:pPr>
              <w:pStyle w:val="CellColumn"/>
            </w:pPr>
            <w:r>
              <w:t>6.243.600</w:t>
            </w:r>
          </w:p>
        </w:tc>
        <w:tc>
          <w:tcPr>
            <w:tcW w:w="2322" w:type="dxa"/>
          </w:tcPr>
          <w:p w:rsidR="00AC0832" w:rsidRDefault="00AC0832">
            <w:pPr>
              <w:pStyle w:val="CellColumn"/>
            </w:pPr>
            <w:r>
              <w:t>5.154.121</w:t>
            </w:r>
          </w:p>
        </w:tc>
        <w:tc>
          <w:tcPr>
            <w:tcW w:w="2322" w:type="dxa"/>
          </w:tcPr>
          <w:p w:rsidR="00AC0832" w:rsidRDefault="00AC0832">
            <w:pPr>
              <w:pStyle w:val="CellColumn"/>
            </w:pPr>
            <w:r>
              <w:t>82,6</w:t>
            </w:r>
          </w:p>
        </w:tc>
      </w:tr>
    </w:tbl>
    <w:p w:rsidR="00AC0832" w:rsidRDefault="00AC0832">
      <w:pPr>
        <w:jc w:val="left"/>
      </w:pPr>
    </w:p>
    <w:p w:rsidR="00AC0832" w:rsidRDefault="00AC0832">
      <w:pPr>
        <w:pStyle w:val="Heading6"/>
      </w:pPr>
      <w:r>
        <w:t>Opis programa</w:t>
      </w:r>
    </w:p>
    <w:p w:rsidR="00AC0832" w:rsidRDefault="00AC0832">
      <w:pPr>
        <w:pStyle w:val="Normal5"/>
      </w:pPr>
      <w:r>
        <w:t xml:space="preserve">Direkcija u okviru osnovnog programa ima obvezu redovnog i kvalitetnog održavanja zrakoplova sukladno postavljenim nacionalnim i europskim standardima i propisima. Navedeni propisi i standardi obvezuju nas kao operatera zrakoplova na puno poštivanje istih, odnosno vrlo su bitan segment sigurnosti kod zračnog prijevoza VIP putnika. </w:t>
      </w:r>
    </w:p>
    <w:p w:rsidR="00AC0832" w:rsidRDefault="00AC0832">
      <w:pPr>
        <w:pStyle w:val="Normal5"/>
      </w:pPr>
      <w:r>
        <w:t xml:space="preserve">Sustav održavanja zrakoplova dizajniran je na način da zahtijeva povećani obujam pregleda, servisa i popravaka u inozemnim ovlaštenim organizacijama za održavanje zrakoplova, odnosno isključivo ugradnju originalnih dijelova po propisanim procedurama. U slučaju bilo kakvog odstupanja od zadanih elemenata gubi se svako pravo na osiguranje zrakoplova. </w:t>
      </w:r>
    </w:p>
    <w:p w:rsidR="00AC0832" w:rsidRDefault="00AC0832">
      <w:pPr>
        <w:pStyle w:val="Normal5"/>
      </w:pPr>
      <w:r>
        <w:t>Za sigurno i kvalitetno odvijanje letova vrlo je važno stručno osposobljeno osoblje koji se permanentno usavršava u skladu s vrlo zahtjevnim europskim normama i propisima, a u slučaju nepoštivanja istih moguće su sankcije koje uključuju ukidanje svedodžbe o plovidbenosti i prizemljenje zrakoplova od strane Hrvatske agencije za civilno zrakoplovstvo.</w:t>
      </w:r>
    </w:p>
    <w:p w:rsidR="00AC0832" w:rsidRDefault="00AC0832">
      <w:pPr>
        <w:pStyle w:val="Heading6"/>
      </w:pPr>
      <w:r>
        <w:t>Zakonske i druge pravne osnove</w:t>
      </w:r>
    </w:p>
    <w:p w:rsidR="00AC0832" w:rsidRDefault="00AC0832">
      <w:pPr>
        <w:pStyle w:val="Normal5"/>
      </w:pPr>
      <w:r>
        <w:t xml:space="preserve">- Zakon o Vladi RH </w:t>
      </w:r>
    </w:p>
    <w:p w:rsidR="00AC0832" w:rsidRDefault="00AC0832">
      <w:pPr>
        <w:pStyle w:val="Normal5"/>
      </w:pPr>
      <w:r>
        <w:t xml:space="preserve">- Zakon o sustavu državne uprave </w:t>
      </w:r>
    </w:p>
    <w:p w:rsidR="00AC0832" w:rsidRDefault="00AC0832">
      <w:pPr>
        <w:pStyle w:val="Normal5"/>
      </w:pPr>
      <w:r>
        <w:t xml:space="preserve">- Uredba o načelima za unutarnje ustrojstvo tijela državne uprave </w:t>
      </w:r>
    </w:p>
    <w:p w:rsidR="00AC0832" w:rsidRDefault="00AC0832">
      <w:pPr>
        <w:pStyle w:val="Normal5"/>
      </w:pPr>
      <w:r>
        <w:t xml:space="preserve">- Uredba o Direkciji za korištenje službenih zrakoplova </w:t>
      </w:r>
    </w:p>
    <w:p w:rsidR="00AC0832" w:rsidRDefault="00AC0832">
      <w:pPr>
        <w:pStyle w:val="Normal5"/>
      </w:pPr>
      <w:r>
        <w:t xml:space="preserve">- Zakon o zračnom prometu; </w:t>
      </w:r>
    </w:p>
    <w:p w:rsidR="00AC0832" w:rsidRDefault="00AC0832">
      <w:pPr>
        <w:pStyle w:val="Normal5"/>
      </w:pPr>
      <w:r>
        <w:t xml:space="preserve">- Zakon o obveznim i stvarno-pravnim odnosima u zračnom prometu; </w:t>
      </w:r>
    </w:p>
    <w:p w:rsidR="00AC0832" w:rsidRDefault="00AC0832">
      <w:pPr>
        <w:pStyle w:val="Normal5"/>
      </w:pPr>
      <w:r>
        <w:t xml:space="preserve">- Zakon o obveznim osiguranjima u prometu; </w:t>
      </w:r>
    </w:p>
    <w:p w:rsidR="00AC0832" w:rsidRDefault="00AC0832">
      <w:pPr>
        <w:pStyle w:val="Normal5"/>
      </w:pPr>
      <w:r>
        <w:t xml:space="preserve">- Pravilnik o zahtjevima za izvođenje operacija zrakoplovima i o organizacijskim zahtjevima kojima moraju udovoljavati operatori zrakoplova; </w:t>
      </w:r>
    </w:p>
    <w:p w:rsidR="00AC0832" w:rsidRDefault="00AC0832">
      <w:pPr>
        <w:pStyle w:val="Normal5"/>
      </w:pPr>
      <w:r>
        <w:t xml:space="preserve">- Pravilnik o letenju zrakoplova; </w:t>
      </w:r>
    </w:p>
    <w:p w:rsidR="00AC0832" w:rsidRDefault="00AC0832">
      <w:pPr>
        <w:pStyle w:val="Normal5"/>
      </w:pPr>
      <w:r>
        <w:t xml:space="preserve">- Pravilnik o kontinuiranoj plovidbenosti zrakoplova i aeronautičkih proizvoda, dijelova uređaja, te o ovlaštenju organizacija i osoblja uključenih u te poslove; </w:t>
      </w:r>
    </w:p>
    <w:p w:rsidR="00AC0832" w:rsidRDefault="00AC0832">
      <w:pPr>
        <w:pStyle w:val="Normal5"/>
      </w:pPr>
      <w:r>
        <w:t xml:space="preserve">- Pravilnik o zajedničkim pravilima u području civilnog zrakoplovstva i nadležnostima Europske agencije za sigurnost zračnog prometa; </w:t>
      </w:r>
    </w:p>
    <w:p w:rsidR="00AC0832" w:rsidRDefault="00AC0832">
      <w:pPr>
        <w:pStyle w:val="Normal5"/>
      </w:pPr>
      <w:r>
        <w:t xml:space="preserve">- Pravilnik o uvjetima i načinu stjecanja, izdavanja, obnavljanja i produžavanja dozvole i ovlaštenja zrakoplovnom osoblju – pilotima aviona; </w:t>
      </w:r>
    </w:p>
    <w:p w:rsidR="00AC0832" w:rsidRDefault="00AC0832">
      <w:pPr>
        <w:pStyle w:val="Normal5"/>
      </w:pPr>
      <w:r>
        <w:t xml:space="preserve">- Pravilnik o radnom vremenu članova posade zrakoplova; </w:t>
      </w:r>
    </w:p>
    <w:p w:rsidR="00AC0832" w:rsidRDefault="00AC0832">
      <w:pPr>
        <w:pStyle w:val="Normal5"/>
      </w:pPr>
      <w:r>
        <w:t xml:space="preserve">- Pravilnik o uvjetima i načinu stjecanja, izdavanja, obnavljanja i produžavanja dozvole i ovlaštenja zrakoplovnom osoblju za pripremu, otpremu i praćenje leta; </w:t>
      </w:r>
    </w:p>
    <w:p w:rsidR="00AC0832" w:rsidRDefault="00AC0832">
      <w:pPr>
        <w:pStyle w:val="Normal5"/>
      </w:pPr>
      <w:r>
        <w:t>- Ostalim propisima i zakonskim aktima iz područja civilnog zračnog prometa važećima u Republici Hrvatskoj koji se tiču rada Direkcije.</w:t>
      </w:r>
    </w:p>
    <w:p w:rsidR="00AC0832" w:rsidRDefault="00AC0832">
      <w:pPr>
        <w:pStyle w:val="Heading7"/>
      </w:pPr>
      <w:r>
        <w:t>Cilj 1. Sigurnost i kvaliteta letova</w:t>
      </w:r>
    </w:p>
    <w:p w:rsidR="00AC0832" w:rsidRDefault="00AC0832">
      <w:pPr>
        <w:pStyle w:val="Heading8"/>
        <w:jc w:val="left"/>
      </w:pPr>
      <w:r>
        <w:t>Opis provedbe cilja programa</w:t>
      </w:r>
    </w:p>
    <w:p w:rsidR="00AC0832" w:rsidRDefault="00AC0832">
      <w:pPr>
        <w:pStyle w:val="Normal6"/>
      </w:pPr>
      <w:r>
        <w:t xml:space="preserve">Prvenstveni cilj Direkcije je sigurnost i kvaliteta letačkih operacija, a da bi se isti realizirao, pored tehnički ispravnog i redovno održavanog zrakoplova važno je i konstantno usavršavanje stručnog osoblja odnosno posade zrakoplova. </w:t>
      </w:r>
    </w:p>
    <w:p w:rsidR="00AC0832" w:rsidRDefault="00AC0832">
      <w:pPr>
        <w:pStyle w:val="Normal6"/>
      </w:pPr>
      <w:r>
        <w:t xml:space="preserve">Direkcija je u 2012. godini ostvarila 171 let. Za potrebe Predsjednika RH 48, Predsjednika Sabora RH 26.5, Predsjednika Vlade RH 66.5, za potrebe Vlade RH 07, Ministarstva vanjskih i europskih poslova 02, Ministarstva obrane 02, medicinski letovi 12, tehnički letovi odnosno servis i održavanje zrakoplova 04 letova, i za potrebe Direkcije 03. </w:t>
      </w:r>
    </w:p>
    <w:p w:rsidR="00AC0832" w:rsidRDefault="00AC0832">
      <w:pPr>
        <w:pStyle w:val="Normal6"/>
      </w:pPr>
      <w:r>
        <w:t>Tijekom 2012.godine zrakoplov je redovito održavan i servisiran i svi letovi su uspješno realizirani.</w:t>
      </w:r>
    </w:p>
    <w:p w:rsidR="00AC0832" w:rsidRDefault="00AC0832">
      <w:pPr>
        <w:pStyle w:val="Heading6"/>
      </w:pPr>
      <w:r>
        <w:t>A691000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A691000-ADMINISTRACIJA I UPRAVLJANJE</w:t>
            </w:r>
          </w:p>
        </w:tc>
        <w:tc>
          <w:tcPr>
            <w:tcW w:w="2322" w:type="dxa"/>
          </w:tcPr>
          <w:p w:rsidR="00AC0832" w:rsidRDefault="00AC0832">
            <w:pPr>
              <w:pStyle w:val="CellColumn"/>
            </w:pPr>
            <w:r>
              <w:t>6.229.100</w:t>
            </w:r>
          </w:p>
        </w:tc>
        <w:tc>
          <w:tcPr>
            <w:tcW w:w="2322" w:type="dxa"/>
          </w:tcPr>
          <w:p w:rsidR="00AC0832" w:rsidRDefault="00AC0832">
            <w:pPr>
              <w:pStyle w:val="CellColumn"/>
            </w:pPr>
            <w:r>
              <w:t>5.154.121</w:t>
            </w:r>
          </w:p>
        </w:tc>
        <w:tc>
          <w:tcPr>
            <w:tcW w:w="2322" w:type="dxa"/>
          </w:tcPr>
          <w:p w:rsidR="00AC0832" w:rsidRDefault="00AC0832">
            <w:pPr>
              <w:pStyle w:val="CellColumn"/>
            </w:pPr>
            <w:r>
              <w:t>82,7</w:t>
            </w:r>
          </w:p>
        </w:tc>
      </w:tr>
    </w:tbl>
    <w:p w:rsidR="00AC0832" w:rsidRDefault="00AC0832">
      <w:pPr>
        <w:jc w:val="left"/>
      </w:pPr>
    </w:p>
    <w:p w:rsidR="00AC0832" w:rsidRDefault="00AC0832">
      <w:pPr>
        <w:pStyle w:val="Heading2"/>
      </w:pPr>
      <w:r>
        <w:t>02050 Ured za odnose s javnošću</w:t>
      </w:r>
    </w:p>
    <w:p w:rsidR="00AC0832" w:rsidRDefault="00AC0832">
      <w:pPr>
        <w:pStyle w:val="Heading4"/>
      </w:pPr>
      <w:r>
        <w:t>Uvod</w:t>
      </w:r>
    </w:p>
    <w:p w:rsidR="00AC0832" w:rsidRDefault="00AC0832">
      <w:pPr>
        <w:pStyle w:val="Normal3"/>
      </w:pPr>
      <w:r>
        <w:t xml:space="preserve">Do stupanja na snagu Uredbe o Uredu predsjednika Vlade Republike Hrvatske (Narodne Novine, 05/2012), Ured za odnose s javnošću bio je zadužen za izvješćivanje javnosti o politici i aktivnostima Vlade Republike Hrvatske - predsjednika i potpredsjednika Vlade, informiranje Vlade o sadržaju i stajalištima medija i javnosti, obavljanje izravne komunikacije s građanima, vođenje dokumentacije koja se odnosi na priopćenja za javnost, akreditiranje novinara, te za obavljanje i drugih poslova koje mu je povjerila Vlada, sukladno Zakonu o medijima i Zakonu o elektroničkim medijima. </w:t>
      </w:r>
    </w:p>
    <w:p w:rsidR="00AC0832" w:rsidRDefault="00AC0832">
      <w:pPr>
        <w:pStyle w:val="Normal3"/>
      </w:pPr>
      <w:r>
        <w:t xml:space="preserve">Stupanjem na snagu navedene uredbe, Ured za odnose s javnošću postaje dio Ureda predsjednika Vlade Republike Hrvatske.  </w:t>
      </w:r>
    </w:p>
    <w:p w:rsidR="00AC0832" w:rsidRDefault="00AC0832">
      <w:pPr>
        <w:pStyle w:val="Normal3"/>
      </w:pPr>
      <w:r>
        <w:t>Sukladno navedenim organizacijskim izmjenama, financijski plan za 2012. godinu utrošen je na temelju rashoda Ureda za odnose s javnošću nastalih do pripajanja Uredu predsjednika Vlade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02050-Ured za odnose s javnošću</w:t>
            </w:r>
          </w:p>
        </w:tc>
        <w:tc>
          <w:tcPr>
            <w:tcW w:w="2322" w:type="dxa"/>
          </w:tcPr>
          <w:p w:rsidR="00AC0832" w:rsidRDefault="00AC0832">
            <w:pPr>
              <w:pStyle w:val="CellColumn"/>
            </w:pPr>
            <w:r>
              <w:t>381.430</w:t>
            </w:r>
          </w:p>
        </w:tc>
        <w:tc>
          <w:tcPr>
            <w:tcW w:w="2322" w:type="dxa"/>
          </w:tcPr>
          <w:p w:rsidR="00AC0832" w:rsidRDefault="00AC0832">
            <w:pPr>
              <w:pStyle w:val="CellColumn"/>
            </w:pPr>
            <w:r>
              <w:t>381.423</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Small"/>
            </w:pPr>
            <w:r>
              <w:t>2107-PRUŽANJE PODRŠKE RADU VLADE REPUBLIKE HRVATSKE</w:t>
            </w:r>
          </w:p>
        </w:tc>
        <w:tc>
          <w:tcPr>
            <w:tcW w:w="2322" w:type="dxa"/>
          </w:tcPr>
          <w:p w:rsidR="00AC0832" w:rsidRDefault="00AC0832">
            <w:pPr>
              <w:pStyle w:val="CellColumnSmall"/>
            </w:pPr>
            <w:r>
              <w:t>381.430</w:t>
            </w:r>
          </w:p>
        </w:tc>
        <w:tc>
          <w:tcPr>
            <w:tcW w:w="2322" w:type="dxa"/>
          </w:tcPr>
          <w:p w:rsidR="00AC0832" w:rsidRDefault="00AC0832">
            <w:pPr>
              <w:pStyle w:val="CellColumnSmall"/>
            </w:pPr>
            <w:r>
              <w:t>381.423</w:t>
            </w:r>
          </w:p>
        </w:tc>
        <w:tc>
          <w:tcPr>
            <w:tcW w:w="2322" w:type="dxa"/>
          </w:tcPr>
          <w:p w:rsidR="00AC0832" w:rsidRDefault="00AC0832">
            <w:pPr>
              <w:pStyle w:val="CellColumnSmall"/>
            </w:pPr>
            <w:r>
              <w:t>100,0</w:t>
            </w:r>
          </w:p>
        </w:tc>
      </w:tr>
    </w:tbl>
    <w:p w:rsidR="00AC0832" w:rsidRDefault="00AC0832">
      <w:pPr>
        <w:jc w:val="left"/>
      </w:pPr>
    </w:p>
    <w:p w:rsidR="00AC0832" w:rsidRDefault="00AC0832">
      <w:pPr>
        <w:pStyle w:val="Heading4"/>
      </w:pPr>
      <w:r>
        <w:t>OBRAZLOŽENJE PROGRAMA</w:t>
      </w:r>
    </w:p>
    <w:p w:rsidR="00AC0832" w:rsidRDefault="00AC0832">
      <w:pPr>
        <w:pStyle w:val="Heading5"/>
      </w:pPr>
      <w:r>
        <w:t>2107 PRUŽANJE PODRŠKE RADU VLADE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2107-PRUŽANJE PODRŠKE RADU VLADE REPUBLIKE HRVATSKE</w:t>
            </w:r>
          </w:p>
        </w:tc>
        <w:tc>
          <w:tcPr>
            <w:tcW w:w="2322" w:type="dxa"/>
          </w:tcPr>
          <w:p w:rsidR="00AC0832" w:rsidRDefault="00AC0832">
            <w:pPr>
              <w:pStyle w:val="CellColumn"/>
            </w:pPr>
            <w:r>
              <w:t>381.430</w:t>
            </w:r>
          </w:p>
        </w:tc>
        <w:tc>
          <w:tcPr>
            <w:tcW w:w="2322" w:type="dxa"/>
          </w:tcPr>
          <w:p w:rsidR="00AC0832" w:rsidRDefault="00AC0832">
            <w:pPr>
              <w:pStyle w:val="CellColumn"/>
            </w:pPr>
            <w:r>
              <w:t>381.423</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A518000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A518000-ADMINISTRACIJA I UPRAVLJANJE</w:t>
            </w:r>
          </w:p>
        </w:tc>
        <w:tc>
          <w:tcPr>
            <w:tcW w:w="2322" w:type="dxa"/>
          </w:tcPr>
          <w:p w:rsidR="00AC0832" w:rsidRDefault="00AC0832">
            <w:pPr>
              <w:pStyle w:val="CellColumn"/>
            </w:pPr>
            <w:r>
              <w:t>381.430</w:t>
            </w:r>
          </w:p>
        </w:tc>
        <w:tc>
          <w:tcPr>
            <w:tcW w:w="2322" w:type="dxa"/>
          </w:tcPr>
          <w:p w:rsidR="00AC0832" w:rsidRDefault="00AC0832">
            <w:pPr>
              <w:pStyle w:val="CellColumn"/>
            </w:pPr>
            <w:r>
              <w:t>381.423</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2"/>
      </w:pPr>
      <w:r>
        <w:t>02087 Ured za ljudska prava i prava nacionalnih manjina</w:t>
      </w:r>
    </w:p>
    <w:p w:rsidR="00AC0832" w:rsidRDefault="00AC0832">
      <w:pPr>
        <w:pStyle w:val="Heading4"/>
      </w:pPr>
      <w:r>
        <w:t>Uvod</w:t>
      </w:r>
    </w:p>
    <w:p w:rsidR="00AC0832" w:rsidRDefault="00AC0832">
      <w:pPr>
        <w:pStyle w:val="Normal3"/>
      </w:pPr>
      <w:r>
        <w:t xml:space="preserve">Ured za ljudska prava i prava nacionalnih manjina osnovan je Zakonom o Vladi Republike Hrvatske (NN, br. 150/11), i pravni je slijednik  Ureda za ljudska prava i Ureda za nacionalne manjine.  </w:t>
      </w:r>
    </w:p>
    <w:p w:rsidR="00AC0832" w:rsidRDefault="00AC0832">
      <w:pPr>
        <w:pStyle w:val="Normal3"/>
      </w:pPr>
      <w:r>
        <w:t xml:space="preserve">Uredbom o Uredu za ljudska prava i prava nacionalnih manjina (NN, br. 42/2012) Ured je stručna služba Vlade Republike Hrvatske za obavljanje stručnih poslova u vezi s ostvarivanjem utvrđenih politika zaštite i promicanja ljudskih prava i prava nacionalnih manjina u Republici Hrvatskoj. Unutar Ureda za ljudska prava i prava nacionalnih manjina ustrojene su sljedeće unutarnje ustrojstvene jedinice: Jedinica za suzbijanje trgovanja ljudima i poslove međunarodne suradnje; Jedinica za praćenje provedbe Nacionalnog programa zaštite i promicanja ljudskih prava i preporuka pučkog pravobranitelja, te suradnju s organizacijama civilnoga društva; Jedinica za provedbu nacionalnih programa i projekata za nacionalne manjine i Jedinica za izradu i provedbu politika i strategija za nacionalne manjine.  </w:t>
      </w:r>
    </w:p>
    <w:p w:rsidR="00AC0832" w:rsidRDefault="00AC0832">
      <w:pPr>
        <w:pStyle w:val="Normal3"/>
      </w:pPr>
      <w:r>
        <w:t xml:space="preserve">Ured: </w:t>
      </w:r>
    </w:p>
    <w:p w:rsidR="00AC0832" w:rsidRDefault="00AC0832">
      <w:pPr>
        <w:pStyle w:val="Normal3"/>
      </w:pPr>
      <w:r>
        <w:t xml:space="preserve">•razmatra stanje pojedinih ljudskih prava i prava nacionalnih manjina u Republici Hrvatskoj i sukladnost domaćeg zakonodavstva s odredbama Ustava Republike Hrvatske i Ustavnog zakona o pravima nacionalnih manjina, kao i s međunarodnim instrumentima iz područja ljudskih prava i područja suzbijanja trgovanja ljudima, te predlaže mjere za ostvarivanje tih prava; </w:t>
      </w:r>
    </w:p>
    <w:p w:rsidR="00AC0832" w:rsidRDefault="00AC0832">
      <w:pPr>
        <w:pStyle w:val="Normal3"/>
      </w:pPr>
      <w:r>
        <w:t xml:space="preserve">•surađuje s nadležnim ministarstvima i drugim tijelima državne uprave te drugim institucijama, surađuje s tijelima lokalne i područne (regionalne) samouprave, pučkim pravobraniteljem i Savjetom za nacionalne manjine; </w:t>
      </w:r>
    </w:p>
    <w:p w:rsidR="00AC0832" w:rsidRDefault="00AC0832">
      <w:pPr>
        <w:pStyle w:val="Normal3"/>
      </w:pPr>
      <w:r>
        <w:t xml:space="preserve">•prati provođenje Ustavnog zakona o pravima nacionalnih manjina i Akcijskog plana za provođenje Ustavnog zakona o pravima nacionalnih manjina te koordinira izradu izvješća o provedbi navedenih akata; </w:t>
      </w:r>
    </w:p>
    <w:p w:rsidR="00AC0832" w:rsidRDefault="00AC0832">
      <w:pPr>
        <w:pStyle w:val="Normal3"/>
      </w:pPr>
      <w:r>
        <w:t xml:space="preserve">•izrađuje, prati provedbu i koordinira izradu izvješća o provedbi Nacionalnog programa zaštite i promicanja ljudskih prava, Nacionalnog plana za borbu protiv diskriminacije, Nacionalnog plana suzbijanja trgovanja ljudima, Nacionalnog programa za Rome i Akcijskog plana Desetljeća za uključivanje Roma 2005. – 2015.; </w:t>
      </w:r>
    </w:p>
    <w:p w:rsidR="00AC0832" w:rsidRDefault="00AC0832">
      <w:pPr>
        <w:pStyle w:val="Normal3"/>
      </w:pPr>
      <w:r>
        <w:t xml:space="preserve">•prati provedbu Okvirne konvencije Vijeća Europe za zaštitu nacionalnih manjina te koordinira izradu izvješća o njenoj provedbi; </w:t>
      </w:r>
    </w:p>
    <w:p w:rsidR="00AC0832" w:rsidRDefault="00AC0832">
      <w:pPr>
        <w:pStyle w:val="Normal3"/>
      </w:pPr>
      <w:r>
        <w:t xml:space="preserve">•prati ostvarivanje prava vijeća i predstavnika nacionalnih manjina te prati suradnju udruga i ustanova nacionalnih manjina s institucijama u njihovim matičnim državama; </w:t>
      </w:r>
    </w:p>
    <w:p w:rsidR="00AC0832" w:rsidRDefault="00AC0832">
      <w:pPr>
        <w:pStyle w:val="Normal3"/>
      </w:pPr>
      <w:r>
        <w:t xml:space="preserve">•prati provedbu preporuka iz godišnjih izvješća pučkog pravobranitelja, i to: izvješća o radu, izvješća o pojavama diskriminacije i izvješća o obavljanju poslova Nacionalnog preventivnog mehanizma za sprječavanje mučenja i drugih okrutnih, neljudskih ili ponižavajućih postupaka ili kažnjavanja; </w:t>
      </w:r>
    </w:p>
    <w:p w:rsidR="00AC0832" w:rsidRDefault="00AC0832">
      <w:pPr>
        <w:pStyle w:val="Normal3"/>
      </w:pPr>
      <w:r>
        <w:t xml:space="preserve">•je središnje tijelo za prikupljanje i objavu podataka o zločinima iz mržnje, suradnju s organizacijama civilnoga društva i međunarodnim organizacijama, te daje pravna očitovanja na predstavke građana upućene Uredu; </w:t>
      </w:r>
    </w:p>
    <w:p w:rsidR="00AC0832" w:rsidRDefault="00AC0832">
      <w:pPr>
        <w:pStyle w:val="Normal3"/>
      </w:pPr>
      <w:r>
        <w:t xml:space="preserve">•surađuje s međunarodnom zajednicom i međunarodnim regionalnim organizacijama u svrhu poboljšanja nacionalnih standarda zaštite i promicanja ljudskih prava i prava nacionalnih manjina; </w:t>
      </w:r>
    </w:p>
    <w:p w:rsidR="00AC0832" w:rsidRDefault="00AC0832">
      <w:pPr>
        <w:pStyle w:val="Normal3"/>
      </w:pPr>
      <w:r>
        <w:t xml:space="preserve">•prati međunarodne dokumente, priprema mišljenja i stručne analize u vezi s primjenom međunarodnih dokumenata u ostvarivanju zaštite i promicanja ljudskih prava i prava pripadnika nacionalnih manjina; </w:t>
      </w:r>
    </w:p>
    <w:p w:rsidR="00AC0832" w:rsidRDefault="00AC0832">
      <w:pPr>
        <w:pStyle w:val="Normal3"/>
      </w:pPr>
      <w:r>
        <w:t xml:space="preserve">•je tijelo ovlašteno za suradnju s Organizacijom za europsku sigurnost i suradnju te drugim međunarodnim organizacijama, vezano uz pitanja zločina iz mržnje; </w:t>
      </w:r>
    </w:p>
    <w:p w:rsidR="00AC0832" w:rsidRDefault="00AC0832">
      <w:pPr>
        <w:pStyle w:val="Normal3"/>
      </w:pPr>
      <w:r>
        <w:t xml:space="preserve">•provodi projekte i programe Europske unije iz svoga djelokruga; </w:t>
      </w:r>
    </w:p>
    <w:p w:rsidR="00AC0832" w:rsidRDefault="00AC0832">
      <w:pPr>
        <w:pStyle w:val="Normal3"/>
      </w:pPr>
      <w:r>
        <w:t>•obavlja i druge poslove povjerene od strane Vlade Republike Hrvatske u okviru djelokruga Ureda.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02087-Ured za ljudska prava i prava nacionalnih manjina</w:t>
            </w:r>
          </w:p>
        </w:tc>
        <w:tc>
          <w:tcPr>
            <w:tcW w:w="2322" w:type="dxa"/>
          </w:tcPr>
          <w:p w:rsidR="00AC0832" w:rsidRDefault="00AC0832">
            <w:pPr>
              <w:pStyle w:val="CellColumn"/>
            </w:pPr>
            <w:r>
              <w:t>19.624.496</w:t>
            </w:r>
          </w:p>
        </w:tc>
        <w:tc>
          <w:tcPr>
            <w:tcW w:w="2322" w:type="dxa"/>
          </w:tcPr>
          <w:p w:rsidR="00AC0832" w:rsidRDefault="00AC0832">
            <w:pPr>
              <w:pStyle w:val="CellColumn"/>
            </w:pPr>
            <w:r>
              <w:t>14.256.426</w:t>
            </w:r>
          </w:p>
        </w:tc>
        <w:tc>
          <w:tcPr>
            <w:tcW w:w="2322" w:type="dxa"/>
          </w:tcPr>
          <w:p w:rsidR="00AC0832" w:rsidRDefault="00AC0832">
            <w:pPr>
              <w:pStyle w:val="CellColumn"/>
            </w:pPr>
            <w:r>
              <w:t>72,6</w:t>
            </w:r>
          </w:p>
        </w:tc>
      </w:tr>
      <w:tr w:rsidR="00AC0832" w:rsidTr="00BE20ED">
        <w:trPr>
          <w:jc w:val="center"/>
        </w:trPr>
        <w:tc>
          <w:tcPr>
            <w:tcW w:w="2322" w:type="dxa"/>
          </w:tcPr>
          <w:p w:rsidR="00AC0832" w:rsidRDefault="00AC0832">
            <w:pPr>
              <w:pStyle w:val="CellColumnSmall"/>
            </w:pPr>
            <w:r>
              <w:t>2109-ZAŠTITA PRAVA NACIONALNIH MANJINA</w:t>
            </w:r>
          </w:p>
        </w:tc>
        <w:tc>
          <w:tcPr>
            <w:tcW w:w="2322" w:type="dxa"/>
          </w:tcPr>
          <w:p w:rsidR="00AC0832" w:rsidRDefault="00AC0832">
            <w:pPr>
              <w:pStyle w:val="CellColumnSmall"/>
            </w:pPr>
            <w:r>
              <w:t>13.448.043</w:t>
            </w:r>
          </w:p>
        </w:tc>
        <w:tc>
          <w:tcPr>
            <w:tcW w:w="2322" w:type="dxa"/>
          </w:tcPr>
          <w:p w:rsidR="00AC0832" w:rsidRDefault="00AC0832">
            <w:pPr>
              <w:pStyle w:val="CellColumnSmall"/>
            </w:pPr>
            <w:r>
              <w:t>9.298.777</w:t>
            </w:r>
          </w:p>
        </w:tc>
        <w:tc>
          <w:tcPr>
            <w:tcW w:w="2322" w:type="dxa"/>
          </w:tcPr>
          <w:p w:rsidR="00AC0832" w:rsidRDefault="00AC0832">
            <w:pPr>
              <w:pStyle w:val="CellColumnSmall"/>
            </w:pPr>
            <w:r>
              <w:t>69,1</w:t>
            </w:r>
          </w:p>
        </w:tc>
      </w:tr>
      <w:tr w:rsidR="00AC0832" w:rsidTr="00BE20ED">
        <w:trPr>
          <w:jc w:val="center"/>
        </w:trPr>
        <w:tc>
          <w:tcPr>
            <w:tcW w:w="2322" w:type="dxa"/>
          </w:tcPr>
          <w:p w:rsidR="00AC0832" w:rsidRDefault="00AC0832">
            <w:pPr>
              <w:pStyle w:val="CellColumnSmall"/>
            </w:pPr>
            <w:r>
              <w:t>2111-PROMICANJE LJUDSKIH PRAVA</w:t>
            </w:r>
          </w:p>
        </w:tc>
        <w:tc>
          <w:tcPr>
            <w:tcW w:w="2322" w:type="dxa"/>
          </w:tcPr>
          <w:p w:rsidR="00AC0832" w:rsidRDefault="00AC0832">
            <w:pPr>
              <w:pStyle w:val="CellColumnSmall"/>
            </w:pPr>
            <w:r>
              <w:t>6.176.453</w:t>
            </w:r>
          </w:p>
        </w:tc>
        <w:tc>
          <w:tcPr>
            <w:tcW w:w="2322" w:type="dxa"/>
          </w:tcPr>
          <w:p w:rsidR="00AC0832" w:rsidRDefault="00AC0832">
            <w:pPr>
              <w:pStyle w:val="CellColumnSmall"/>
            </w:pPr>
            <w:r>
              <w:t>4.957.649</w:t>
            </w:r>
          </w:p>
        </w:tc>
        <w:tc>
          <w:tcPr>
            <w:tcW w:w="2322" w:type="dxa"/>
          </w:tcPr>
          <w:p w:rsidR="00AC0832" w:rsidRDefault="00AC0832">
            <w:pPr>
              <w:pStyle w:val="CellColumnSmall"/>
            </w:pPr>
            <w:r>
              <w:t>80,3</w:t>
            </w:r>
          </w:p>
        </w:tc>
      </w:tr>
    </w:tbl>
    <w:p w:rsidR="00AC0832" w:rsidRDefault="00AC0832">
      <w:pPr>
        <w:jc w:val="left"/>
      </w:pPr>
    </w:p>
    <w:p w:rsidR="00AC0832" w:rsidRDefault="00AC0832">
      <w:pPr>
        <w:pStyle w:val="Heading4"/>
      </w:pPr>
      <w:r>
        <w:t>OBRAZLOŽENJE PROGRAMA</w:t>
      </w:r>
    </w:p>
    <w:p w:rsidR="00AC0832" w:rsidRDefault="00AC0832">
      <w:pPr>
        <w:pStyle w:val="Heading5"/>
      </w:pPr>
      <w:r>
        <w:t>2109 ZAŠTITA PRAVA NACIONALNIH MANJINA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2109-ZAŠTITA PRAVA NACIONALNIH MANJINA</w:t>
            </w:r>
          </w:p>
        </w:tc>
        <w:tc>
          <w:tcPr>
            <w:tcW w:w="2322" w:type="dxa"/>
          </w:tcPr>
          <w:p w:rsidR="00AC0832" w:rsidRDefault="00AC0832">
            <w:pPr>
              <w:pStyle w:val="CellColumn"/>
            </w:pPr>
            <w:r>
              <w:t>13.448.043</w:t>
            </w:r>
          </w:p>
        </w:tc>
        <w:tc>
          <w:tcPr>
            <w:tcW w:w="2322" w:type="dxa"/>
          </w:tcPr>
          <w:p w:rsidR="00AC0832" w:rsidRDefault="00AC0832">
            <w:pPr>
              <w:pStyle w:val="CellColumn"/>
            </w:pPr>
            <w:r>
              <w:t>9.298.777</w:t>
            </w:r>
          </w:p>
        </w:tc>
        <w:tc>
          <w:tcPr>
            <w:tcW w:w="2322" w:type="dxa"/>
          </w:tcPr>
          <w:p w:rsidR="00AC0832" w:rsidRDefault="00AC0832">
            <w:pPr>
              <w:pStyle w:val="CellColumn"/>
            </w:pPr>
            <w:r>
              <w:t>69,1</w:t>
            </w:r>
          </w:p>
        </w:tc>
      </w:tr>
    </w:tbl>
    <w:p w:rsidR="00AC0832" w:rsidRDefault="00AC0832">
      <w:pPr>
        <w:jc w:val="left"/>
      </w:pPr>
    </w:p>
    <w:p w:rsidR="00AC0832" w:rsidRDefault="00AC0832">
      <w:pPr>
        <w:pStyle w:val="Heading6"/>
      </w:pPr>
      <w:r>
        <w:t>Opis programa</w:t>
      </w:r>
    </w:p>
    <w:p w:rsidR="00AC0832" w:rsidRDefault="00AC0832">
      <w:pPr>
        <w:pStyle w:val="Normal5"/>
      </w:pPr>
      <w:r>
        <w:t>Ured u okviru svog djelokruga predlaže mjere za ostvarivanje prava i poboljšanje položaja nacionalnih manjina u Republici Hrvatskoj. Ured prati provedbu Ustavnog zakona o pravima nacionalnih manjina kao i provedbu Akcijskog plana za provođenje Ustavnog zakona o pravima nacionalnih manjina. Pored toga, prati provedbu Nacionalnog programa za Rome i Akcijskog plana Desetljeća za uključivanje Roma 2005.-2015. kao i ostvarivanje prava vijeća i predstavnika nacionalnih manjina te suradnju udruga i ustanova nacionalnih manjina s institucijama u njihovim matičnim državama. Ured priprema mišljenja i stručne analize u vezi s primjenom međunarodnih standarda u ostvarivanju prava pripadnika nacionalnih manjina, te provodi projekte i programe Europske unije za potporu nacionalnim manjinama. Ured prati i primjenu međunarodnih dokumenata kojih je Republika Hrvatska stranka, u prvom redu Okvirne konvencije za zaštitu nacionalnih manjina.Ured obavlja stručne i administrativne poslove Povjerenstva za praćenje provedbe Nacionalnog programa za Rome te provodi projekte i programe Europske unije.</w:t>
      </w:r>
    </w:p>
    <w:p w:rsidR="00AC0832" w:rsidRDefault="00AC0832">
      <w:pPr>
        <w:pStyle w:val="Heading6"/>
      </w:pPr>
      <w:r>
        <w:t>Zakonske i druge pravne osnove</w:t>
      </w:r>
    </w:p>
    <w:p w:rsidR="00AC0832" w:rsidRDefault="00AC0832">
      <w:pPr>
        <w:pStyle w:val="Normal5"/>
      </w:pPr>
      <w:r>
        <w:t xml:space="preserve">Pripadnicima svih nacionalnih manjina jamči se sloboda izražavanja nacionalne pripadnosti, slobodno služenje svojim jezikom i pismom i kulturna autonomija. Za provođenje ostvarivanja utvrđene politike ravnopravnosti nacionalnih manjina zakonska osnova su: </w:t>
      </w:r>
    </w:p>
    <w:p w:rsidR="00AC0832" w:rsidRDefault="00AC0832">
      <w:pPr>
        <w:pStyle w:val="Normal5"/>
      </w:pPr>
      <w:r>
        <w:t>Ustav Republike Hrvatske, Ustavni zakon o pravima nacionalnih manjina, Zakon o odgoju i obrazovanju na jeziku i pismu nacionalnih manjina, Zakon o uporabi jezika i pisma nacionalnih manjina, Zakon o izboru zastupnika u Hrvatski sabor, Zakon o izboru članova predstavničkih tijela jedinica lokalne i područne (regionalne) samouprave, Zakon o sudovima, Zakon o državnom odvjetništvu, Zakon o suzbijanju diskriminacije. Također, zadaće i obaveze Ureda za nacionalne manjine proizlaze i iz Nacionalnog programa za Rome, te Akcijskog plana Desetljeća za uključivanje Roma 2005.-2015., kao i Nacionalnog programa zaštite i promicanja ljudskih prava 2008.-2013. Strateško planiranje i praćenje provedbe projekata financiranih iz sredstava EU provode se na temelju financijskih ugovora potpisanih između Europske unije i Republike Hrvatske i Operativnog sporazuma potpisanog između Ureda za nacionalne manjine i Središnje agencije za financiranje i ugovaranje programa i projekata Europske unije.</w:t>
      </w:r>
    </w:p>
    <w:p w:rsidR="00AC0832" w:rsidRDefault="00AC0832">
      <w:pPr>
        <w:pStyle w:val="Heading7"/>
      </w:pPr>
      <w:r>
        <w:t>Cilj 1. Unaprjeđenje i zaštita prava nacionalnih manjina</w:t>
      </w:r>
    </w:p>
    <w:p w:rsidR="00AC0832" w:rsidRDefault="00AC0832">
      <w:pPr>
        <w:pStyle w:val="Heading8"/>
        <w:jc w:val="left"/>
      </w:pPr>
      <w:r>
        <w:t>Opis provedbe cilja programa</w:t>
      </w:r>
    </w:p>
    <w:p w:rsidR="00AC0832" w:rsidRDefault="00AC0832">
      <w:pPr>
        <w:pStyle w:val="Normal6"/>
      </w:pPr>
      <w:r>
        <w:t xml:space="preserve">Ustavni zakon o pravima nacionalnih manjina sveobuhvatan je zakon koji uređuje gotovo sva prava nacionalnih manjina, dok je jedan manji dio odredbi uređen posebnim zakonima. Ustavni zakon o pravima nacionalnih manjina i cijeli zakonodavni okvir u Republici Hrvatskoj osigurao je visoku razinu prava nacionalnih manjina sukladno međunarodnim dokumentima. </w:t>
      </w:r>
    </w:p>
    <w:p w:rsidR="00AC0832" w:rsidRDefault="00AC0832">
      <w:pPr>
        <w:pStyle w:val="Normal6"/>
      </w:pPr>
      <w:r>
        <w:t xml:space="preserve">Vlada Republike Hrvatske, sukladno odredbi članka 37. stavak 3. Ustavnog zakona o pravima nacionalnih manjina (NN, br. 155/02, 47/10. i 80/10.), najmanje jednom godišnje podnosi Hrvatskome saboru Izvješće o provođenju Ustavnog zakona o pravima nacionalnih manjina i o utrošku sredstava koja se u Državnom proračunu Republike Hrvatske osiguravaju za potrebe nacionalnih manjina. Tijekom prve polovice 2012. godine Ured je koordinirao izradu navedenog Izvješća za 2011. godinu.  </w:t>
      </w:r>
    </w:p>
    <w:p w:rsidR="00AC0832" w:rsidRDefault="00AC0832">
      <w:pPr>
        <w:pStyle w:val="Normal6"/>
      </w:pPr>
      <w:r>
        <w:t xml:space="preserve">Izvješće o provođenju Ustavnog zakona o pravima nacionalnih manjina i o utrošku sredstava koja su u Državnom proračunu Republike Hrvatske osigurana za 2011. godinu  za potrebe nacionalnih manjina usvojila je Vlada Republike Hrvatske na sjednici održanoj 19. srpnja 2012. godine. </w:t>
      </w:r>
    </w:p>
    <w:p w:rsidR="00AC0832" w:rsidRDefault="00AC0832">
      <w:pPr>
        <w:pStyle w:val="Normal6"/>
      </w:pPr>
      <w:r>
        <w:t xml:space="preserve">Prema navedenom Izvješću u 2011. godini došlo je do daljnjeg pomaka u normativnom uređenju prava pripadnika nacionalnih manjina. Važno je napomenuti da su unatoč gospodarskim i socijalnim problemima uloženi značajni napori u provođenju Ustavnog zakona o pravima nacionalnih manjina.  </w:t>
      </w:r>
    </w:p>
    <w:p w:rsidR="00AC0832" w:rsidRDefault="00AC0832">
      <w:pPr>
        <w:pStyle w:val="Normal6"/>
      </w:pPr>
      <w:r>
        <w:t>Poboljšanju provedbe Ustavnog zakona o pravima nacionalnih  pridonijelo je i donošenje Akcijskog plana za provedbu Ustavnog zakona o pravima nacionalnih manjina za razdoblje od 2011.-2013. Izvješće o provođenju Akcijskog plana za provedbu Ustavnog zakona o pravima nacionalnih manjina za 2011. godinu usvojila je Vlada Republike Hrvatske na sjednici održanoj 19. srpnja 2012. godine.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08"/>
        <w:gridCol w:w="1028"/>
        <w:gridCol w:w="1229"/>
        <w:gridCol w:w="1254"/>
        <w:gridCol w:w="1247"/>
        <w:gridCol w:w="1254"/>
        <w:gridCol w:w="1268"/>
      </w:tblGrid>
      <w:tr w:rsidR="00AC0832" w:rsidTr="00712567">
        <w:trPr>
          <w:jc w:val="center"/>
        </w:trPr>
        <w:tc>
          <w:tcPr>
            <w:tcW w:w="2205" w:type="dxa"/>
            <w:shd w:val="clear" w:color="auto" w:fill="B5C0D8"/>
          </w:tcPr>
          <w:p w:rsidR="00AC0832" w:rsidRPr="00BE20ED" w:rsidRDefault="00AC0832">
            <w:pPr>
              <w:rPr>
                <w:sz w:val="20"/>
                <w:lang w:eastAsia="hr-HR"/>
              </w:rPr>
            </w:pPr>
            <w:r w:rsidRPr="00BE20ED">
              <w:rPr>
                <w:sz w:val="20"/>
                <w:lang w:eastAsia="hr-HR"/>
              </w:rPr>
              <w:t>Pokazatelj učinka</w:t>
            </w:r>
          </w:p>
        </w:tc>
        <w:tc>
          <w:tcPr>
            <w:tcW w:w="457"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712567">
        <w:trPr>
          <w:jc w:val="center"/>
        </w:trPr>
        <w:tc>
          <w:tcPr>
            <w:tcW w:w="2205" w:type="dxa"/>
          </w:tcPr>
          <w:p w:rsidR="00AC0832" w:rsidRDefault="00AC0832">
            <w:pPr>
              <w:pStyle w:val="CellColumn"/>
            </w:pPr>
            <w:r>
              <w:t>Provođenje mjera utvrđenih Akcijskim planom provedbe Ustavnog zakona o pravima nacionalnih manjina</w:t>
            </w:r>
          </w:p>
        </w:tc>
        <w:tc>
          <w:tcPr>
            <w:tcW w:w="457"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70</w:t>
            </w:r>
          </w:p>
        </w:tc>
        <w:tc>
          <w:tcPr>
            <w:tcW w:w="1300" w:type="dxa"/>
          </w:tcPr>
          <w:p w:rsidR="00AC0832" w:rsidRDefault="00AC0832">
            <w:pPr>
              <w:pStyle w:val="CellColumn"/>
            </w:pPr>
            <w:r>
              <w:t>Ured</w:t>
            </w:r>
          </w:p>
        </w:tc>
        <w:tc>
          <w:tcPr>
            <w:tcW w:w="1300" w:type="dxa"/>
          </w:tcPr>
          <w:p w:rsidR="00AC0832" w:rsidRDefault="00AC0832">
            <w:pPr>
              <w:pStyle w:val="CellColumn"/>
            </w:pPr>
            <w:r>
              <w:t>75</w:t>
            </w:r>
          </w:p>
        </w:tc>
        <w:tc>
          <w:tcPr>
            <w:tcW w:w="1300" w:type="dxa"/>
          </w:tcPr>
          <w:p w:rsidR="00AC0832" w:rsidRDefault="00AC0832">
            <w:pPr>
              <w:pStyle w:val="CellColumn"/>
            </w:pPr>
            <w:r>
              <w:t>73</w:t>
            </w:r>
          </w:p>
        </w:tc>
      </w:tr>
    </w:tbl>
    <w:p w:rsidR="00AC0832" w:rsidRDefault="00AC0832">
      <w:pPr>
        <w:jc w:val="left"/>
      </w:pPr>
    </w:p>
    <w:p w:rsidR="00AC0832" w:rsidRDefault="00AC0832">
      <w:pPr>
        <w:pStyle w:val="Heading6"/>
      </w:pPr>
      <w:r>
        <w:t>A513002 PROGRAMI ZA NACIONALNE MANJINE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A513002-PROGRAMI ZA NACIONALNE MANJINE</w:t>
            </w:r>
          </w:p>
        </w:tc>
        <w:tc>
          <w:tcPr>
            <w:tcW w:w="2322" w:type="dxa"/>
          </w:tcPr>
          <w:p w:rsidR="00AC0832" w:rsidRDefault="00AC0832">
            <w:pPr>
              <w:pStyle w:val="CellColumn"/>
            </w:pPr>
            <w:r>
              <w:t>529.000</w:t>
            </w:r>
          </w:p>
        </w:tc>
        <w:tc>
          <w:tcPr>
            <w:tcW w:w="2322" w:type="dxa"/>
          </w:tcPr>
          <w:p w:rsidR="00AC0832" w:rsidRDefault="00AC0832">
            <w:pPr>
              <w:pStyle w:val="CellColumn"/>
            </w:pPr>
            <w:r>
              <w:t>335.257</w:t>
            </w:r>
          </w:p>
        </w:tc>
        <w:tc>
          <w:tcPr>
            <w:tcW w:w="2322" w:type="dxa"/>
          </w:tcPr>
          <w:p w:rsidR="00AC0832" w:rsidRDefault="00AC0832">
            <w:pPr>
              <w:pStyle w:val="CellColumn"/>
            </w:pPr>
            <w:r>
              <w:t>63,4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cilju provedbe Ustavnog zakona o pravima nacionalnih manjina Ured je u suradnji sa Savjetom za nacionalne manjine organizirao seminar o ulozi i unaprjeđenju rada vijeća i predstavnika nacionalnih manjina koji su održani 29. listopada 2012. godine u Bjelovaru i 21. studenog 2012. godine u Požegi. Na skupovima je bilo riječi o dosadašnjoj  ulozi i radu vijeća i predstavnika nacionalnih manjina, o problemima s kojima se susreću pojedina vijeća,  te o primjerima dobre prakse u radu vijeća.  </w:t>
      </w:r>
    </w:p>
    <w:p w:rsidR="00AC0832" w:rsidRDefault="00AC0832">
      <w:pPr>
        <w:pStyle w:val="Normal6"/>
      </w:pPr>
      <w:r>
        <w:t xml:space="preserve">Ured za ljudska prava i prava nacionalnih manjina u suradnji sa Savjetom za nacionalne manjine organizirao je skup 21. prosinca 2012. godine u Zagrebu koji je bio posvećen obilježavanju 10. obljetnice donošenja Ustavnog zakona o pravima nacionalnih manjina. Ovim se događajem željelo ukazati na važnost donošenja Ustavnog zakona, posebice u procesu pristupanja Republike Hrvatske Europskoj uniji, kojim su unaprijeđena prava svih pripadnika  nacionalnih manjina koje žive u Republici Hrvatskoj.  Skup je otvorio predsjednik Hrvatskoga sabora, a sudjelovali su predstavnici Vlade Republike Hrvatske, zastupnici nacionalnih manjina u Hrvatskome saboru, predstavnici nadležnih ministarstva, udruga i vijeća nacionalnih manjina, akademske i međunarodne zajednice te eksperti za navedeno područje. </w:t>
      </w:r>
    </w:p>
    <w:p w:rsidR="00AC0832" w:rsidRDefault="00AC0832">
      <w:pPr>
        <w:pStyle w:val="Normal6"/>
      </w:pPr>
      <w:r>
        <w:t>Vlada Republike Hrvatske je  25. listopada 2012. godine donijela Odluku o financiranju rada vijeća i predstavnika nacionalnih manjina na područjima slabije ekonomske razvijenosti jedinica lokalne i područne (regionalne) samouprave  za što su na poziciji Ureda  osigurana  sredstva u iznosu od 400.000,00 kuna. Ovom Odlukom utvrđuje se pravo na financiranje programa vijeća i predstavnika nacionalnih manjina u jedinicama lokalne samouprave koje spadaju u područja slabije ekonomske razvijenosti. Sukladno Odluci, sredstva su putem jedinica lokalne samouprave, doznačena vijećima i predstavnicima nacionalnih manjina koji su podnijeli uredne zahtjeve za upis u Registar vijeća, koordinacija vijeća i predstavnika nacionalnih manjina i koji su u Registar upisani do zaključno 12. studenog 2012. godine, u ukupnom iznosu od 301.400,00 kn.</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2"/>
        <w:gridCol w:w="1286"/>
        <w:gridCol w:w="1283"/>
        <w:gridCol w:w="1289"/>
        <w:gridCol w:w="1287"/>
        <w:gridCol w:w="1289"/>
        <w:gridCol w:w="129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Izrada redovitog godišnjeg izvješća o provedbi Ustavnog zakona o pravima nacionalnih manjina i njegovo upućivanje u proceduru Vlade Republike Hrvatske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1</w:t>
            </w:r>
          </w:p>
        </w:tc>
        <w:tc>
          <w:tcPr>
            <w:tcW w:w="1300" w:type="dxa"/>
          </w:tcPr>
          <w:p w:rsidR="00AC0832" w:rsidRDefault="00AC0832">
            <w:pPr>
              <w:pStyle w:val="CellColumn"/>
            </w:pPr>
            <w:r>
              <w:t>Ured</w:t>
            </w:r>
          </w:p>
        </w:tc>
        <w:tc>
          <w:tcPr>
            <w:tcW w:w="1300" w:type="dxa"/>
          </w:tcPr>
          <w:p w:rsidR="00AC0832" w:rsidRDefault="00AC0832">
            <w:pPr>
              <w:pStyle w:val="CellColumn"/>
            </w:pPr>
            <w:r>
              <w:t>1</w:t>
            </w:r>
          </w:p>
        </w:tc>
        <w:tc>
          <w:tcPr>
            <w:tcW w:w="1300" w:type="dxa"/>
          </w:tcPr>
          <w:p w:rsidR="00AC0832" w:rsidRDefault="00AC0832">
            <w:pPr>
              <w:pStyle w:val="CellColumn"/>
            </w:pPr>
            <w:r>
              <w:t>1</w:t>
            </w:r>
          </w:p>
        </w:tc>
      </w:tr>
      <w:tr w:rsidR="00AC0832" w:rsidTr="00BE20ED">
        <w:trPr>
          <w:jc w:val="center"/>
        </w:trPr>
        <w:tc>
          <w:tcPr>
            <w:tcW w:w="1300" w:type="dxa"/>
          </w:tcPr>
          <w:p w:rsidR="00AC0832" w:rsidRDefault="00AC0832">
            <w:pPr>
              <w:pStyle w:val="CellColumn"/>
            </w:pPr>
            <w:r>
              <w:t>Povećanje broja organiziranih seminara s vijećima i predstavnicima nacionalnih manjina, te s predstavnicima nadležnih TDU u cilju učinkovitije provedbe Ustavnog zakona o pravima nacionalnih manjina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3</w:t>
            </w:r>
          </w:p>
        </w:tc>
        <w:tc>
          <w:tcPr>
            <w:tcW w:w="1300" w:type="dxa"/>
          </w:tcPr>
          <w:p w:rsidR="00AC0832" w:rsidRDefault="00AC0832">
            <w:pPr>
              <w:pStyle w:val="CellColumn"/>
            </w:pPr>
            <w:r>
              <w:t>Ured</w:t>
            </w:r>
          </w:p>
        </w:tc>
        <w:tc>
          <w:tcPr>
            <w:tcW w:w="1300" w:type="dxa"/>
          </w:tcPr>
          <w:p w:rsidR="00AC0832" w:rsidRDefault="00AC0832">
            <w:pPr>
              <w:pStyle w:val="CellColumn"/>
            </w:pPr>
            <w:r>
              <w:t>4</w:t>
            </w:r>
          </w:p>
        </w:tc>
        <w:tc>
          <w:tcPr>
            <w:tcW w:w="1300" w:type="dxa"/>
          </w:tcPr>
          <w:p w:rsidR="00AC0832" w:rsidRDefault="00AC0832">
            <w:pPr>
              <w:pStyle w:val="CellColumn"/>
            </w:pPr>
            <w:r>
              <w:t>6</w:t>
            </w:r>
          </w:p>
        </w:tc>
      </w:tr>
      <w:tr w:rsidR="00AC0832" w:rsidTr="00BE20ED">
        <w:trPr>
          <w:jc w:val="center"/>
        </w:trPr>
        <w:tc>
          <w:tcPr>
            <w:tcW w:w="1300" w:type="dxa"/>
          </w:tcPr>
          <w:p w:rsidR="00AC0832" w:rsidRDefault="00AC0832">
            <w:pPr>
              <w:pStyle w:val="CellColumn"/>
            </w:pPr>
            <w:r>
              <w:t>Izrada izvješća o provedbi Akcijskog plana za provedbu Ustavnog zakona o pravima nacionalnih manjina i upućivanje u proceduru Vlade Republike Hrvatske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1</w:t>
            </w:r>
          </w:p>
        </w:tc>
        <w:tc>
          <w:tcPr>
            <w:tcW w:w="1300" w:type="dxa"/>
          </w:tcPr>
          <w:p w:rsidR="00AC0832" w:rsidRDefault="00AC0832">
            <w:pPr>
              <w:pStyle w:val="CellColumn"/>
            </w:pPr>
            <w:r>
              <w:t>Ured</w:t>
            </w:r>
          </w:p>
        </w:tc>
        <w:tc>
          <w:tcPr>
            <w:tcW w:w="1300" w:type="dxa"/>
          </w:tcPr>
          <w:p w:rsidR="00AC0832" w:rsidRDefault="00AC0832">
            <w:pPr>
              <w:pStyle w:val="CellColumn"/>
            </w:pPr>
            <w:r>
              <w:t>1</w:t>
            </w:r>
          </w:p>
        </w:tc>
        <w:tc>
          <w:tcPr>
            <w:tcW w:w="1300" w:type="dxa"/>
          </w:tcPr>
          <w:p w:rsidR="00AC0832" w:rsidRDefault="00AC0832">
            <w:pPr>
              <w:pStyle w:val="CellColumn"/>
            </w:pPr>
            <w:r>
              <w:t>1</w:t>
            </w:r>
          </w:p>
        </w:tc>
      </w:tr>
    </w:tbl>
    <w:p w:rsidR="00AC0832" w:rsidRDefault="00AC0832">
      <w:pPr>
        <w:jc w:val="left"/>
      </w:pPr>
    </w:p>
    <w:p w:rsidR="00AC0832" w:rsidRDefault="00AC0832">
      <w:pPr>
        <w:pStyle w:val="Heading6"/>
      </w:pPr>
      <w:r>
        <w:t>A513023 IPA 2008 - PROJEKT POTPORE ROMIMA, FAZA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A513023-IPA 2008 - PROJEKT POTPORE ROMIMA, FAZA III</w:t>
            </w:r>
          </w:p>
        </w:tc>
        <w:tc>
          <w:tcPr>
            <w:tcW w:w="2322" w:type="dxa"/>
          </w:tcPr>
          <w:p w:rsidR="00AC0832" w:rsidRDefault="00AC0832">
            <w:pPr>
              <w:pStyle w:val="CellColumn"/>
            </w:pPr>
            <w:r>
              <w:t>10.000.000</w:t>
            </w:r>
          </w:p>
        </w:tc>
        <w:tc>
          <w:tcPr>
            <w:tcW w:w="2322" w:type="dxa"/>
          </w:tcPr>
          <w:p w:rsidR="00AC0832" w:rsidRDefault="00AC0832">
            <w:pPr>
              <w:pStyle w:val="CellColumn"/>
            </w:pPr>
            <w:r>
              <w:t>6.510.118</w:t>
            </w:r>
          </w:p>
        </w:tc>
        <w:tc>
          <w:tcPr>
            <w:tcW w:w="2322" w:type="dxa"/>
          </w:tcPr>
          <w:p w:rsidR="00AC0832" w:rsidRDefault="00AC0832">
            <w:pPr>
              <w:pStyle w:val="CellColumn"/>
            </w:pPr>
            <w:r>
              <w:t>65,1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Tijekom 2012. godine nastavljena je implementacija trećeg po redu Projekta potpore Romima u Međimurskoj županiji, financiranog u sklopu IPA 2008 programa. Ugovoreni iznos projekta je 1.957.233,76 €, s time da Republika Hrvatska sufinancira projekt u iznosu od 25%. Projektom je planirano uređenje infrastrukture (ceste, vodovodna i električna mreža) u dva naselja u Međimurskoj županiji, Orehovici i Sitnicama. Radovi su završili 7. studenog 2012. godine, čime je započelo jednogodišnje garantno razdoblje. Sukladno odredbama ugovora u studenom 2013. godine potpisat će se završni prihvat građevine, te će time i službeno završiti provedba ugovora o radovima.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3"/>
        <w:gridCol w:w="1266"/>
        <w:gridCol w:w="1257"/>
        <w:gridCol w:w="1272"/>
        <w:gridCol w:w="1268"/>
        <w:gridCol w:w="1272"/>
        <w:gridCol w:w="128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Uređenje naselja i izgrađena kompletna infrastruktura u romskim naseljima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6</w:t>
            </w:r>
          </w:p>
        </w:tc>
        <w:tc>
          <w:tcPr>
            <w:tcW w:w="1300" w:type="dxa"/>
          </w:tcPr>
          <w:p w:rsidR="00AC0832" w:rsidRDefault="00AC0832">
            <w:pPr>
              <w:pStyle w:val="CellColumn"/>
            </w:pPr>
            <w:r>
              <w:t>Ured</w:t>
            </w:r>
          </w:p>
        </w:tc>
        <w:tc>
          <w:tcPr>
            <w:tcW w:w="1300" w:type="dxa"/>
          </w:tcPr>
          <w:p w:rsidR="00AC0832" w:rsidRDefault="00AC0832">
            <w:pPr>
              <w:pStyle w:val="CellColumn"/>
            </w:pPr>
            <w:r>
              <w:t>6</w:t>
            </w:r>
          </w:p>
        </w:tc>
        <w:tc>
          <w:tcPr>
            <w:tcW w:w="1300" w:type="dxa"/>
          </w:tcPr>
          <w:p w:rsidR="00AC0832" w:rsidRDefault="00AC0832">
            <w:pPr>
              <w:pStyle w:val="CellColumn"/>
            </w:pPr>
            <w:r>
              <w:t>6</w:t>
            </w:r>
          </w:p>
        </w:tc>
      </w:tr>
      <w:tr w:rsidR="00AC0832" w:rsidTr="00BE20ED">
        <w:trPr>
          <w:jc w:val="center"/>
        </w:trPr>
        <w:tc>
          <w:tcPr>
            <w:tcW w:w="1300" w:type="dxa"/>
          </w:tcPr>
          <w:p w:rsidR="00AC0832" w:rsidRDefault="00AC0832">
            <w:pPr>
              <w:pStyle w:val="CellColumn"/>
            </w:pPr>
            <w:r>
              <w:t>Broj organiziranih sastanaka za praćenje provedbi projekata iz programa PHARE i IPA I komponenta (mjesečni sastanci, Upravni odbor, terenske provjere)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14</w:t>
            </w:r>
          </w:p>
        </w:tc>
        <w:tc>
          <w:tcPr>
            <w:tcW w:w="1300" w:type="dxa"/>
          </w:tcPr>
          <w:p w:rsidR="00AC0832" w:rsidRDefault="00AC0832">
            <w:pPr>
              <w:pStyle w:val="CellColumn"/>
            </w:pPr>
            <w:r>
              <w:t>Ured</w:t>
            </w:r>
          </w:p>
        </w:tc>
        <w:tc>
          <w:tcPr>
            <w:tcW w:w="1300" w:type="dxa"/>
          </w:tcPr>
          <w:p w:rsidR="00AC0832" w:rsidRDefault="00AC0832">
            <w:pPr>
              <w:pStyle w:val="CellColumn"/>
            </w:pPr>
            <w:r>
              <w:t>16</w:t>
            </w:r>
          </w:p>
        </w:tc>
        <w:tc>
          <w:tcPr>
            <w:tcW w:w="1300" w:type="dxa"/>
          </w:tcPr>
          <w:p w:rsidR="00AC0832" w:rsidRDefault="00AC0832">
            <w:pPr>
              <w:pStyle w:val="CellColumn"/>
            </w:pPr>
            <w:r>
              <w:t>28</w:t>
            </w:r>
          </w:p>
        </w:tc>
      </w:tr>
      <w:tr w:rsidR="00AC0832" w:rsidTr="00BE20ED">
        <w:trPr>
          <w:jc w:val="center"/>
        </w:trPr>
        <w:tc>
          <w:tcPr>
            <w:tcW w:w="1300" w:type="dxa"/>
          </w:tcPr>
          <w:p w:rsidR="00AC0832" w:rsidRDefault="00AC0832">
            <w:pPr>
              <w:pStyle w:val="CellColumn"/>
            </w:pPr>
            <w:r>
              <w:t>Izrada izvješća o provedbi decentraliziranih projekata iz programa PHARE i IPA I komponenta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6</w:t>
            </w:r>
          </w:p>
        </w:tc>
        <w:tc>
          <w:tcPr>
            <w:tcW w:w="1300" w:type="dxa"/>
          </w:tcPr>
          <w:p w:rsidR="00AC0832" w:rsidRDefault="00AC0832">
            <w:pPr>
              <w:pStyle w:val="CellColumn"/>
            </w:pPr>
            <w:r>
              <w:t>Ured</w:t>
            </w:r>
          </w:p>
        </w:tc>
        <w:tc>
          <w:tcPr>
            <w:tcW w:w="1300" w:type="dxa"/>
          </w:tcPr>
          <w:p w:rsidR="00AC0832" w:rsidRDefault="00AC0832">
            <w:pPr>
              <w:pStyle w:val="CellColumn"/>
            </w:pPr>
            <w:r>
              <w:t>4</w:t>
            </w:r>
          </w:p>
        </w:tc>
        <w:tc>
          <w:tcPr>
            <w:tcW w:w="1300" w:type="dxa"/>
          </w:tcPr>
          <w:p w:rsidR="00AC0832" w:rsidRDefault="00AC0832">
            <w:pPr>
              <w:pStyle w:val="CellColumn"/>
            </w:pPr>
            <w:r>
              <w:t>7</w:t>
            </w:r>
          </w:p>
        </w:tc>
      </w:tr>
    </w:tbl>
    <w:p w:rsidR="00AC0832" w:rsidRDefault="00AC0832">
      <w:pPr>
        <w:jc w:val="left"/>
      </w:pPr>
    </w:p>
    <w:p w:rsidR="00AC0832" w:rsidRDefault="00AC0832">
      <w:pPr>
        <w:pStyle w:val="Heading6"/>
      </w:pPr>
      <w:r>
        <w:t>A513030 PROGRAMI ZA ROME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A513030-PROGRAMI ZA ROME</w:t>
            </w:r>
          </w:p>
        </w:tc>
        <w:tc>
          <w:tcPr>
            <w:tcW w:w="2322" w:type="dxa"/>
          </w:tcPr>
          <w:p w:rsidR="00AC0832" w:rsidRDefault="00AC0832">
            <w:pPr>
              <w:pStyle w:val="CellColumn"/>
            </w:pPr>
            <w:r>
              <w:t>1.794.043</w:t>
            </w:r>
          </w:p>
        </w:tc>
        <w:tc>
          <w:tcPr>
            <w:tcW w:w="2322" w:type="dxa"/>
          </w:tcPr>
          <w:p w:rsidR="00AC0832" w:rsidRDefault="00AC0832">
            <w:pPr>
              <w:pStyle w:val="CellColumn"/>
            </w:pPr>
            <w:r>
              <w:t>1.277.488</w:t>
            </w:r>
          </w:p>
        </w:tc>
        <w:tc>
          <w:tcPr>
            <w:tcW w:w="2322" w:type="dxa"/>
          </w:tcPr>
          <w:p w:rsidR="00AC0832" w:rsidRDefault="00AC0832">
            <w:pPr>
              <w:pStyle w:val="CellColumn"/>
            </w:pPr>
            <w:r>
              <w:t>71,2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Vlada Republike Hrvatske je na sjednici održanoj 25. listopada 2012. godine prihvatila Izvješće o provođenju Nacionalnog programa za Rome za 2010. i 2011. godinu. Na temelju izvješća može se konstatirati da je najveći napredak  postignut  području obrazovanja. </w:t>
      </w:r>
    </w:p>
    <w:p w:rsidR="00AC0832" w:rsidRDefault="00AC0832">
      <w:pPr>
        <w:pStyle w:val="Normal6"/>
      </w:pPr>
      <w:r>
        <w:t xml:space="preserve">U srpnju 2012. godine Republika Hrvatska preuzela je jednogodišnje predsjedanje Desetljećem za uključivanje Roma 2005.-2015. Opći cilj predsjedanja Desetljećem Republike Hrvatske je promocija Desetljeća i njegovo približavanje međunarodnim inicijativama, posebice Okviru EU o NSIR. Svrha određivanja tog cilja za predsjedanje je dvojaka: osigurati uporabu i kontinuitet uspostavljenih praksi koje su doprinjele pozitivnim promjenama u cjelokupnom položaju Roma, te podržati druge međunarodne inicijative bitne za uključivanje Roma kroz iskustvo Desetljeća za uključivanje Roma 2005.-2015. U tom smislu hrvatsko predsjedanje Desetljećem predviđa aktivnosti koje će povezati najvažnije aktere u raspravi o postojećim praksama Desetljeća i dostupnim prilikama koje pružaju druge međunarodne inicijative, posebice Okvir EU o NSIR, kako bi nastavili i ojačali napore u nizu prioritetnih područja kao i aktivnosti koje će dati novi poticaj u pogledu postojećih međunarodnih inicijativa za uključivanje Roma. Specifični ciljevi prioritetnih područja hrvatskog predsjedanja Desetljećem, kroz koje se namjerava postići opći cilj su: 1. Povezivanje Desetljeća za uključivanje Roma i Okvira EU; 2. Povezivanje glavnih uspjeha Desetljeća u obrazovanju s obrazovnom politikom EU i položajem romskog jezika; 3. Povezivanje povijesnog iskustva Roma u Europi s promicanjem tolerancije i nediskriminacije Roma i 4. Mladi Romi u akciji za toleranciju i priznavanje: skrenuti pozornost na probleme mladih Roma unutar postojećih inicijativa, uključujući i Desetljeće za uključivanje Roma 2005.-2015., učeći od inicijativa EU za mlade i uporaba akcije mladih za promicanje snošljivosti i poštivanja Roma te očuvanje i razvoj  identiteta Roma, osobito na lokalnoj razini.  </w:t>
      </w:r>
    </w:p>
    <w:p w:rsidR="00AC0832" w:rsidRDefault="00AC0832">
      <w:pPr>
        <w:pStyle w:val="Normal6"/>
      </w:pPr>
      <w:r>
        <w:t xml:space="preserve">Tijekom 2012. godine u sklopu predsjedanja Republike Hrvatske održane su sljedeće aktivnosti:  </w:t>
      </w:r>
    </w:p>
    <w:p w:rsidR="00AC0832" w:rsidRDefault="00AC0832">
      <w:pPr>
        <w:pStyle w:val="Normal6"/>
      </w:pPr>
      <w:r>
        <w:t xml:space="preserve">-30. svibnja 2012. održan informativni sastanak sa pripadnicima romskog civilnog društva o ulozi predsjedavajuće države i mogućnostima sudjelovanja civilnog društva, te o organizaciji tematskih radionica tijekom jednogodišnjeg predsjedanja (aktivnost prethodila preuzimanju predsjedanja, kao dio širih konzultacija o predsjedanju RH i planu predsjedanja); </w:t>
      </w:r>
    </w:p>
    <w:p w:rsidR="00AC0832" w:rsidRDefault="00AC0832">
      <w:pPr>
        <w:pStyle w:val="Normal6"/>
      </w:pPr>
      <w:r>
        <w:t xml:space="preserve">-24.-25. rujna 2012. održan 23. sastanak Međunarodnog upravnog odbora Desetljeća za uključivanje Roma 2005.-2015. u Zagrebu, kao prva od aktivnosti u okviru jednogodišnjeg predsjedanja Republike Hrvatske Desetljećem za uključivanje Roma. </w:t>
      </w:r>
    </w:p>
    <w:p w:rsidR="00AC0832" w:rsidRDefault="00AC0832">
      <w:pPr>
        <w:pStyle w:val="Normal6"/>
      </w:pPr>
      <w:r>
        <w:t xml:space="preserve">Sastanku su prisustvovali predstavnici vlada 12 zemalja-članica Desetljeća. Sudionici sastanka su bili predstavnici romskog civilnog sektora zemalja-članica, predstavnici dviju zemalja-promatrača, Sjedinjenih Američkih Država i Slovenije, predstavnici niza međunarodnih partnera koji sudjeluju u Desetljeću, poput Europske komisije, Svjetske banke, Zaklade Otvoreno društvo, UNDP-a, UNICEF-a, UNHCR-a, Svjetske zdravstvene organizacije i drugih, predstavnici Povjerenstva za praćenje provedbe Nacionalnog programa za Rome, Odbora za predsjedanje Desetljećem za uključivanje Roma, predstavnici romskog civilnog sektora u Republici Hrvatskoj; </w:t>
      </w:r>
    </w:p>
    <w:p w:rsidR="00AC0832" w:rsidRDefault="00AC0832">
      <w:pPr>
        <w:pStyle w:val="Normal6"/>
      </w:pPr>
      <w:r>
        <w:t xml:space="preserve">-Slijedom zaključka zemalja članica na 23. sastanku Međunarodnog upravnog odbora Desetljeća na prijedlog Republike Hrvatske uspostavljena je Radna skupina za razmatranje budućnosti Desetljeća za uključivanje Roma nakon 2015. godine. Radnu skupinu čine predstavnici zemalja članica Desetljeća (RH kao predsjedateljica, Mađarska kao predstavnica članica EU i Srbija kao predstavnica zemalja izvan EU), međunarodnih organizacija partnera Desetljeća i civilnog društva, a predsjedava joj Republika Hrvatska u svojstvu predsjedavateljice Desetljeća. U vezi s time tijekom prosinca 2012. godine održana su dva sastanka u Zagrebu: sastanak Radne skupine 26. studenog 2012. godine te, sukladno načelima Desetljeća, konzultativni sastanak s predstavnicima romskog civilnog društva iz zemalja članica Desetljeća 13. prosinca 2012. godine, oba u organizaciji Ureda za ljudska prava i prava nacionalnih manjina uz potporu Tajništva Desetljeća; </w:t>
      </w:r>
    </w:p>
    <w:p w:rsidR="00AC0832" w:rsidRDefault="00AC0832">
      <w:pPr>
        <w:pStyle w:val="Normal6"/>
      </w:pPr>
      <w:r>
        <w:t xml:space="preserve">-12. 12. 2012. godine održan je cjelodnevni sastanak s predstavnicima međunarodnih organizacija i predstavnicima romskog civilnog društva iz zemalja članica Desetljeća o organizaciji aktivnosti posvećenih mladima kao jednom od prioriteta predsjedanja RH Desetljećem. </w:t>
      </w:r>
    </w:p>
    <w:p w:rsidR="00AC0832" w:rsidRDefault="00AC0832">
      <w:pPr>
        <w:pStyle w:val="Normal6"/>
      </w:pPr>
      <w:r>
        <w:t>Ured je pristupio izradi nove Nacionalne strategije za Rome usklađujući nacionalnu politiku sa zahtjevima Europske unije. U siječnju su održane dvije dvodnevne radionice o izradi Nacionalne strategije za uključivanje Roma, na kojima su sudjelovali predstavnici tijela državne uprave, lokalne i područne (regionalne) samouprave, romskog civilnog društva, međunarodnih organizacija u Republici Hrvatskoj te neovisni stručnjaci. Radionice su održane uz financijsku potporu fonda Making the Most of EU Funds for Roma Zaklada Otvorenog društva, u sklopu projekta „Jačanje struktura za programe koji promiču integraciju Roma“. Nacionalnu strategiju za uključivanje Roma, za razdoblje od 2013. do 2020. godine donijela je Vlada Republike Hrvatske na sjednici održanoj 29. studenog 2012. godine. Nova Nacionalna strategija usuglašena je s važećim strateškim dokumentima Europske unije, posebice s Okvirom EU za nacionalne strategije integracije Roma i Strategijom Europa 2020. Opći cilj Nacionalne strategije je poboljšanje položaja romske nacionalne manjine u Republici Hrvatskoj i stvaranje uvjeta za  potpunije uključivanja Roma u sve segmente društva. Sastavni dio Nacionalnu strategije za uključivanje Roma za razdoblje od 2013.-2020. godine je Akcijski plan za provedbu navedene Strategije, koji će se donijeti u 2013. godini.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3"/>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 xml:space="preserve">Izrađeno izvješće o </w:t>
            </w:r>
          </w:p>
          <w:p w:rsidR="00AC0832" w:rsidRDefault="00AC0832">
            <w:pPr>
              <w:pStyle w:val="CellColumn"/>
            </w:pPr>
            <w:r>
              <w:t xml:space="preserve">provedbi Akcijskog </w:t>
            </w:r>
          </w:p>
          <w:p w:rsidR="00AC0832" w:rsidRDefault="00AC0832">
            <w:pPr>
              <w:pStyle w:val="CellColumn"/>
            </w:pPr>
            <w:r>
              <w:t xml:space="preserve">plana Desetljeća za </w:t>
            </w:r>
          </w:p>
          <w:p w:rsidR="00AC0832" w:rsidRDefault="00AC0832">
            <w:pPr>
              <w:pStyle w:val="CellColumn"/>
            </w:pPr>
            <w:r>
              <w:t xml:space="preserve">uključivanje Roma </w:t>
            </w:r>
          </w:p>
          <w:p w:rsidR="00AC0832" w:rsidRDefault="00AC0832">
            <w:pPr>
              <w:pStyle w:val="CellColumn"/>
            </w:pPr>
            <w:r>
              <w:t xml:space="preserve">2005.-2015. iz kojeg </w:t>
            </w:r>
          </w:p>
          <w:p w:rsidR="00AC0832" w:rsidRDefault="00AC0832">
            <w:pPr>
              <w:pStyle w:val="CellColumn"/>
            </w:pPr>
            <w:r>
              <w:t xml:space="preserve">se vidi napredak u </w:t>
            </w:r>
          </w:p>
          <w:p w:rsidR="00AC0832" w:rsidRDefault="00AC0832">
            <w:pPr>
              <w:pStyle w:val="CellColumn"/>
            </w:pPr>
            <w:r>
              <w:t xml:space="preserve">unaprjeđenju prava </w:t>
            </w:r>
          </w:p>
          <w:p w:rsidR="00AC0832" w:rsidRDefault="00AC0832">
            <w:pPr>
              <w:pStyle w:val="CellColumn"/>
            </w:pPr>
            <w:r>
              <w:t xml:space="preserve">romske nacionalne </w:t>
            </w:r>
          </w:p>
          <w:p w:rsidR="00AC0832" w:rsidRDefault="00AC0832">
            <w:pPr>
              <w:pStyle w:val="CellColumn"/>
            </w:pPr>
            <w:r>
              <w:t>manjine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1</w:t>
            </w:r>
          </w:p>
        </w:tc>
        <w:tc>
          <w:tcPr>
            <w:tcW w:w="1300" w:type="dxa"/>
          </w:tcPr>
          <w:p w:rsidR="00AC0832" w:rsidRDefault="00AC0832">
            <w:pPr>
              <w:pStyle w:val="CellColumn"/>
            </w:pPr>
            <w:r>
              <w:t>Ured</w:t>
            </w:r>
          </w:p>
        </w:tc>
        <w:tc>
          <w:tcPr>
            <w:tcW w:w="1300" w:type="dxa"/>
          </w:tcPr>
          <w:p w:rsidR="00AC0832" w:rsidRDefault="00AC0832">
            <w:pPr>
              <w:pStyle w:val="CellColumn"/>
            </w:pPr>
            <w:r>
              <w:t>1</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 xml:space="preserve">Povećanje broja </w:t>
            </w:r>
          </w:p>
          <w:p w:rsidR="00AC0832" w:rsidRDefault="00AC0832">
            <w:pPr>
              <w:pStyle w:val="CellColumn"/>
            </w:pPr>
            <w:r>
              <w:t xml:space="preserve">organiziranih </w:t>
            </w:r>
          </w:p>
          <w:p w:rsidR="00AC0832" w:rsidRDefault="00AC0832">
            <w:pPr>
              <w:pStyle w:val="CellColumn"/>
            </w:pPr>
            <w:r>
              <w:t xml:space="preserve">sastanaka Radne </w:t>
            </w:r>
          </w:p>
          <w:p w:rsidR="00AC0832" w:rsidRDefault="00AC0832">
            <w:pPr>
              <w:pStyle w:val="CellColumn"/>
            </w:pPr>
            <w:r>
              <w:t xml:space="preserve">skupine za praćenje </w:t>
            </w:r>
          </w:p>
          <w:p w:rsidR="00AC0832" w:rsidRDefault="00AC0832">
            <w:pPr>
              <w:pStyle w:val="CellColumn"/>
            </w:pPr>
            <w:r>
              <w:t xml:space="preserve">Akcijskog plana </w:t>
            </w:r>
          </w:p>
          <w:p w:rsidR="00AC0832" w:rsidRDefault="00AC0832">
            <w:pPr>
              <w:pStyle w:val="CellColumn"/>
            </w:pPr>
            <w:r>
              <w:t xml:space="preserve">Desetljeća za </w:t>
            </w:r>
          </w:p>
          <w:p w:rsidR="00AC0832" w:rsidRDefault="00AC0832">
            <w:pPr>
              <w:pStyle w:val="CellColumn"/>
            </w:pPr>
            <w:r>
              <w:t xml:space="preserve">uključivanje Roma </w:t>
            </w:r>
          </w:p>
          <w:p w:rsidR="00AC0832" w:rsidRDefault="00AC0832">
            <w:pPr>
              <w:pStyle w:val="CellColumn"/>
            </w:pPr>
            <w:r>
              <w:t xml:space="preserve">2005.-2015. </w:t>
            </w:r>
          </w:p>
          <w:p w:rsidR="00AC0832" w:rsidRDefault="00AC0832">
            <w:pPr>
              <w:pStyle w:val="CellColumn"/>
            </w:pPr>
            <w:r>
              <w:t>.</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2</w:t>
            </w:r>
          </w:p>
        </w:tc>
        <w:tc>
          <w:tcPr>
            <w:tcW w:w="1300" w:type="dxa"/>
          </w:tcPr>
          <w:p w:rsidR="00AC0832" w:rsidRDefault="00AC0832">
            <w:pPr>
              <w:pStyle w:val="CellColumn"/>
            </w:pPr>
            <w:r>
              <w:t>Ured</w:t>
            </w:r>
          </w:p>
        </w:tc>
        <w:tc>
          <w:tcPr>
            <w:tcW w:w="1300" w:type="dxa"/>
          </w:tcPr>
          <w:p w:rsidR="00AC0832" w:rsidRDefault="00AC0832">
            <w:pPr>
              <w:pStyle w:val="CellColumn"/>
            </w:pPr>
            <w:r>
              <w:t>3</w:t>
            </w:r>
          </w:p>
        </w:tc>
        <w:tc>
          <w:tcPr>
            <w:tcW w:w="1300" w:type="dxa"/>
          </w:tcPr>
          <w:p w:rsidR="00AC0832" w:rsidRDefault="00AC0832">
            <w:pPr>
              <w:pStyle w:val="CellColumn"/>
            </w:pPr>
            <w:r>
              <w:t>4</w:t>
            </w:r>
          </w:p>
        </w:tc>
      </w:tr>
      <w:tr w:rsidR="00AC0832" w:rsidTr="00BE20ED">
        <w:trPr>
          <w:jc w:val="center"/>
        </w:trPr>
        <w:tc>
          <w:tcPr>
            <w:tcW w:w="1300" w:type="dxa"/>
          </w:tcPr>
          <w:p w:rsidR="00AC0832" w:rsidRDefault="00AC0832">
            <w:pPr>
              <w:pStyle w:val="CellColumn"/>
            </w:pPr>
            <w:r>
              <w:t xml:space="preserve">Povećanje broja </w:t>
            </w:r>
          </w:p>
          <w:p w:rsidR="00AC0832" w:rsidRDefault="00AC0832">
            <w:pPr>
              <w:pStyle w:val="CellColumn"/>
            </w:pPr>
            <w:r>
              <w:t xml:space="preserve">organiziranih </w:t>
            </w:r>
          </w:p>
          <w:p w:rsidR="00AC0832" w:rsidRDefault="00AC0832">
            <w:pPr>
              <w:pStyle w:val="CellColumn"/>
            </w:pPr>
            <w:r>
              <w:t xml:space="preserve">sastanaka </w:t>
            </w:r>
          </w:p>
          <w:p w:rsidR="00AC0832" w:rsidRDefault="00AC0832">
            <w:pPr>
              <w:pStyle w:val="CellColumn"/>
            </w:pPr>
            <w:r>
              <w:t xml:space="preserve">Povjerenstva za </w:t>
            </w:r>
          </w:p>
          <w:p w:rsidR="00AC0832" w:rsidRDefault="00AC0832">
            <w:pPr>
              <w:pStyle w:val="CellColumn"/>
            </w:pPr>
            <w:r>
              <w:t xml:space="preserve">praćenje provedbe </w:t>
            </w:r>
          </w:p>
          <w:p w:rsidR="00AC0832" w:rsidRDefault="00AC0832">
            <w:pPr>
              <w:pStyle w:val="CellColumn"/>
            </w:pPr>
            <w:r>
              <w:t xml:space="preserve">Nacionalnog programa </w:t>
            </w:r>
          </w:p>
          <w:p w:rsidR="00AC0832" w:rsidRDefault="00AC0832">
            <w:pPr>
              <w:pStyle w:val="CellColumn"/>
            </w:pPr>
            <w:r>
              <w:t>za Rome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4</w:t>
            </w:r>
          </w:p>
        </w:tc>
        <w:tc>
          <w:tcPr>
            <w:tcW w:w="1300" w:type="dxa"/>
          </w:tcPr>
          <w:p w:rsidR="00AC0832" w:rsidRDefault="00AC0832">
            <w:pPr>
              <w:pStyle w:val="CellColumn"/>
            </w:pPr>
            <w:r>
              <w:t>Ured</w:t>
            </w:r>
          </w:p>
        </w:tc>
        <w:tc>
          <w:tcPr>
            <w:tcW w:w="1300" w:type="dxa"/>
          </w:tcPr>
          <w:p w:rsidR="00AC0832" w:rsidRDefault="00AC0832">
            <w:pPr>
              <w:pStyle w:val="CellColumn"/>
            </w:pPr>
            <w:r>
              <w:t>4</w:t>
            </w:r>
          </w:p>
        </w:tc>
        <w:tc>
          <w:tcPr>
            <w:tcW w:w="1300" w:type="dxa"/>
          </w:tcPr>
          <w:p w:rsidR="00AC0832" w:rsidRDefault="00AC0832">
            <w:pPr>
              <w:pStyle w:val="CellColumn"/>
            </w:pPr>
            <w:r>
              <w:t>7</w:t>
            </w:r>
          </w:p>
        </w:tc>
      </w:tr>
    </w:tbl>
    <w:p w:rsidR="00AC0832" w:rsidRDefault="00AC0832">
      <w:pPr>
        <w:jc w:val="left"/>
      </w:pPr>
    </w:p>
    <w:p w:rsidR="00AC0832" w:rsidRDefault="00AC0832">
      <w:pPr>
        <w:pStyle w:val="Heading6"/>
      </w:pPr>
      <w:r>
        <w:t>A513031 ZAJEDNIČKO VIJEĆE OPĆINA, VUKOVAR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A513031-ZAJEDNIČKO VIJEĆE OPĆINA, VUKOVAR</w:t>
            </w:r>
          </w:p>
        </w:tc>
        <w:tc>
          <w:tcPr>
            <w:tcW w:w="2322" w:type="dxa"/>
          </w:tcPr>
          <w:p w:rsidR="00AC0832" w:rsidRDefault="00AC0832">
            <w:pPr>
              <w:pStyle w:val="CellColumn"/>
            </w:pPr>
            <w:r>
              <w:t>1.125.000</w:t>
            </w:r>
          </w:p>
        </w:tc>
        <w:tc>
          <w:tcPr>
            <w:tcW w:w="2322" w:type="dxa"/>
          </w:tcPr>
          <w:p w:rsidR="00AC0832" w:rsidRDefault="00AC0832">
            <w:pPr>
              <w:pStyle w:val="CellColumn"/>
            </w:pPr>
            <w:r>
              <w:t>1.125.000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cilju izgradnje građanskog povjerenja putem dijaloga kroz institucije sustava u Državnom proračunu Republike Hrvatske za 2012. godinu na poziciji Ureda osigurana su sredstva za rad Zajedničkog vijeća općina  iz Vukovara, udruge srpske nacionalne manjine koja usklađuje interese srpske nacionalne manjine na području Vukovarsko-srijemske i Osječko-baranjske županije koja su doznačavana u jednakim mjesečnim iznosima.</w:t>
      </w:r>
    </w:p>
    <w:p w:rsidR="00AC0832" w:rsidRDefault="00AC0832">
      <w:pPr>
        <w:pStyle w:val="Heading6"/>
      </w:pPr>
      <w:r>
        <w:t>A513032 JAČANJE STRUKTURA ZA PROGRAME KOJI PROMIČU INTEGRACIJU ROMA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A513032-JAČANJE STRUKTURA ZA PROGRAME KOJI PROMIČU INTEGRACIJU ROMA</w:t>
            </w:r>
          </w:p>
        </w:tc>
        <w:tc>
          <w:tcPr>
            <w:tcW w:w="2322" w:type="dxa"/>
          </w:tcPr>
          <w:p w:rsidR="00AC0832" w:rsidRDefault="00AC0832">
            <w:pPr>
              <w:pStyle w:val="CellColumn"/>
            </w:pPr>
            <w:r>
              <w:t>00</w:t>
            </w:r>
          </w:p>
        </w:tc>
        <w:tc>
          <w:tcPr>
            <w:tcW w:w="2322" w:type="dxa"/>
          </w:tcPr>
          <w:p w:rsidR="00AC0832" w:rsidRDefault="00AC0832">
            <w:pPr>
              <w:pStyle w:val="CellColumn"/>
            </w:pPr>
            <w:r>
              <w:t>50.914</w:t>
            </w:r>
          </w:p>
        </w:tc>
        <w:tc>
          <w:tcPr>
            <w:tcW w:w="2322" w:type="dxa"/>
          </w:tcPr>
          <w:p w:rsidR="00AC0832" w:rsidRDefault="00AC0832">
            <w:pPr>
              <w:pStyle w:val="CellColumn"/>
            </w:pPr>
            <w:r>
              <w:t>0,0</w:t>
            </w:r>
          </w:p>
        </w:tc>
      </w:tr>
    </w:tbl>
    <w:p w:rsidR="00AC0832" w:rsidRDefault="00AC0832">
      <w:pPr>
        <w:jc w:val="left"/>
      </w:pPr>
    </w:p>
    <w:p w:rsidR="00AC0832" w:rsidRDefault="00AC0832">
      <w:pPr>
        <w:jc w:val="left"/>
      </w:pPr>
    </w:p>
    <w:p w:rsidR="00AC0832" w:rsidRDefault="00AC0832">
      <w:pPr>
        <w:pStyle w:val="Heading5"/>
      </w:pPr>
      <w:r>
        <w:t>2111 PROMICANJE LJUDSKIH PRAVA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2111-PROMICANJE LJUDSKIH PRAVA</w:t>
            </w:r>
          </w:p>
        </w:tc>
        <w:tc>
          <w:tcPr>
            <w:tcW w:w="2322" w:type="dxa"/>
          </w:tcPr>
          <w:p w:rsidR="00AC0832" w:rsidRDefault="00AC0832">
            <w:pPr>
              <w:pStyle w:val="CellColumn"/>
            </w:pPr>
            <w:r>
              <w:t>6.176.453</w:t>
            </w:r>
          </w:p>
        </w:tc>
        <w:tc>
          <w:tcPr>
            <w:tcW w:w="2322" w:type="dxa"/>
          </w:tcPr>
          <w:p w:rsidR="00AC0832" w:rsidRDefault="00AC0832">
            <w:pPr>
              <w:pStyle w:val="CellColumn"/>
            </w:pPr>
            <w:r>
              <w:t>4.957.649</w:t>
            </w:r>
          </w:p>
        </w:tc>
        <w:tc>
          <w:tcPr>
            <w:tcW w:w="2322" w:type="dxa"/>
          </w:tcPr>
          <w:p w:rsidR="00AC0832" w:rsidRDefault="00AC0832">
            <w:pPr>
              <w:pStyle w:val="CellColumn"/>
            </w:pPr>
            <w:r>
              <w:t>80,3</w:t>
            </w:r>
          </w:p>
        </w:tc>
      </w:tr>
    </w:tbl>
    <w:p w:rsidR="00AC0832" w:rsidRDefault="00AC0832">
      <w:pPr>
        <w:jc w:val="left"/>
      </w:pPr>
    </w:p>
    <w:p w:rsidR="00AC0832" w:rsidRDefault="00AC0832">
      <w:pPr>
        <w:pStyle w:val="Heading6"/>
      </w:pPr>
      <w:r>
        <w:t>Opis programa</w:t>
      </w:r>
    </w:p>
    <w:p w:rsidR="00AC0832" w:rsidRDefault="00AC0832">
      <w:pPr>
        <w:pStyle w:val="Normal5"/>
      </w:pPr>
      <w:r>
        <w:t>Ured za ljudska prava koordinira i nadzire provođenje Nacionalnog programa zaštite i promicanja ljudskih prava 2008.-2011. i Nacionalnog plana za borbu protiv diskriminacije i pridružene mu Akcijske planove te Nacionalnog plana za suzbijanje trgovanja ljudima 2009. - 2011. Nadalje, Ured koordinira provedbu Nacionalnog plana suzbijanja trgovanja ljudima. Ured je tajništvo Povjerenstva za ljudska prava, Nacionalnog odbora za odgoj i obrazovanje za ljudska prava i demokratsko građanstvo i Nacionalnog odbora za suzbijanje trgovanja ljudima. Također, Ured za ljudska prava pruža administrativnu i tehničku pomoć Stručnoj radnoj skupini za praćenje zločina iz mržnje. Također, Ured koordinira i pruža stručnu podršku županijskim koordinacijama za ljudska prava te organizira niz okruglih stolova i seminara u cilju promocije i zaštite ljudskih prava, te decentralizacije sustava ljudskih prava. Nadalje, u cilju promocije ljudskih prava, Ured za ljudska prava na godišnjoj osnovi organizira natječaj za dodjelu financijskih sredstva iz državnog proračuna za organizacije civilnog društva aktivne u području zaštite i promicanja ljudskih prava. U cilju promocije i zaštite ljudskih prava Ured za ljudska prava svake godine organizira proslavu Međunarodnog dana ljudskih prava te Europskog dana za suzbijanje trgovanja ljudima.</w:t>
      </w:r>
    </w:p>
    <w:p w:rsidR="00AC0832" w:rsidRDefault="00AC0832">
      <w:pPr>
        <w:pStyle w:val="Heading6"/>
      </w:pPr>
      <w:r>
        <w:t>Zakonske i druge pravne osnove</w:t>
      </w:r>
    </w:p>
    <w:p w:rsidR="00AC0832" w:rsidRDefault="00AC0832">
      <w:pPr>
        <w:pStyle w:val="Normal5"/>
      </w:pPr>
      <w:r>
        <w:t>Zakon o Vladi Republike Hrvatske, Zakon o udrugama, Uredba o osnivanju Centra za ljudska prava,  Zakon o suzbijanju diskriminacije, Nacionalni program zaštite i promicanja ljudskih prava 2008.-2011., Nacionalni plan za borbu protiv diskriminacije 2008.-2013., Nacionalni plan za suzbijanje trgovanja ljudima 2009.-2011., Memorandum o razumijevanju između Republike Hrvatske i Europske zajednice o sudjelovanju u programima Zajednice i Kodeks pozitivne prakse, standarda i mjerila za ostvarivanje potpore programima i projektima udruga.</w:t>
      </w:r>
    </w:p>
    <w:p w:rsidR="00AC0832" w:rsidRDefault="00AC0832">
      <w:pPr>
        <w:pStyle w:val="Heading7"/>
      </w:pPr>
      <w:r>
        <w:t>Cilj 1. Unapređenje cjelokupnog sustava zaštite i promicanja ljudskih prava u Republici Hrvatskoj</w:t>
      </w:r>
    </w:p>
    <w:p w:rsidR="00AC0832" w:rsidRDefault="00AC0832">
      <w:pPr>
        <w:pStyle w:val="Heading8"/>
        <w:jc w:val="left"/>
      </w:pPr>
      <w:r>
        <w:t>Opis provedbe cilja programa</w:t>
      </w:r>
    </w:p>
    <w:p w:rsidR="00AC0832" w:rsidRDefault="00AC0832">
      <w:pPr>
        <w:pStyle w:val="Normal6"/>
      </w:pPr>
      <w:r>
        <w:t>Vlada Republike Hrvatske kontinuirano radi na (1) zaštititi, promicanju i unapređivanju ljudskih prava u Republici Hrvatskoj, posebice onih područja ljudskih prava za koje drži da iziskuju prioritetno rješavanje postojećih problema; (2) podizanju  javne svijesti o važnosti poznavanja i ostvarivanja ljudskih prava; (3) unaprjeđivanju suradnje u sustavu tijela Republike Hrvatske za zaštitu i promicanje ljudskih prava; (4) uspostavljanju sustava obrazovanja za ljudska prava te (5) stvaranja uvjete za kvalitetnu suradnju s organizacijama civilnoga društva na području ljudskih prava.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4"/>
        <w:gridCol w:w="1146"/>
        <w:gridCol w:w="1300"/>
        <w:gridCol w:w="1300"/>
        <w:gridCol w:w="1300"/>
        <w:gridCol w:w="1300"/>
        <w:gridCol w:w="1300"/>
      </w:tblGrid>
      <w:tr w:rsidR="00AC0832" w:rsidTr="00A1146D">
        <w:trPr>
          <w:jc w:val="center"/>
        </w:trPr>
        <w:tc>
          <w:tcPr>
            <w:tcW w:w="1454" w:type="dxa"/>
            <w:shd w:val="clear" w:color="auto" w:fill="B5C0D8"/>
          </w:tcPr>
          <w:p w:rsidR="00AC0832" w:rsidRPr="00BE20ED" w:rsidRDefault="00AC0832">
            <w:pPr>
              <w:rPr>
                <w:sz w:val="20"/>
                <w:lang w:eastAsia="hr-HR"/>
              </w:rPr>
            </w:pPr>
            <w:r w:rsidRPr="00BE20ED">
              <w:rPr>
                <w:sz w:val="20"/>
                <w:lang w:eastAsia="hr-HR"/>
              </w:rPr>
              <w:t>Pokazatelj učinka</w:t>
            </w:r>
          </w:p>
        </w:tc>
        <w:tc>
          <w:tcPr>
            <w:tcW w:w="1146"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A1146D">
        <w:trPr>
          <w:jc w:val="center"/>
        </w:trPr>
        <w:tc>
          <w:tcPr>
            <w:tcW w:w="1454" w:type="dxa"/>
          </w:tcPr>
          <w:p w:rsidR="00AC0832" w:rsidRDefault="00AC0832">
            <w:pPr>
              <w:pStyle w:val="CellColumn"/>
            </w:pPr>
            <w:r>
              <w:t>Povećan broj izrađenih izvješća</w:t>
            </w:r>
          </w:p>
        </w:tc>
        <w:tc>
          <w:tcPr>
            <w:tcW w:w="1146"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2</w:t>
            </w:r>
          </w:p>
        </w:tc>
        <w:tc>
          <w:tcPr>
            <w:tcW w:w="1300" w:type="dxa"/>
          </w:tcPr>
          <w:p w:rsidR="00AC0832" w:rsidRDefault="00AC0832">
            <w:pPr>
              <w:pStyle w:val="CellColumn"/>
            </w:pPr>
            <w:r>
              <w:t>Ured</w:t>
            </w:r>
          </w:p>
        </w:tc>
        <w:tc>
          <w:tcPr>
            <w:tcW w:w="1300" w:type="dxa"/>
          </w:tcPr>
          <w:p w:rsidR="00AC0832" w:rsidRDefault="00AC0832">
            <w:pPr>
              <w:pStyle w:val="CellColumn"/>
            </w:pPr>
            <w:r>
              <w:t>5</w:t>
            </w:r>
          </w:p>
        </w:tc>
        <w:tc>
          <w:tcPr>
            <w:tcW w:w="1300" w:type="dxa"/>
          </w:tcPr>
          <w:p w:rsidR="00AC0832" w:rsidRDefault="00AC0832">
            <w:pPr>
              <w:pStyle w:val="CellColumn"/>
            </w:pPr>
            <w:r>
              <w:t>4</w:t>
            </w:r>
          </w:p>
        </w:tc>
      </w:tr>
    </w:tbl>
    <w:p w:rsidR="00AC0832" w:rsidRDefault="00AC0832">
      <w:pPr>
        <w:jc w:val="left"/>
      </w:pPr>
    </w:p>
    <w:p w:rsidR="00AC0832" w:rsidRDefault="00AC0832">
      <w:pPr>
        <w:pStyle w:val="Heading6"/>
      </w:pPr>
      <w:r>
        <w:t>A513028 IPA 2010 FFRAC - JAČANJE SUSTAVA IDENTIFIKACIJE ŽRTAVA TRGOVANJA LJUDIMA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A513028-IPA 2010 FFRAC - JAČANJE SUSTAVA IDENTIFIKACIJE ŽRTAVA TRGOVANJA LJUDIMA</w:t>
            </w:r>
          </w:p>
        </w:tc>
        <w:tc>
          <w:tcPr>
            <w:tcW w:w="2322" w:type="dxa"/>
          </w:tcPr>
          <w:p w:rsidR="00AC0832" w:rsidRDefault="00AC0832">
            <w:pPr>
              <w:pStyle w:val="CellColumn"/>
            </w:pPr>
            <w:r>
              <w:t>151.200</w:t>
            </w:r>
          </w:p>
        </w:tc>
        <w:tc>
          <w:tcPr>
            <w:tcW w:w="2322" w:type="dxa"/>
          </w:tcPr>
          <w:p w:rsidR="00AC0832" w:rsidRDefault="00AC0832">
            <w:pPr>
              <w:pStyle w:val="CellColumn"/>
            </w:pPr>
            <w:r>
              <w:t>00</w:t>
            </w:r>
          </w:p>
        </w:tc>
        <w:tc>
          <w:tcPr>
            <w:tcW w:w="2322" w:type="dxa"/>
          </w:tcPr>
          <w:p w:rsidR="00AC0832" w:rsidRDefault="00AC0832">
            <w:pPr>
              <w:pStyle w:val="CellColumn"/>
            </w:pPr>
            <w:r>
              <w:t>0,0</w:t>
            </w:r>
          </w:p>
        </w:tc>
      </w:tr>
    </w:tbl>
    <w:p w:rsidR="00AC0832" w:rsidRDefault="00AC0832">
      <w:pPr>
        <w:jc w:val="left"/>
      </w:pPr>
    </w:p>
    <w:p w:rsidR="00AC0832" w:rsidRDefault="00AC0832">
      <w:pPr>
        <w:pStyle w:val="Heading6"/>
      </w:pPr>
      <w:r>
        <w:t>A681000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A681000-ADMINISTRACIJA I UPRAVLJANJE</w:t>
            </w:r>
          </w:p>
        </w:tc>
        <w:tc>
          <w:tcPr>
            <w:tcW w:w="2322" w:type="dxa"/>
          </w:tcPr>
          <w:p w:rsidR="00AC0832" w:rsidRDefault="00AC0832">
            <w:pPr>
              <w:pStyle w:val="CellColumn"/>
            </w:pPr>
            <w:r>
              <w:t>3.251.431</w:t>
            </w:r>
          </w:p>
        </w:tc>
        <w:tc>
          <w:tcPr>
            <w:tcW w:w="2322" w:type="dxa"/>
          </w:tcPr>
          <w:p w:rsidR="00AC0832" w:rsidRDefault="00AC0832">
            <w:pPr>
              <w:pStyle w:val="CellColumn"/>
            </w:pPr>
            <w:r>
              <w:t>2.726.978</w:t>
            </w:r>
          </w:p>
        </w:tc>
        <w:tc>
          <w:tcPr>
            <w:tcW w:w="2322" w:type="dxa"/>
          </w:tcPr>
          <w:p w:rsidR="00AC0832" w:rsidRDefault="00AC0832">
            <w:pPr>
              <w:pStyle w:val="CellColumn"/>
            </w:pPr>
            <w:r>
              <w:t>83,9</w:t>
            </w:r>
          </w:p>
        </w:tc>
      </w:tr>
    </w:tbl>
    <w:p w:rsidR="00AC0832" w:rsidRDefault="00AC0832">
      <w:pPr>
        <w:jc w:val="left"/>
      </w:pPr>
    </w:p>
    <w:p w:rsidR="00AC0832" w:rsidRDefault="00AC0832">
      <w:pPr>
        <w:pStyle w:val="Heading6"/>
      </w:pPr>
      <w:r>
        <w:t>A681022 DJELOVANJE NEVLADINIH UDRUGA U PODRUČJU ZAŠTITE, PROMICANJA I POŠTIVANJA LJUDSKIH PRAVA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A681022-DJELOVANJE NEVLADINIH UDRUGA U PODRUČJU ZAŠTITE, PROMICANJA I POŠTIVANJA LJUDSKIH PRAVA</w:t>
            </w:r>
          </w:p>
        </w:tc>
        <w:tc>
          <w:tcPr>
            <w:tcW w:w="2322" w:type="dxa"/>
          </w:tcPr>
          <w:p w:rsidR="00AC0832" w:rsidRDefault="00AC0832">
            <w:pPr>
              <w:pStyle w:val="CellColumn"/>
            </w:pPr>
            <w:r>
              <w:t>1.010.000</w:t>
            </w:r>
          </w:p>
        </w:tc>
        <w:tc>
          <w:tcPr>
            <w:tcW w:w="2322" w:type="dxa"/>
          </w:tcPr>
          <w:p w:rsidR="00AC0832" w:rsidRDefault="00AC0832">
            <w:pPr>
              <w:pStyle w:val="CellColumn"/>
            </w:pPr>
            <w:r>
              <w:t>907.604</w:t>
            </w:r>
          </w:p>
        </w:tc>
        <w:tc>
          <w:tcPr>
            <w:tcW w:w="2322" w:type="dxa"/>
          </w:tcPr>
          <w:p w:rsidR="00AC0832" w:rsidRDefault="00AC0832">
            <w:pPr>
              <w:pStyle w:val="CellColumn"/>
            </w:pPr>
            <w:r>
              <w:t>89,9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Suradnja Ureda za ljudska prava Vlade RH s organizacijama civilnoga društva provodi se kroz: </w:t>
      </w:r>
    </w:p>
    <w:p w:rsidR="00AC0832" w:rsidRDefault="00AC0832">
      <w:pPr>
        <w:pStyle w:val="Normal6"/>
      </w:pPr>
      <w:r>
        <w:t xml:space="preserve">•savjetovanje i konzultacije s predstavnicima civilnoga sektora prilikom izrade nacionalnih programa Vlade iz različitih područja ljudskih prava i donošenja novih ili izmjena postojećih zakona,  </w:t>
      </w:r>
    </w:p>
    <w:p w:rsidR="00AC0832" w:rsidRDefault="00AC0832">
      <w:pPr>
        <w:pStyle w:val="Normal6"/>
      </w:pPr>
      <w:r>
        <w:t xml:space="preserve">•financiranje programa i projekata udruga, </w:t>
      </w:r>
    </w:p>
    <w:p w:rsidR="00AC0832" w:rsidRDefault="00AC0832">
      <w:pPr>
        <w:pStyle w:val="Normal6"/>
      </w:pPr>
      <w:r>
        <w:t xml:space="preserve">•poticanje i podupiranje samoorganiziranja i dobrovoljnog djelovanja građana i građanki usmjerenog dobrobiti zajednice. </w:t>
      </w:r>
    </w:p>
    <w:p w:rsidR="00AC0832" w:rsidRDefault="00AC0832">
      <w:pPr>
        <w:pStyle w:val="Normal6"/>
      </w:pPr>
      <w:r>
        <w:t xml:space="preserve">Prema članku 5. alineja 11. Uredbe o Uredu za ljudska prava i prava nacionalnih manjina Ured godišnje raspisuje natječaje za dodjelu financijskih sredstava iz proračuna Ureda organizacijama civilnoga društva koje su aktivne u području zaštite i promicanja ljudskih prava. </w:t>
      </w:r>
    </w:p>
    <w:p w:rsidR="00AC0832" w:rsidRDefault="00AC0832">
      <w:pPr>
        <w:pStyle w:val="Normal6"/>
      </w:pPr>
      <w:r>
        <w:t xml:space="preserve">U skladu s tim Ured je 8. svibnja 2012. godine raspisao Natječaj za financijsku potporu projektima organizacija civilnoga društva u Republici Hrvatskoj u okviru raspoloživih sredstava iz Državnoga proračuna Republike Hrvatske na poziciji Ureda za ljudska prava i prava nacionalnih manjina Vlade Republike Hrvatske  za 2012. godina u ukupnom iznosu od 850.000,00 kuna za 10 prioritetnih područja.   </w:t>
      </w:r>
    </w:p>
    <w:p w:rsidR="00AC0832" w:rsidRDefault="00AC0832">
      <w:pPr>
        <w:pStyle w:val="Normal6"/>
      </w:pPr>
      <w:r>
        <w:t>Nakon provedenog natječajnog postupka, 26. srpnja 2012. ravnatelj Ureda donio je Odluku o raspodjeli financijskih sredstava za provedbu projekata organizacija civilnoga društva iz područja zaštite, poštivanja i promicanja ljudskih prava u 2012. godini (Klasa: 402-01/12-02/01, Ur.br: 50450-12-02). Odobreno je 38 projekata, a Ured je pratio njihovu provedbu na temelju dostavljenih financijskih i opisnih izvješća. Prema dostavljenim izvješćima aktivnosti su uspješno provedene.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Povećana uspješnost provedbe planiranih projekata kroz provedbene aktivnosti</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85</w:t>
            </w:r>
          </w:p>
        </w:tc>
        <w:tc>
          <w:tcPr>
            <w:tcW w:w="1300" w:type="dxa"/>
          </w:tcPr>
          <w:p w:rsidR="00AC0832" w:rsidRDefault="00AC0832">
            <w:pPr>
              <w:pStyle w:val="CellColumn"/>
            </w:pPr>
            <w:r>
              <w:t>Ured</w:t>
            </w:r>
          </w:p>
        </w:tc>
        <w:tc>
          <w:tcPr>
            <w:tcW w:w="1300" w:type="dxa"/>
          </w:tcPr>
          <w:p w:rsidR="00AC0832" w:rsidRDefault="00AC0832">
            <w:pPr>
              <w:pStyle w:val="CellColumn"/>
            </w:pPr>
            <w:r>
              <w:t>90</w:t>
            </w:r>
          </w:p>
        </w:tc>
        <w:tc>
          <w:tcPr>
            <w:tcW w:w="1300" w:type="dxa"/>
          </w:tcPr>
          <w:p w:rsidR="00AC0832" w:rsidRDefault="00AC0832">
            <w:pPr>
              <w:pStyle w:val="CellColumn"/>
            </w:pPr>
            <w:r>
              <w:t>90</w:t>
            </w:r>
          </w:p>
        </w:tc>
      </w:tr>
    </w:tbl>
    <w:p w:rsidR="00AC0832" w:rsidRDefault="00AC0832">
      <w:pPr>
        <w:jc w:val="left"/>
      </w:pPr>
    </w:p>
    <w:p w:rsidR="00AC0832" w:rsidRDefault="00AC0832">
      <w:pPr>
        <w:pStyle w:val="Heading6"/>
      </w:pPr>
      <w:r>
        <w:t>A681023 PROVEDBA NACIONALNOG PLANA ZA SUZBIJANJE TRGOVANJA LJUDIMA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A681023-PROVEDBA NACIONALNOG PLANA ZA SUZBIJANJE TRGOVANJA LJUDIMA</w:t>
            </w:r>
          </w:p>
        </w:tc>
        <w:tc>
          <w:tcPr>
            <w:tcW w:w="2322" w:type="dxa"/>
          </w:tcPr>
          <w:p w:rsidR="00AC0832" w:rsidRDefault="00AC0832">
            <w:pPr>
              <w:pStyle w:val="CellColumn"/>
            </w:pPr>
            <w:r>
              <w:t>179.800</w:t>
            </w:r>
          </w:p>
        </w:tc>
        <w:tc>
          <w:tcPr>
            <w:tcW w:w="2322" w:type="dxa"/>
          </w:tcPr>
          <w:p w:rsidR="00AC0832" w:rsidRDefault="00AC0832">
            <w:pPr>
              <w:pStyle w:val="CellColumn"/>
            </w:pPr>
            <w:r>
              <w:t>103.642</w:t>
            </w:r>
          </w:p>
        </w:tc>
        <w:tc>
          <w:tcPr>
            <w:tcW w:w="2322" w:type="dxa"/>
          </w:tcPr>
          <w:p w:rsidR="00AC0832" w:rsidRDefault="00AC0832">
            <w:pPr>
              <w:pStyle w:val="CellColumn"/>
            </w:pPr>
            <w:r>
              <w:t>57,6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okviru provedbe predmetne aktivnosti od potpisivanja Konvencije UN-a, a u svrhu usklađivanja sa obvezama preuzetim potpisivanjem iste, u Republici Hrvatskoj započela je izgradnja cjelovitog sustava suzbijanja trgovanja ljudima. Vlada Republike Hrvatske sredinom 2002. godine osnovala je Nacionalni odbor za suzbijanje trgovanja ljudima, kao međuresorno tijelo u kojem su imenovani predstavnici svih relevantnih tijela državne uprave, međunarodnih organizacija i nevladinih udruga. Nacionalni odbor djeluje kroz Operativni tim Nacionalnog odbora za suzbijanje trgovanja ljudima. U 2012. godini Operativni tim se sastao ukupno 9 puta. Sastanci Operativnog tima odvijaju se u Uredu za ljudska prava i prava nacionalnih manjina, koji je administrativno tehnička potpora njegovom radu. Sjednicama Operativnog tima predsjedava nacionalni koordinator koji je ujedno i ravnatelj Ureda. </w:t>
      </w:r>
    </w:p>
    <w:p w:rsidR="00AC0832" w:rsidRDefault="00AC0832">
      <w:pPr>
        <w:pStyle w:val="Normal6"/>
      </w:pPr>
      <w:r>
        <w:t xml:space="preserve">Nacionalni odbor je zadužen za donošenje programa i planova na području suzbijanja trgovanja ljudima te predlaže najvažnije političke smjernice na ovom području. Nacionalni plan za suzbijanje trgovanja ljudima ključni je strateški dokument u području borbe protiv trgovanja ljudima.  </w:t>
      </w:r>
    </w:p>
    <w:p w:rsidR="00AC0832" w:rsidRDefault="00AC0832">
      <w:pPr>
        <w:pStyle w:val="Normal6"/>
      </w:pPr>
      <w:r>
        <w:t>Ured vrlo često prisustvuje svim važnijim okruglim stolovima, seminarima, tribinama, konferencijama i ostalim važnim događajima na području Republike Hrvatske, ali i u inozemstvu, vezano uz problematiku trgovanja ljudima. Također, Ured za ljudska prava svake godine svečano obilježava Europski dan suzbijanja trgovanja ljudima, 18. listopada. Vezano uz to obilježavanje kroz ovu aktivnost u Državnom proračunu osigurana su financijska sredstva koja se odnose na najam prostora, najam pozornica, reprezentacije, obavljanja intelektualnih usluga, tiskanja raznih promidžbenih materijala i slično.</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6"/>
        <w:gridCol w:w="1517"/>
        <w:gridCol w:w="1289"/>
        <w:gridCol w:w="1294"/>
        <w:gridCol w:w="1293"/>
        <w:gridCol w:w="1294"/>
        <w:gridCol w:w="129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Povećani broj obrazovanih osoba</w:t>
            </w:r>
          </w:p>
        </w:tc>
        <w:tc>
          <w:tcPr>
            <w:tcW w:w="1300" w:type="dxa"/>
          </w:tcPr>
          <w:p w:rsidR="00AC0832" w:rsidRDefault="00AC0832">
            <w:pPr>
              <w:pStyle w:val="CellColumn"/>
            </w:pPr>
            <w:r>
              <w:t>Obrazovanjem će biti povećan broj osoba koje znaju prepoznati problem trgovanja ljudima i koje ga  znaju suzbijati</w:t>
            </w:r>
          </w:p>
        </w:tc>
        <w:tc>
          <w:tcPr>
            <w:tcW w:w="1300" w:type="dxa"/>
          </w:tcPr>
          <w:p w:rsidR="00AC0832" w:rsidRDefault="00AC0832">
            <w:pPr>
              <w:pStyle w:val="CellColumn"/>
            </w:pPr>
            <w:r>
              <w:t>broj</w:t>
            </w:r>
          </w:p>
        </w:tc>
        <w:tc>
          <w:tcPr>
            <w:tcW w:w="1300" w:type="dxa"/>
          </w:tcPr>
          <w:p w:rsidR="00AC0832" w:rsidRDefault="00AC0832">
            <w:pPr>
              <w:pStyle w:val="CellColumn"/>
            </w:pPr>
            <w:r>
              <w:t>100</w:t>
            </w:r>
          </w:p>
        </w:tc>
        <w:tc>
          <w:tcPr>
            <w:tcW w:w="1300" w:type="dxa"/>
          </w:tcPr>
          <w:p w:rsidR="00AC0832" w:rsidRDefault="00AC0832">
            <w:pPr>
              <w:pStyle w:val="CellColumn"/>
            </w:pPr>
            <w:r>
              <w:t>Ured</w:t>
            </w:r>
          </w:p>
        </w:tc>
        <w:tc>
          <w:tcPr>
            <w:tcW w:w="1300" w:type="dxa"/>
          </w:tcPr>
          <w:p w:rsidR="00AC0832" w:rsidRDefault="00AC0832">
            <w:pPr>
              <w:pStyle w:val="CellColumn"/>
            </w:pPr>
            <w:r>
              <w:t>250</w:t>
            </w:r>
          </w:p>
        </w:tc>
        <w:tc>
          <w:tcPr>
            <w:tcW w:w="1300" w:type="dxa"/>
          </w:tcPr>
          <w:p w:rsidR="00AC0832" w:rsidRDefault="00AC0832">
            <w:pPr>
              <w:pStyle w:val="CellColumn"/>
            </w:pPr>
            <w:r>
              <w:t>420</w:t>
            </w:r>
          </w:p>
        </w:tc>
      </w:tr>
    </w:tbl>
    <w:p w:rsidR="00AC0832" w:rsidRDefault="00AC0832">
      <w:pPr>
        <w:jc w:val="left"/>
      </w:pPr>
    </w:p>
    <w:p w:rsidR="00AC0832" w:rsidRDefault="00AC0832">
      <w:pPr>
        <w:pStyle w:val="Heading6"/>
      </w:pPr>
      <w:r>
        <w:t>A681042 CENTAR ZA LJUDSKA PRAVA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A681042-CENTAR ZA LJUDSKA PRAVA</w:t>
            </w:r>
          </w:p>
        </w:tc>
        <w:tc>
          <w:tcPr>
            <w:tcW w:w="2322" w:type="dxa"/>
          </w:tcPr>
          <w:p w:rsidR="00AC0832" w:rsidRDefault="00AC0832">
            <w:pPr>
              <w:pStyle w:val="CellColumn"/>
            </w:pPr>
            <w:r>
              <w:t>432.000</w:t>
            </w:r>
          </w:p>
        </w:tc>
        <w:tc>
          <w:tcPr>
            <w:tcW w:w="2322" w:type="dxa"/>
          </w:tcPr>
          <w:p w:rsidR="00AC0832" w:rsidRDefault="00AC0832">
            <w:pPr>
              <w:pStyle w:val="CellColumn"/>
            </w:pPr>
            <w:r>
              <w:t>431.930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A681047 PROGRESS - NE-DISKRIMINACIJA I RAZLIČITOST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A681047-PROGRESS - NE-DISKRIMINACIJA I RAZLIČITOST</w:t>
            </w:r>
          </w:p>
        </w:tc>
        <w:tc>
          <w:tcPr>
            <w:tcW w:w="2322" w:type="dxa"/>
          </w:tcPr>
          <w:p w:rsidR="00AC0832" w:rsidRDefault="00AC0832">
            <w:pPr>
              <w:pStyle w:val="CellColumn"/>
            </w:pPr>
            <w:r>
              <w:t>56.500</w:t>
            </w:r>
          </w:p>
        </w:tc>
        <w:tc>
          <w:tcPr>
            <w:tcW w:w="2322" w:type="dxa"/>
          </w:tcPr>
          <w:p w:rsidR="00AC0832" w:rsidRDefault="00AC0832">
            <w:pPr>
              <w:pStyle w:val="CellColumn"/>
            </w:pPr>
            <w:r>
              <w:t>36.897</w:t>
            </w:r>
          </w:p>
        </w:tc>
        <w:tc>
          <w:tcPr>
            <w:tcW w:w="2322" w:type="dxa"/>
          </w:tcPr>
          <w:p w:rsidR="00AC0832" w:rsidRDefault="00AC0832">
            <w:pPr>
              <w:pStyle w:val="CellColumn"/>
            </w:pPr>
            <w:r>
              <w:t>65,3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Ured je kontakt tijelo za četvrtu komponentu Programa unije za zapošljavanje i socijalnu solidarnost – PROGRESS Anti - diskriminacija. Ured redovito provodi i projekte sufinancirane od strane Europske komisije ili podupire projekte organizacija civilnog društva i tijela državne uprave koji sudjeluju na natječajima Europske komisije. </w:t>
      </w:r>
    </w:p>
    <w:p w:rsidR="00AC0832" w:rsidRDefault="00AC0832">
      <w:pPr>
        <w:pStyle w:val="Normal6"/>
      </w:pPr>
      <w:r>
        <w:t>Europska komisija je raspisala Natječaj PROGRESS - Antidiscrimination and Diversity "Action grants" 2012 čiji rok prijave je bio 30. kolovoz 2012. godine. Ured je dao potporu dvjema prijavama - projektu Centra za mirovne studije i projektu udruge Cenzura plus. Projekt udruge Cenzura plus dobio je potporu, a početak provedbe planiran je za 1. ožujka 2013. godine.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ugovorenih projekata ispred RH</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2</w:t>
            </w:r>
          </w:p>
        </w:tc>
        <w:tc>
          <w:tcPr>
            <w:tcW w:w="1300" w:type="dxa"/>
          </w:tcPr>
          <w:p w:rsidR="00AC0832" w:rsidRDefault="00AC0832">
            <w:pPr>
              <w:pStyle w:val="CellColumn"/>
            </w:pPr>
            <w:r>
              <w:t>Ured</w:t>
            </w:r>
          </w:p>
        </w:tc>
        <w:tc>
          <w:tcPr>
            <w:tcW w:w="1300" w:type="dxa"/>
          </w:tcPr>
          <w:p w:rsidR="00AC0832" w:rsidRDefault="00AC0832">
            <w:pPr>
              <w:pStyle w:val="CellColumn"/>
            </w:pPr>
            <w:r>
              <w:t>2</w:t>
            </w:r>
          </w:p>
        </w:tc>
        <w:tc>
          <w:tcPr>
            <w:tcW w:w="1300" w:type="dxa"/>
          </w:tcPr>
          <w:p w:rsidR="00AC0832" w:rsidRDefault="00AC0832">
            <w:pPr>
              <w:pStyle w:val="CellColumn"/>
            </w:pPr>
            <w:r>
              <w:t>1</w:t>
            </w:r>
          </w:p>
        </w:tc>
      </w:tr>
    </w:tbl>
    <w:p w:rsidR="00AC0832" w:rsidRDefault="00AC0832">
      <w:pPr>
        <w:jc w:val="left"/>
      </w:pPr>
    </w:p>
    <w:p w:rsidR="00AC0832" w:rsidRDefault="00AC0832">
      <w:pPr>
        <w:pStyle w:val="Heading6"/>
      </w:pPr>
      <w:r>
        <w:t>A681050 POVJERENSTVO ZA AZIL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A681050-POVJERENSTVO ZA AZIL</w:t>
            </w:r>
          </w:p>
        </w:tc>
        <w:tc>
          <w:tcPr>
            <w:tcW w:w="2322" w:type="dxa"/>
          </w:tcPr>
          <w:p w:rsidR="00AC0832" w:rsidRDefault="00AC0832">
            <w:pPr>
              <w:pStyle w:val="CellColumn"/>
            </w:pPr>
            <w:r>
              <w:t>59.225</w:t>
            </w:r>
          </w:p>
        </w:tc>
        <w:tc>
          <w:tcPr>
            <w:tcW w:w="2322" w:type="dxa"/>
          </w:tcPr>
          <w:p w:rsidR="00AC0832" w:rsidRDefault="00AC0832">
            <w:pPr>
              <w:pStyle w:val="CellColumn"/>
            </w:pPr>
            <w:r>
              <w:t>54.004</w:t>
            </w:r>
          </w:p>
        </w:tc>
        <w:tc>
          <w:tcPr>
            <w:tcW w:w="2322" w:type="dxa"/>
          </w:tcPr>
          <w:p w:rsidR="00AC0832" w:rsidRDefault="00AC0832">
            <w:pPr>
              <w:pStyle w:val="CellColumn"/>
            </w:pPr>
            <w:r>
              <w:t>91,2</w:t>
            </w:r>
          </w:p>
        </w:tc>
      </w:tr>
    </w:tbl>
    <w:p w:rsidR="00AC0832" w:rsidRDefault="00AC0832">
      <w:pPr>
        <w:jc w:val="left"/>
      </w:pPr>
    </w:p>
    <w:p w:rsidR="00AC0832" w:rsidRDefault="00AC0832">
      <w:pPr>
        <w:pStyle w:val="Heading6"/>
      </w:pPr>
      <w:r>
        <w:t>A681051 IPA I 2009 - USPOSTAVA CJELOVITOG SUSTAVA ZAŠTITE OD DISKRIMINACIJE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A681051-IPA I 2009 - USPOSTAVA CJELOVITOG SUSTAVA ZAŠTITE OD DISKRIMINACIJE</w:t>
            </w:r>
          </w:p>
        </w:tc>
        <w:tc>
          <w:tcPr>
            <w:tcW w:w="2322" w:type="dxa"/>
          </w:tcPr>
          <w:p w:rsidR="00AC0832" w:rsidRDefault="00AC0832">
            <w:pPr>
              <w:pStyle w:val="CellColumn"/>
            </w:pPr>
            <w:r>
              <w:t>1.003.220</w:t>
            </w:r>
          </w:p>
        </w:tc>
        <w:tc>
          <w:tcPr>
            <w:tcW w:w="2322" w:type="dxa"/>
          </w:tcPr>
          <w:p w:rsidR="00AC0832" w:rsidRDefault="00AC0832">
            <w:pPr>
              <w:pStyle w:val="CellColumn"/>
            </w:pPr>
            <w:r>
              <w:t>678.465</w:t>
            </w:r>
          </w:p>
        </w:tc>
        <w:tc>
          <w:tcPr>
            <w:tcW w:w="2322" w:type="dxa"/>
          </w:tcPr>
          <w:p w:rsidR="00AC0832" w:rsidRDefault="00AC0832">
            <w:pPr>
              <w:pStyle w:val="CellColumn"/>
            </w:pPr>
            <w:r>
              <w:t>67,6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cilju jačanja sustava zaštite od diskriminacije i jačanja provedbe Zakona o suzbijanju diskriminacije, Ured za ljudska prava u suradnji s Pučkim pravobraniteljem provodi projekt unutar IPA 2009 I  komponente „Uspostava cjelovitog sustava zaštite od diskriminacije“. Predmetni projekt predviđa tri vrste ugovora, ugovor o nabavi koji je kroz 2011. odrađen, twinning ugovor i ugovor o uslugama. U sklopu projekta održane su edukacije za suce, državne odvjetnike, članove županijskih koordinacija za ljudska prava, povjerenike za etiku u tijelima državne uprave i na sudovima i za povjerenstva i koordinatore za ravnopravnost spolova. Također u 2012. godini nastavile su se provoditi aktivnosti vezane uz provedbu twinning ugovora te je započeta implementacija ugovora o uslugama.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6"/>
        <w:gridCol w:w="1517"/>
        <w:gridCol w:w="1289"/>
        <w:gridCol w:w="1294"/>
        <w:gridCol w:w="1293"/>
        <w:gridCol w:w="1294"/>
        <w:gridCol w:w="129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Povećani broj obrazovanih osoba</w:t>
            </w:r>
          </w:p>
        </w:tc>
        <w:tc>
          <w:tcPr>
            <w:tcW w:w="1300" w:type="dxa"/>
          </w:tcPr>
          <w:p w:rsidR="00AC0832" w:rsidRDefault="00AC0832">
            <w:pPr>
              <w:pStyle w:val="CellColumn"/>
            </w:pPr>
            <w:r>
              <w:t>Obrazovanjem će biti povećan broj osoba koje znaju prepoznati problem diskriminacije i koje ga  znaju suzbijati</w:t>
            </w:r>
          </w:p>
        </w:tc>
        <w:tc>
          <w:tcPr>
            <w:tcW w:w="1300" w:type="dxa"/>
          </w:tcPr>
          <w:p w:rsidR="00AC0832" w:rsidRDefault="00AC0832">
            <w:pPr>
              <w:pStyle w:val="CellColumn"/>
            </w:pPr>
            <w:r>
              <w:t>broj</w:t>
            </w:r>
          </w:p>
        </w:tc>
        <w:tc>
          <w:tcPr>
            <w:tcW w:w="1300" w:type="dxa"/>
          </w:tcPr>
          <w:p w:rsidR="00AC0832" w:rsidRDefault="00AC0832">
            <w:pPr>
              <w:pStyle w:val="CellColumn"/>
            </w:pPr>
            <w:r>
              <w:t>50</w:t>
            </w:r>
          </w:p>
        </w:tc>
        <w:tc>
          <w:tcPr>
            <w:tcW w:w="1300" w:type="dxa"/>
          </w:tcPr>
          <w:p w:rsidR="00AC0832" w:rsidRDefault="00AC0832">
            <w:pPr>
              <w:pStyle w:val="CellColumn"/>
            </w:pPr>
            <w:r>
              <w:t>Ured</w:t>
            </w:r>
          </w:p>
        </w:tc>
        <w:tc>
          <w:tcPr>
            <w:tcW w:w="1300" w:type="dxa"/>
          </w:tcPr>
          <w:p w:rsidR="00AC0832" w:rsidRDefault="00AC0832">
            <w:pPr>
              <w:pStyle w:val="CellColumn"/>
            </w:pPr>
            <w:r>
              <w:t>150</w:t>
            </w:r>
          </w:p>
        </w:tc>
        <w:tc>
          <w:tcPr>
            <w:tcW w:w="1300" w:type="dxa"/>
          </w:tcPr>
          <w:p w:rsidR="00AC0832" w:rsidRDefault="00AC0832">
            <w:pPr>
              <w:pStyle w:val="CellColumn"/>
            </w:pPr>
            <w:r>
              <w:t>226</w:t>
            </w:r>
          </w:p>
        </w:tc>
      </w:tr>
    </w:tbl>
    <w:p w:rsidR="00AC0832" w:rsidRDefault="00AC0832">
      <w:pPr>
        <w:jc w:val="left"/>
      </w:pPr>
    </w:p>
    <w:p w:rsidR="00AC0832" w:rsidRDefault="00AC0832">
      <w:pPr>
        <w:pStyle w:val="Heading6"/>
      </w:pPr>
      <w:r>
        <w:t>K681037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K681037-INFORMATIZACIJA</w:t>
            </w:r>
          </w:p>
        </w:tc>
        <w:tc>
          <w:tcPr>
            <w:tcW w:w="2322" w:type="dxa"/>
          </w:tcPr>
          <w:p w:rsidR="00AC0832" w:rsidRDefault="00AC0832">
            <w:pPr>
              <w:pStyle w:val="CellColumn"/>
            </w:pPr>
            <w:r>
              <w:t>33.077</w:t>
            </w:r>
          </w:p>
        </w:tc>
        <w:tc>
          <w:tcPr>
            <w:tcW w:w="2322" w:type="dxa"/>
          </w:tcPr>
          <w:p w:rsidR="00AC0832" w:rsidRDefault="00AC0832">
            <w:pPr>
              <w:pStyle w:val="CellColumn"/>
            </w:pPr>
            <w:r>
              <w:t>18.129</w:t>
            </w:r>
          </w:p>
        </w:tc>
        <w:tc>
          <w:tcPr>
            <w:tcW w:w="2322" w:type="dxa"/>
          </w:tcPr>
          <w:p w:rsidR="00AC0832" w:rsidRDefault="00AC0832">
            <w:pPr>
              <w:pStyle w:val="CellColumn"/>
            </w:pPr>
            <w:r>
              <w:t>54,8</w:t>
            </w:r>
          </w:p>
        </w:tc>
      </w:tr>
    </w:tbl>
    <w:p w:rsidR="00AC0832" w:rsidRDefault="00AC0832">
      <w:pPr>
        <w:jc w:val="left"/>
      </w:pPr>
    </w:p>
    <w:p w:rsidR="00AC0832" w:rsidRDefault="00AC0832">
      <w:pPr>
        <w:pStyle w:val="Heading2"/>
      </w:pPr>
      <w:r>
        <w:t>02089 Ured za socijalno partnerstvo</w:t>
      </w:r>
    </w:p>
    <w:p w:rsidR="00AC0832" w:rsidRDefault="00AC0832">
      <w:pPr>
        <w:pStyle w:val="Heading4"/>
      </w:pPr>
      <w:r>
        <w:t>Uvod</w:t>
      </w:r>
    </w:p>
    <w:p w:rsidR="00AC0832" w:rsidRDefault="00AC0832">
      <w:pPr>
        <w:pStyle w:val="Normal3"/>
      </w:pPr>
      <w:r>
        <w:t xml:space="preserve">Do donošenja novog Zakona o Vladi RH (NN 150/11) i Zakona o ustrojstvu i djelokrugu ministarstava i drugih središnjih tijela državne uprave (NN 150/11), Ured za socijalno partnerstvo je obavljao slijedeće poslove: </w:t>
      </w:r>
    </w:p>
    <w:p w:rsidR="00AC0832" w:rsidRDefault="00AC0832">
      <w:pPr>
        <w:pStyle w:val="Normal3"/>
      </w:pPr>
      <w:r>
        <w:t xml:space="preserve">- organizacijski, stručni, administrativno-tehnički i drugi poslovi za potrebe nacionalnog Gospodarsko-socijalnog vijeća (GSV), njegovih povremenih i stalnih radnih tijela </w:t>
      </w:r>
    </w:p>
    <w:p w:rsidR="00AC0832" w:rsidRDefault="00AC0832">
      <w:pPr>
        <w:pStyle w:val="Normal3"/>
      </w:pPr>
      <w:r>
        <w:t xml:space="preserve">- unapređenje planiranja, izrade i provedbe programa rada GSV-a na nacionalnoj i lokalnim razinama </w:t>
      </w:r>
    </w:p>
    <w:p w:rsidR="00AC0832" w:rsidRDefault="00AC0832">
      <w:pPr>
        <w:pStyle w:val="Normal3"/>
      </w:pPr>
      <w:r>
        <w:t xml:space="preserve">- koordinacija aktivnosti i pružanje stručne pomoći aktivnostima GSV-a u jedinicama lokalne i područne (regionalne) samouprave (županijska Gospodarsko-socijalna vijeća) </w:t>
      </w:r>
    </w:p>
    <w:p w:rsidR="00AC0832" w:rsidRDefault="00AC0832">
      <w:pPr>
        <w:pStyle w:val="Normal3"/>
      </w:pPr>
      <w:r>
        <w:t xml:space="preserve">- uspostava i razvoj institucionalnog sektorskog socijalnog dijaloga između udruga sindikata, udruga poslodavaca i resornih ministarstava, te pružanje administrativne potpore radu Sektorskih socijalnih vijeća </w:t>
      </w:r>
    </w:p>
    <w:p w:rsidR="00AC0832" w:rsidRDefault="00AC0832">
      <w:pPr>
        <w:pStyle w:val="Normal3"/>
      </w:pPr>
      <w:r>
        <w:t xml:space="preserve">- razvoj projekta mirenja u individualnim radnim sporovima na razini trgovačkih društava, djelatnosti i županija </w:t>
      </w:r>
    </w:p>
    <w:p w:rsidR="00AC0832" w:rsidRDefault="00AC0832">
      <w:pPr>
        <w:pStyle w:val="Normal3"/>
      </w:pPr>
      <w:r>
        <w:t xml:space="preserve">- organizacija administrativnih, stručnih i tehničkih poslova te provedba mirenja u kolektivnim radnim sporovima </w:t>
      </w:r>
    </w:p>
    <w:p w:rsidR="00AC0832" w:rsidRDefault="00AC0832">
      <w:pPr>
        <w:pStyle w:val="Normal3"/>
      </w:pPr>
      <w:r>
        <w:t xml:space="preserve">- sudjelovanje u programima edukacije i stručnog usavršavanja socijalnih partnera za vođenje konstruktivnog i učinkovitog socijalnog dijaloga na svim razinama </w:t>
      </w:r>
    </w:p>
    <w:p w:rsidR="00AC0832" w:rsidRDefault="00AC0832">
      <w:pPr>
        <w:pStyle w:val="Normal3"/>
      </w:pPr>
      <w:r>
        <w:t xml:space="preserve">- administrativna potpora unapređivanju zaštite zdravlja i sigurnosti na radu i djelovanju Nacionalnog vijeća za zaštitu na radu </w:t>
      </w:r>
    </w:p>
    <w:p w:rsidR="00AC0832" w:rsidRDefault="00AC0832">
      <w:pPr>
        <w:pStyle w:val="Normal3"/>
      </w:pPr>
      <w:r>
        <w:t xml:space="preserve">- pružanje organizacijske i tehničke potpore radu Zajedničkog savjetodavnog odbora EU-RH u procesima usmjerenim na dovršetak pregovora Republike Hrvatske s EU </w:t>
      </w:r>
    </w:p>
    <w:p w:rsidR="00AC0832" w:rsidRDefault="00AC0832">
      <w:pPr>
        <w:pStyle w:val="Normal3"/>
      </w:pPr>
      <w:r>
        <w:t xml:space="preserve">- sudjelovanje u programiranju i pripremama za EU fondove (IPA, komponenta IV i ESF) </w:t>
      </w:r>
    </w:p>
    <w:p w:rsidR="00AC0832" w:rsidRDefault="00AC0832">
      <w:pPr>
        <w:pStyle w:val="Normal3"/>
      </w:pPr>
      <w:r>
        <w:t xml:space="preserve">- izrada nacrta propisa i sporazuma kojima se uređuju odnosi Vlade, sindikata i poslodavaca </w:t>
      </w:r>
    </w:p>
    <w:p w:rsidR="00AC0832" w:rsidRDefault="00AC0832">
      <w:pPr>
        <w:pStyle w:val="Normal3"/>
      </w:pPr>
      <w:r>
        <w:t xml:space="preserve">- potpora kolektivnim pregovorima Vlade i sindikata u državnim i javnim službama </w:t>
      </w:r>
    </w:p>
    <w:p w:rsidR="00AC0832" w:rsidRDefault="00AC0832">
      <w:pPr>
        <w:pStyle w:val="Normal3"/>
      </w:pPr>
      <w:r>
        <w:t xml:space="preserve">- stručno usavršavanje službenika Ureda </w:t>
      </w:r>
    </w:p>
    <w:p w:rsidR="00AC0832" w:rsidRDefault="00AC0832">
      <w:pPr>
        <w:pStyle w:val="Normal3"/>
      </w:pPr>
      <w:r>
        <w:t xml:space="preserve">- drugi poslovi sukladno dogovoru ili inicijativi socijalnih partnera i odlukama Vlade RH. </w:t>
      </w:r>
    </w:p>
    <w:p w:rsidR="00AC0832" w:rsidRDefault="00AC0832">
      <w:pPr>
        <w:pStyle w:val="Normal3"/>
      </w:pPr>
      <w:r>
        <w:t>Donošenjem novog Zakona o Vladi RH (NN 150/11) i Zakona o ustrojstvu i djelokrugu ministarstava i drugih središnjih tijela državne uprave (NN 150/11), Ured za socijalno partnerstvo u RH je ukinut kao Vladin ured te je pripojen Ministarstvu rada i mirovinskoga sustava, kao Samostalna služba za socijalno partnerstvo.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02089-Ured za socijalno partnerstvo</w:t>
            </w:r>
          </w:p>
        </w:tc>
        <w:tc>
          <w:tcPr>
            <w:tcW w:w="2322" w:type="dxa"/>
          </w:tcPr>
          <w:p w:rsidR="00AC0832" w:rsidRDefault="00AC0832">
            <w:pPr>
              <w:pStyle w:val="CellColumn"/>
            </w:pPr>
            <w:r>
              <w:t>131.039</w:t>
            </w:r>
          </w:p>
        </w:tc>
        <w:tc>
          <w:tcPr>
            <w:tcW w:w="2322" w:type="dxa"/>
          </w:tcPr>
          <w:p w:rsidR="00AC0832" w:rsidRDefault="00AC0832">
            <w:pPr>
              <w:pStyle w:val="CellColumn"/>
            </w:pPr>
            <w:r>
              <w:t>131.033</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Small"/>
            </w:pPr>
            <w:r>
              <w:t>2112-SURADNJA ZA SOCIJALNO PARTNERSTVO</w:t>
            </w:r>
          </w:p>
        </w:tc>
        <w:tc>
          <w:tcPr>
            <w:tcW w:w="2322" w:type="dxa"/>
          </w:tcPr>
          <w:p w:rsidR="00AC0832" w:rsidRDefault="00AC0832">
            <w:pPr>
              <w:pStyle w:val="CellColumnSmall"/>
            </w:pPr>
            <w:r>
              <w:t>131.039</w:t>
            </w:r>
          </w:p>
        </w:tc>
        <w:tc>
          <w:tcPr>
            <w:tcW w:w="2322" w:type="dxa"/>
          </w:tcPr>
          <w:p w:rsidR="00AC0832" w:rsidRDefault="00AC0832">
            <w:pPr>
              <w:pStyle w:val="CellColumnSmall"/>
            </w:pPr>
            <w:r>
              <w:t>131.033</w:t>
            </w:r>
          </w:p>
        </w:tc>
        <w:tc>
          <w:tcPr>
            <w:tcW w:w="2322" w:type="dxa"/>
          </w:tcPr>
          <w:p w:rsidR="00AC0832" w:rsidRDefault="00AC0832">
            <w:pPr>
              <w:pStyle w:val="CellColumnSmall"/>
            </w:pPr>
            <w:r>
              <w:t>100,0</w:t>
            </w:r>
          </w:p>
        </w:tc>
      </w:tr>
    </w:tbl>
    <w:p w:rsidR="00AC0832" w:rsidRDefault="00AC0832">
      <w:pPr>
        <w:jc w:val="left"/>
      </w:pPr>
    </w:p>
    <w:p w:rsidR="00AC0832" w:rsidRDefault="00AC0832">
      <w:pPr>
        <w:pStyle w:val="Heading4"/>
      </w:pPr>
      <w:r>
        <w:t>OBRAZLOŽENJE PROGRAMA</w:t>
      </w:r>
    </w:p>
    <w:p w:rsidR="00AC0832" w:rsidRDefault="00AC0832">
      <w:pPr>
        <w:pStyle w:val="Heading5"/>
      </w:pPr>
      <w:r>
        <w:t>2112 SURADNJA ZA SOCIJALNO PARTNERSTVO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2112-SURADNJA ZA SOCIJALNO PARTNERSTVO</w:t>
            </w:r>
          </w:p>
        </w:tc>
        <w:tc>
          <w:tcPr>
            <w:tcW w:w="2322" w:type="dxa"/>
          </w:tcPr>
          <w:p w:rsidR="00AC0832" w:rsidRDefault="00AC0832">
            <w:pPr>
              <w:pStyle w:val="CellColumn"/>
            </w:pPr>
            <w:r>
              <w:t>131.039</w:t>
            </w:r>
          </w:p>
        </w:tc>
        <w:tc>
          <w:tcPr>
            <w:tcW w:w="2322" w:type="dxa"/>
          </w:tcPr>
          <w:p w:rsidR="00AC0832" w:rsidRDefault="00AC0832">
            <w:pPr>
              <w:pStyle w:val="CellColumn"/>
            </w:pPr>
            <w:r>
              <w:t>131.033</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A685000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A685000-ADMINISTRACIJA I UPRAVLJANJE</w:t>
            </w:r>
          </w:p>
        </w:tc>
        <w:tc>
          <w:tcPr>
            <w:tcW w:w="2322" w:type="dxa"/>
          </w:tcPr>
          <w:p w:rsidR="00AC0832" w:rsidRDefault="00AC0832">
            <w:pPr>
              <w:pStyle w:val="CellColumn"/>
            </w:pPr>
            <w:r>
              <w:t>129.845</w:t>
            </w:r>
          </w:p>
        </w:tc>
        <w:tc>
          <w:tcPr>
            <w:tcW w:w="2322" w:type="dxa"/>
          </w:tcPr>
          <w:p w:rsidR="00AC0832" w:rsidRDefault="00AC0832">
            <w:pPr>
              <w:pStyle w:val="CellColumn"/>
            </w:pPr>
            <w:r>
              <w:t>129.840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p>
    <w:p w:rsidR="00AC0832" w:rsidRDefault="00AC0832">
      <w:pPr>
        <w:pStyle w:val="Heading6"/>
      </w:pPr>
    </w:p>
    <w:p w:rsidR="00AC0832" w:rsidRDefault="00AC0832">
      <w:pPr>
        <w:pStyle w:val="Heading6"/>
      </w:pPr>
    </w:p>
    <w:p w:rsidR="00AC0832" w:rsidRDefault="00AC0832">
      <w:pPr>
        <w:pStyle w:val="Heading6"/>
      </w:pPr>
      <w:r>
        <w:t>K685003 INFORMATIZACIJA UREDA ZA SOCIJALNO PARTNERSTVO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K685003-INFORMATIZACIJA UREDA ZA SOCIJALNO PARTNERSTVO</w:t>
            </w:r>
          </w:p>
        </w:tc>
        <w:tc>
          <w:tcPr>
            <w:tcW w:w="2322" w:type="dxa"/>
          </w:tcPr>
          <w:p w:rsidR="00AC0832" w:rsidRDefault="00AC0832">
            <w:pPr>
              <w:pStyle w:val="CellColumn"/>
            </w:pPr>
            <w:r>
              <w:t>1.194</w:t>
            </w:r>
          </w:p>
        </w:tc>
        <w:tc>
          <w:tcPr>
            <w:tcW w:w="2322" w:type="dxa"/>
          </w:tcPr>
          <w:p w:rsidR="00AC0832" w:rsidRDefault="00AC0832">
            <w:pPr>
              <w:pStyle w:val="CellColumn"/>
            </w:pPr>
            <w:r>
              <w:t>1.193</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T685012 JAČANJE SOCIJALNOG DIJALOGA I PARTNERSTVA U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T685012-JAČANJE SOCIJALNOG DIJALOGA I PARTNERSTVA U RH</w:t>
            </w:r>
          </w:p>
        </w:tc>
        <w:tc>
          <w:tcPr>
            <w:tcW w:w="2322" w:type="dxa"/>
          </w:tcPr>
          <w:p w:rsidR="00AC0832" w:rsidRDefault="00AC0832">
            <w:pPr>
              <w:pStyle w:val="CellColumn"/>
            </w:pPr>
            <w:r>
              <w:t>00</w:t>
            </w:r>
          </w:p>
        </w:tc>
        <w:tc>
          <w:tcPr>
            <w:tcW w:w="2322" w:type="dxa"/>
          </w:tcPr>
          <w:p w:rsidR="00AC0832" w:rsidRDefault="00AC0832">
            <w:pPr>
              <w:pStyle w:val="CellColumn"/>
            </w:pPr>
            <w:r>
              <w:t>00</w:t>
            </w:r>
          </w:p>
        </w:tc>
        <w:tc>
          <w:tcPr>
            <w:tcW w:w="2322" w:type="dxa"/>
          </w:tcPr>
          <w:p w:rsidR="00AC0832" w:rsidRDefault="00AC0832">
            <w:pPr>
              <w:pStyle w:val="CellColumn"/>
            </w:pPr>
            <w:r>
              <w:t>0,0</w:t>
            </w:r>
          </w:p>
        </w:tc>
      </w:tr>
    </w:tbl>
    <w:p w:rsidR="00AC0832" w:rsidRDefault="00AC0832">
      <w:pPr>
        <w:jc w:val="left"/>
      </w:pPr>
    </w:p>
    <w:p w:rsidR="00AC0832" w:rsidRDefault="00AC0832">
      <w:pPr>
        <w:pStyle w:val="Heading2"/>
      </w:pPr>
      <w:r>
        <w:t>02090 Ured za suzbijanje zlouporabe droga</w:t>
      </w:r>
    </w:p>
    <w:p w:rsidR="00AC0832" w:rsidRDefault="00AC0832">
      <w:pPr>
        <w:pStyle w:val="Heading4"/>
      </w:pPr>
      <w:r>
        <w:t>Uvod</w:t>
      </w:r>
    </w:p>
    <w:p w:rsidR="00AC0832" w:rsidRDefault="00AC0832">
      <w:pPr>
        <w:pStyle w:val="Normal3"/>
      </w:pPr>
      <w:r>
        <w:t xml:space="preserve">Na temelju Zakona o suzbijanju zlouporabe droga i Uredbe o osnivanju Ureda za suzbijanje zlouporabe droga, Vlada RH je ustrojila Ured. </w:t>
      </w:r>
    </w:p>
    <w:p w:rsidR="00AC0832" w:rsidRDefault="00AC0832">
      <w:pPr>
        <w:pStyle w:val="Normal3"/>
      </w:pPr>
      <w:r>
        <w:t xml:space="preserve"> </w:t>
      </w:r>
    </w:p>
    <w:p w:rsidR="00AC0832" w:rsidRDefault="00AC0832">
      <w:pPr>
        <w:pStyle w:val="Normal3"/>
      </w:pPr>
      <w:r>
        <w:t>Zadaće i opis djelokruga rada Ureda su da sustavno prati pojave, razmatra pitanja i obavlja druge poslove u vezi s primjenom Zakona o suzbijanju zlouporabe droga te provedbom Nacionalne strategije suzbijanja zlouporabe droga. Osim toga, Ured na prijedlog nadležnih ministarstava predlaže donošenje općeg programa za suzbijanje zlouporabe droga te na prijedlog nadležnih ministarstava prijedlog posebnog programa za suzbijanje zlouporabe droga, izrađuje nacrt i razrađuje provedbu Nacionalne strategije koji dostavlja Vladi Republike Hrvatske, koordinira i prati učinkovitost provedbe Nacionalne strategije, dostavlja zaključke Povjerenstva resornim ministarstvima i prati izvršenje istih, prati učinkovitost aktivnosti ministarstava u provedbi programa,  analizira podatke službenih evidencija na području suzbijanja zlouporabe droga, surađuje s tijelima državne vlasti i jedinicama lokalne i područne (regionalne) samouprave, ustanovama socijalne skrbi, odgojnim, prosvjetnim, kulturnim, zdravstvenim i drugim ustanovama, vjerskim zajednicama, udrugama, zakladama, sredstvima javnog priopćavanja te pravnim i fizičkim osobama, vodi nacionalni informacijski sustav o drogama radi objave prikupljenih, objektivnih, usporedivih i pouzdanih podataka o drogama, provodi samostalno i u suradnji s tijelima državne vlasti i jedinicama lokalne i područne (regionalne) samouprave te stručnim ustanovama, obrazovanja i istraživanja vezana uz problematiku ovisnosti o drogama i zlouporabu droga, u svrhu prevencije i obrazovanja vezano za zlouporabu droga, a u cilju informiranja građana o utjecaju i štetnosti istih, osmišljava, koordinira i provodi obrazovnu i medijsku kampanju, surađuje s međunarodnim tijelima, ustanovama, udrugama i pravnim i fizičkim osobama te obavlja i druge poslove na području suzbijanja zlouporabe droga koje mu povjeri Vlada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02090-Ured za suzbijanje zlouporabe droga</w:t>
            </w:r>
          </w:p>
        </w:tc>
        <w:tc>
          <w:tcPr>
            <w:tcW w:w="2322" w:type="dxa"/>
          </w:tcPr>
          <w:p w:rsidR="00AC0832" w:rsidRDefault="00AC0832">
            <w:pPr>
              <w:pStyle w:val="CellColumn"/>
            </w:pPr>
            <w:r>
              <w:t>3.754.250</w:t>
            </w:r>
          </w:p>
        </w:tc>
        <w:tc>
          <w:tcPr>
            <w:tcW w:w="2322" w:type="dxa"/>
          </w:tcPr>
          <w:p w:rsidR="00AC0832" w:rsidRDefault="00AC0832">
            <w:pPr>
              <w:pStyle w:val="CellColumn"/>
            </w:pPr>
            <w:r>
              <w:t>2.997.347</w:t>
            </w:r>
          </w:p>
        </w:tc>
        <w:tc>
          <w:tcPr>
            <w:tcW w:w="2322" w:type="dxa"/>
          </w:tcPr>
          <w:p w:rsidR="00AC0832" w:rsidRDefault="00AC0832">
            <w:pPr>
              <w:pStyle w:val="CellColumn"/>
            </w:pPr>
            <w:r>
              <w:t>79,8</w:t>
            </w:r>
          </w:p>
        </w:tc>
      </w:tr>
      <w:tr w:rsidR="00AC0832" w:rsidTr="00BE20ED">
        <w:trPr>
          <w:jc w:val="center"/>
        </w:trPr>
        <w:tc>
          <w:tcPr>
            <w:tcW w:w="2322" w:type="dxa"/>
          </w:tcPr>
          <w:p w:rsidR="00AC0832" w:rsidRDefault="00AC0832">
            <w:pPr>
              <w:pStyle w:val="CellColumnSmall"/>
            </w:pPr>
            <w:r>
              <w:t>3607-SUZBIJANJE ZLOUPORABE DROGA I OVISNOSTI</w:t>
            </w:r>
          </w:p>
        </w:tc>
        <w:tc>
          <w:tcPr>
            <w:tcW w:w="2322" w:type="dxa"/>
          </w:tcPr>
          <w:p w:rsidR="00AC0832" w:rsidRDefault="00AC0832">
            <w:pPr>
              <w:pStyle w:val="CellColumnSmall"/>
            </w:pPr>
            <w:r>
              <w:t>3.754.250</w:t>
            </w:r>
          </w:p>
        </w:tc>
        <w:tc>
          <w:tcPr>
            <w:tcW w:w="2322" w:type="dxa"/>
          </w:tcPr>
          <w:p w:rsidR="00AC0832" w:rsidRDefault="00AC0832">
            <w:pPr>
              <w:pStyle w:val="CellColumnSmall"/>
            </w:pPr>
            <w:r>
              <w:t>2.997.347</w:t>
            </w:r>
          </w:p>
        </w:tc>
        <w:tc>
          <w:tcPr>
            <w:tcW w:w="2322" w:type="dxa"/>
          </w:tcPr>
          <w:p w:rsidR="00AC0832" w:rsidRDefault="00AC0832">
            <w:pPr>
              <w:pStyle w:val="CellColumnSmall"/>
            </w:pPr>
            <w:r>
              <w:t>79,8</w:t>
            </w:r>
          </w:p>
        </w:tc>
      </w:tr>
    </w:tbl>
    <w:p w:rsidR="00AC0832" w:rsidRDefault="00AC0832">
      <w:pPr>
        <w:jc w:val="left"/>
      </w:pPr>
    </w:p>
    <w:p w:rsidR="00AC0832" w:rsidRDefault="00AC0832">
      <w:pPr>
        <w:pStyle w:val="Heading4"/>
      </w:pPr>
      <w:r>
        <w:t>OBRAZLOŽENJE PROGRAMA</w:t>
      </w:r>
    </w:p>
    <w:p w:rsidR="00AC0832" w:rsidRDefault="00AC0832">
      <w:pPr>
        <w:pStyle w:val="Heading5"/>
      </w:pPr>
      <w:r>
        <w:t>3607 SUZBIJANJE ZLOUPORABE DROGA I OVISNOSTI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3607-SUZBIJANJE ZLOUPORABE DROGA I OVISNOSTI</w:t>
            </w:r>
          </w:p>
        </w:tc>
        <w:tc>
          <w:tcPr>
            <w:tcW w:w="2322" w:type="dxa"/>
          </w:tcPr>
          <w:p w:rsidR="00AC0832" w:rsidRDefault="00AC0832">
            <w:pPr>
              <w:pStyle w:val="CellColumn"/>
            </w:pPr>
            <w:r>
              <w:t>3.754.250</w:t>
            </w:r>
          </w:p>
        </w:tc>
        <w:tc>
          <w:tcPr>
            <w:tcW w:w="2322" w:type="dxa"/>
          </w:tcPr>
          <w:p w:rsidR="00AC0832" w:rsidRDefault="00AC0832">
            <w:pPr>
              <w:pStyle w:val="CellColumn"/>
            </w:pPr>
            <w:r>
              <w:t>2.997.347</w:t>
            </w:r>
          </w:p>
        </w:tc>
        <w:tc>
          <w:tcPr>
            <w:tcW w:w="2322" w:type="dxa"/>
          </w:tcPr>
          <w:p w:rsidR="00AC0832" w:rsidRDefault="00AC0832">
            <w:pPr>
              <w:pStyle w:val="CellColumn"/>
            </w:pPr>
            <w:r>
              <w:t>79,8</w:t>
            </w:r>
          </w:p>
        </w:tc>
      </w:tr>
    </w:tbl>
    <w:p w:rsidR="00AC0832" w:rsidRDefault="00AC0832">
      <w:pPr>
        <w:jc w:val="left"/>
      </w:pPr>
    </w:p>
    <w:p w:rsidR="00AC0832" w:rsidRDefault="00AC0832">
      <w:pPr>
        <w:pStyle w:val="Heading6"/>
      </w:pPr>
      <w:r>
        <w:t>Opis programa</w:t>
      </w:r>
    </w:p>
    <w:p w:rsidR="00AC0832" w:rsidRDefault="00AC0832">
      <w:pPr>
        <w:pStyle w:val="Normal5"/>
      </w:pPr>
      <w:r>
        <w:t>Kroz zadaće i djelokrug rada Ureda navedene u uvodu, sredstva utrošena za ovaj program imaju za cilj povećanu učinkovitost i koordiniranost sustava suzbijanja zlouporabe droga, smanjenje broja ovisnika, smanjene potražnje droga na ilegalnom narko tržištu, veći broj zapljena droga, bolju informiranost javnosti o utjecaju i štetnosti droga, bolju organiziranost nacionalnog informacijskog sustava praćenja, prikupljanja, analiziranja i posredovanja podataka vezanih uz droge i ovisnosti o drogama, utvrđenu metodologiju prikupljanja podataka o drogama, bolesti ovisnosti i posljedcima zlouporabe droga, educiranost svih subjekata uključenih u sustav borbe protiv ovisnosti, međuresornu i međunarodnu razmjenu informacija, a osobito jačanje suradnje s nevladinim sektorom budući da isti kroz svoje programe koje provode pružaju pomoć velikom broj osoba koje se susretnu s problemom ovisnosti.</w:t>
      </w:r>
    </w:p>
    <w:p w:rsidR="00AC0832" w:rsidRDefault="00AC0832">
      <w:pPr>
        <w:pStyle w:val="Heading6"/>
      </w:pPr>
      <w:r>
        <w:t>Zakonske i druge pravne osnove</w:t>
      </w:r>
    </w:p>
    <w:p w:rsidR="00AC0832" w:rsidRDefault="00AC0832">
      <w:pPr>
        <w:pStyle w:val="Normal5"/>
      </w:pPr>
      <w:r>
        <w:t xml:space="preserve">Zakon o Vladi RH  </w:t>
      </w:r>
    </w:p>
    <w:p w:rsidR="00AC0832" w:rsidRDefault="00AC0832">
      <w:pPr>
        <w:pStyle w:val="Normal5"/>
      </w:pPr>
      <w:r>
        <w:t xml:space="preserve">Zakon o sustavu državne uprave  </w:t>
      </w:r>
    </w:p>
    <w:p w:rsidR="00AC0832" w:rsidRDefault="00AC0832">
      <w:pPr>
        <w:pStyle w:val="Normal5"/>
      </w:pPr>
      <w:r>
        <w:t xml:space="preserve">Uredba o načelima za unutarnje ustrojstvo tijela državne uprave  </w:t>
      </w:r>
    </w:p>
    <w:p w:rsidR="00AC0832" w:rsidRDefault="00AC0832">
      <w:pPr>
        <w:pStyle w:val="Normal5"/>
      </w:pPr>
      <w:r>
        <w:t xml:space="preserve">Uredba o osnivanju Ureda za suzbijanje zlouporabe droga  </w:t>
      </w:r>
    </w:p>
    <w:p w:rsidR="00AC0832" w:rsidRDefault="00AC0832">
      <w:pPr>
        <w:pStyle w:val="Normal5"/>
      </w:pPr>
      <w:r>
        <w:t xml:space="preserve">Zakon o suzbijanju zlouporabe droga </w:t>
      </w:r>
    </w:p>
    <w:p w:rsidR="00AC0832" w:rsidRDefault="00AC0832">
      <w:pPr>
        <w:pStyle w:val="Normal5"/>
      </w:pPr>
      <w:r>
        <w:t>Nacionalna strategija suzbijanja zlouporabe droga</w:t>
      </w:r>
    </w:p>
    <w:p w:rsidR="00AC0832" w:rsidRDefault="00AC0832">
      <w:pPr>
        <w:pStyle w:val="Heading7"/>
      </w:pPr>
      <w:r>
        <w:t>Cilj 1. Suzbijanje zlouporabe droga i uspostava integriranog nacionalnog informacijskog sustava za droge</w:t>
      </w:r>
    </w:p>
    <w:p w:rsidR="00AC0832" w:rsidRDefault="00AC0832">
      <w:pPr>
        <w:pStyle w:val="Heading8"/>
        <w:jc w:val="left"/>
      </w:pPr>
      <w:r>
        <w:t>Opis provedbe cilja programa</w:t>
      </w:r>
    </w:p>
    <w:p w:rsidR="00AC0832" w:rsidRDefault="00AC0832">
      <w:pPr>
        <w:pStyle w:val="Normal6"/>
      </w:pPr>
      <w:r>
        <w:t xml:space="preserve">Postignuti ciljevi i rezultati programa koji se provode ogledaju se u sustavnijem pristupu rješavanja problema zlouporabe droga i to institucionalno, formiranje novih timova koji unutar pojedinih tijela državne uprave rade na području suzbijanja zlouporabe droga, veći broj preventivnih i edukativnih programa koje se provede kako od strane državnih institucija, tako i od strane nevladinih institucija, resocijalizacija ovisnika, medijska informiranost javnosti, izvršenje mjera Nacionalne strategije i Akcijskog plana suzbijanja zlouporabe droga, kao i rezultati postignuti na temelju provođenje programa međunarodne suradnje i EU projekata. </w:t>
      </w:r>
    </w:p>
    <w:p w:rsidR="00AC0832" w:rsidRDefault="00AC0832">
      <w:pPr>
        <w:pStyle w:val="Normal6"/>
      </w:pPr>
      <w:r>
        <w:t xml:space="preserve">Tijekom 2012. doneseni su značajniji strateški dokumenti u čijoj izradi je Ured sudjelovao i/ili koji reguliraju područje droga. Jedan od najznačajnijih donesenih dokumenata je Nacionalna strategija suzbijanja zlouporabe droga u Republici Hrvatskoj za razdoblje od 2012. do 2017. godine („NN“, broj 122/12), koju je na temelju članka 6. Zakona o suzbijanju zlouporabe droga („NN“, br. 107/01., 87/02., 163/03., 141/04., 40/07., 149/09. i 84/11.), donio Hrvatski sabor na sjednici 26. listopada 2012. godine. Nadalje, na istoj sjednici Hrvatski sabor usvojio je Izvješće o provedbi Nacionalne strategije suzbijanja zlouporabe droga u RH za 2011. godinu. </w:t>
      </w:r>
    </w:p>
    <w:p w:rsidR="00AC0832" w:rsidRDefault="00AC0832">
      <w:pPr>
        <w:pStyle w:val="Normal6"/>
      </w:pPr>
      <w:r>
        <w:t>Na 60. sjednici Vlade RH održanoj dana 08. studenog 2012. usvojen je trogodišnji Nacionalni akcijski plan suzbijanja zlouporabe droga u Republici Hrvatskoj za razdoblje od 2012. do 2014. godine. Izrađeno je šesto Izvješće o stanju problematike droga u RH sukladno EU standardima kao obveza redovnog godišnjeg izvješćivanja EMCDDA-u, uspostavljen je sustav koji osigurava sudjelovanje svih relevantnih tijela u prikupljanju i prosljeđivanju podataka te su povećani kapaciteti prikupljanja podataka, procesuiranja informacija i primjene mrežnog rada što omogućava kvalitetnije podatke u odnosu na prethodne godine.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62"/>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mjera koje su poduzete radi smanjenja potražnje i ponude droga i usklađene među nositeljima na nacionalnoj i lokalnoj razini.</w:t>
            </w:r>
          </w:p>
        </w:tc>
        <w:tc>
          <w:tcPr>
            <w:tcW w:w="1300" w:type="dxa"/>
          </w:tcPr>
          <w:p w:rsidR="00AC0832" w:rsidRDefault="00AC0832">
            <w:pPr>
              <w:pStyle w:val="CellColumn"/>
            </w:pPr>
            <w:r>
              <w:t>Smanjenje potražnje i ponude droga otklanjanja zdravstvene, socijalne i gospodarske posljedice koje proizlaze iz zlouporabe droga.</w:t>
            </w:r>
          </w:p>
        </w:tc>
        <w:tc>
          <w:tcPr>
            <w:tcW w:w="1300" w:type="dxa"/>
          </w:tcPr>
          <w:p w:rsidR="00AC0832" w:rsidRDefault="00AC0832">
            <w:pPr>
              <w:pStyle w:val="CellColumn"/>
            </w:pPr>
            <w:r>
              <w:t>%</w:t>
            </w:r>
          </w:p>
        </w:tc>
        <w:tc>
          <w:tcPr>
            <w:tcW w:w="1300" w:type="dxa"/>
          </w:tcPr>
          <w:p w:rsidR="00AC0832" w:rsidRDefault="00AC0832">
            <w:pPr>
              <w:pStyle w:val="CellColumn"/>
            </w:pPr>
            <w:r>
              <w:t>40</w:t>
            </w:r>
          </w:p>
        </w:tc>
        <w:tc>
          <w:tcPr>
            <w:tcW w:w="1300" w:type="dxa"/>
          </w:tcPr>
          <w:p w:rsidR="00AC0832" w:rsidRDefault="00AC0832">
            <w:pPr>
              <w:pStyle w:val="CellColumn"/>
            </w:pPr>
            <w:r>
              <w:t>Ured</w:t>
            </w:r>
          </w:p>
        </w:tc>
        <w:tc>
          <w:tcPr>
            <w:tcW w:w="1300" w:type="dxa"/>
          </w:tcPr>
          <w:p w:rsidR="00AC0832" w:rsidRDefault="00AC0832">
            <w:pPr>
              <w:pStyle w:val="CellColumn"/>
            </w:pPr>
            <w:r>
              <w:t>44</w:t>
            </w:r>
          </w:p>
        </w:tc>
        <w:tc>
          <w:tcPr>
            <w:tcW w:w="1300" w:type="dxa"/>
          </w:tcPr>
          <w:p w:rsidR="00AC0832" w:rsidRDefault="00AC0832">
            <w:pPr>
              <w:pStyle w:val="CellColumn"/>
            </w:pPr>
            <w:r>
              <w:t>44</w:t>
            </w:r>
          </w:p>
        </w:tc>
      </w:tr>
    </w:tbl>
    <w:p w:rsidR="00AC0832" w:rsidRDefault="00AC0832">
      <w:pPr>
        <w:jc w:val="left"/>
      </w:pPr>
    </w:p>
    <w:p w:rsidR="00AC0832" w:rsidRDefault="00AC0832">
      <w:pPr>
        <w:pStyle w:val="Heading6"/>
      </w:pPr>
      <w:r>
        <w:t>A530000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A530000-ADMINISTRACIJA I UPRAVLJANJE</w:t>
            </w:r>
          </w:p>
        </w:tc>
        <w:tc>
          <w:tcPr>
            <w:tcW w:w="2322" w:type="dxa"/>
          </w:tcPr>
          <w:p w:rsidR="00AC0832" w:rsidRDefault="00AC0832">
            <w:pPr>
              <w:pStyle w:val="CellColumn"/>
            </w:pPr>
            <w:r>
              <w:t>1.873.500</w:t>
            </w:r>
          </w:p>
        </w:tc>
        <w:tc>
          <w:tcPr>
            <w:tcW w:w="2322" w:type="dxa"/>
          </w:tcPr>
          <w:p w:rsidR="00AC0832" w:rsidRDefault="00AC0832">
            <w:pPr>
              <w:pStyle w:val="CellColumn"/>
            </w:pPr>
            <w:r>
              <w:t>1.753.616</w:t>
            </w:r>
          </w:p>
        </w:tc>
        <w:tc>
          <w:tcPr>
            <w:tcW w:w="2322" w:type="dxa"/>
          </w:tcPr>
          <w:p w:rsidR="00AC0832" w:rsidRDefault="00AC0832">
            <w:pPr>
              <w:pStyle w:val="CellColumn"/>
            </w:pPr>
            <w:r>
              <w:t>93,6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 ovoj aktivnosti sredstva su utrošena za obavljanje redovnog poslovanja Ureda, te za obavljanje aktivnosti u cilju smanjivanja posljedica zlouporabe droga i njihovog držanja u granicama snošljivosti.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7"/>
        <w:gridCol w:w="1506"/>
        <w:gridCol w:w="1236"/>
        <w:gridCol w:w="1258"/>
        <w:gridCol w:w="1252"/>
        <w:gridCol w:w="1258"/>
        <w:gridCol w:w="1271"/>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edukacija za subjekte uključene u sustav suzbijanja zlouporabe droga u odnosu na prethodnu godinu</w:t>
            </w:r>
          </w:p>
        </w:tc>
        <w:tc>
          <w:tcPr>
            <w:tcW w:w="1300" w:type="dxa"/>
          </w:tcPr>
          <w:p w:rsidR="00AC0832" w:rsidRDefault="00AC0832">
            <w:pPr>
              <w:pStyle w:val="CellColumn"/>
            </w:pPr>
            <w:r>
              <w:t>Povećanjem broja edukacija omogućit će se  kvalitetna provedba politike o drogama i veća informiranost o planiranim mjerama</w:t>
            </w:r>
          </w:p>
        </w:tc>
        <w:tc>
          <w:tcPr>
            <w:tcW w:w="1300" w:type="dxa"/>
          </w:tcPr>
          <w:p w:rsidR="00AC0832" w:rsidRDefault="00AC0832">
            <w:pPr>
              <w:pStyle w:val="CellColumn"/>
            </w:pPr>
            <w:r>
              <w:t>broj</w:t>
            </w:r>
          </w:p>
        </w:tc>
        <w:tc>
          <w:tcPr>
            <w:tcW w:w="1300" w:type="dxa"/>
          </w:tcPr>
          <w:p w:rsidR="00AC0832" w:rsidRDefault="00AC0832">
            <w:pPr>
              <w:pStyle w:val="CellColumn"/>
            </w:pPr>
            <w:r>
              <w:t>17</w:t>
            </w:r>
          </w:p>
        </w:tc>
        <w:tc>
          <w:tcPr>
            <w:tcW w:w="1300" w:type="dxa"/>
          </w:tcPr>
          <w:p w:rsidR="00AC0832" w:rsidRDefault="00AC0832">
            <w:pPr>
              <w:pStyle w:val="CellColumn"/>
            </w:pPr>
            <w:r>
              <w:t>Ured</w:t>
            </w:r>
          </w:p>
        </w:tc>
        <w:tc>
          <w:tcPr>
            <w:tcW w:w="1300" w:type="dxa"/>
          </w:tcPr>
          <w:p w:rsidR="00AC0832" w:rsidRDefault="00AC0832">
            <w:pPr>
              <w:pStyle w:val="CellColumn"/>
            </w:pPr>
            <w:r>
              <w:t>27</w:t>
            </w:r>
          </w:p>
        </w:tc>
        <w:tc>
          <w:tcPr>
            <w:tcW w:w="1300" w:type="dxa"/>
          </w:tcPr>
          <w:p w:rsidR="00AC0832" w:rsidRDefault="00AC0832">
            <w:pPr>
              <w:pStyle w:val="CellColumn"/>
            </w:pPr>
            <w:r>
              <w:t>29</w:t>
            </w:r>
          </w:p>
        </w:tc>
      </w:tr>
      <w:tr w:rsidR="00AC0832" w:rsidTr="00BE20ED">
        <w:trPr>
          <w:jc w:val="center"/>
        </w:trPr>
        <w:tc>
          <w:tcPr>
            <w:tcW w:w="1300" w:type="dxa"/>
          </w:tcPr>
          <w:p w:rsidR="00AC0832" w:rsidRDefault="00AC0832">
            <w:pPr>
              <w:pStyle w:val="CellColumn"/>
            </w:pPr>
            <w:r>
              <w:t>Povećanje broja financiranih projekata i programa udruga i terapijskih zajednica u odnosu na prethodnu godinu</w:t>
            </w:r>
          </w:p>
        </w:tc>
        <w:tc>
          <w:tcPr>
            <w:tcW w:w="1300" w:type="dxa"/>
          </w:tcPr>
          <w:p w:rsidR="00AC0832" w:rsidRDefault="00AC0832">
            <w:pPr>
              <w:pStyle w:val="CellColumn"/>
            </w:pPr>
            <w:r>
              <w:t>Povećanjem broja financiranih programa udruga i terapijskih zajednica povećat će se kapaciteti nevladinog sektora za pružanje usluga na području borbe protiv ovisnosti</w:t>
            </w:r>
          </w:p>
        </w:tc>
        <w:tc>
          <w:tcPr>
            <w:tcW w:w="1300" w:type="dxa"/>
          </w:tcPr>
          <w:p w:rsidR="00AC0832" w:rsidRDefault="00AC0832">
            <w:pPr>
              <w:pStyle w:val="CellColumn"/>
            </w:pPr>
            <w:r>
              <w:t>broj</w:t>
            </w:r>
          </w:p>
        </w:tc>
        <w:tc>
          <w:tcPr>
            <w:tcW w:w="1300" w:type="dxa"/>
          </w:tcPr>
          <w:p w:rsidR="00AC0832" w:rsidRDefault="00AC0832">
            <w:pPr>
              <w:pStyle w:val="CellColumn"/>
            </w:pPr>
            <w:r>
              <w:t>31</w:t>
            </w:r>
          </w:p>
        </w:tc>
        <w:tc>
          <w:tcPr>
            <w:tcW w:w="1300" w:type="dxa"/>
          </w:tcPr>
          <w:p w:rsidR="00AC0832" w:rsidRDefault="00AC0832">
            <w:pPr>
              <w:pStyle w:val="CellColumn"/>
            </w:pPr>
            <w:r>
              <w:t>Ured</w:t>
            </w:r>
          </w:p>
        </w:tc>
        <w:tc>
          <w:tcPr>
            <w:tcW w:w="1300" w:type="dxa"/>
          </w:tcPr>
          <w:p w:rsidR="00AC0832" w:rsidRDefault="00AC0832">
            <w:pPr>
              <w:pStyle w:val="CellColumn"/>
            </w:pPr>
            <w:r>
              <w:t>48</w:t>
            </w:r>
          </w:p>
        </w:tc>
        <w:tc>
          <w:tcPr>
            <w:tcW w:w="1300" w:type="dxa"/>
          </w:tcPr>
          <w:p w:rsidR="00AC0832" w:rsidRDefault="00AC0832">
            <w:pPr>
              <w:pStyle w:val="CellColumn"/>
            </w:pPr>
            <w:r>
              <w:t>50</w:t>
            </w:r>
          </w:p>
        </w:tc>
      </w:tr>
      <w:tr w:rsidR="00AC0832" w:rsidTr="00BE20ED">
        <w:trPr>
          <w:jc w:val="center"/>
        </w:trPr>
        <w:tc>
          <w:tcPr>
            <w:tcW w:w="1300" w:type="dxa"/>
          </w:tcPr>
          <w:p w:rsidR="00AC0832" w:rsidRDefault="00AC0832">
            <w:pPr>
              <w:pStyle w:val="CellColumn"/>
            </w:pPr>
            <w:r>
              <w:t>Povećanje broja ovisnika uključenih u Projekt resocijalizacije u odnosu na prethodnu godinu</w:t>
            </w:r>
          </w:p>
        </w:tc>
        <w:tc>
          <w:tcPr>
            <w:tcW w:w="1300" w:type="dxa"/>
          </w:tcPr>
          <w:p w:rsidR="00AC0832" w:rsidRDefault="00AC0832">
            <w:pPr>
              <w:pStyle w:val="CellColumn"/>
            </w:pPr>
            <w:r>
              <w:t>Povećanjem broja ovisnika uključenih u Projekt resocijalizacije omogućit će se bolja socijalna integracija u društvo i normalan život</w:t>
            </w:r>
          </w:p>
        </w:tc>
        <w:tc>
          <w:tcPr>
            <w:tcW w:w="1300" w:type="dxa"/>
          </w:tcPr>
          <w:p w:rsidR="00AC0832" w:rsidRDefault="00AC0832">
            <w:pPr>
              <w:pStyle w:val="CellColumn"/>
            </w:pPr>
            <w:r>
              <w:t>broj</w:t>
            </w:r>
          </w:p>
        </w:tc>
        <w:tc>
          <w:tcPr>
            <w:tcW w:w="1300" w:type="dxa"/>
          </w:tcPr>
          <w:p w:rsidR="00AC0832" w:rsidRDefault="00AC0832">
            <w:pPr>
              <w:pStyle w:val="CellColumn"/>
            </w:pPr>
            <w:r>
              <w:t>150</w:t>
            </w:r>
          </w:p>
        </w:tc>
        <w:tc>
          <w:tcPr>
            <w:tcW w:w="1300" w:type="dxa"/>
          </w:tcPr>
          <w:p w:rsidR="00AC0832" w:rsidRDefault="00AC0832">
            <w:pPr>
              <w:pStyle w:val="CellColumn"/>
            </w:pPr>
            <w:r>
              <w:t>Ured</w:t>
            </w:r>
          </w:p>
        </w:tc>
        <w:tc>
          <w:tcPr>
            <w:tcW w:w="1300" w:type="dxa"/>
          </w:tcPr>
          <w:p w:rsidR="00AC0832" w:rsidRDefault="00AC0832">
            <w:pPr>
              <w:pStyle w:val="CellColumn"/>
            </w:pPr>
            <w:r>
              <w:t>170</w:t>
            </w:r>
          </w:p>
        </w:tc>
        <w:tc>
          <w:tcPr>
            <w:tcW w:w="1300" w:type="dxa"/>
          </w:tcPr>
          <w:p w:rsidR="00AC0832" w:rsidRDefault="00AC0832">
            <w:pPr>
              <w:pStyle w:val="CellColumn"/>
            </w:pPr>
            <w:r>
              <w:t>333</w:t>
            </w:r>
          </w:p>
        </w:tc>
      </w:tr>
    </w:tbl>
    <w:p w:rsidR="00AC0832" w:rsidRDefault="00AC0832">
      <w:pPr>
        <w:jc w:val="left"/>
      </w:pPr>
    </w:p>
    <w:p w:rsidR="00AC0832" w:rsidRDefault="00AC0832">
      <w:pPr>
        <w:pStyle w:val="Heading6"/>
      </w:pPr>
      <w:r>
        <w:t>A530001 PROVEDBA NACIONALNE STRATEGIJE I AKCIJSKOG PLANA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A530001-PROVEDBA NACIONALNE STRATEGIJE I AKCIJSKOG PLANA</w:t>
            </w:r>
          </w:p>
        </w:tc>
        <w:tc>
          <w:tcPr>
            <w:tcW w:w="2322" w:type="dxa"/>
          </w:tcPr>
          <w:p w:rsidR="00AC0832" w:rsidRDefault="00AC0832">
            <w:pPr>
              <w:pStyle w:val="CellColumn"/>
            </w:pPr>
            <w:r>
              <w:t>738.500</w:t>
            </w:r>
          </w:p>
        </w:tc>
        <w:tc>
          <w:tcPr>
            <w:tcW w:w="2322" w:type="dxa"/>
          </w:tcPr>
          <w:p w:rsidR="00AC0832" w:rsidRDefault="00AC0832">
            <w:pPr>
              <w:pStyle w:val="CellColumn"/>
            </w:pPr>
            <w:r>
              <w:t>706.266</w:t>
            </w:r>
          </w:p>
        </w:tc>
        <w:tc>
          <w:tcPr>
            <w:tcW w:w="2322" w:type="dxa"/>
          </w:tcPr>
          <w:p w:rsidR="00AC0832" w:rsidRDefault="00AC0832">
            <w:pPr>
              <w:pStyle w:val="CellColumn"/>
            </w:pPr>
            <w:r>
              <w:t>95,6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 ovoj aktivnosti planirana sredstva su imala za cilj uključivanje svih društvenih sektora od državnih do nevladinih u provođenju zakonodavstva, prevencije, edukacije, liječenja i odvikavanja od ovisnosti, resocijalizacije i ostalih oblika suzbijanja zlouporabe droga kao i na provođenje mjera i zadataka za koje su resorna ministarstva pojedinačno zadužena, kao i koordinaciju i nadzor nad izvršavanjem posebnih programa mjera za suzbijanje zlouporabe droga od prevencije, liječenja, međunarodne suradnje, pomoći nositeljima aktivnosti na lokalnoj, regionalnoj i državnoj razini, te nevladinim organizacijama u vidu sufinanciranja programa koji su usmjereni na otklanjanje uzroka i posljedica zlouporabe droga na kvalitetu života ljudi. Nastavljena je intenzivna suradnja s nevladinim organizacijama koje djeluju na području problematike ovisnosti i županijskim povjerenstvima za suzbijanje zlouporabe droga. Održano je niz edukacija i tematskih radionica namijenjenih subjektima uključenih u provedbu aktivnosti suzbijanja zlouporabe droga od kojih izdvajamo održavanje regionalnih radionica o Projektu resocijalizacije, radionicu o programima supstitucijske terapije opijatskih ovisnika, radionicu o minimalnim standardima kvalitete u području programa smanjenja potražnje droga, radionica o smjernicama za psihosocijalni tretman ovisnosti o drogama, seminar o novim drogama i Sustavu ranog upozoravanja u slučaju pojave novih psihoaktivnih tvari u RH kao i aktivnosti vezane za izradu Nacrta Smjernica za psihosocijalni tretman ovisnosti o drogama u zdravstvenom, socijalnom i zatvorskom sustavu u Republici Hrvatskoj. Provodila se i edukativna kampanja o štetnosti i utjecaju droga i to tiskanjem plakata i edukativnog materijala namijenjenog predškolskoj i školskoj populaciji, obiteljima, zdravstvenim i ostalim djelatnicima.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7"/>
        <w:gridCol w:w="1506"/>
        <w:gridCol w:w="1236"/>
        <w:gridCol w:w="1258"/>
        <w:gridCol w:w="1252"/>
        <w:gridCol w:w="1258"/>
        <w:gridCol w:w="1271"/>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edukacija za subjekte uključene u sustav suzbijanja zlouporabe droga u odnosu na prethodnu godinu</w:t>
            </w:r>
          </w:p>
        </w:tc>
        <w:tc>
          <w:tcPr>
            <w:tcW w:w="1300" w:type="dxa"/>
          </w:tcPr>
          <w:p w:rsidR="00AC0832" w:rsidRDefault="00AC0832">
            <w:pPr>
              <w:pStyle w:val="CellColumn"/>
            </w:pPr>
            <w:r>
              <w:t>Povećanjem broja edukacija omogućit će se  kvalitetna provedba politike o drogama i veća informiranost o planiranim mjerama</w:t>
            </w:r>
          </w:p>
        </w:tc>
        <w:tc>
          <w:tcPr>
            <w:tcW w:w="1300" w:type="dxa"/>
          </w:tcPr>
          <w:p w:rsidR="00AC0832" w:rsidRDefault="00AC0832">
            <w:pPr>
              <w:pStyle w:val="CellColumn"/>
            </w:pPr>
            <w:r>
              <w:t>broj</w:t>
            </w:r>
          </w:p>
        </w:tc>
        <w:tc>
          <w:tcPr>
            <w:tcW w:w="1300" w:type="dxa"/>
          </w:tcPr>
          <w:p w:rsidR="00AC0832" w:rsidRDefault="00AC0832">
            <w:pPr>
              <w:pStyle w:val="CellColumn"/>
            </w:pPr>
            <w:r>
              <w:t>17</w:t>
            </w:r>
          </w:p>
        </w:tc>
        <w:tc>
          <w:tcPr>
            <w:tcW w:w="1300" w:type="dxa"/>
          </w:tcPr>
          <w:p w:rsidR="00AC0832" w:rsidRDefault="00AC0832">
            <w:pPr>
              <w:pStyle w:val="CellColumn"/>
            </w:pPr>
            <w:r>
              <w:t>Ured</w:t>
            </w:r>
          </w:p>
        </w:tc>
        <w:tc>
          <w:tcPr>
            <w:tcW w:w="1300" w:type="dxa"/>
          </w:tcPr>
          <w:p w:rsidR="00AC0832" w:rsidRDefault="00AC0832">
            <w:pPr>
              <w:pStyle w:val="CellColumn"/>
            </w:pPr>
            <w:r>
              <w:t>27</w:t>
            </w:r>
          </w:p>
        </w:tc>
        <w:tc>
          <w:tcPr>
            <w:tcW w:w="1300" w:type="dxa"/>
          </w:tcPr>
          <w:p w:rsidR="00AC0832" w:rsidRDefault="00AC0832">
            <w:pPr>
              <w:pStyle w:val="CellColumn"/>
            </w:pPr>
            <w:r>
              <w:t>29</w:t>
            </w:r>
          </w:p>
        </w:tc>
      </w:tr>
      <w:tr w:rsidR="00AC0832" w:rsidTr="00BE20ED">
        <w:trPr>
          <w:jc w:val="center"/>
        </w:trPr>
        <w:tc>
          <w:tcPr>
            <w:tcW w:w="1300" w:type="dxa"/>
          </w:tcPr>
          <w:p w:rsidR="00AC0832" w:rsidRDefault="00AC0832">
            <w:pPr>
              <w:pStyle w:val="CellColumn"/>
            </w:pPr>
            <w:r>
              <w:t>Povećanje broja financiranih projekata i programa udruga i terapijskih zajednica u odnosu na prethodnu godinu</w:t>
            </w:r>
          </w:p>
        </w:tc>
        <w:tc>
          <w:tcPr>
            <w:tcW w:w="1300" w:type="dxa"/>
          </w:tcPr>
          <w:p w:rsidR="00AC0832" w:rsidRDefault="00AC0832">
            <w:pPr>
              <w:pStyle w:val="CellColumn"/>
            </w:pPr>
            <w:r>
              <w:t>Povećanjem broja financiranih programa udruga i terapijskih zajednica povećat će se kapaciteti nevladinog sektora za pružanje usluga na području borbe protiv ovisnosti</w:t>
            </w:r>
          </w:p>
        </w:tc>
        <w:tc>
          <w:tcPr>
            <w:tcW w:w="1300" w:type="dxa"/>
          </w:tcPr>
          <w:p w:rsidR="00AC0832" w:rsidRDefault="00AC0832">
            <w:pPr>
              <w:pStyle w:val="CellColumn"/>
            </w:pPr>
            <w:r>
              <w:t>broj</w:t>
            </w:r>
          </w:p>
        </w:tc>
        <w:tc>
          <w:tcPr>
            <w:tcW w:w="1300" w:type="dxa"/>
          </w:tcPr>
          <w:p w:rsidR="00AC0832" w:rsidRDefault="00AC0832">
            <w:pPr>
              <w:pStyle w:val="CellColumn"/>
            </w:pPr>
            <w:r>
              <w:t>31</w:t>
            </w:r>
          </w:p>
        </w:tc>
        <w:tc>
          <w:tcPr>
            <w:tcW w:w="1300" w:type="dxa"/>
          </w:tcPr>
          <w:p w:rsidR="00AC0832" w:rsidRDefault="00AC0832">
            <w:pPr>
              <w:pStyle w:val="CellColumn"/>
            </w:pPr>
            <w:r>
              <w:t>Ured</w:t>
            </w:r>
          </w:p>
        </w:tc>
        <w:tc>
          <w:tcPr>
            <w:tcW w:w="1300" w:type="dxa"/>
          </w:tcPr>
          <w:p w:rsidR="00AC0832" w:rsidRDefault="00AC0832">
            <w:pPr>
              <w:pStyle w:val="CellColumn"/>
            </w:pPr>
            <w:r>
              <w:t>48</w:t>
            </w:r>
          </w:p>
        </w:tc>
        <w:tc>
          <w:tcPr>
            <w:tcW w:w="1300" w:type="dxa"/>
          </w:tcPr>
          <w:p w:rsidR="00AC0832" w:rsidRDefault="00AC0832">
            <w:pPr>
              <w:pStyle w:val="CellColumn"/>
            </w:pPr>
            <w:r>
              <w:t>50</w:t>
            </w:r>
          </w:p>
        </w:tc>
      </w:tr>
      <w:tr w:rsidR="00AC0832" w:rsidTr="00BE20ED">
        <w:trPr>
          <w:jc w:val="center"/>
        </w:trPr>
        <w:tc>
          <w:tcPr>
            <w:tcW w:w="1300" w:type="dxa"/>
          </w:tcPr>
          <w:p w:rsidR="00AC0832" w:rsidRDefault="00AC0832">
            <w:pPr>
              <w:pStyle w:val="CellColumn"/>
            </w:pPr>
            <w:r>
              <w:t>Povećanje broja ovisnika uključenih u Projekt resocijalizacije u odnosu na prethodnu godinu</w:t>
            </w:r>
          </w:p>
        </w:tc>
        <w:tc>
          <w:tcPr>
            <w:tcW w:w="1300" w:type="dxa"/>
          </w:tcPr>
          <w:p w:rsidR="00AC0832" w:rsidRDefault="00AC0832">
            <w:pPr>
              <w:pStyle w:val="CellColumn"/>
            </w:pPr>
            <w:r>
              <w:t>Povećanjem broja ovisnika uključenih u Projekt resocijalizacije omogućit će se bolja socijalna integracija u društvo i normalan život</w:t>
            </w:r>
          </w:p>
        </w:tc>
        <w:tc>
          <w:tcPr>
            <w:tcW w:w="1300" w:type="dxa"/>
          </w:tcPr>
          <w:p w:rsidR="00AC0832" w:rsidRDefault="00AC0832">
            <w:pPr>
              <w:pStyle w:val="CellColumn"/>
            </w:pPr>
            <w:r>
              <w:t>broj</w:t>
            </w:r>
          </w:p>
        </w:tc>
        <w:tc>
          <w:tcPr>
            <w:tcW w:w="1300" w:type="dxa"/>
          </w:tcPr>
          <w:p w:rsidR="00AC0832" w:rsidRDefault="00AC0832">
            <w:pPr>
              <w:pStyle w:val="CellColumn"/>
            </w:pPr>
            <w:r>
              <w:t>150</w:t>
            </w:r>
          </w:p>
        </w:tc>
        <w:tc>
          <w:tcPr>
            <w:tcW w:w="1300" w:type="dxa"/>
          </w:tcPr>
          <w:p w:rsidR="00AC0832" w:rsidRDefault="00AC0832">
            <w:pPr>
              <w:pStyle w:val="CellColumn"/>
            </w:pPr>
            <w:r>
              <w:t>Ured</w:t>
            </w:r>
          </w:p>
        </w:tc>
        <w:tc>
          <w:tcPr>
            <w:tcW w:w="1300" w:type="dxa"/>
          </w:tcPr>
          <w:p w:rsidR="00AC0832" w:rsidRDefault="00AC0832">
            <w:pPr>
              <w:pStyle w:val="CellColumn"/>
            </w:pPr>
            <w:r>
              <w:t>170</w:t>
            </w:r>
          </w:p>
        </w:tc>
        <w:tc>
          <w:tcPr>
            <w:tcW w:w="1300" w:type="dxa"/>
          </w:tcPr>
          <w:p w:rsidR="00AC0832" w:rsidRDefault="00AC0832">
            <w:pPr>
              <w:pStyle w:val="CellColumn"/>
            </w:pPr>
            <w:r>
              <w:t>333</w:t>
            </w:r>
          </w:p>
        </w:tc>
      </w:tr>
    </w:tbl>
    <w:p w:rsidR="00AC0832" w:rsidRDefault="00AC0832">
      <w:pPr>
        <w:jc w:val="left"/>
      </w:pPr>
    </w:p>
    <w:p w:rsidR="00AC0832" w:rsidRDefault="00AC0832">
      <w:pPr>
        <w:pStyle w:val="Heading6"/>
      </w:pPr>
      <w:r>
        <w:t>A530020 NACIONALNA INFORMACIJSKA JEDINICA ZA DROGE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A530020-NACIONALNA INFORMACIJSKA JEDINICA ZA DROGE</w:t>
            </w:r>
          </w:p>
        </w:tc>
        <w:tc>
          <w:tcPr>
            <w:tcW w:w="2322" w:type="dxa"/>
          </w:tcPr>
          <w:p w:rsidR="00AC0832" w:rsidRDefault="00AC0832">
            <w:pPr>
              <w:pStyle w:val="CellColumn"/>
            </w:pPr>
            <w:r>
              <w:t>508.500</w:t>
            </w:r>
          </w:p>
        </w:tc>
        <w:tc>
          <w:tcPr>
            <w:tcW w:w="2322" w:type="dxa"/>
          </w:tcPr>
          <w:p w:rsidR="00AC0832" w:rsidRDefault="00AC0832">
            <w:pPr>
              <w:pStyle w:val="CellColumn"/>
            </w:pPr>
            <w:r>
              <w:t>471.751</w:t>
            </w:r>
          </w:p>
        </w:tc>
        <w:tc>
          <w:tcPr>
            <w:tcW w:w="2322" w:type="dxa"/>
          </w:tcPr>
          <w:p w:rsidR="00AC0832" w:rsidRDefault="00AC0832">
            <w:pPr>
              <w:pStyle w:val="CellColumn"/>
            </w:pPr>
            <w:r>
              <w:t>92,8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Aktivnosti su bile usmjerene na implementaciju mjera Akcijskog plana o Nacionalnom informacijskom sustavu za droge u RH (2012.-2013.). Nastavljen je intenzivan rad na jačanju Nacionalnog informacijskog sustava za droge koji je ustrojen sukladno standardima Europskog centra za praćenje droga i ovisnosti o drogama (EMCDDA). </w:t>
      </w:r>
    </w:p>
    <w:p w:rsidR="00AC0832" w:rsidRDefault="00AC0832">
      <w:pPr>
        <w:pStyle w:val="Normal6"/>
      </w:pPr>
      <w:r>
        <w:t>Tako je u 2012. donesena Odluka osnivanju i imenovanju članova Radnih skupina u sklopu Nacionalnog informacijskog sustava za droge u RH, temeljem koje je osnovano 7 radnih skupina: (1) Prevalencija i načini problematične uporabe droga; (2) Zarazne bolesti povezane s uporabom droga; (3) Smrti povezane s uporabom droga i smrtnost među ovisnicima; (4) Zahtjevi za liječenjem; (5) Podaci o kriminalitetu droga; (6) Smanjenje potražnje droga; (7) Sustav ranog upozoravanja u slučaju pojave nove psihoaktivne tvari u Republici Hrvatskoj. Također je u suradnji s Ekonomskim institutom Zagreb provedeno i prvo nacionalno istraživanje javnih troškova u području suzbijanja zlouporabe droga u okviru znanstveno-istraživačkog projekta Istraživanje javnih troškova i uspostava sustava pokazatelja uspješnosti u području suzbijanja zlouporabe droga u Republici Hrvatskoj, dok je Institut Ruđer Bošković za potrebe Ureda proveo istraživanje vezano uz kvalitativno određivanje odabranih urinarnih biomarkera ilegalnih droga.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351"/>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podataka o drogama, bolesti ovisnosti i posljedicama zlouporabe droga koji su usporedivi s europskim podacima u odnosu na prethodnu godinu</w:t>
            </w:r>
          </w:p>
        </w:tc>
        <w:tc>
          <w:tcPr>
            <w:tcW w:w="1300" w:type="dxa"/>
          </w:tcPr>
          <w:p w:rsidR="00AC0832" w:rsidRDefault="00AC0832">
            <w:pPr>
              <w:pStyle w:val="CellColumn"/>
            </w:pPr>
            <w:r>
              <w:t>Usklađena metodologija prikupljanja podataka sa zahtjevima EMCDDA-a, a provedba nacionalne politike o drogama temelji se na objektivnim potrebama sukladno rezultatima provedenih analiza</w:t>
            </w:r>
          </w:p>
        </w:tc>
        <w:tc>
          <w:tcPr>
            <w:tcW w:w="1300" w:type="dxa"/>
          </w:tcPr>
          <w:p w:rsidR="00AC0832" w:rsidRDefault="00AC0832">
            <w:pPr>
              <w:pStyle w:val="CellColumn"/>
            </w:pPr>
            <w:r>
              <w:t>broj</w:t>
            </w:r>
          </w:p>
        </w:tc>
        <w:tc>
          <w:tcPr>
            <w:tcW w:w="1300" w:type="dxa"/>
          </w:tcPr>
          <w:p w:rsidR="00AC0832" w:rsidRDefault="00AC0832">
            <w:pPr>
              <w:pStyle w:val="CellColumn"/>
            </w:pPr>
            <w:r>
              <w:t>7</w:t>
            </w:r>
          </w:p>
        </w:tc>
        <w:tc>
          <w:tcPr>
            <w:tcW w:w="1300" w:type="dxa"/>
          </w:tcPr>
          <w:p w:rsidR="00AC0832" w:rsidRDefault="00AC0832">
            <w:pPr>
              <w:pStyle w:val="CellColumn"/>
            </w:pPr>
            <w:r>
              <w:t>Ured</w:t>
            </w:r>
          </w:p>
        </w:tc>
        <w:tc>
          <w:tcPr>
            <w:tcW w:w="1300" w:type="dxa"/>
          </w:tcPr>
          <w:p w:rsidR="00AC0832" w:rsidRDefault="00AC0832">
            <w:pPr>
              <w:pStyle w:val="CellColumn"/>
            </w:pPr>
            <w:r>
              <w:t>8</w:t>
            </w:r>
          </w:p>
        </w:tc>
        <w:tc>
          <w:tcPr>
            <w:tcW w:w="1300" w:type="dxa"/>
          </w:tcPr>
          <w:p w:rsidR="00AC0832" w:rsidRDefault="00AC0832">
            <w:pPr>
              <w:pStyle w:val="CellColumn"/>
            </w:pPr>
            <w:r>
              <w:t>8</w:t>
            </w:r>
          </w:p>
        </w:tc>
      </w:tr>
    </w:tbl>
    <w:p w:rsidR="00AC0832" w:rsidRDefault="00AC0832">
      <w:pPr>
        <w:jc w:val="left"/>
      </w:pPr>
    </w:p>
    <w:p w:rsidR="00AC0832" w:rsidRDefault="00AC0832">
      <w:pPr>
        <w:pStyle w:val="Heading6"/>
      </w:pPr>
      <w:r>
        <w:t>A530025 IPA 2007 - PROGRAMI ZAJEDNICE - EUROPSKI CENTAR ZA PRAĆENJE DROGA I OVISNOSTI O DROGAMA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A530025-IPA 2007 - PROGRAMI ZAJEDNICE - EUROPSKI CENTAR ZA PRAĆENJE DROGA I OVISNOSTI O DROGAMA</w:t>
            </w:r>
          </w:p>
        </w:tc>
        <w:tc>
          <w:tcPr>
            <w:tcW w:w="2322" w:type="dxa"/>
          </w:tcPr>
          <w:p w:rsidR="00AC0832" w:rsidRDefault="00AC0832">
            <w:pPr>
              <w:pStyle w:val="CellColumn"/>
            </w:pPr>
            <w:r>
              <w:t>558.750</w:t>
            </w:r>
          </w:p>
        </w:tc>
        <w:tc>
          <w:tcPr>
            <w:tcW w:w="2322" w:type="dxa"/>
          </w:tcPr>
          <w:p w:rsidR="00AC0832" w:rsidRDefault="00AC0832">
            <w:pPr>
              <w:pStyle w:val="CellColumn"/>
            </w:pPr>
            <w:r>
              <w:t>00</w:t>
            </w:r>
          </w:p>
        </w:tc>
        <w:tc>
          <w:tcPr>
            <w:tcW w:w="2322" w:type="dxa"/>
          </w:tcPr>
          <w:p w:rsidR="00AC0832" w:rsidRDefault="00AC0832">
            <w:pPr>
              <w:pStyle w:val="CellColumn"/>
            </w:pPr>
            <w:r>
              <w:t>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 ovoj aktivnosti planirana su sredstva u iznosu od 558.750,00 kuna. Rashodi koji su namijenjeni za članarine za sudjelovanje u programima i agencija Europske unije nisu utrošeni iz razloga što Sporazum između Republike Hrvatske i Europske unije za sudjelovanje Republike Hrvatske u radu Europskog centra za praćenje droga i bolesti ovisnosti, koji je 22. prosinca 2009. parafiran, a potpisan 06.12.2010. godine, tijekom 2012. nije ratificiran.</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351"/>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podataka o drogama, bolesti ovisnosti i posljedicama zlouporabe droga koji su usporedivi s europskim podacima u odnosu na prethodnu godinu</w:t>
            </w:r>
          </w:p>
        </w:tc>
        <w:tc>
          <w:tcPr>
            <w:tcW w:w="1300" w:type="dxa"/>
          </w:tcPr>
          <w:p w:rsidR="00AC0832" w:rsidRDefault="00AC0832">
            <w:pPr>
              <w:pStyle w:val="CellColumn"/>
            </w:pPr>
            <w:r>
              <w:t>Usklađena metodologija prikupljanja podataka sa zahtjevima EMCDDA-a, a provedba nacionalne politike o drogama temelji se na objektivnim potrebama sukladno rezultatima provedenih analiza</w:t>
            </w:r>
          </w:p>
        </w:tc>
        <w:tc>
          <w:tcPr>
            <w:tcW w:w="1300" w:type="dxa"/>
          </w:tcPr>
          <w:p w:rsidR="00AC0832" w:rsidRDefault="00AC0832">
            <w:pPr>
              <w:pStyle w:val="CellColumn"/>
            </w:pPr>
            <w:r>
              <w:t>broj</w:t>
            </w:r>
          </w:p>
        </w:tc>
        <w:tc>
          <w:tcPr>
            <w:tcW w:w="1300" w:type="dxa"/>
          </w:tcPr>
          <w:p w:rsidR="00AC0832" w:rsidRDefault="00AC0832">
            <w:pPr>
              <w:pStyle w:val="CellColumn"/>
            </w:pPr>
            <w:r>
              <w:t>7</w:t>
            </w:r>
          </w:p>
        </w:tc>
        <w:tc>
          <w:tcPr>
            <w:tcW w:w="1300" w:type="dxa"/>
          </w:tcPr>
          <w:p w:rsidR="00AC0832" w:rsidRDefault="00AC0832">
            <w:pPr>
              <w:pStyle w:val="CellColumn"/>
            </w:pPr>
            <w:r>
              <w:t>Ured</w:t>
            </w:r>
          </w:p>
        </w:tc>
        <w:tc>
          <w:tcPr>
            <w:tcW w:w="1300" w:type="dxa"/>
          </w:tcPr>
          <w:p w:rsidR="00AC0832" w:rsidRDefault="00AC0832">
            <w:pPr>
              <w:pStyle w:val="CellColumn"/>
            </w:pPr>
            <w:r>
              <w:t>8</w:t>
            </w:r>
          </w:p>
        </w:tc>
        <w:tc>
          <w:tcPr>
            <w:tcW w:w="1300" w:type="dxa"/>
          </w:tcPr>
          <w:p w:rsidR="00AC0832" w:rsidRDefault="00AC0832">
            <w:pPr>
              <w:pStyle w:val="CellColumn"/>
            </w:pPr>
            <w:r>
              <w:t>8</w:t>
            </w:r>
          </w:p>
        </w:tc>
      </w:tr>
    </w:tbl>
    <w:p w:rsidR="00AC0832" w:rsidRDefault="00AC0832">
      <w:pPr>
        <w:jc w:val="left"/>
      </w:pPr>
    </w:p>
    <w:p w:rsidR="00AC0832" w:rsidRDefault="00AC0832">
      <w:pPr>
        <w:pStyle w:val="Heading6"/>
      </w:pPr>
      <w:r>
        <w:t>K530017 INFORMATIZACIJA UREDA ZA SUZBIJANJE ZLOUPORABE DROGA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K530017-INFORMATIZACIJA UREDA ZA SUZBIJANJE ZLOUPORABE DROGA</w:t>
            </w:r>
          </w:p>
        </w:tc>
        <w:tc>
          <w:tcPr>
            <w:tcW w:w="2322" w:type="dxa"/>
          </w:tcPr>
          <w:p w:rsidR="00AC0832" w:rsidRDefault="00AC0832">
            <w:pPr>
              <w:pStyle w:val="CellColumn"/>
            </w:pPr>
            <w:r>
              <w:t>75.000</w:t>
            </w:r>
          </w:p>
        </w:tc>
        <w:tc>
          <w:tcPr>
            <w:tcW w:w="2322" w:type="dxa"/>
          </w:tcPr>
          <w:p w:rsidR="00AC0832" w:rsidRDefault="00AC0832">
            <w:pPr>
              <w:pStyle w:val="CellColumn"/>
            </w:pPr>
            <w:r>
              <w:t>65.714</w:t>
            </w:r>
          </w:p>
        </w:tc>
        <w:tc>
          <w:tcPr>
            <w:tcW w:w="2322" w:type="dxa"/>
          </w:tcPr>
          <w:p w:rsidR="00AC0832" w:rsidRDefault="00AC0832">
            <w:pPr>
              <w:pStyle w:val="CellColumn"/>
            </w:pPr>
            <w:r>
              <w:t>87,6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 ovoj aktivnosti planirana su sredstva u iznosu od 75.000,00 kuna od čega je utrošeno 65.713,50 kuna. Sredstva za utrošena u većem dijelu za  Sophos i Microsoft licence za 2012. godinu i za kupnju nove informatičke opreme.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7"/>
        <w:gridCol w:w="1506"/>
        <w:gridCol w:w="1236"/>
        <w:gridCol w:w="1258"/>
        <w:gridCol w:w="1252"/>
        <w:gridCol w:w="1258"/>
        <w:gridCol w:w="1271"/>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edukacija za subjekte uključene u sustav suzbijanja zlouporabe droga u odnosu na prethodnu godinu</w:t>
            </w:r>
          </w:p>
        </w:tc>
        <w:tc>
          <w:tcPr>
            <w:tcW w:w="1300" w:type="dxa"/>
          </w:tcPr>
          <w:p w:rsidR="00AC0832" w:rsidRDefault="00AC0832">
            <w:pPr>
              <w:pStyle w:val="CellColumn"/>
            </w:pPr>
            <w:r>
              <w:t>Povećanjem broja edukacija omogućit će se  kvalitetna provedba politike o drogama i veća informiranost o planiranim mjerama</w:t>
            </w:r>
          </w:p>
        </w:tc>
        <w:tc>
          <w:tcPr>
            <w:tcW w:w="1300" w:type="dxa"/>
          </w:tcPr>
          <w:p w:rsidR="00AC0832" w:rsidRDefault="00AC0832">
            <w:pPr>
              <w:pStyle w:val="CellColumn"/>
            </w:pPr>
            <w:r>
              <w:t>broj</w:t>
            </w:r>
          </w:p>
        </w:tc>
        <w:tc>
          <w:tcPr>
            <w:tcW w:w="1300" w:type="dxa"/>
          </w:tcPr>
          <w:p w:rsidR="00AC0832" w:rsidRDefault="00AC0832">
            <w:pPr>
              <w:pStyle w:val="CellColumn"/>
            </w:pPr>
            <w:r>
              <w:t>17</w:t>
            </w:r>
          </w:p>
        </w:tc>
        <w:tc>
          <w:tcPr>
            <w:tcW w:w="1300" w:type="dxa"/>
          </w:tcPr>
          <w:p w:rsidR="00AC0832" w:rsidRDefault="00AC0832">
            <w:pPr>
              <w:pStyle w:val="CellColumn"/>
            </w:pPr>
            <w:r>
              <w:t>Ured</w:t>
            </w:r>
          </w:p>
        </w:tc>
        <w:tc>
          <w:tcPr>
            <w:tcW w:w="1300" w:type="dxa"/>
          </w:tcPr>
          <w:p w:rsidR="00AC0832" w:rsidRDefault="00AC0832">
            <w:pPr>
              <w:pStyle w:val="CellColumn"/>
            </w:pPr>
            <w:r>
              <w:t>27</w:t>
            </w:r>
          </w:p>
        </w:tc>
        <w:tc>
          <w:tcPr>
            <w:tcW w:w="1300" w:type="dxa"/>
          </w:tcPr>
          <w:p w:rsidR="00AC0832" w:rsidRDefault="00AC0832">
            <w:pPr>
              <w:pStyle w:val="CellColumn"/>
            </w:pPr>
            <w:r>
              <w:t>29</w:t>
            </w:r>
          </w:p>
        </w:tc>
      </w:tr>
      <w:tr w:rsidR="00AC0832" w:rsidTr="00BE20ED">
        <w:trPr>
          <w:jc w:val="center"/>
        </w:trPr>
        <w:tc>
          <w:tcPr>
            <w:tcW w:w="1300" w:type="dxa"/>
          </w:tcPr>
          <w:p w:rsidR="00AC0832" w:rsidRDefault="00AC0832">
            <w:pPr>
              <w:pStyle w:val="CellColumn"/>
            </w:pPr>
            <w:r>
              <w:t>Povećanje broja financiranih projekata i programa udruga i terapijskih zajednica u odnosu na prethodnu godinu</w:t>
            </w:r>
          </w:p>
        </w:tc>
        <w:tc>
          <w:tcPr>
            <w:tcW w:w="1300" w:type="dxa"/>
          </w:tcPr>
          <w:p w:rsidR="00AC0832" w:rsidRDefault="00AC0832">
            <w:pPr>
              <w:pStyle w:val="CellColumn"/>
            </w:pPr>
            <w:r>
              <w:t>Povećanjem broja financiranih programa udruga i terapijskih zajednica povećat će se kapaciteti nevladinog sektora za pružanje usluga na području borbe protiv ovisnosti</w:t>
            </w:r>
          </w:p>
        </w:tc>
        <w:tc>
          <w:tcPr>
            <w:tcW w:w="1300" w:type="dxa"/>
          </w:tcPr>
          <w:p w:rsidR="00AC0832" w:rsidRDefault="00AC0832">
            <w:pPr>
              <w:pStyle w:val="CellColumn"/>
            </w:pPr>
            <w:r>
              <w:t>broj</w:t>
            </w:r>
          </w:p>
        </w:tc>
        <w:tc>
          <w:tcPr>
            <w:tcW w:w="1300" w:type="dxa"/>
          </w:tcPr>
          <w:p w:rsidR="00AC0832" w:rsidRDefault="00AC0832">
            <w:pPr>
              <w:pStyle w:val="CellColumn"/>
            </w:pPr>
            <w:r>
              <w:t>31</w:t>
            </w:r>
          </w:p>
        </w:tc>
        <w:tc>
          <w:tcPr>
            <w:tcW w:w="1300" w:type="dxa"/>
          </w:tcPr>
          <w:p w:rsidR="00AC0832" w:rsidRDefault="00AC0832">
            <w:pPr>
              <w:pStyle w:val="CellColumn"/>
            </w:pPr>
            <w:r>
              <w:t>Ured</w:t>
            </w:r>
          </w:p>
        </w:tc>
        <w:tc>
          <w:tcPr>
            <w:tcW w:w="1300" w:type="dxa"/>
          </w:tcPr>
          <w:p w:rsidR="00AC0832" w:rsidRDefault="00AC0832">
            <w:pPr>
              <w:pStyle w:val="CellColumn"/>
            </w:pPr>
            <w:r>
              <w:t>48</w:t>
            </w:r>
          </w:p>
        </w:tc>
        <w:tc>
          <w:tcPr>
            <w:tcW w:w="1300" w:type="dxa"/>
          </w:tcPr>
          <w:p w:rsidR="00AC0832" w:rsidRDefault="00AC0832">
            <w:pPr>
              <w:pStyle w:val="CellColumn"/>
            </w:pPr>
            <w:r>
              <w:t>50</w:t>
            </w:r>
          </w:p>
        </w:tc>
      </w:tr>
      <w:tr w:rsidR="00AC0832" w:rsidTr="00BE20ED">
        <w:trPr>
          <w:jc w:val="center"/>
        </w:trPr>
        <w:tc>
          <w:tcPr>
            <w:tcW w:w="1300" w:type="dxa"/>
          </w:tcPr>
          <w:p w:rsidR="00AC0832" w:rsidRDefault="00AC0832">
            <w:pPr>
              <w:pStyle w:val="CellColumn"/>
            </w:pPr>
            <w:r>
              <w:t>Povećanje broja ovisnika uključenih u Projekt resocijalizacije u odnosu na prethodnu godinu</w:t>
            </w:r>
          </w:p>
        </w:tc>
        <w:tc>
          <w:tcPr>
            <w:tcW w:w="1300" w:type="dxa"/>
          </w:tcPr>
          <w:p w:rsidR="00AC0832" w:rsidRDefault="00AC0832">
            <w:pPr>
              <w:pStyle w:val="CellColumn"/>
            </w:pPr>
            <w:r>
              <w:t>Povećanjem broja ovisnika uključenih u Projekt resocijalizacije omogućit će se bolja socijalna integracija u društvo i normalan život</w:t>
            </w:r>
          </w:p>
        </w:tc>
        <w:tc>
          <w:tcPr>
            <w:tcW w:w="1300" w:type="dxa"/>
          </w:tcPr>
          <w:p w:rsidR="00AC0832" w:rsidRDefault="00AC0832">
            <w:pPr>
              <w:pStyle w:val="CellColumn"/>
            </w:pPr>
            <w:r>
              <w:t>broj</w:t>
            </w:r>
          </w:p>
        </w:tc>
        <w:tc>
          <w:tcPr>
            <w:tcW w:w="1300" w:type="dxa"/>
          </w:tcPr>
          <w:p w:rsidR="00AC0832" w:rsidRDefault="00AC0832">
            <w:pPr>
              <w:pStyle w:val="CellColumn"/>
            </w:pPr>
            <w:r>
              <w:t>150</w:t>
            </w:r>
          </w:p>
        </w:tc>
        <w:tc>
          <w:tcPr>
            <w:tcW w:w="1300" w:type="dxa"/>
          </w:tcPr>
          <w:p w:rsidR="00AC0832" w:rsidRDefault="00AC0832">
            <w:pPr>
              <w:pStyle w:val="CellColumn"/>
            </w:pPr>
            <w:r>
              <w:t>Ured</w:t>
            </w:r>
          </w:p>
        </w:tc>
        <w:tc>
          <w:tcPr>
            <w:tcW w:w="1300" w:type="dxa"/>
          </w:tcPr>
          <w:p w:rsidR="00AC0832" w:rsidRDefault="00AC0832">
            <w:pPr>
              <w:pStyle w:val="CellColumn"/>
            </w:pPr>
            <w:r>
              <w:t>170</w:t>
            </w:r>
          </w:p>
        </w:tc>
        <w:tc>
          <w:tcPr>
            <w:tcW w:w="1300" w:type="dxa"/>
          </w:tcPr>
          <w:p w:rsidR="00AC0832" w:rsidRDefault="00AC0832">
            <w:pPr>
              <w:pStyle w:val="CellColumn"/>
            </w:pPr>
            <w:r>
              <w:t>333</w:t>
            </w:r>
          </w:p>
        </w:tc>
      </w:tr>
    </w:tbl>
    <w:p w:rsidR="00AC0832" w:rsidRDefault="00AC0832">
      <w:pPr>
        <w:jc w:val="left"/>
      </w:pPr>
    </w:p>
    <w:p w:rsidR="00AC0832" w:rsidRDefault="00AC0832">
      <w:pPr>
        <w:pStyle w:val="Heading2"/>
      </w:pPr>
      <w:r>
        <w:t>02092 Ured za ravnopravnost spolova</w:t>
      </w:r>
    </w:p>
    <w:p w:rsidR="00AC0832" w:rsidRDefault="00AC0832">
      <w:pPr>
        <w:pStyle w:val="Heading4"/>
      </w:pPr>
      <w:r>
        <w:t>Uvod</w:t>
      </w:r>
    </w:p>
    <w:p w:rsidR="00AC0832" w:rsidRDefault="00AC0832">
      <w:pPr>
        <w:pStyle w:val="Normal3"/>
      </w:pPr>
      <w:r>
        <w:t xml:space="preserve">Vladin Ured za ravnopravnost spolova osnovan je 2004. godine kao stručna služba Vlade RH kojoj su djelokrug rada i zadaće propisani Zakonom o ravnopravnosti spolova (NN114/03, i NN 82/08). Zakonom o ravnopravnosti spolova iz 2008. (NN 82/08) propisano je da Ured obavlja stručne i druge poslove na način da:  </w:t>
      </w:r>
    </w:p>
    <w:p w:rsidR="00AC0832" w:rsidRDefault="00AC0832">
      <w:pPr>
        <w:pStyle w:val="Normal3"/>
      </w:pPr>
      <w:r>
        <w:t xml:space="preserve">1. koordinira sve aktivnosti kojima je cilj uspostavljanje ravnopravnosti spolova, izrađuje cjeloviti sustav zaštite i promica¬nja ravnoprav¬nosti spolova u Republici Hrvatskoj i prati ¬nje-govu učinkovitost, </w:t>
      </w:r>
    </w:p>
    <w:p w:rsidR="00AC0832" w:rsidRDefault="00AC0832">
      <w:pPr>
        <w:pStyle w:val="Normal3"/>
      </w:pPr>
      <w:r>
        <w:t xml:space="preserve">2. odobrava tijelima iz članka 11. ovoga Zakona provedbu planova djelovanja, </w:t>
      </w:r>
    </w:p>
    <w:p w:rsidR="00AC0832" w:rsidRDefault="00AC0832">
      <w:pPr>
        <w:pStyle w:val="Normal3"/>
      </w:pPr>
      <w:r>
        <w:t xml:space="preserve">3. predlaže Vladi Republike Hrvatske i državnim tijelima donošenje ili izmjene zakona i drugih propisa kao i usvajanje drugih mjera, </w:t>
      </w:r>
    </w:p>
    <w:p w:rsidR="00AC0832" w:rsidRDefault="00AC0832">
      <w:pPr>
        <w:pStyle w:val="Normal3"/>
      </w:pPr>
      <w:r>
        <w:t xml:space="preserve">4. izrađuje nacionalnu politiku za promicanje ravnopravnosti spolova i nadzire njezinu provedbu, </w:t>
      </w:r>
    </w:p>
    <w:p w:rsidR="00AC0832" w:rsidRDefault="00AC0832">
      <w:pPr>
        <w:pStyle w:val="Normal3"/>
      </w:pPr>
      <w:r>
        <w:t xml:space="preserve">5. provodi istraživanja, izrađuje analize i svake dvije godine Vladu Republike Hrvatske izvještava o provedbi nacionalne politike, </w:t>
      </w:r>
    </w:p>
    <w:p w:rsidR="00AC0832" w:rsidRDefault="00AC0832">
      <w:pPr>
        <w:pStyle w:val="Normal3"/>
      </w:pPr>
      <w:r>
        <w:t xml:space="preserve">6. prati usklađenost i primjenu zakona i drugih propisa koji se odnose na ravnopravnost spolova u odnosu na međunarodne dokumente, </w:t>
      </w:r>
    </w:p>
    <w:p w:rsidR="00AC0832" w:rsidRDefault="00AC0832">
      <w:pPr>
        <w:pStyle w:val="Normal3"/>
      </w:pPr>
      <w:r>
        <w:t xml:space="preserve">7. priprema nacionalna izvješća o ispunjavanju među¬narod¬nih obveza u području ravnopravnosti spolova, </w:t>
      </w:r>
    </w:p>
    <w:p w:rsidR="00AC0832" w:rsidRDefault="00AC0832">
      <w:pPr>
        <w:pStyle w:val="Normal3"/>
      </w:pPr>
      <w:r>
        <w:t xml:space="preserve">8. surađuje s nevladinim udrugama koje su aktivne u području ravnopravnosti spolova i osigurava djelomično financiranje njihovih projekata ili aktivnosti, </w:t>
      </w:r>
    </w:p>
    <w:p w:rsidR="00AC0832" w:rsidRDefault="00AC0832">
      <w:pPr>
        <w:pStyle w:val="Normal3"/>
      </w:pPr>
      <w:r>
        <w:t xml:space="preserve">9. promiče znanje i svijest o ravnopravnosti spolova, </w:t>
      </w:r>
    </w:p>
    <w:p w:rsidR="00AC0832" w:rsidRDefault="00AC0832">
      <w:pPr>
        <w:pStyle w:val="Normal3"/>
      </w:pPr>
      <w:r>
        <w:t xml:space="preserve">10. prima predstavke stranaka o povredama odredbi ovoga Zakona i drugih propisa i prosljeđuje ih pravobraniteljstvu i drugim nadležnim državnim tijelima,  </w:t>
      </w:r>
    </w:p>
    <w:p w:rsidR="00AC0832" w:rsidRDefault="00AC0832">
      <w:pPr>
        <w:pStyle w:val="Normal3"/>
      </w:pPr>
      <w:r>
        <w:t xml:space="preserve">11. koordinira rad županijskih povjerenstava za ravnopravnost spolova, </w:t>
      </w:r>
    </w:p>
    <w:p w:rsidR="00AC0832" w:rsidRDefault="00AC0832">
      <w:pPr>
        <w:pStyle w:val="Normal3"/>
      </w:pPr>
      <w:r>
        <w:t>12. izvještava Vladu Republike Hrvatske svake godine, naj¬kasnije krajem travnja za prethodnu godinu o svojim aktivnostima.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02092-Ured za ravnopravnost spolova</w:t>
            </w:r>
          </w:p>
        </w:tc>
        <w:tc>
          <w:tcPr>
            <w:tcW w:w="2322" w:type="dxa"/>
          </w:tcPr>
          <w:p w:rsidR="00AC0832" w:rsidRDefault="00AC0832">
            <w:pPr>
              <w:pStyle w:val="CellColumn"/>
            </w:pPr>
            <w:r>
              <w:t>2.078.600</w:t>
            </w:r>
          </w:p>
        </w:tc>
        <w:tc>
          <w:tcPr>
            <w:tcW w:w="2322" w:type="dxa"/>
          </w:tcPr>
          <w:p w:rsidR="00AC0832" w:rsidRDefault="00AC0832">
            <w:pPr>
              <w:pStyle w:val="CellColumn"/>
            </w:pPr>
            <w:r>
              <w:t>1.837.125</w:t>
            </w:r>
          </w:p>
        </w:tc>
        <w:tc>
          <w:tcPr>
            <w:tcW w:w="2322" w:type="dxa"/>
          </w:tcPr>
          <w:p w:rsidR="00AC0832" w:rsidRDefault="00AC0832">
            <w:pPr>
              <w:pStyle w:val="CellColumn"/>
            </w:pPr>
            <w:r>
              <w:t>88,4</w:t>
            </w:r>
          </w:p>
        </w:tc>
      </w:tr>
      <w:tr w:rsidR="00AC0832" w:rsidTr="00BE20ED">
        <w:trPr>
          <w:jc w:val="center"/>
        </w:trPr>
        <w:tc>
          <w:tcPr>
            <w:tcW w:w="2322" w:type="dxa"/>
          </w:tcPr>
          <w:p w:rsidR="00AC0832" w:rsidRDefault="00AC0832">
            <w:pPr>
              <w:pStyle w:val="CellColumnSmall"/>
            </w:pPr>
            <w:r>
              <w:t>2113-ZASTUPANJE JEDNAKOSTI SPOLOVA</w:t>
            </w:r>
          </w:p>
        </w:tc>
        <w:tc>
          <w:tcPr>
            <w:tcW w:w="2322" w:type="dxa"/>
          </w:tcPr>
          <w:p w:rsidR="00AC0832" w:rsidRDefault="00AC0832">
            <w:pPr>
              <w:pStyle w:val="CellColumnSmall"/>
            </w:pPr>
            <w:r>
              <w:t>2.078.600</w:t>
            </w:r>
          </w:p>
        </w:tc>
        <w:tc>
          <w:tcPr>
            <w:tcW w:w="2322" w:type="dxa"/>
          </w:tcPr>
          <w:p w:rsidR="00AC0832" w:rsidRDefault="00AC0832">
            <w:pPr>
              <w:pStyle w:val="CellColumnSmall"/>
            </w:pPr>
            <w:r>
              <w:t>1.837.125</w:t>
            </w:r>
          </w:p>
        </w:tc>
        <w:tc>
          <w:tcPr>
            <w:tcW w:w="2322" w:type="dxa"/>
          </w:tcPr>
          <w:p w:rsidR="00AC0832" w:rsidRDefault="00AC0832">
            <w:pPr>
              <w:pStyle w:val="CellColumnSmall"/>
            </w:pPr>
            <w:r>
              <w:t>88,4</w:t>
            </w:r>
          </w:p>
        </w:tc>
      </w:tr>
    </w:tbl>
    <w:p w:rsidR="00AC0832" w:rsidRDefault="00AC0832">
      <w:pPr>
        <w:jc w:val="left"/>
      </w:pPr>
    </w:p>
    <w:p w:rsidR="00AC0832" w:rsidRDefault="00AC0832">
      <w:pPr>
        <w:pStyle w:val="Heading4"/>
      </w:pPr>
      <w:r>
        <w:t>OBRAZLOŽENJE PROGRAMA</w:t>
      </w:r>
    </w:p>
    <w:p w:rsidR="00AC0832" w:rsidRDefault="00AC0832">
      <w:pPr>
        <w:pStyle w:val="Heading5"/>
      </w:pPr>
      <w:r>
        <w:t>2113 ZASTUPANJE JEDNAKOSTI SPOLOVA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2113-ZASTUPANJE JEDNAKOSTI SPOLOVA</w:t>
            </w:r>
          </w:p>
        </w:tc>
        <w:tc>
          <w:tcPr>
            <w:tcW w:w="2322" w:type="dxa"/>
          </w:tcPr>
          <w:p w:rsidR="00AC0832" w:rsidRDefault="00AC0832">
            <w:pPr>
              <w:pStyle w:val="CellColumn"/>
            </w:pPr>
            <w:r>
              <w:t>2.078.600</w:t>
            </w:r>
          </w:p>
        </w:tc>
        <w:tc>
          <w:tcPr>
            <w:tcW w:w="2322" w:type="dxa"/>
          </w:tcPr>
          <w:p w:rsidR="00AC0832" w:rsidRDefault="00AC0832">
            <w:pPr>
              <w:pStyle w:val="CellColumn"/>
            </w:pPr>
            <w:r>
              <w:t>1.837.125</w:t>
            </w:r>
          </w:p>
        </w:tc>
        <w:tc>
          <w:tcPr>
            <w:tcW w:w="2322" w:type="dxa"/>
          </w:tcPr>
          <w:p w:rsidR="00AC0832" w:rsidRDefault="00AC0832">
            <w:pPr>
              <w:pStyle w:val="CellColumn"/>
            </w:pPr>
            <w:r>
              <w:t>88,4</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 se sastoji od šest aktivnosti od kojih je ključno navesti da je Ured, sukladno posebnom cilju 2.6. Strategije Vladinih programa 2010.-2012. kao i Zakonom o ravnopravnosti spolova zadužen za izradu i praćenje provedbe Nacionalne politike za ravnopravnost spolova koju donosi Hrvatski sabor, a obvezuje sva tijela državne uprave, jedinice lokalne i područne (regionalne) samouprave i druga tijela na poduzimanje aktivnosti kojima se sustavno uklanja spolna diskriminacija i uspostavlja ravnopravnost spolova.  </w:t>
      </w:r>
    </w:p>
    <w:p w:rsidR="00AC0832" w:rsidRDefault="00AC0832">
      <w:pPr>
        <w:pStyle w:val="Normal5"/>
      </w:pPr>
      <w:r>
        <w:t xml:space="preserve">  </w:t>
      </w:r>
    </w:p>
    <w:p w:rsidR="00AC0832" w:rsidRDefault="00AC0832">
      <w:pPr>
        <w:pStyle w:val="Normal5"/>
      </w:pPr>
      <w:r>
        <w:t>Program se ostvaruje kroz primjenu odredbi Zakona o ravnopravnosti spolova, realizacijom specifičnih mjera definiranih u Nacionalnoj politici za ravnopravnost spolova i drugim nacionalnim i međunarodnim obvezujućim dokumentima, osvještavanjem javnosti te edukacijom i osnaživanjem koordinatora u tijelima državne uprave i županijskih povjerenstava za ravnopravnost spolova kao nacionalnih mehanizama za ravnopravnost spolova.</w:t>
      </w:r>
    </w:p>
    <w:p w:rsidR="00AC0832" w:rsidRDefault="00AC0832">
      <w:pPr>
        <w:pStyle w:val="Heading6"/>
      </w:pPr>
      <w:r>
        <w:t>Zakonske i druge pravne osnove</w:t>
      </w:r>
    </w:p>
    <w:p w:rsidR="00AC0832" w:rsidRDefault="00AC0832">
      <w:pPr>
        <w:pStyle w:val="Normal5"/>
      </w:pPr>
      <w:r>
        <w:t xml:space="preserve">Zakonom o ravnopravnosti  spolova (NN 82/08), definiran je djelokrug i zadaće Ureda za ravnopravnost spolova, sva područja zabrane diskriminacije na osnovi spola, načini uklanjanja postojećih nejednakosti na tržištu rada, obrazovanju, medijima itd. kao i obveze s ciljem uklanjanja diskriminacije.  </w:t>
      </w:r>
    </w:p>
    <w:p w:rsidR="00AC0832" w:rsidRDefault="00AC0832">
      <w:pPr>
        <w:pStyle w:val="Normal5"/>
      </w:pPr>
      <w:r>
        <w:t xml:space="preserve"> </w:t>
      </w:r>
    </w:p>
    <w:p w:rsidR="00AC0832" w:rsidRDefault="00AC0832">
      <w:pPr>
        <w:pStyle w:val="Normal5"/>
      </w:pPr>
      <w:r>
        <w:t xml:space="preserve">Osim provedbe aktivnosti temeljem zaduženja u svojstvu nositelja mjera Nacionalne politike za ravnopravnosti spolova za razdoblje od 2011. do 2015. godine,  obveza Ureda bio je i nadzor njene provedbe s ciljem koordinacije aktivnosti na uklanjanju diskriminacije u području ljudskih prava žena, obrazovanju, tržištu rada, u procesima odlučivanja, i međunarodnoj suradnji.  </w:t>
      </w:r>
    </w:p>
    <w:p w:rsidR="00AC0832" w:rsidRDefault="00AC0832">
      <w:pPr>
        <w:pStyle w:val="Normal5"/>
      </w:pPr>
      <w:r>
        <w:t xml:space="preserve"> </w:t>
      </w:r>
    </w:p>
    <w:p w:rsidR="00AC0832" w:rsidRDefault="00AC0832">
      <w:pPr>
        <w:pStyle w:val="Normal5"/>
      </w:pPr>
      <w:r>
        <w:t>Ured sudjeluje u velikom broju radnih skupina i povjerenstava pri tijelima državne uprave koji se temelje na drugim zakonskim i podzakonskim aktima te ima zaduženja definirana međunarodnim sporazumima  (UN Konvencijom o uklanjanju svih oblika diskriminacije žena, Milenijskim razvojnim ciljevima, Pekinškom deklaracijom i Platformom za djelovanje, Paktom o građanskim i političkim pravima, i dr.) i drugim nacionalnim strategijama (primjerice Nacionalnom strategijom izjednačavanja mogućnosti za osobe s invaliditetom 2007.-2015., Nacionalnom strategijom zaštite od nasilja u obitelji 2011.-2016., Nacionalnim planom aktivnosti za prava i interese djece od  2006. do 2012. godine, Nacionalnom populacijskom politikom).</w:t>
      </w:r>
    </w:p>
    <w:p w:rsidR="00AC0832" w:rsidRDefault="00AC0832">
      <w:pPr>
        <w:pStyle w:val="Heading7"/>
      </w:pPr>
      <w:r>
        <w:t xml:space="preserve">Cilj 1. Uklanjanje spolne diskriminacije i stvaranje uvjeta za stvarnu ravnopravnost muškaraca i žena u društvu </w:t>
      </w:r>
    </w:p>
    <w:p w:rsidR="00AC0832" w:rsidRDefault="00AC0832">
      <w:pPr>
        <w:pStyle w:val="Heading8"/>
        <w:jc w:val="left"/>
      </w:pPr>
      <w:r>
        <w:t>Opis provedbe cilja programa</w:t>
      </w:r>
    </w:p>
    <w:p w:rsidR="00AC0832" w:rsidRDefault="00AC0832">
      <w:pPr>
        <w:pStyle w:val="Normal6"/>
      </w:pPr>
      <w:r>
        <w:t>Programom se želi ukloniti još uvijek prisutne oblike spolne diskriminacije, ukloniti predrasude i stereotipe te osvijestiti javnost o mogućnostima zaštite prava na jednako postupanje i jednake mogućnosti te uvesti načelo ravnopravnosti spolova u sve segmente i razine društva. Pokazatelj učinka, odnosno uspješnost u provedbi cilja i smanjenje diskriminacije u društvu, bit će mjereno povećanjem postotka onih koji smatraju da je diskriminacije manje. Ured će ponoviti istraživanje 2013. godine, a očekuje da će 80% javnosti biti mišljenja da se razina spolne diskriminacije smanjila.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1417"/>
        <w:gridCol w:w="1268"/>
        <w:gridCol w:w="1279"/>
        <w:gridCol w:w="1484"/>
        <w:gridCol w:w="1279"/>
        <w:gridCol w:w="128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Javnost percipira napredak</w:t>
            </w:r>
          </w:p>
        </w:tc>
        <w:tc>
          <w:tcPr>
            <w:tcW w:w="1300" w:type="dxa"/>
          </w:tcPr>
          <w:p w:rsidR="00AC0832" w:rsidRDefault="00AC0832">
            <w:pPr>
              <w:pStyle w:val="CellColumn"/>
            </w:pPr>
            <w:r>
              <w:t>Iz zadnjeg istraživanja je vidljivo da samo 59% javnosti smatra da je diskriminacija manja nego prije 10 godina</w:t>
            </w:r>
          </w:p>
        </w:tc>
        <w:tc>
          <w:tcPr>
            <w:tcW w:w="1300" w:type="dxa"/>
          </w:tcPr>
          <w:p w:rsidR="00AC0832" w:rsidRDefault="00AC0832">
            <w:pPr>
              <w:pStyle w:val="CellColumn"/>
            </w:pPr>
            <w:r>
              <w:t>%</w:t>
            </w:r>
          </w:p>
        </w:tc>
        <w:tc>
          <w:tcPr>
            <w:tcW w:w="1300" w:type="dxa"/>
          </w:tcPr>
          <w:p w:rsidR="00AC0832" w:rsidRDefault="00AC0832">
            <w:pPr>
              <w:pStyle w:val="CellColumn"/>
            </w:pPr>
            <w:r>
              <w:t>59</w:t>
            </w:r>
          </w:p>
        </w:tc>
        <w:tc>
          <w:tcPr>
            <w:tcW w:w="1300" w:type="dxa"/>
          </w:tcPr>
          <w:p w:rsidR="00AC0832" w:rsidRDefault="00AC0832">
            <w:pPr>
              <w:pStyle w:val="CellColumn"/>
            </w:pPr>
            <w:r>
              <w:t>Znanstveno istraživanje Ureda za ravnopravnost spolova</w:t>
            </w:r>
          </w:p>
        </w:tc>
        <w:tc>
          <w:tcPr>
            <w:tcW w:w="1300" w:type="dxa"/>
          </w:tcPr>
          <w:p w:rsidR="00AC0832" w:rsidRDefault="00AC0832">
            <w:pPr>
              <w:pStyle w:val="CellColumn"/>
            </w:pPr>
            <w:r>
              <w:t>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A532004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A532004-ADMINISTRACIJA I UPRAVLJANJE</w:t>
            </w:r>
          </w:p>
        </w:tc>
        <w:tc>
          <w:tcPr>
            <w:tcW w:w="2322" w:type="dxa"/>
          </w:tcPr>
          <w:p w:rsidR="00AC0832" w:rsidRDefault="00AC0832">
            <w:pPr>
              <w:pStyle w:val="CellColumn"/>
            </w:pPr>
            <w:r>
              <w:t>1.313.800</w:t>
            </w:r>
          </w:p>
        </w:tc>
        <w:tc>
          <w:tcPr>
            <w:tcW w:w="2322" w:type="dxa"/>
          </w:tcPr>
          <w:p w:rsidR="00AC0832" w:rsidRDefault="00AC0832">
            <w:pPr>
              <w:pStyle w:val="CellColumn"/>
            </w:pPr>
            <w:r>
              <w:t>1.240.671</w:t>
            </w:r>
          </w:p>
        </w:tc>
        <w:tc>
          <w:tcPr>
            <w:tcW w:w="2322" w:type="dxa"/>
          </w:tcPr>
          <w:p w:rsidR="00AC0832" w:rsidRDefault="00AC0832">
            <w:pPr>
              <w:pStyle w:val="CellColumn"/>
            </w:pPr>
            <w:r>
              <w:t>94,4</w:t>
            </w:r>
          </w:p>
        </w:tc>
      </w:tr>
    </w:tbl>
    <w:p w:rsidR="00AC0832" w:rsidRDefault="00AC0832">
      <w:pPr>
        <w:jc w:val="left"/>
      </w:pPr>
    </w:p>
    <w:p w:rsidR="00AC0832" w:rsidRDefault="00AC0832">
      <w:pPr>
        <w:pStyle w:val="Heading6"/>
      </w:pPr>
      <w:r>
        <w:t>A532009 PROVEDBA ZAKONA O RAVNOPRAVNOSTI SPOLOVA I NACIONALNE POLITIKE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A532009-PROVEDBA ZAKONA O RAVNOPRAVNOSTI SPOLOVA I NACIONALNE POLITIKE</w:t>
            </w:r>
          </w:p>
        </w:tc>
        <w:tc>
          <w:tcPr>
            <w:tcW w:w="2322" w:type="dxa"/>
          </w:tcPr>
          <w:p w:rsidR="00AC0832" w:rsidRDefault="00AC0832">
            <w:pPr>
              <w:pStyle w:val="CellColumn"/>
            </w:pPr>
            <w:r>
              <w:t>681.800</w:t>
            </w:r>
          </w:p>
        </w:tc>
        <w:tc>
          <w:tcPr>
            <w:tcW w:w="2322" w:type="dxa"/>
          </w:tcPr>
          <w:p w:rsidR="00AC0832" w:rsidRDefault="00AC0832">
            <w:pPr>
              <w:pStyle w:val="CellColumn"/>
            </w:pPr>
            <w:r>
              <w:t>528.038</w:t>
            </w:r>
          </w:p>
        </w:tc>
        <w:tc>
          <w:tcPr>
            <w:tcW w:w="2322" w:type="dxa"/>
          </w:tcPr>
          <w:p w:rsidR="00AC0832" w:rsidRDefault="00AC0832">
            <w:pPr>
              <w:pStyle w:val="CellColumn"/>
            </w:pPr>
            <w:r>
              <w:t>77,4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Aktivnosti koje je Ured 2012. godine proveo s ciljem osvještavanja javnosti o još uvijek prisutnim stereotipima, diskriminaciji i mehanizmima zaštite od diskriminacije odvijale su se kroz:  organiziranje javnih događanja, podršku aktivnostima udruga kroz pokroviteljstvo, su-organizaciju, partnerstvo i su-financiranje događanja i aktivnosti, tisak relevantnih publikacija, te financijske bespovratne potpore projektima organizacija civilnog društva.  </w:t>
      </w:r>
    </w:p>
    <w:p w:rsidR="00AC0832" w:rsidRDefault="00AC0832">
      <w:pPr>
        <w:pStyle w:val="Normal6"/>
      </w:pPr>
      <w:r>
        <w:t xml:space="preserve">Uz osvještavanje javnosti, cilj aktivnosti bio je uklanjanje stereotipa, poticanje političke participacije žena, zaštita prava LGBT skupina, zaštita prava žena s invaliditetom i pripadnica nacionalnih manjina te promocija uspješnih žena na tržištu rada i poticanje ženskog poduzetništva.  </w:t>
      </w:r>
    </w:p>
    <w:p w:rsidR="00AC0832" w:rsidRDefault="00AC0832">
      <w:pPr>
        <w:pStyle w:val="Normal6"/>
      </w:pPr>
      <w:r>
        <w:t xml:space="preserve">a)Povodom obilježavanja Međunarodnog dana borbe protiv homofobije i transfobije Ured za ravnopravnost spolova je podržao održavanje izložbe Helene Janečić Hrvatske budnice i nastupa Le Zbora u Hrvatskom društvu likovnih umjetnika u Zagrebu, a  predstavnica Ureda sudjelovala je na Okruglom stolu pod nazivom “Pravni položaj LGBT osoba u Republici Hrvatskoj”. </w:t>
      </w:r>
    </w:p>
    <w:p w:rsidR="00AC0832" w:rsidRDefault="00AC0832">
      <w:pPr>
        <w:pStyle w:val="Normal6"/>
      </w:pPr>
      <w:r>
        <w:t xml:space="preserve"> Ured je pružio podršku održavanju „Split Pride-a“ te je dao financijsku potporu Udruženju Zagreb Pride za plaćanje troškova osiguranja javnog skupa i povorke ponosa „Zagreb Pride 2012“ i tribini "Mame u MAMI".  </w:t>
      </w:r>
    </w:p>
    <w:p w:rsidR="00AC0832" w:rsidRDefault="00AC0832">
      <w:pPr>
        <w:pStyle w:val="Normal6"/>
      </w:pPr>
      <w:r>
        <w:t xml:space="preserve">Ured je bio pokrovitelj radionica u okviru projekta „Poduzetnica - to mogu biti i ja“ koji je pokrenuo Zagrebački ogranak Hrvatske udruge poslovnih žena KRUG. Projekt je obuhvatio tri ciklusa od četiri neovisne interaktivne radionice namijenjene nezaposlenim ženama svih dobnih skupina s ciljem stjecanja vještina i znanja za pokretanje vlastitog posla.  </w:t>
      </w:r>
    </w:p>
    <w:p w:rsidR="00AC0832" w:rsidRDefault="00AC0832">
      <w:pPr>
        <w:pStyle w:val="Normal6"/>
      </w:pPr>
      <w:r>
        <w:t xml:space="preserve">Ured je bio sponzor projekta „Od nezaposlene do zaposlene“ koji je u 2012. i 2013. godini provodio portal Pametna kuna u suradnji s časopisom "Zaposlena". Pet finalistica natječaja dobilo je edukaciju o okretanju vlastitog posla i  samozapošljavanju. </w:t>
      </w:r>
    </w:p>
    <w:p w:rsidR="00AC0832" w:rsidRDefault="00AC0832">
      <w:pPr>
        <w:pStyle w:val="Normal6"/>
      </w:pPr>
      <w:r>
        <w:t xml:space="preserve">U Domu hrvatskih likovnih umjetnika, povodom manifestacije ARTOMAT 2012, Ured je bio pokrovitelj serije radionica za građanstvo koje su vodile članice Udruge Kamensko u sklopu programa podrške Hrvatskog dizajnerskog društva njihovom  djelovanju i osnaživanju.  </w:t>
      </w:r>
    </w:p>
    <w:p w:rsidR="00AC0832" w:rsidRDefault="00AC0832">
      <w:pPr>
        <w:pStyle w:val="Normal6"/>
      </w:pPr>
      <w:r>
        <w:t xml:space="preserve">Ured je bio jedan od partnera u Kampanji „Bijele vrpce“ Zajednice saveza osoba s invaliditetom Hrvatske – SOIH, a moto Kampanje bio je „MUŠKO NE NASILJU NAD ŽENAMA”.  Provedba Kampanje započela je 25. prosinca, na Međunarodni dan borbe protiv nasilja nad ženama prigodnim aktivnostima na Trgu Bana Josipa Jelačića u Zagrebu, a završila je predstavljanjem rezultata na Međunarodni dan ljudskih prava 10. prosinca. </w:t>
      </w:r>
    </w:p>
    <w:p w:rsidR="00AC0832" w:rsidRDefault="00AC0832">
      <w:pPr>
        <w:pStyle w:val="Normal6"/>
      </w:pPr>
      <w:r>
        <w:t xml:space="preserve">Ured je bio pokrovitelj Konferencije o sudjelovanju žena u odlučivanju na lokalnoj razini u organizaciji Centra za edukaciju, savjetovanje i istraživanje CESI. U sklopu kampanje pod nazivom „Ravnopravne! Sudjelovanje žena u odlučivanju na lokalnoj razini“ organizirane su razmjene dobrih praksi s međunarodnim stručnjakinjama, radionice za hrvatske političare/ke, aktivistice, i institucije u svrhu razvijanja novih strategija za uključivanje većeg broja žena u odlučivanju na lokalnoj razini. Održan je i seminar namijenjen osobama koje se namjeravaju uključiti u proces odlučivanja kroz tijela vlasti ili građanski angažman. </w:t>
      </w:r>
    </w:p>
    <w:p w:rsidR="00AC0832" w:rsidRDefault="00AC0832">
      <w:pPr>
        <w:pStyle w:val="Normal6"/>
      </w:pPr>
      <w:r>
        <w:t xml:space="preserve">U okviru aktivnosti s ciljem unaprjeđenja položaja žena pripadnica nacionalnih manjina pružena je potpora manifestaciji "Dani kraljice Teute" u organizaciji Kluba albanskih žena Hrvatske "Kraljica Teuta", Veleposlanstva Republike Albanije, Vijeća crnogorske nacionalne manjine Grada Zagreba, Vijeća bošnjačke nacionalne manjine Grada Zagreba, Društva Crnogoraca i prijatelja Crne Gore Montenegro Zagreb uz potporu Veleposlanstva Republike Kosovo i Savjeta za nacionalne manjine RH. </w:t>
      </w:r>
    </w:p>
    <w:p w:rsidR="00AC0832" w:rsidRDefault="00AC0832">
      <w:pPr>
        <w:pStyle w:val="Normal6"/>
      </w:pPr>
      <w:r>
        <w:t xml:space="preserve">b)U okviru Natječaja za financijsku potporu projektima udruga u okviru raspoloživih sredstava Državnog proračuna za 2012. godinu, na poziciji Ureda za ravnopravnost spolova iz područja: “UPOZNAVANJE JAVNOSTI U RURALNIM PODRUČJIMA SA ZAKONOM O RAVNOPRAVNOSTI SPOLOVA“ financijski je podržano 10 projekata. Provedba projekata započela je u srpnju i završila do kraja prosinca 2012. godine. Udruge su dostavile izvještaje o provedbi do kraja siječnja 2013. godine. </w:t>
      </w:r>
    </w:p>
    <w:p w:rsidR="00AC0832" w:rsidRDefault="00AC0832">
      <w:pPr>
        <w:pStyle w:val="Normal6"/>
      </w:pPr>
      <w:r>
        <w:t xml:space="preserve">c)Organizirana je promocija zbornika znanstvenih radova „Rodna ravnopravnost i diskriminacija u Hrvatskoj“  nastalog na temelju rezultata prvog znanstvenog multidisciplinarnog istraživanja „Percepcija, iskustva i stavovi o rodnoj diskriminaciji u RH“, koje je naručio Ured za ravnopravnost spolova Vlade RH, a proveli istraživači/ce Odsjeka za psihologiju i Odsjeka za sociologiju Filozofskog fakulteta, Fakulteta političkih znanosti i Instituta za društvena istraživanja, Zagreb u 2009. godini. </w:t>
      </w:r>
    </w:p>
    <w:p w:rsidR="00AC0832" w:rsidRDefault="00AC0832">
      <w:pPr>
        <w:pStyle w:val="Normal6"/>
      </w:pPr>
      <w:r>
        <w:t xml:space="preserve">Krajem 2012. godine započela je priprema priručnika “Žene i novinari/ke imaju prednost” publikacije Upravnog odbora za ravnopravnost između žena i muškaraca (CDEG) Vijeća Europe o suzbijanju rodnih stereotipa jačanjem rodno osviještenog novinarstva. Ured je preveo publikaciju i dao priručnik u grafičku pripremu i dizajn. </w:t>
      </w:r>
    </w:p>
    <w:p w:rsidR="00AC0832" w:rsidRDefault="00AC0832">
      <w:pPr>
        <w:pStyle w:val="Normal6"/>
      </w:pPr>
      <w:r>
        <w:t xml:space="preserve">d)Tiskane su sljedeće tri publikacije u ukupnoj nakladi od 3.050 primjeraka: drugo nepromijenjeno izdanje Strategije za ravnopravnost između žena i muškaraca 2011.-2015. Europske komisije i Plan provedbe aktivnosti – u nakladi od 1.000 primjeraka, drugo nepromijenjeno izdanje Nacionalne politike za ravnopravnost spolova za razdoblje od 2011. do 2015. – u nakladi od 2.000 primjeraka te Nacionalna politika za ravnopravnost spolova za razdoblje 2011. do 2015. - na Brailleovom pismu u nakladi od 50 primjeraka. </w:t>
      </w:r>
    </w:p>
    <w:p w:rsidR="00AC0832" w:rsidRDefault="00AC0832">
      <w:pPr>
        <w:pStyle w:val="Normal6"/>
      </w:pPr>
      <w:r>
        <w:t>e)S ciljem podizanja razine znanja i stručnosti mehanizama za ravnopravnost spolova u primjeni odredbi antidiskriminacijskog zakonodavstva, u organizaciji Ureda je  održana  V. Koordinacija županijskih povjerenstava za ravnopravnost spolova u Šibeniku. Sastanak  Koordinacije sazvan je s ciljem predstavljanja i rasprave analize donošenja i provedbe županijskih akcijskih planova za provedbu mjera Nacionalne politike za ravnopravnost spolova 2011. – 2015. Također su se razmotrila i stajališta županijskih povjerenstava o načinima povećanja političke participacije žena s obzirom na održavanje lokalnih izbora u 2013. godini. Usvojeni su Zaključci Koordinacije kojima je zatraženo da Županijske skupštine i županijska povjerenstva za ravnopravnost spolova koji još nisu usvojili na svojim sjednicama akcijske planove za provedbu mjera Nacionalne politike za ravnopravnost spolova, za razdoblje od 2011.-2015. godine to žurno učine i osiguraju sredstva za njihovu provedbu.</w:t>
      </w:r>
    </w:p>
    <w:p w:rsidR="00AC0832" w:rsidRDefault="00AC0832">
      <w:pPr>
        <w:pStyle w:val="Heading6"/>
      </w:pPr>
      <w:r>
        <w:t>A532012 PROVEDBA PROGRAMA ZAJEDNICE PROGRESS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A532012-PROVEDBA PROGRAMA ZAJEDNICE PROGRESS</w:t>
            </w:r>
          </w:p>
        </w:tc>
        <w:tc>
          <w:tcPr>
            <w:tcW w:w="2322" w:type="dxa"/>
          </w:tcPr>
          <w:p w:rsidR="00AC0832" w:rsidRDefault="00AC0832">
            <w:pPr>
              <w:pStyle w:val="CellColumn"/>
            </w:pPr>
            <w:r>
              <w:t>10.000</w:t>
            </w:r>
          </w:p>
        </w:tc>
        <w:tc>
          <w:tcPr>
            <w:tcW w:w="2322" w:type="dxa"/>
          </w:tcPr>
          <w:p w:rsidR="00AC0832" w:rsidRDefault="00AC0832">
            <w:pPr>
              <w:pStyle w:val="CellColumn"/>
            </w:pPr>
            <w:r>
              <w:t>1.103</w:t>
            </w:r>
          </w:p>
        </w:tc>
        <w:tc>
          <w:tcPr>
            <w:tcW w:w="2322" w:type="dxa"/>
          </w:tcPr>
          <w:p w:rsidR="00AC0832" w:rsidRDefault="00AC0832">
            <w:pPr>
              <w:pStyle w:val="CellColumn"/>
            </w:pPr>
            <w:r>
              <w:t>11,0</w:t>
            </w:r>
          </w:p>
        </w:tc>
      </w:tr>
    </w:tbl>
    <w:p w:rsidR="00AC0832" w:rsidRDefault="00AC0832">
      <w:pPr>
        <w:jc w:val="left"/>
      </w:pPr>
    </w:p>
    <w:p w:rsidR="00AC0832" w:rsidRDefault="00AC0832">
      <w:pPr>
        <w:pStyle w:val="Heading6"/>
      </w:pPr>
      <w:r>
        <w:t>A532013 PROVEDBA DRUGIH NACIONALNIH POLITIKA I STRATEGIJA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A532013-PROVEDBA DRUGIH NACIONALNIH POLITIKA I STRATEGIJA</w:t>
            </w:r>
          </w:p>
        </w:tc>
        <w:tc>
          <w:tcPr>
            <w:tcW w:w="2322" w:type="dxa"/>
          </w:tcPr>
          <w:p w:rsidR="00AC0832" w:rsidRDefault="00AC0832">
            <w:pPr>
              <w:pStyle w:val="CellColumn"/>
            </w:pPr>
            <w:r>
              <w:t>36.000</w:t>
            </w:r>
          </w:p>
        </w:tc>
        <w:tc>
          <w:tcPr>
            <w:tcW w:w="2322" w:type="dxa"/>
          </w:tcPr>
          <w:p w:rsidR="00AC0832" w:rsidRDefault="00AC0832">
            <w:pPr>
              <w:pStyle w:val="CellColumn"/>
            </w:pPr>
            <w:r>
              <w:t>34.993</w:t>
            </w:r>
          </w:p>
        </w:tc>
        <w:tc>
          <w:tcPr>
            <w:tcW w:w="2322" w:type="dxa"/>
          </w:tcPr>
          <w:p w:rsidR="00AC0832" w:rsidRDefault="00AC0832">
            <w:pPr>
              <w:pStyle w:val="CellColumn"/>
            </w:pPr>
            <w:r>
              <w:t>97,2</w:t>
            </w:r>
          </w:p>
        </w:tc>
      </w:tr>
    </w:tbl>
    <w:p w:rsidR="00AC0832" w:rsidRDefault="00AC0832">
      <w:pPr>
        <w:jc w:val="left"/>
      </w:pPr>
    </w:p>
    <w:p w:rsidR="00AC0832" w:rsidRDefault="00AC0832">
      <w:pPr>
        <w:pStyle w:val="Heading6"/>
      </w:pPr>
      <w:r>
        <w:t>A532016 PROVEDBA MEĐUNARODNIH OBVEZA U PODRUČJU RAVNOPRAVNOSTI SPOLOVA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A532016-PROVEDBA MEĐUNARODNIH OBVEZA U PODRUČJU RAVNOPRAVNOSTI SPOLOVA</w:t>
            </w:r>
          </w:p>
        </w:tc>
        <w:tc>
          <w:tcPr>
            <w:tcW w:w="2322" w:type="dxa"/>
          </w:tcPr>
          <w:p w:rsidR="00AC0832" w:rsidRDefault="00AC0832">
            <w:pPr>
              <w:pStyle w:val="CellColumn"/>
            </w:pPr>
            <w:r>
              <w:t>20.000</w:t>
            </w:r>
          </w:p>
        </w:tc>
        <w:tc>
          <w:tcPr>
            <w:tcW w:w="2322" w:type="dxa"/>
          </w:tcPr>
          <w:p w:rsidR="00AC0832" w:rsidRDefault="00AC0832">
            <w:pPr>
              <w:pStyle w:val="CellColumn"/>
            </w:pPr>
            <w:r>
              <w:t>18.234</w:t>
            </w:r>
          </w:p>
        </w:tc>
        <w:tc>
          <w:tcPr>
            <w:tcW w:w="2322" w:type="dxa"/>
          </w:tcPr>
          <w:p w:rsidR="00AC0832" w:rsidRDefault="00AC0832">
            <w:pPr>
              <w:pStyle w:val="CellColumn"/>
            </w:pPr>
            <w:r>
              <w:t>91,2</w:t>
            </w:r>
          </w:p>
        </w:tc>
      </w:tr>
    </w:tbl>
    <w:p w:rsidR="00AC0832" w:rsidRDefault="00AC0832">
      <w:pPr>
        <w:pStyle w:val="Heading6"/>
      </w:pPr>
    </w:p>
    <w:p w:rsidR="00AC0832" w:rsidRDefault="00AC0832">
      <w:pPr>
        <w:pStyle w:val="Heading6"/>
      </w:pPr>
      <w:r>
        <w:t>K532005 INFORMATIZACIJA UREDA ZA RAVNOPRAVNOST SPOLOVA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K532005-INFORMATIZACIJA UREDA ZA RAVNOPRAVNOST SPOLOVA</w:t>
            </w:r>
          </w:p>
        </w:tc>
        <w:tc>
          <w:tcPr>
            <w:tcW w:w="2322" w:type="dxa"/>
          </w:tcPr>
          <w:p w:rsidR="00AC0832" w:rsidRDefault="00AC0832">
            <w:pPr>
              <w:pStyle w:val="CellColumn"/>
            </w:pPr>
            <w:r>
              <w:t>17.000</w:t>
            </w:r>
          </w:p>
        </w:tc>
        <w:tc>
          <w:tcPr>
            <w:tcW w:w="2322" w:type="dxa"/>
          </w:tcPr>
          <w:p w:rsidR="00AC0832" w:rsidRDefault="00AC0832">
            <w:pPr>
              <w:pStyle w:val="CellColumn"/>
            </w:pPr>
            <w:r>
              <w:t>14.086</w:t>
            </w:r>
          </w:p>
        </w:tc>
        <w:tc>
          <w:tcPr>
            <w:tcW w:w="2322" w:type="dxa"/>
          </w:tcPr>
          <w:p w:rsidR="00AC0832" w:rsidRDefault="00AC0832">
            <w:pPr>
              <w:pStyle w:val="CellColumn"/>
            </w:pPr>
            <w:r>
              <w:t>82,9</w:t>
            </w:r>
          </w:p>
        </w:tc>
      </w:tr>
    </w:tbl>
    <w:p w:rsidR="00AC0832" w:rsidRDefault="00AC0832">
      <w:pPr>
        <w:pStyle w:val="Heading2"/>
      </w:pPr>
      <w:r>
        <w:t>02099 Ured za razminiranje</w:t>
      </w:r>
    </w:p>
    <w:p w:rsidR="00AC0832" w:rsidRDefault="00AC0832">
      <w:pPr>
        <w:pStyle w:val="Heading4"/>
      </w:pPr>
      <w:r>
        <w:t>Uvod</w:t>
      </w:r>
    </w:p>
    <w:p w:rsidR="00AC0832" w:rsidRDefault="00AC0832">
      <w:pPr>
        <w:pStyle w:val="Normal3"/>
      </w:pPr>
      <w:r>
        <w:t xml:space="preserve">Ured za razminiranje osnovan je Uredbom o Uredu za razminiranje koju je Vlada Republike Hrvatske donijela na sjednici održanoj 16. veljače 2012. godine, a koja je stupila na snagu 22. veljače 2012. godine odnosno danom objave u ”Narodnim novinama”. </w:t>
      </w:r>
    </w:p>
    <w:p w:rsidR="00AC0832" w:rsidRDefault="00AC0832">
      <w:pPr>
        <w:pStyle w:val="Normal3"/>
      </w:pPr>
      <w:r>
        <w:t xml:space="preserve">Djelokruga Ureda za razminiranje (u daljnjem tekstu: Ured) je slijedeći:  </w:t>
      </w:r>
    </w:p>
    <w:p w:rsidR="00AC0832" w:rsidRDefault="00AC0832">
      <w:pPr>
        <w:pStyle w:val="Normal3"/>
      </w:pPr>
      <w:r>
        <w:t xml:space="preserve">- predlaganje unaprjeđenja i usklađivanje zakonskih, podzakonskih i drugih propisa kojima se uređuju pitanja humanitarnog razminiranja i protuminskog djelovanja s nacionalinim i međunarodnim propisima i dokumentima, </w:t>
      </w:r>
    </w:p>
    <w:p w:rsidR="00AC0832" w:rsidRDefault="00AC0832">
      <w:pPr>
        <w:pStyle w:val="Normal3"/>
      </w:pPr>
      <w:r>
        <w:t xml:space="preserve">-suradnja u međuresornoj suradnji u području protuminskog djelovanja u Republici Hrvatskoj, </w:t>
      </w:r>
    </w:p>
    <w:p w:rsidR="00AC0832" w:rsidRDefault="00AC0832">
      <w:pPr>
        <w:pStyle w:val="Normal3"/>
      </w:pPr>
      <w:r>
        <w:t xml:space="preserve">-suradnja s nadležnim tijelima u provedbi obaveza iz međunarodnih ugovora i konvencija o zabrani ili ograničenju uporabe određenih vrsta konvencionalnih oružja koja imaju neprihvatljiv humanitarni učinak, </w:t>
      </w:r>
    </w:p>
    <w:p w:rsidR="00AC0832" w:rsidRDefault="00AC0832">
      <w:pPr>
        <w:pStyle w:val="Normal3"/>
      </w:pPr>
      <w:r>
        <w:t xml:space="preserve">-sudjelovanje u izradi zakonskih, podzakonskih i drugih propisa kojima se sustavno uređuju pitanja pomoći osobama stradalim od minsko-eksplozivnih i neeksplodiranih ubojitih sredstava u Republici Hrvatskoj, </w:t>
      </w:r>
    </w:p>
    <w:p w:rsidR="00AC0832" w:rsidRDefault="00AC0832">
      <w:pPr>
        <w:pStyle w:val="Normal3"/>
      </w:pPr>
      <w:r>
        <w:t xml:space="preserve">-obavljanje poslova provedbe i praćenja projekata za korištenje sredstava fondova Europske unije i ostalih međunarodnih izvora financiranja na području protuminskog djelovanja, </w:t>
      </w:r>
    </w:p>
    <w:p w:rsidR="00AC0832" w:rsidRDefault="00AC0832">
      <w:pPr>
        <w:pStyle w:val="Normal3"/>
      </w:pPr>
      <w:r>
        <w:t xml:space="preserve">-praćenje rada, aktivnosti i djelovanja Hrvatskog centra za razminiranje, </w:t>
      </w:r>
    </w:p>
    <w:p w:rsidR="00AC0832" w:rsidRDefault="00AC0832">
      <w:pPr>
        <w:pStyle w:val="Normal3"/>
      </w:pPr>
      <w:r>
        <w:t xml:space="preserve">-sustavne radnje na podizanju svijesti stanovništva o opasnosti od minsko-eksplozivnih sredstava kroz medijske kampanje i u izravnom kontaktu s građanima, </w:t>
      </w:r>
    </w:p>
    <w:p w:rsidR="00AC0832" w:rsidRDefault="00AC0832">
      <w:pPr>
        <w:pStyle w:val="Normal3"/>
      </w:pPr>
      <w:r>
        <w:t xml:space="preserve">-poticanje zaključivanja međudržavnih sporazuma o suradnji na području protuminskog djelovanja i humanitarnog razminaranja, </w:t>
      </w:r>
    </w:p>
    <w:p w:rsidR="00AC0832" w:rsidRDefault="00AC0832">
      <w:pPr>
        <w:pStyle w:val="Normal3"/>
      </w:pPr>
      <w:r>
        <w:t>-praćenje i sudjelovanje u poslovima koji se odnose na sudjelovanje Republike Hrvatske u radu tijela Europske unije na području protuminskog djelovanja.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02099-Ured za razminiranje</w:t>
            </w:r>
          </w:p>
        </w:tc>
        <w:tc>
          <w:tcPr>
            <w:tcW w:w="2322" w:type="dxa"/>
          </w:tcPr>
          <w:p w:rsidR="00AC0832" w:rsidRDefault="00AC0832">
            <w:pPr>
              <w:pStyle w:val="CellColumn"/>
            </w:pPr>
            <w:r>
              <w:t>910.700</w:t>
            </w:r>
          </w:p>
        </w:tc>
        <w:tc>
          <w:tcPr>
            <w:tcW w:w="2322" w:type="dxa"/>
          </w:tcPr>
          <w:p w:rsidR="00AC0832" w:rsidRDefault="00AC0832">
            <w:pPr>
              <w:pStyle w:val="CellColumn"/>
            </w:pPr>
            <w:r>
              <w:t>671.022</w:t>
            </w:r>
          </w:p>
        </w:tc>
        <w:tc>
          <w:tcPr>
            <w:tcW w:w="2322" w:type="dxa"/>
          </w:tcPr>
          <w:p w:rsidR="00AC0832" w:rsidRDefault="00AC0832">
            <w:pPr>
              <w:pStyle w:val="CellColumn"/>
            </w:pPr>
            <w:r>
              <w:t>73,7</w:t>
            </w:r>
          </w:p>
        </w:tc>
      </w:tr>
      <w:tr w:rsidR="00AC0832" w:rsidTr="00BE20ED">
        <w:trPr>
          <w:jc w:val="center"/>
        </w:trPr>
        <w:tc>
          <w:tcPr>
            <w:tcW w:w="2322" w:type="dxa"/>
          </w:tcPr>
          <w:p w:rsidR="00AC0832" w:rsidRDefault="00AC0832">
            <w:pPr>
              <w:pStyle w:val="CellColumnSmall"/>
            </w:pPr>
            <w:r>
              <w:t>2605-RAZMINIRANJE</w:t>
            </w:r>
          </w:p>
        </w:tc>
        <w:tc>
          <w:tcPr>
            <w:tcW w:w="2322" w:type="dxa"/>
          </w:tcPr>
          <w:p w:rsidR="00AC0832" w:rsidRDefault="00AC0832">
            <w:pPr>
              <w:pStyle w:val="CellColumnSmall"/>
            </w:pPr>
            <w:r>
              <w:t>910.700</w:t>
            </w:r>
          </w:p>
        </w:tc>
        <w:tc>
          <w:tcPr>
            <w:tcW w:w="2322" w:type="dxa"/>
          </w:tcPr>
          <w:p w:rsidR="00AC0832" w:rsidRDefault="00AC0832">
            <w:pPr>
              <w:pStyle w:val="CellColumnSmall"/>
            </w:pPr>
            <w:r>
              <w:t>671.022</w:t>
            </w:r>
          </w:p>
        </w:tc>
        <w:tc>
          <w:tcPr>
            <w:tcW w:w="2322" w:type="dxa"/>
          </w:tcPr>
          <w:p w:rsidR="00AC0832" w:rsidRDefault="00AC0832">
            <w:pPr>
              <w:pStyle w:val="CellColumnSmall"/>
            </w:pPr>
            <w:r>
              <w:t>73,7</w:t>
            </w:r>
          </w:p>
        </w:tc>
      </w:tr>
    </w:tbl>
    <w:p w:rsidR="00AC0832" w:rsidRDefault="00AC0832">
      <w:pPr>
        <w:jc w:val="left"/>
      </w:pPr>
    </w:p>
    <w:p w:rsidR="00AC0832" w:rsidRDefault="00AC0832">
      <w:pPr>
        <w:pStyle w:val="Heading4"/>
      </w:pPr>
      <w:r>
        <w:t>OBRAZLOŽENJE PROGRAMA</w:t>
      </w:r>
    </w:p>
    <w:p w:rsidR="00AC0832" w:rsidRDefault="00AC0832">
      <w:pPr>
        <w:pStyle w:val="Heading5"/>
      </w:pPr>
      <w:r>
        <w:t>2605 RAZMINIRANJE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2605-RAZMINIRANJE</w:t>
            </w:r>
          </w:p>
        </w:tc>
        <w:tc>
          <w:tcPr>
            <w:tcW w:w="2322" w:type="dxa"/>
          </w:tcPr>
          <w:p w:rsidR="00AC0832" w:rsidRDefault="00AC0832">
            <w:pPr>
              <w:pStyle w:val="CellColumn"/>
            </w:pPr>
            <w:r>
              <w:t>910.700</w:t>
            </w:r>
          </w:p>
        </w:tc>
        <w:tc>
          <w:tcPr>
            <w:tcW w:w="2322" w:type="dxa"/>
          </w:tcPr>
          <w:p w:rsidR="00AC0832" w:rsidRDefault="00AC0832">
            <w:pPr>
              <w:pStyle w:val="CellColumn"/>
            </w:pPr>
            <w:r>
              <w:t>671.022</w:t>
            </w:r>
          </w:p>
        </w:tc>
        <w:tc>
          <w:tcPr>
            <w:tcW w:w="2322" w:type="dxa"/>
          </w:tcPr>
          <w:p w:rsidR="00AC0832" w:rsidRDefault="00AC0832">
            <w:pPr>
              <w:pStyle w:val="CellColumn"/>
            </w:pPr>
            <w:r>
              <w:t>73,7</w:t>
            </w:r>
          </w:p>
        </w:tc>
      </w:tr>
    </w:tbl>
    <w:p w:rsidR="00AC0832" w:rsidRDefault="00AC0832">
      <w:pPr>
        <w:jc w:val="left"/>
      </w:pPr>
    </w:p>
    <w:p w:rsidR="00AC0832" w:rsidRDefault="00AC0832">
      <w:pPr>
        <w:pStyle w:val="Heading6"/>
      </w:pPr>
      <w:r>
        <w:t>Opis programa</w:t>
      </w:r>
    </w:p>
    <w:p w:rsidR="00AC0832" w:rsidRDefault="00AC0832">
      <w:pPr>
        <w:pStyle w:val="Normal5"/>
      </w:pPr>
      <w:r>
        <w:t>Primarna zadaća Ureda je obavljanje svih analitičkih, savjetodavnih i stručnih poslova vezanih uz razminiranje i protuminsko djelovanje u Republici Hrvatskoj.</w:t>
      </w:r>
    </w:p>
    <w:p w:rsidR="00AC0832" w:rsidRDefault="00AC0832">
      <w:pPr>
        <w:pStyle w:val="Heading6"/>
      </w:pPr>
      <w:r>
        <w:t>Zakonske i druge pravne osnove</w:t>
      </w:r>
    </w:p>
    <w:p w:rsidR="00AC0832" w:rsidRDefault="00AC0832">
      <w:pPr>
        <w:pStyle w:val="Normal5"/>
      </w:pPr>
      <w:r>
        <w:t xml:space="preserve">Zakon o humanitarnom razminiranju  („Narodne novine“ broj 153/2005, 63/2007, 152/2008), </w:t>
      </w:r>
    </w:p>
    <w:p w:rsidR="00AC0832" w:rsidRDefault="00AC0832">
      <w:pPr>
        <w:pStyle w:val="Normal5"/>
      </w:pPr>
      <w:r>
        <w:t xml:space="preserve">Uredba o Uredu za razminiranje  („Narodne novine“ broj 21/2012), </w:t>
      </w:r>
    </w:p>
    <w:p w:rsidR="00AC0832" w:rsidRDefault="00AC0832">
      <w:pPr>
        <w:pStyle w:val="Normal5"/>
      </w:pPr>
      <w:r>
        <w:t>Nacionalni program protuminskog djelovanja Republike Hrvatske 2009.-2019.</w:t>
      </w:r>
    </w:p>
    <w:p w:rsidR="00AC0832" w:rsidRDefault="00AC0832">
      <w:pPr>
        <w:pStyle w:val="Heading7"/>
      </w:pPr>
      <w:r>
        <w:t>Cilj 1. Koordinacija aktivnosti usmjerenih unaprjeđenju sustava protuminskog djelovanja u Republici Hrvatskoj</w:t>
      </w:r>
    </w:p>
    <w:p w:rsidR="00AC0832" w:rsidRDefault="00AC0832">
      <w:pPr>
        <w:pStyle w:val="Heading8"/>
        <w:jc w:val="left"/>
      </w:pPr>
      <w:r>
        <w:t>Opis provedbe cilja programa</w:t>
      </w:r>
    </w:p>
    <w:p w:rsidR="00AC0832" w:rsidRDefault="00AC0832">
      <w:pPr>
        <w:pStyle w:val="Normal6"/>
      </w:pPr>
      <w:r>
        <w:t>Ured je u okviru svoje nadležnosti pokrenuo postupke izmjene zakonske regulative kojom će se urediti pitanja ključna za učinkovito funkcioniranje protuminskog sustava u Republici Hrvatskoj.</w:t>
      </w:r>
    </w:p>
    <w:p w:rsidR="00AC0832" w:rsidRDefault="00AC0832">
      <w:pPr>
        <w:pStyle w:val="Heading6"/>
      </w:pPr>
      <w:r>
        <w:t>A855001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A855001-ADMINISTRACIJA I UPRAVLJANJE</w:t>
            </w:r>
          </w:p>
        </w:tc>
        <w:tc>
          <w:tcPr>
            <w:tcW w:w="2322" w:type="dxa"/>
          </w:tcPr>
          <w:p w:rsidR="00AC0832" w:rsidRDefault="00AC0832">
            <w:pPr>
              <w:pStyle w:val="CellColumn"/>
            </w:pPr>
            <w:r>
              <w:t>852.000</w:t>
            </w:r>
          </w:p>
        </w:tc>
        <w:tc>
          <w:tcPr>
            <w:tcW w:w="2322" w:type="dxa"/>
          </w:tcPr>
          <w:p w:rsidR="00AC0832" w:rsidRDefault="00AC0832">
            <w:pPr>
              <w:pStyle w:val="CellColumn"/>
            </w:pPr>
            <w:r>
              <w:t>621.740</w:t>
            </w:r>
          </w:p>
        </w:tc>
        <w:tc>
          <w:tcPr>
            <w:tcW w:w="2322" w:type="dxa"/>
          </w:tcPr>
          <w:p w:rsidR="00AC0832" w:rsidRDefault="00AC0832">
            <w:pPr>
              <w:pStyle w:val="CellColumn"/>
            </w:pPr>
            <w:r>
              <w:t>73,0</w:t>
            </w:r>
          </w:p>
        </w:tc>
      </w:tr>
    </w:tbl>
    <w:p w:rsidR="00AC0832" w:rsidRDefault="00AC0832">
      <w:pPr>
        <w:pStyle w:val="Heading6"/>
      </w:pPr>
      <w:r>
        <w:t>K855002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K855002-INFORMATIZACIJA</w:t>
            </w:r>
          </w:p>
        </w:tc>
        <w:tc>
          <w:tcPr>
            <w:tcW w:w="2322" w:type="dxa"/>
          </w:tcPr>
          <w:p w:rsidR="00AC0832" w:rsidRDefault="00AC0832">
            <w:pPr>
              <w:pStyle w:val="CellColumn"/>
            </w:pPr>
            <w:r>
              <w:t>58.700</w:t>
            </w:r>
          </w:p>
        </w:tc>
        <w:tc>
          <w:tcPr>
            <w:tcW w:w="2322" w:type="dxa"/>
          </w:tcPr>
          <w:p w:rsidR="00AC0832" w:rsidRDefault="00AC0832">
            <w:pPr>
              <w:pStyle w:val="CellColumn"/>
            </w:pPr>
            <w:r>
              <w:t>49.282</w:t>
            </w:r>
          </w:p>
        </w:tc>
        <w:tc>
          <w:tcPr>
            <w:tcW w:w="2322" w:type="dxa"/>
          </w:tcPr>
          <w:p w:rsidR="00AC0832" w:rsidRDefault="00AC0832">
            <w:pPr>
              <w:pStyle w:val="CellColumn"/>
            </w:pPr>
            <w:r>
              <w:t>84,0</w:t>
            </w:r>
          </w:p>
        </w:tc>
      </w:tr>
    </w:tbl>
    <w:p w:rsidR="00AC0832" w:rsidRDefault="00AC0832" w:rsidP="00C63D4C">
      <w:pPr>
        <w:pStyle w:val="Heading1"/>
      </w:pPr>
      <w:r>
        <w:t>025 MINISTARSTVO FINANCIJA</w:t>
      </w:r>
    </w:p>
    <w:p w:rsidR="00AC0832" w:rsidRDefault="00AC0832" w:rsidP="00C63D4C">
      <w:pPr>
        <w:pStyle w:val="Heading4"/>
      </w:pPr>
      <w:r>
        <w:t>Uvod</w:t>
      </w:r>
    </w:p>
    <w:p w:rsidR="00AC0832" w:rsidRDefault="00AC0832" w:rsidP="00C63D4C">
      <w:pPr>
        <w:pStyle w:val="Normal3"/>
      </w:pPr>
      <w:r>
        <w:t>Ministarstvo financija obavlja upravne i druge poslove koji se odnose na: analize i prognoze makroekonomskih kretanja koje su temelj za utvrđivanje fiskalne politike i izradu državnog proračuna; izradu osnova za financiranje javnih potreba i nacrt proračuna i izvanproračunskih fondova te lokalnih proračuna; konsolidaciju proračuna; izvršavanje državnog proračuna; proračunsku kontrolu; državne računovodstvene standarde; izradu računskog plana, vođenje glavne knjige državne riznice i sastavljanje financijskih izvješća; upravljanje proračunskim ulaganjima; praćenje visine otplate domaćih i vanjskih dugova, evidentiranje i praćenje zajmova koje daje država; pripremu nacrta zakonskih i drugih propisa te osnove za vođenje pregovora iz područja financijskih odnosa s inozemstvom što proizlaze iz multilateralne i bilateralne te kreditne suradnje s međunarodnim i regionalnim financijskim institucijama, inozemnim vladama i komercijalnim bankama; operativne poslove u svezi sa članstvom Republike Hrvatske u međunarodnim financijskim organizacijama; sustavno praćenje elementarnih nepogoda; izradu analitičkih materijala iz područja bankarskog i deviznog sustava i sustava osiguranja; porezni sustav i poreznu politiku; carinski sustav i politiku carinske i izvancarinske zaštite, inspekcijske poslove u području poreza, carina i drugih javnih prihoda, deviznog i vanjskotrgovinskog poslovanja, priređivanja igara na sreću i zabavnih igara; poduzimanje mjera za otkrivanje i sprečavanje pranja novca; nadzor nabave roba, usluga i ustupanja radova; ocjena poslovanja trgovačkih društava u vlasništvu Republike Hrvatske i predlaže Vladi Republike Hrvatske donošenje mjera u svezi s djelotvornosti, ekonomičnosti i učinkovitosti njihovog poslovanja. Ministarstvo financija u organizacijskom smislu sastoji se od: Ministarstvo financija u užem smislu, Carinska uprava, Porezna uprava i  Agencija za reviziju sustava provedbe programa Europske unije i Financijska policija. Zakonom o prestanku važenja Zakona o Financijskoj policiji Financijska policija prestala je s radom 8. ožujka 2012.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02505-Ministarstvo financija</w:t>
            </w:r>
          </w:p>
        </w:tc>
        <w:tc>
          <w:tcPr>
            <w:tcW w:w="2322" w:type="dxa"/>
          </w:tcPr>
          <w:p w:rsidR="00AC0832" w:rsidRDefault="00AC0832" w:rsidP="00A47D80">
            <w:pPr>
              <w:pStyle w:val="CellColumn"/>
            </w:pPr>
            <w:r>
              <w:t>219.276.585</w:t>
            </w:r>
          </w:p>
        </w:tc>
        <w:tc>
          <w:tcPr>
            <w:tcW w:w="2322" w:type="dxa"/>
          </w:tcPr>
          <w:p w:rsidR="00AC0832" w:rsidRDefault="00AC0832" w:rsidP="00A47D80">
            <w:pPr>
              <w:pStyle w:val="CellColumn"/>
            </w:pPr>
            <w:r>
              <w:t>196.390.490</w:t>
            </w:r>
          </w:p>
        </w:tc>
        <w:tc>
          <w:tcPr>
            <w:tcW w:w="2322" w:type="dxa"/>
          </w:tcPr>
          <w:p w:rsidR="00AC0832" w:rsidRDefault="00AC0832" w:rsidP="00A47D80">
            <w:pPr>
              <w:pStyle w:val="CellColumn"/>
            </w:pPr>
            <w:r>
              <w:t>89,6</w:t>
            </w:r>
          </w:p>
        </w:tc>
      </w:tr>
      <w:tr w:rsidR="00AC0832" w:rsidTr="00A47D80">
        <w:trPr>
          <w:jc w:val="center"/>
        </w:trPr>
        <w:tc>
          <w:tcPr>
            <w:tcW w:w="2322" w:type="dxa"/>
          </w:tcPr>
          <w:p w:rsidR="00AC0832" w:rsidRDefault="00AC0832" w:rsidP="00A47D80">
            <w:pPr>
              <w:pStyle w:val="CellColumn"/>
            </w:pPr>
            <w:r>
              <w:t>02506-Ministarstvo financija - ostali izdaci države</w:t>
            </w:r>
          </w:p>
        </w:tc>
        <w:tc>
          <w:tcPr>
            <w:tcW w:w="2322" w:type="dxa"/>
          </w:tcPr>
          <w:p w:rsidR="00AC0832" w:rsidRDefault="00AC0832" w:rsidP="00A47D80">
            <w:pPr>
              <w:pStyle w:val="CellColumn"/>
            </w:pPr>
            <w:r>
              <w:t>21.552.759.374</w:t>
            </w:r>
          </w:p>
        </w:tc>
        <w:tc>
          <w:tcPr>
            <w:tcW w:w="2322" w:type="dxa"/>
          </w:tcPr>
          <w:p w:rsidR="00AC0832" w:rsidRDefault="00AC0832" w:rsidP="00A47D80">
            <w:pPr>
              <w:pStyle w:val="CellColumn"/>
            </w:pPr>
            <w:r>
              <w:t>23.310.282.465</w:t>
            </w:r>
          </w:p>
        </w:tc>
        <w:tc>
          <w:tcPr>
            <w:tcW w:w="2322" w:type="dxa"/>
          </w:tcPr>
          <w:p w:rsidR="00AC0832" w:rsidRDefault="00AC0832" w:rsidP="00A47D80">
            <w:pPr>
              <w:pStyle w:val="CellColumn"/>
            </w:pPr>
            <w:r>
              <w:t>108,2</w:t>
            </w:r>
          </w:p>
        </w:tc>
      </w:tr>
      <w:tr w:rsidR="00AC0832" w:rsidTr="00A47D80">
        <w:trPr>
          <w:jc w:val="center"/>
        </w:trPr>
        <w:tc>
          <w:tcPr>
            <w:tcW w:w="2322" w:type="dxa"/>
          </w:tcPr>
          <w:p w:rsidR="00AC0832" w:rsidRDefault="00AC0832" w:rsidP="00A47D80">
            <w:pPr>
              <w:pStyle w:val="CellColumn"/>
            </w:pPr>
            <w:r>
              <w:t>02510-Carinska uprava</w:t>
            </w:r>
          </w:p>
        </w:tc>
        <w:tc>
          <w:tcPr>
            <w:tcW w:w="2322" w:type="dxa"/>
          </w:tcPr>
          <w:p w:rsidR="00AC0832" w:rsidRDefault="00AC0832" w:rsidP="00A47D80">
            <w:pPr>
              <w:pStyle w:val="CellColumn"/>
            </w:pPr>
            <w:r>
              <w:t>586.500.115</w:t>
            </w:r>
          </w:p>
        </w:tc>
        <w:tc>
          <w:tcPr>
            <w:tcW w:w="2322" w:type="dxa"/>
          </w:tcPr>
          <w:p w:rsidR="00AC0832" w:rsidRDefault="00AC0832" w:rsidP="00A47D80">
            <w:pPr>
              <w:pStyle w:val="CellColumn"/>
            </w:pPr>
            <w:r>
              <w:t>578.082.401</w:t>
            </w:r>
          </w:p>
        </w:tc>
        <w:tc>
          <w:tcPr>
            <w:tcW w:w="2322" w:type="dxa"/>
          </w:tcPr>
          <w:p w:rsidR="00AC0832" w:rsidRDefault="00AC0832" w:rsidP="00A47D80">
            <w:pPr>
              <w:pStyle w:val="CellColumn"/>
            </w:pPr>
            <w:r>
              <w:t>98,6</w:t>
            </w:r>
          </w:p>
        </w:tc>
      </w:tr>
      <w:tr w:rsidR="00AC0832" w:rsidTr="00A47D80">
        <w:trPr>
          <w:jc w:val="center"/>
        </w:trPr>
        <w:tc>
          <w:tcPr>
            <w:tcW w:w="2322" w:type="dxa"/>
          </w:tcPr>
          <w:p w:rsidR="00AC0832" w:rsidRDefault="00AC0832" w:rsidP="00A47D80">
            <w:pPr>
              <w:pStyle w:val="CellColumn"/>
            </w:pPr>
            <w:r>
              <w:t>02515-Porezna uprava</w:t>
            </w:r>
          </w:p>
        </w:tc>
        <w:tc>
          <w:tcPr>
            <w:tcW w:w="2322" w:type="dxa"/>
          </w:tcPr>
          <w:p w:rsidR="00AC0832" w:rsidRDefault="00AC0832" w:rsidP="00A47D80">
            <w:pPr>
              <w:pStyle w:val="CellColumn"/>
            </w:pPr>
            <w:r>
              <w:t>885.257.214</w:t>
            </w:r>
          </w:p>
        </w:tc>
        <w:tc>
          <w:tcPr>
            <w:tcW w:w="2322" w:type="dxa"/>
          </w:tcPr>
          <w:p w:rsidR="00AC0832" w:rsidRDefault="00AC0832" w:rsidP="00A47D80">
            <w:pPr>
              <w:pStyle w:val="CellColumn"/>
            </w:pPr>
            <w:r>
              <w:t>855.630.445</w:t>
            </w:r>
          </w:p>
        </w:tc>
        <w:tc>
          <w:tcPr>
            <w:tcW w:w="2322" w:type="dxa"/>
          </w:tcPr>
          <w:p w:rsidR="00AC0832" w:rsidRDefault="00AC0832" w:rsidP="00A47D80">
            <w:pPr>
              <w:pStyle w:val="CellColumn"/>
            </w:pPr>
            <w:r>
              <w:t>96,7</w:t>
            </w:r>
          </w:p>
        </w:tc>
      </w:tr>
      <w:tr w:rsidR="00AC0832" w:rsidTr="00A47D80">
        <w:trPr>
          <w:jc w:val="center"/>
        </w:trPr>
        <w:tc>
          <w:tcPr>
            <w:tcW w:w="2322" w:type="dxa"/>
          </w:tcPr>
          <w:p w:rsidR="00AC0832" w:rsidRDefault="00AC0832" w:rsidP="00A47D80">
            <w:pPr>
              <w:pStyle w:val="CellColumn"/>
            </w:pPr>
            <w:r>
              <w:t>02520-Financijska policija</w:t>
            </w:r>
          </w:p>
        </w:tc>
        <w:tc>
          <w:tcPr>
            <w:tcW w:w="2322" w:type="dxa"/>
          </w:tcPr>
          <w:p w:rsidR="00AC0832" w:rsidRDefault="00AC0832" w:rsidP="00A47D80">
            <w:pPr>
              <w:pStyle w:val="CellColumn"/>
            </w:pPr>
            <w:r>
              <w:t>7.933.850</w:t>
            </w:r>
          </w:p>
        </w:tc>
        <w:tc>
          <w:tcPr>
            <w:tcW w:w="2322" w:type="dxa"/>
          </w:tcPr>
          <w:p w:rsidR="00AC0832" w:rsidRDefault="00AC0832" w:rsidP="00A47D80">
            <w:pPr>
              <w:pStyle w:val="CellColumn"/>
            </w:pPr>
            <w:r>
              <w:t>7.760.655</w:t>
            </w:r>
          </w:p>
        </w:tc>
        <w:tc>
          <w:tcPr>
            <w:tcW w:w="2322" w:type="dxa"/>
          </w:tcPr>
          <w:p w:rsidR="00AC0832" w:rsidRDefault="00AC0832" w:rsidP="00A47D80">
            <w:pPr>
              <w:pStyle w:val="CellColumn"/>
            </w:pPr>
            <w:r>
              <w:t>97,8</w:t>
            </w:r>
          </w:p>
        </w:tc>
      </w:tr>
      <w:tr w:rsidR="00AC0832" w:rsidTr="00A47D80">
        <w:trPr>
          <w:jc w:val="center"/>
        </w:trPr>
        <w:tc>
          <w:tcPr>
            <w:tcW w:w="2322" w:type="dxa"/>
          </w:tcPr>
          <w:p w:rsidR="00AC0832" w:rsidRDefault="00AC0832" w:rsidP="00A47D80">
            <w:pPr>
              <w:pStyle w:val="CellColumn"/>
            </w:pPr>
            <w:r>
              <w:t>02540-Agencija za reviziju sustava provedbe programa Europske unije</w:t>
            </w:r>
          </w:p>
        </w:tc>
        <w:tc>
          <w:tcPr>
            <w:tcW w:w="2322" w:type="dxa"/>
          </w:tcPr>
          <w:p w:rsidR="00AC0832" w:rsidRDefault="00AC0832" w:rsidP="00A47D80">
            <w:pPr>
              <w:pStyle w:val="CellColumn"/>
            </w:pPr>
            <w:r>
              <w:t>12.230.000</w:t>
            </w:r>
          </w:p>
        </w:tc>
        <w:tc>
          <w:tcPr>
            <w:tcW w:w="2322" w:type="dxa"/>
          </w:tcPr>
          <w:p w:rsidR="00AC0832" w:rsidRDefault="00AC0832" w:rsidP="00A47D80">
            <w:pPr>
              <w:pStyle w:val="CellColumn"/>
            </w:pPr>
            <w:r>
              <w:t>11.620.377</w:t>
            </w:r>
          </w:p>
        </w:tc>
        <w:tc>
          <w:tcPr>
            <w:tcW w:w="2322" w:type="dxa"/>
          </w:tcPr>
          <w:p w:rsidR="00AC0832" w:rsidRDefault="00AC0832" w:rsidP="00A47D80">
            <w:pPr>
              <w:pStyle w:val="CellColumn"/>
            </w:pPr>
            <w:r>
              <w:t>95,0</w:t>
            </w:r>
          </w:p>
        </w:tc>
      </w:tr>
      <w:tr w:rsidR="00AC0832" w:rsidTr="00A47D80">
        <w:trPr>
          <w:jc w:val="center"/>
        </w:trPr>
        <w:tc>
          <w:tcPr>
            <w:tcW w:w="2322" w:type="dxa"/>
            <w:shd w:val="clear" w:color="auto" w:fill="B5C0D8"/>
          </w:tcPr>
          <w:p w:rsidR="00AC0832" w:rsidRDefault="00AC0832" w:rsidP="00A47D80">
            <w:pPr>
              <w:pStyle w:val="CellColumn"/>
            </w:pPr>
            <w:r>
              <w:t>Ukupno 025-MINISTARSTVO FINANCIJA</w:t>
            </w:r>
          </w:p>
        </w:tc>
        <w:tc>
          <w:tcPr>
            <w:tcW w:w="2322" w:type="dxa"/>
            <w:shd w:val="clear" w:color="auto" w:fill="B5C0D8"/>
          </w:tcPr>
          <w:p w:rsidR="00AC0832" w:rsidRDefault="00AC0832" w:rsidP="00A47D80">
            <w:pPr>
              <w:pStyle w:val="CellColumn"/>
            </w:pPr>
            <w:r>
              <w:t>23.263.957.138</w:t>
            </w:r>
          </w:p>
        </w:tc>
        <w:tc>
          <w:tcPr>
            <w:tcW w:w="2322" w:type="dxa"/>
            <w:shd w:val="clear" w:color="auto" w:fill="B5C0D8"/>
          </w:tcPr>
          <w:p w:rsidR="00AC0832" w:rsidRDefault="00AC0832" w:rsidP="00A47D80">
            <w:pPr>
              <w:pStyle w:val="CellColumn"/>
            </w:pPr>
            <w:r>
              <w:t>24.959.766.832</w:t>
            </w:r>
          </w:p>
        </w:tc>
        <w:tc>
          <w:tcPr>
            <w:tcW w:w="2322" w:type="dxa"/>
            <w:shd w:val="clear" w:color="auto" w:fill="B5C0D8"/>
          </w:tcPr>
          <w:p w:rsidR="00AC0832" w:rsidRDefault="00AC0832" w:rsidP="00A47D80">
            <w:pPr>
              <w:pStyle w:val="CellColumn"/>
            </w:pPr>
            <w:r>
              <w:t>107,3</w:t>
            </w:r>
          </w:p>
        </w:tc>
      </w:tr>
    </w:tbl>
    <w:p w:rsidR="00AC0832" w:rsidRDefault="00AC0832" w:rsidP="00C63D4C">
      <w:pPr>
        <w:jc w:val="left"/>
      </w:pPr>
    </w:p>
    <w:p w:rsidR="00AC0832" w:rsidRDefault="00AC0832" w:rsidP="00C63D4C">
      <w:pPr>
        <w:pStyle w:val="Heading2"/>
      </w:pPr>
      <w:r>
        <w:t>02505 Ministarstvo financija</w:t>
      </w:r>
    </w:p>
    <w:p w:rsidR="00AC0832" w:rsidRDefault="00AC0832" w:rsidP="00C63D4C">
      <w:pPr>
        <w:pStyle w:val="Heading4"/>
      </w:pPr>
      <w:r>
        <w:t>Uvod</w:t>
      </w:r>
    </w:p>
    <w:p w:rsidR="00AC0832" w:rsidRDefault="00AC0832" w:rsidP="00C63D4C">
      <w:pPr>
        <w:pStyle w:val="Normal3"/>
      </w:pPr>
      <w:r>
        <w:t>Unutar svog djelokruga Ministarstvo financija u užem smislu nadležno je za poslove koji se odnose na: analize i prognoze makroekonomskih kretanja; pripremu, konsolidaciju i izvršavanje državnog proračuna; upravljanje portfeljem javnog duga; suradnju s međunarodnim financijskim institucijama; praćenje kretanja i unapređenje financijskog sustava; razvoj, unapređenje i koordinaciju sustava politike koncesija; sprečavanje pranja novca i financijskog terorizma; nadzor i inspekcijske poslove u području poreza, carina i drugih javnih prihoda; devizno i vanjskotrgovinsko poslovanje; izgradnju i održavanje graničnih prijelaza; uspostavu i razvoj sustava unutarnjih financijskih kontrola u javnom sektoru na državnoj i lokalnim razinama; financijsko upravljanje u okviru decentraliziranog sustava provedbe pomoći Europske zajednice Hrvatskoj.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02505-Ministarstvo financija</w:t>
            </w:r>
          </w:p>
        </w:tc>
        <w:tc>
          <w:tcPr>
            <w:tcW w:w="2322" w:type="dxa"/>
          </w:tcPr>
          <w:p w:rsidR="00AC0832" w:rsidRDefault="00AC0832" w:rsidP="00A47D80">
            <w:pPr>
              <w:pStyle w:val="CellColumn"/>
            </w:pPr>
            <w:r>
              <w:t>219.276.585</w:t>
            </w:r>
          </w:p>
        </w:tc>
        <w:tc>
          <w:tcPr>
            <w:tcW w:w="2322" w:type="dxa"/>
          </w:tcPr>
          <w:p w:rsidR="00AC0832" w:rsidRDefault="00AC0832" w:rsidP="00A47D80">
            <w:pPr>
              <w:pStyle w:val="CellColumn"/>
            </w:pPr>
            <w:r>
              <w:t>196.390.490</w:t>
            </w:r>
          </w:p>
        </w:tc>
        <w:tc>
          <w:tcPr>
            <w:tcW w:w="2322" w:type="dxa"/>
          </w:tcPr>
          <w:p w:rsidR="00AC0832" w:rsidRDefault="00AC0832" w:rsidP="00A47D80">
            <w:pPr>
              <w:pStyle w:val="CellColumn"/>
            </w:pPr>
            <w:r>
              <w:t>89,6</w:t>
            </w:r>
          </w:p>
        </w:tc>
      </w:tr>
      <w:tr w:rsidR="00AC0832" w:rsidTr="00A47D80">
        <w:trPr>
          <w:jc w:val="center"/>
        </w:trPr>
        <w:tc>
          <w:tcPr>
            <w:tcW w:w="2322" w:type="dxa"/>
          </w:tcPr>
          <w:p w:rsidR="00AC0832" w:rsidRDefault="00AC0832" w:rsidP="00A47D80">
            <w:pPr>
              <w:pStyle w:val="CellColumnSmall"/>
            </w:pPr>
            <w:r>
              <w:t>2203-UPRAVLJANJE SUSTAVOM JAVNIH FINANCIJA</w:t>
            </w:r>
          </w:p>
        </w:tc>
        <w:tc>
          <w:tcPr>
            <w:tcW w:w="2322" w:type="dxa"/>
          </w:tcPr>
          <w:p w:rsidR="00AC0832" w:rsidRDefault="00AC0832" w:rsidP="00A47D80">
            <w:pPr>
              <w:pStyle w:val="CellColumnSmall"/>
            </w:pPr>
            <w:r>
              <w:t>109.226.585</w:t>
            </w:r>
          </w:p>
        </w:tc>
        <w:tc>
          <w:tcPr>
            <w:tcW w:w="2322" w:type="dxa"/>
          </w:tcPr>
          <w:p w:rsidR="00AC0832" w:rsidRDefault="00AC0832" w:rsidP="00A47D80">
            <w:pPr>
              <w:pStyle w:val="CellColumnSmall"/>
            </w:pPr>
            <w:r>
              <w:t>94.844.062</w:t>
            </w:r>
          </w:p>
        </w:tc>
        <w:tc>
          <w:tcPr>
            <w:tcW w:w="2322" w:type="dxa"/>
          </w:tcPr>
          <w:p w:rsidR="00AC0832" w:rsidRDefault="00AC0832" w:rsidP="00A47D80">
            <w:pPr>
              <w:pStyle w:val="CellColumnSmall"/>
            </w:pPr>
            <w:r>
              <w:t>86,8</w:t>
            </w:r>
          </w:p>
        </w:tc>
      </w:tr>
      <w:tr w:rsidR="00AC0832" w:rsidTr="00A47D80">
        <w:trPr>
          <w:jc w:val="center"/>
        </w:trPr>
        <w:tc>
          <w:tcPr>
            <w:tcW w:w="2322" w:type="dxa"/>
          </w:tcPr>
          <w:p w:rsidR="00AC0832" w:rsidRDefault="00AC0832" w:rsidP="00A47D80">
            <w:pPr>
              <w:pStyle w:val="CellColumnSmall"/>
            </w:pPr>
            <w:r>
              <w:t>2207-DJELATNOST CARINSKOG I POREZNOG SUSTAVA</w:t>
            </w:r>
          </w:p>
        </w:tc>
        <w:tc>
          <w:tcPr>
            <w:tcW w:w="2322" w:type="dxa"/>
          </w:tcPr>
          <w:p w:rsidR="00AC0832" w:rsidRDefault="00AC0832" w:rsidP="00A47D80">
            <w:pPr>
              <w:pStyle w:val="CellColumnSmall"/>
            </w:pPr>
            <w:r>
              <w:t>110.050.000</w:t>
            </w:r>
          </w:p>
        </w:tc>
        <w:tc>
          <w:tcPr>
            <w:tcW w:w="2322" w:type="dxa"/>
          </w:tcPr>
          <w:p w:rsidR="00AC0832" w:rsidRDefault="00AC0832" w:rsidP="00A47D80">
            <w:pPr>
              <w:pStyle w:val="CellColumnSmall"/>
            </w:pPr>
            <w:r>
              <w:t>101.546.428</w:t>
            </w:r>
          </w:p>
        </w:tc>
        <w:tc>
          <w:tcPr>
            <w:tcW w:w="2322" w:type="dxa"/>
          </w:tcPr>
          <w:p w:rsidR="00AC0832" w:rsidRDefault="00AC0832" w:rsidP="00A47D80">
            <w:pPr>
              <w:pStyle w:val="CellColumnSmall"/>
            </w:pPr>
            <w:r>
              <w:t>92,3</w:t>
            </w:r>
          </w:p>
        </w:tc>
      </w:tr>
    </w:tbl>
    <w:p w:rsidR="00AC0832" w:rsidRDefault="00AC0832" w:rsidP="00C63D4C">
      <w:pPr>
        <w:jc w:val="left"/>
      </w:pPr>
    </w:p>
    <w:p w:rsidR="00AC0832" w:rsidRDefault="00AC0832" w:rsidP="00C63D4C">
      <w:pPr>
        <w:pStyle w:val="Heading4"/>
      </w:pPr>
      <w:r>
        <w:t>OBRAZLOŽENJE PROGRAMA</w:t>
      </w:r>
    </w:p>
    <w:p w:rsidR="00AC0832" w:rsidRDefault="00AC0832" w:rsidP="00C63D4C">
      <w:pPr>
        <w:pStyle w:val="Heading5"/>
      </w:pPr>
      <w:r>
        <w:t>2203 UPRAVLJANJE SUSTAVOM JAVNIH FINANCIJA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2203-UPRAVLJANJE SUSTAVOM JAVNIH FINANCIJA</w:t>
            </w:r>
          </w:p>
        </w:tc>
        <w:tc>
          <w:tcPr>
            <w:tcW w:w="2322" w:type="dxa"/>
          </w:tcPr>
          <w:p w:rsidR="00AC0832" w:rsidRDefault="00AC0832" w:rsidP="00A47D80">
            <w:pPr>
              <w:pStyle w:val="CellColumn"/>
            </w:pPr>
            <w:r>
              <w:t>109.226.585</w:t>
            </w:r>
          </w:p>
        </w:tc>
        <w:tc>
          <w:tcPr>
            <w:tcW w:w="2322" w:type="dxa"/>
          </w:tcPr>
          <w:p w:rsidR="00AC0832" w:rsidRDefault="00AC0832" w:rsidP="00A47D80">
            <w:pPr>
              <w:pStyle w:val="CellColumn"/>
            </w:pPr>
            <w:r>
              <w:t>94.844.062</w:t>
            </w:r>
          </w:p>
        </w:tc>
        <w:tc>
          <w:tcPr>
            <w:tcW w:w="2322" w:type="dxa"/>
          </w:tcPr>
          <w:p w:rsidR="00AC0832" w:rsidRDefault="00AC0832" w:rsidP="00A47D80">
            <w:pPr>
              <w:pStyle w:val="CellColumn"/>
            </w:pPr>
            <w:r>
              <w:t>86,8</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Cilj ovoga programa je učinkovito upravljanje proračunskim sredstvima što će se postići kroz daljnje unaprjeđenje proračunskih procesa i sustava za upravljanje financijama proračunskih korisnika, fiskalnu konsolidaciju i učinkovito upravljanje javnim dugom, jačanje sustava unutarnjih financijskih kontrola i unutarnje revizije, razvojem makroekonomske statistike te jačanje kapaciteta za korištenje fondova Europske unije. Realizacija programa doprinijet će ostvarenju ciljeva utvrđenih Strategijom Vladinih programa za razdoblje 2012.-2014.</w:t>
      </w:r>
    </w:p>
    <w:p w:rsidR="00AC0832" w:rsidRDefault="00AC0832" w:rsidP="00C63D4C">
      <w:pPr>
        <w:pStyle w:val="Heading6"/>
      </w:pPr>
      <w:r>
        <w:t>Zakonske i druge pravne osnove</w:t>
      </w:r>
    </w:p>
    <w:p w:rsidR="00AC0832" w:rsidRDefault="00AC0832" w:rsidP="00C63D4C">
      <w:pPr>
        <w:pStyle w:val="Normal5"/>
      </w:pPr>
      <w:r>
        <w:t>Zakon o proračunu (Narodne novine, br. 87/08 i 136/12)</w:t>
      </w:r>
    </w:p>
    <w:p w:rsidR="00AC0832" w:rsidRDefault="00AC0832" w:rsidP="00C63D4C">
      <w:pPr>
        <w:pStyle w:val="Heading7"/>
      </w:pPr>
      <w:r>
        <w:t>Cilj 1. Učinkovito upravljanje proračunskim sredstvima</w:t>
      </w:r>
    </w:p>
    <w:p w:rsidR="00AC0832" w:rsidRDefault="00AC0832" w:rsidP="00C63D4C">
      <w:pPr>
        <w:pStyle w:val="Heading7"/>
      </w:pPr>
      <w:r>
        <w:t>Cilj 2. Jačanje kapaciteta za korištenje fondova Europske unije</w:t>
      </w:r>
    </w:p>
    <w:p w:rsidR="00AC0832" w:rsidRDefault="00AC0832" w:rsidP="00C63D4C">
      <w:pPr>
        <w:pStyle w:val="Heading6"/>
      </w:pPr>
      <w:r>
        <w:t>K113290 RAZVOJ SUSTAVA DRŽAVNE RIZNICE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K113290-RAZVOJ SUSTAVA DRŽAVNE RIZNICE</w:t>
            </w:r>
          </w:p>
        </w:tc>
        <w:tc>
          <w:tcPr>
            <w:tcW w:w="2322" w:type="dxa"/>
          </w:tcPr>
          <w:p w:rsidR="00AC0832" w:rsidRDefault="00AC0832" w:rsidP="00A47D80">
            <w:pPr>
              <w:pStyle w:val="CellColumn"/>
            </w:pPr>
            <w:r>
              <w:t>9.960.000</w:t>
            </w:r>
          </w:p>
        </w:tc>
        <w:tc>
          <w:tcPr>
            <w:tcW w:w="2322" w:type="dxa"/>
          </w:tcPr>
          <w:p w:rsidR="00AC0832" w:rsidRDefault="00AC0832" w:rsidP="00A47D80">
            <w:pPr>
              <w:pStyle w:val="CellColumn"/>
            </w:pPr>
            <w:r>
              <w:t>8.377.162</w:t>
            </w:r>
          </w:p>
        </w:tc>
        <w:tc>
          <w:tcPr>
            <w:tcW w:w="2322" w:type="dxa"/>
          </w:tcPr>
          <w:p w:rsidR="00AC0832" w:rsidRDefault="00AC0832" w:rsidP="00A47D80">
            <w:pPr>
              <w:pStyle w:val="CellColumn"/>
            </w:pPr>
            <w:r>
              <w:t>84,1</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 xml:space="preserve">U sklopu projekta K113290 osigurano je redovito funkcioniranje svih sustava i aplikacija Državne riznice, to su: središnji sustav Državne riznice SAP R/3, sustav za planiranje Državnog proračuna i izvještavanje SAP SEM BW, Gateway sustav za integraciju FMIS sustava proračunskih korisnika sa pripadnim registrom dobavljača, ISPK sustav za održavanje proračunskih klasifikacija, sustav za izradu proračunskih obrazloženja i PFU sustav za procjenu financijskog učinka. U sklopu projekta izvršen je niz tehnički dorada kao što su apliciranje zakrpi sustava, instalacija nota, konverzija SAP BW sustava na Unicode i konverzija ORACLE baze podataka s verzije 10.2 na verziju 11.2. U svrhu redovitog funkcioniranja IT sustava Državne riznice financirani su rshodi za licence informatičkih sustava Državne riznice. Unaprijeđena je podrška na SAP sustavima za proračunske procese. </w:t>
      </w:r>
    </w:p>
    <w:p w:rsidR="00AC0832" w:rsidRDefault="00AC0832" w:rsidP="00C63D4C">
      <w:pPr>
        <w:pStyle w:val="Normal6"/>
      </w:pPr>
      <w:r>
        <w:t xml:space="preserve"> </w:t>
      </w:r>
    </w:p>
    <w:p w:rsidR="00AC0832" w:rsidRDefault="00AC0832" w:rsidP="00C63D4C">
      <w:pPr>
        <w:pStyle w:val="Normal6"/>
      </w:pPr>
      <w:r>
        <w:t>Izvršene su dogradnje informatičkog sustava Državne riznice, pripreme digitalnog potpisa za potpisivanje  deviznih naloga za plaćanje te provedena tehnička i poslovna testiranja u svrhu povezivanja s HNB-ovim sustavom za uspostavu automatizacije deviznog platnog prometa. U sklopu projekta integracije FMIS sustava Državne riznice povezano je pet novih FMIS sustava korisnika sa središnjim SAP sustavom Državne riznice, to su sustavi Ministarstva regionalnog razvoja i fondova EU, Ministarstva unutarnjih poslova, Ministarstva turizma, Ministarstva poljoprivrede i Carinska uprava. S tim ukupan broj povezanih korisnika iznosi 8.</w:t>
      </w:r>
    </w:p>
    <w:p w:rsidR="00AC0832" w:rsidRDefault="00AC0832" w:rsidP="00C63D4C">
      <w:pPr>
        <w:pStyle w:val="Heading5"/>
      </w:pPr>
      <w:r>
        <w:t>2207 DJELATNOST CARINSKOG I POREZNOG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2207-DJELATNOST CARINSKOG I POREZNOG SUSTAVA</w:t>
            </w:r>
          </w:p>
        </w:tc>
        <w:tc>
          <w:tcPr>
            <w:tcW w:w="2322" w:type="dxa"/>
          </w:tcPr>
          <w:p w:rsidR="00AC0832" w:rsidRDefault="00AC0832" w:rsidP="00A47D80">
            <w:pPr>
              <w:pStyle w:val="CellColumn"/>
            </w:pPr>
            <w:r>
              <w:t>110.050.000</w:t>
            </w:r>
          </w:p>
        </w:tc>
        <w:tc>
          <w:tcPr>
            <w:tcW w:w="2322" w:type="dxa"/>
          </w:tcPr>
          <w:p w:rsidR="00AC0832" w:rsidRDefault="00AC0832" w:rsidP="00A47D80">
            <w:pPr>
              <w:pStyle w:val="CellColumn"/>
            </w:pPr>
            <w:r>
              <w:t>101.546.428</w:t>
            </w:r>
          </w:p>
        </w:tc>
        <w:tc>
          <w:tcPr>
            <w:tcW w:w="2322" w:type="dxa"/>
          </w:tcPr>
          <w:p w:rsidR="00AC0832" w:rsidRDefault="00AC0832" w:rsidP="00A47D80">
            <w:pPr>
              <w:pStyle w:val="CellColumn"/>
            </w:pPr>
            <w:r>
              <w:t>92,3</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Program obuhvaća poslove na izgradnji, opremanju te održavanju graničnih prijelaza. Glavni cilj programa je uspostava i održavanje kvalitetnog prometa sa susjednim državama. ostvarenjem ovog cilja pridonosi se jačanju sigurnosti državne granice.</w:t>
      </w:r>
    </w:p>
    <w:p w:rsidR="00AC0832" w:rsidRDefault="00AC0832" w:rsidP="00C63D4C">
      <w:pPr>
        <w:pStyle w:val="Heading6"/>
      </w:pPr>
      <w:r>
        <w:t>Zakonske i druge pravne osnove</w:t>
      </w:r>
    </w:p>
    <w:p w:rsidR="00AC0832" w:rsidRDefault="00AC0832" w:rsidP="00C63D4C">
      <w:pPr>
        <w:pStyle w:val="Normal5"/>
      </w:pPr>
      <w:r>
        <w:t>Odluka o upravljanju imovinom na graničnim prijelazima (Narodne novine br. 15/95)</w:t>
      </w:r>
    </w:p>
    <w:p w:rsidR="00AC0832" w:rsidRDefault="00AC0832" w:rsidP="00C63D4C">
      <w:pPr>
        <w:pStyle w:val="Heading7"/>
      </w:pPr>
      <w:r>
        <w:t>Cilj 1. Uspostava i održavanje kvalitetnog graničnog prometa sa susjednim državama</w:t>
      </w:r>
    </w:p>
    <w:p w:rsidR="00AC0832" w:rsidRDefault="00AC0832" w:rsidP="00C63D4C">
      <w:pPr>
        <w:pStyle w:val="Heading8"/>
        <w:jc w:val="left"/>
      </w:pPr>
      <w:r>
        <w:t>Opis provedbe cilja programa</w:t>
      </w:r>
    </w:p>
    <w:p w:rsidR="00AC0832" w:rsidRDefault="00AC0832" w:rsidP="00C63D4C">
      <w:pPr>
        <w:pStyle w:val="Normal6"/>
      </w:pPr>
      <w:r>
        <w:t>Svi izvršeni radovi na graničnim prijelazima kao i ulaganja u potrebnu opremu poboljšali su uvjete rada na graničnim prijelazima kao i kvalitetu uspostavljenog prometa sa susjednim zemljama. Isto tako ostvareno je kontinuirano održavanje graničnih prijelaza kako bi isti bili u funkciji sa što manje zastoja i što većim i kvalitetnijim protokom robe i usluga.</w:t>
      </w:r>
    </w:p>
    <w:p w:rsidR="00AC0832" w:rsidRDefault="00AC0832" w:rsidP="00C63D4C">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62"/>
        <w:gridCol w:w="1300"/>
        <w:gridCol w:w="1300"/>
        <w:gridCol w:w="1300"/>
        <w:gridCol w:w="1300"/>
        <w:gridCol w:w="1300"/>
      </w:tblGrid>
      <w:tr w:rsidR="00AC0832" w:rsidTr="00A47D80">
        <w:trPr>
          <w:jc w:val="center"/>
        </w:trPr>
        <w:tc>
          <w:tcPr>
            <w:tcW w:w="1300" w:type="dxa"/>
            <w:shd w:val="clear" w:color="auto" w:fill="B5C0D8"/>
          </w:tcPr>
          <w:p w:rsidR="00AC0832" w:rsidRPr="00392240" w:rsidRDefault="00AC0832" w:rsidP="00A47D80">
            <w:pPr>
              <w:rPr>
                <w:sz w:val="20"/>
                <w:lang w:eastAsia="hr-HR"/>
              </w:rPr>
            </w:pPr>
            <w:r w:rsidRPr="00392240">
              <w:rPr>
                <w:sz w:val="20"/>
                <w:lang w:eastAsia="hr-HR"/>
              </w:rPr>
              <w:t>Pokazatelj učinka</w:t>
            </w:r>
          </w:p>
        </w:tc>
        <w:tc>
          <w:tcPr>
            <w:tcW w:w="1300" w:type="dxa"/>
            <w:shd w:val="clear" w:color="auto" w:fill="B5C0D8"/>
          </w:tcPr>
          <w:p w:rsidR="00AC0832" w:rsidRDefault="00AC0832" w:rsidP="00A47D80">
            <w:pPr>
              <w:pStyle w:val="CellHeader"/>
            </w:pPr>
            <w:r>
              <w:t>Definicija</w:t>
            </w:r>
          </w:p>
        </w:tc>
        <w:tc>
          <w:tcPr>
            <w:tcW w:w="1300" w:type="dxa"/>
            <w:shd w:val="clear" w:color="auto" w:fill="B5C0D8"/>
          </w:tcPr>
          <w:p w:rsidR="00AC0832" w:rsidRDefault="00AC0832" w:rsidP="00A47D80">
            <w:pPr>
              <w:pStyle w:val="CellHeader"/>
            </w:pPr>
            <w:r>
              <w:t>Jedinica</w:t>
            </w:r>
          </w:p>
        </w:tc>
        <w:tc>
          <w:tcPr>
            <w:tcW w:w="1300" w:type="dxa"/>
            <w:shd w:val="clear" w:color="auto" w:fill="B5C0D8"/>
          </w:tcPr>
          <w:p w:rsidR="00AC0832" w:rsidRDefault="00AC0832" w:rsidP="00A47D80">
            <w:pPr>
              <w:pStyle w:val="CellHeader"/>
            </w:pPr>
            <w:r>
              <w:t>Polazna vrijednost</w:t>
            </w:r>
          </w:p>
        </w:tc>
        <w:tc>
          <w:tcPr>
            <w:tcW w:w="1300" w:type="dxa"/>
            <w:shd w:val="clear" w:color="auto" w:fill="B5C0D8"/>
          </w:tcPr>
          <w:p w:rsidR="00AC0832" w:rsidRDefault="00AC0832" w:rsidP="00A47D80">
            <w:pPr>
              <w:pStyle w:val="CellHeader"/>
            </w:pPr>
            <w:r>
              <w:t>Izvor podataka</w:t>
            </w:r>
          </w:p>
        </w:tc>
        <w:tc>
          <w:tcPr>
            <w:tcW w:w="1300" w:type="dxa"/>
            <w:shd w:val="clear" w:color="auto" w:fill="B5C0D8"/>
          </w:tcPr>
          <w:p w:rsidR="00AC0832" w:rsidRDefault="00AC0832" w:rsidP="00A47D80">
            <w:pPr>
              <w:pStyle w:val="CellHeader"/>
            </w:pPr>
            <w:r>
              <w:t>Ciljana vrijednost (2012.)</w:t>
            </w:r>
          </w:p>
        </w:tc>
        <w:tc>
          <w:tcPr>
            <w:tcW w:w="1300" w:type="dxa"/>
            <w:shd w:val="clear" w:color="auto" w:fill="B5C0D8"/>
          </w:tcPr>
          <w:p w:rsidR="00AC0832" w:rsidRDefault="00AC0832" w:rsidP="00A47D80">
            <w:pPr>
              <w:pStyle w:val="CellHeader"/>
            </w:pPr>
            <w:r>
              <w:t>Ostvarena vrijednost (2012.)</w:t>
            </w:r>
          </w:p>
        </w:tc>
      </w:tr>
      <w:tr w:rsidR="00AC0832" w:rsidTr="00A47D80">
        <w:trPr>
          <w:jc w:val="center"/>
        </w:trPr>
        <w:tc>
          <w:tcPr>
            <w:tcW w:w="1300" w:type="dxa"/>
          </w:tcPr>
          <w:p w:rsidR="00AC0832" w:rsidRDefault="00AC0832" w:rsidP="00A47D80">
            <w:pPr>
              <w:pStyle w:val="CellColumn"/>
            </w:pPr>
            <w:r>
              <w:t>Povećanje protočnosti osoba i roba kao i poboljšanje uvjeta rada na graničnim prijelazima</w:t>
            </w:r>
          </w:p>
        </w:tc>
        <w:tc>
          <w:tcPr>
            <w:tcW w:w="1300" w:type="dxa"/>
          </w:tcPr>
          <w:p w:rsidR="00AC0832" w:rsidRDefault="00AC0832" w:rsidP="00A47D80">
            <w:pPr>
              <w:pStyle w:val="CellColumn"/>
            </w:pPr>
            <w:r>
              <w:t>Uspostavom i održavanjem kvalitetnog  graničnog prometa sa susjednim državama pridonosi se jačanju sigurnosti državne granice.</w:t>
            </w:r>
          </w:p>
        </w:tc>
        <w:tc>
          <w:tcPr>
            <w:tcW w:w="1300" w:type="dxa"/>
          </w:tcPr>
          <w:p w:rsidR="00AC0832" w:rsidRDefault="00AC0832" w:rsidP="00A47D80">
            <w:pPr>
              <w:pStyle w:val="CellColumn"/>
            </w:pPr>
            <w:r>
              <w:t>broj</w:t>
            </w:r>
          </w:p>
        </w:tc>
        <w:tc>
          <w:tcPr>
            <w:tcW w:w="1300" w:type="dxa"/>
          </w:tcPr>
          <w:p w:rsidR="00AC0832" w:rsidRDefault="00AC0832" w:rsidP="00A47D80">
            <w:pPr>
              <w:pStyle w:val="CellColumn"/>
            </w:pPr>
            <w:r>
              <w:t>187</w:t>
            </w:r>
          </w:p>
        </w:tc>
        <w:tc>
          <w:tcPr>
            <w:tcW w:w="1300" w:type="dxa"/>
          </w:tcPr>
          <w:p w:rsidR="00AC0832" w:rsidRDefault="00AC0832" w:rsidP="00A47D80">
            <w:pPr>
              <w:pStyle w:val="CellColumn"/>
            </w:pPr>
            <w:r>
              <w:t>Ministarstvo financija</w:t>
            </w:r>
          </w:p>
        </w:tc>
        <w:tc>
          <w:tcPr>
            <w:tcW w:w="1300" w:type="dxa"/>
          </w:tcPr>
          <w:p w:rsidR="00AC0832" w:rsidRDefault="00AC0832" w:rsidP="00A47D80">
            <w:pPr>
              <w:pStyle w:val="CellColumn"/>
            </w:pPr>
            <w:r>
              <w:t>187</w:t>
            </w:r>
          </w:p>
        </w:tc>
        <w:tc>
          <w:tcPr>
            <w:tcW w:w="1300" w:type="dxa"/>
          </w:tcPr>
          <w:p w:rsidR="00AC0832" w:rsidRDefault="00AC0832" w:rsidP="00A47D80">
            <w:pPr>
              <w:pStyle w:val="CellColumn"/>
            </w:pPr>
            <w:r>
              <w:t>187</w:t>
            </w:r>
          </w:p>
        </w:tc>
      </w:tr>
    </w:tbl>
    <w:p w:rsidR="00AC0832" w:rsidRDefault="00AC0832" w:rsidP="00C63D4C">
      <w:pPr>
        <w:jc w:val="left"/>
      </w:pPr>
    </w:p>
    <w:p w:rsidR="00AC0832" w:rsidRDefault="00AC0832" w:rsidP="00C63D4C">
      <w:pPr>
        <w:pStyle w:val="Heading6"/>
      </w:pPr>
      <w:r>
        <w:t>K538043 IZGRADNJA GRANIČNIH PRIJELAZA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K538043-IZGRADNJA GRANIČNIH PRIJELAZA</w:t>
            </w:r>
          </w:p>
        </w:tc>
        <w:tc>
          <w:tcPr>
            <w:tcW w:w="2322" w:type="dxa"/>
          </w:tcPr>
          <w:p w:rsidR="00AC0832" w:rsidRDefault="00AC0832" w:rsidP="00A47D80">
            <w:pPr>
              <w:pStyle w:val="CellColumn"/>
            </w:pPr>
            <w:r>
              <w:t>66.000.000</w:t>
            </w:r>
          </w:p>
        </w:tc>
        <w:tc>
          <w:tcPr>
            <w:tcW w:w="2322" w:type="dxa"/>
          </w:tcPr>
          <w:p w:rsidR="00AC0832" w:rsidRDefault="00AC0832" w:rsidP="00A47D80">
            <w:pPr>
              <w:pStyle w:val="CellColumn"/>
            </w:pPr>
            <w:r>
              <w:t>64.596.404</w:t>
            </w:r>
          </w:p>
        </w:tc>
        <w:tc>
          <w:tcPr>
            <w:tcW w:w="2322" w:type="dxa"/>
          </w:tcPr>
          <w:p w:rsidR="00AC0832" w:rsidRDefault="00AC0832" w:rsidP="00A47D80">
            <w:pPr>
              <w:pStyle w:val="CellColumn"/>
            </w:pPr>
            <w:r>
              <w:t>97,9</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 xml:space="preserve">U okviru ovog projekta najznačajniji investicijski radovi obavljani su na graničnim prijelazima Klek, Zaton Doli, Nova Sela, Luka Ploče, Stara Gradiška, Bajakovo, Erdut, Batina, Karasovići i Prud. Radovi na graničnim prijelazima Batina, Erdut i Prud u potpunosti su završen i prijelazi su stavljeni u funkciju. </w:t>
      </w:r>
    </w:p>
    <w:p w:rsidR="00AC0832" w:rsidRDefault="00AC0832" w:rsidP="00C63D4C">
      <w:pPr>
        <w:pStyle w:val="Normal6"/>
      </w:pPr>
      <w:r>
        <w:t xml:space="preserve"> Na graničnom prijelazu Klek izvođeni su radovi na izgradnji platoa s instalacijama, zaštiti i stabilizaciji pokosa te radovi na izgradnji čelične konstrukcije i elektrotehničkih instalacija.  </w:t>
      </w:r>
    </w:p>
    <w:p w:rsidR="00AC0832" w:rsidRDefault="00AC0832" w:rsidP="00C63D4C">
      <w:pPr>
        <w:pStyle w:val="Normal6"/>
      </w:pPr>
      <w:r>
        <w:t xml:space="preserve">Na graničnom prijelazu Zaton Doli obavljani su radovi na izgradnji platoa s instalacijama  te radovi na izgradnji čelične konstrukcije i elektrotehničkih instalacija.  </w:t>
      </w:r>
    </w:p>
    <w:p w:rsidR="00AC0832" w:rsidRDefault="00AC0832" w:rsidP="00C63D4C">
      <w:pPr>
        <w:pStyle w:val="Normal6"/>
      </w:pPr>
      <w:r>
        <w:t xml:space="preserve">Na graničnom prijelazu Nova Sela (Metković) izvođeni su radovi na izgradnji platoa s instalacijama i objektima, te radovi na izgradnji čelične konstrukcije a dovršeni su krajem 2012. godine. Izvođeni su također dodatni i zamjenski radovi na dovršetku objekata graničnih inspekcijskih postaja BIP-ova. </w:t>
      </w:r>
    </w:p>
    <w:p w:rsidR="00AC0832" w:rsidRDefault="00AC0832" w:rsidP="00C63D4C">
      <w:pPr>
        <w:pStyle w:val="Normal6"/>
      </w:pPr>
      <w:r>
        <w:t xml:space="preserve">Na graničnom prijelazu Luka Ploče izvođeni su dodatni i zamjenski radovi na dovršetku objekata graničnih inspekcijskih postaja BIP-ova. </w:t>
      </w:r>
    </w:p>
    <w:p w:rsidR="00AC0832" w:rsidRDefault="00AC0832" w:rsidP="00C63D4C">
      <w:pPr>
        <w:pStyle w:val="Normal6"/>
      </w:pPr>
      <w:r>
        <w:t xml:space="preserve">Na graničnom prijelzu Stara Gradiška izvođeni su radovi na dovršetku svih građevinsko obrtničkih i instalaterskih radova na objektima visokogradnje, te opremanje objekata (izrada namještaja). </w:t>
      </w:r>
    </w:p>
    <w:p w:rsidR="00AC0832" w:rsidRDefault="00AC0832" w:rsidP="00C63D4C">
      <w:pPr>
        <w:pStyle w:val="Normal6"/>
      </w:pPr>
      <w:r>
        <w:t xml:space="preserve">Na graničnom prijelazu Bajakovo nabavljen je instaliran sustav video nadzora. </w:t>
      </w:r>
    </w:p>
    <w:p w:rsidR="00AC0832" w:rsidRDefault="00AC0832" w:rsidP="00C63D4C">
      <w:pPr>
        <w:pStyle w:val="Normal6"/>
      </w:pPr>
      <w:r>
        <w:t>Na graničnom prijelazu Karasovići izvođeni su radovi na hali detaljnog pregleda koji su i završeni tijekom 2012., a započela je izgradnja tlačnog cjevovoda. Izvođeni su također dodatni i zamjenski radovi na dovršetku objekata graničnih inspekcijskih postaja BIP-ova.</w:t>
      </w:r>
    </w:p>
    <w:p w:rsidR="00AC0832" w:rsidRDefault="00AC0832" w:rsidP="00C63D4C">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9"/>
        <w:gridCol w:w="1539"/>
        <w:gridCol w:w="1196"/>
        <w:gridCol w:w="1233"/>
        <w:gridCol w:w="1295"/>
        <w:gridCol w:w="1233"/>
        <w:gridCol w:w="1253"/>
      </w:tblGrid>
      <w:tr w:rsidR="00AC0832" w:rsidTr="00A47D80">
        <w:trPr>
          <w:jc w:val="center"/>
        </w:trPr>
        <w:tc>
          <w:tcPr>
            <w:tcW w:w="1300" w:type="dxa"/>
            <w:shd w:val="clear" w:color="auto" w:fill="B5C0D8"/>
          </w:tcPr>
          <w:p w:rsidR="00AC0832" w:rsidRPr="00392240" w:rsidRDefault="00AC0832" w:rsidP="00A47D80">
            <w:pPr>
              <w:rPr>
                <w:sz w:val="20"/>
                <w:lang w:eastAsia="hr-HR"/>
              </w:rPr>
            </w:pPr>
            <w:r w:rsidRPr="00392240">
              <w:rPr>
                <w:sz w:val="20"/>
                <w:lang w:eastAsia="hr-HR"/>
              </w:rPr>
              <w:t>Pokazatelj rezultata</w:t>
            </w:r>
          </w:p>
        </w:tc>
        <w:tc>
          <w:tcPr>
            <w:tcW w:w="1300" w:type="dxa"/>
            <w:shd w:val="clear" w:color="auto" w:fill="B5C0D8"/>
          </w:tcPr>
          <w:p w:rsidR="00AC0832" w:rsidRDefault="00AC0832" w:rsidP="00A47D80">
            <w:pPr>
              <w:pStyle w:val="CellHeader"/>
            </w:pPr>
            <w:r>
              <w:t>Definicija</w:t>
            </w:r>
          </w:p>
        </w:tc>
        <w:tc>
          <w:tcPr>
            <w:tcW w:w="1300" w:type="dxa"/>
            <w:shd w:val="clear" w:color="auto" w:fill="B5C0D8"/>
          </w:tcPr>
          <w:p w:rsidR="00AC0832" w:rsidRDefault="00AC0832" w:rsidP="00A47D80">
            <w:pPr>
              <w:pStyle w:val="CellHeader"/>
            </w:pPr>
            <w:r>
              <w:t>Jedinica</w:t>
            </w:r>
          </w:p>
        </w:tc>
        <w:tc>
          <w:tcPr>
            <w:tcW w:w="1300" w:type="dxa"/>
            <w:shd w:val="clear" w:color="auto" w:fill="B5C0D8"/>
          </w:tcPr>
          <w:p w:rsidR="00AC0832" w:rsidRDefault="00AC0832" w:rsidP="00A47D80">
            <w:pPr>
              <w:pStyle w:val="CellHeader"/>
            </w:pPr>
            <w:r>
              <w:t>Polazna vrijednost</w:t>
            </w:r>
          </w:p>
        </w:tc>
        <w:tc>
          <w:tcPr>
            <w:tcW w:w="1300" w:type="dxa"/>
            <w:shd w:val="clear" w:color="auto" w:fill="B5C0D8"/>
          </w:tcPr>
          <w:p w:rsidR="00AC0832" w:rsidRDefault="00AC0832" w:rsidP="00A47D80">
            <w:pPr>
              <w:pStyle w:val="CellHeader"/>
            </w:pPr>
            <w:r>
              <w:t>Izvor podataka</w:t>
            </w:r>
          </w:p>
        </w:tc>
        <w:tc>
          <w:tcPr>
            <w:tcW w:w="1300" w:type="dxa"/>
            <w:shd w:val="clear" w:color="auto" w:fill="B5C0D8"/>
          </w:tcPr>
          <w:p w:rsidR="00AC0832" w:rsidRDefault="00AC0832" w:rsidP="00A47D80">
            <w:pPr>
              <w:pStyle w:val="CellHeader"/>
            </w:pPr>
            <w:r>
              <w:t>Ciljana vrijednost (2012.)</w:t>
            </w:r>
          </w:p>
        </w:tc>
        <w:tc>
          <w:tcPr>
            <w:tcW w:w="1300" w:type="dxa"/>
            <w:shd w:val="clear" w:color="auto" w:fill="B5C0D8"/>
          </w:tcPr>
          <w:p w:rsidR="00AC0832" w:rsidRDefault="00AC0832" w:rsidP="00A47D80">
            <w:pPr>
              <w:pStyle w:val="CellHeader"/>
            </w:pPr>
            <w:r>
              <w:t>Ostvarena vrijednost (2012.)</w:t>
            </w:r>
          </w:p>
        </w:tc>
      </w:tr>
      <w:tr w:rsidR="00AC0832" w:rsidTr="00A47D80">
        <w:trPr>
          <w:jc w:val="center"/>
        </w:trPr>
        <w:tc>
          <w:tcPr>
            <w:tcW w:w="1300" w:type="dxa"/>
          </w:tcPr>
          <w:p w:rsidR="00AC0832" w:rsidRDefault="00AC0832" w:rsidP="00A47D80">
            <w:pPr>
              <w:pStyle w:val="CellColumn"/>
            </w:pPr>
            <w:r>
              <w:t>Završetak radova na graničnim prijelazima u cilju stvaranja infrastrukturnih pretpostavki za uspostavu veterinarskih i fitopatoloških službi.</w:t>
            </w:r>
          </w:p>
        </w:tc>
        <w:tc>
          <w:tcPr>
            <w:tcW w:w="1300" w:type="dxa"/>
          </w:tcPr>
          <w:p w:rsidR="00AC0832" w:rsidRDefault="00AC0832" w:rsidP="00A47D80">
            <w:pPr>
              <w:pStyle w:val="CellColumn"/>
            </w:pPr>
            <w:r>
              <w:t>Izgradnjoom infrastrukturnih pretpostavki pridonosi se povećanju kvalitete i sigurnosti graničnog prometa</w:t>
            </w:r>
          </w:p>
        </w:tc>
        <w:tc>
          <w:tcPr>
            <w:tcW w:w="1300" w:type="dxa"/>
          </w:tcPr>
          <w:p w:rsidR="00AC0832" w:rsidRDefault="00AC0832" w:rsidP="00A47D80">
            <w:pPr>
              <w:pStyle w:val="CellColumn"/>
            </w:pPr>
            <w:r>
              <w:t>broj</w:t>
            </w:r>
          </w:p>
        </w:tc>
        <w:tc>
          <w:tcPr>
            <w:tcW w:w="1300" w:type="dxa"/>
          </w:tcPr>
          <w:p w:rsidR="00AC0832" w:rsidRDefault="00AC0832" w:rsidP="00A47D80">
            <w:pPr>
              <w:pStyle w:val="CellColumn"/>
            </w:pPr>
            <w:r>
              <w:t>0</w:t>
            </w:r>
          </w:p>
        </w:tc>
        <w:tc>
          <w:tcPr>
            <w:tcW w:w="1300" w:type="dxa"/>
          </w:tcPr>
          <w:p w:rsidR="00AC0832" w:rsidRDefault="00AC0832" w:rsidP="00A47D80">
            <w:pPr>
              <w:pStyle w:val="CellColumn"/>
            </w:pPr>
            <w:r>
              <w:t>Ministarstvo financija</w:t>
            </w:r>
          </w:p>
        </w:tc>
        <w:tc>
          <w:tcPr>
            <w:tcW w:w="1300" w:type="dxa"/>
          </w:tcPr>
          <w:p w:rsidR="00AC0832" w:rsidRDefault="00AC0832" w:rsidP="00A47D80">
            <w:pPr>
              <w:pStyle w:val="CellColumn"/>
            </w:pPr>
            <w:r>
              <w:t>11</w:t>
            </w:r>
          </w:p>
        </w:tc>
        <w:tc>
          <w:tcPr>
            <w:tcW w:w="1300" w:type="dxa"/>
          </w:tcPr>
          <w:p w:rsidR="00AC0832" w:rsidRDefault="00AC0832" w:rsidP="00A47D80">
            <w:pPr>
              <w:pStyle w:val="CellColumn"/>
            </w:pPr>
            <w:r>
              <w:t>11</w:t>
            </w:r>
          </w:p>
        </w:tc>
      </w:tr>
    </w:tbl>
    <w:p w:rsidR="00AC0832" w:rsidRDefault="00AC0832" w:rsidP="00C63D4C">
      <w:pPr>
        <w:jc w:val="left"/>
      </w:pPr>
    </w:p>
    <w:p w:rsidR="00AC0832" w:rsidRDefault="00AC0832" w:rsidP="00C63D4C">
      <w:pPr>
        <w:pStyle w:val="Heading2"/>
      </w:pPr>
      <w:r>
        <w:t>02506 Ministarstvo financija - ostali izdaci države</w:t>
      </w:r>
    </w:p>
    <w:p w:rsidR="00AC0832" w:rsidRDefault="00AC0832" w:rsidP="00C63D4C">
      <w:pPr>
        <w:pStyle w:val="Heading4"/>
      </w:pPr>
      <w:r>
        <w:t>Uvod</w:t>
      </w:r>
    </w:p>
    <w:p w:rsidR="00AC0832" w:rsidRDefault="00AC0832" w:rsidP="00C63D4C">
      <w:pPr>
        <w:pStyle w:val="Normal3"/>
      </w:pPr>
      <w:r>
        <w:t>U razdjelu 025 – Ministarstvo financija ustanovljena je Glava 06 kao obračunska jedinica s ciljem jedinstvenog i transparentnog praćenja prvenstveno onih rashoda i izdataka koji se ne mogu povezati uz druge pojedinačne razdjele odnosno glave, već se odnose na više njih ili na Republiku Hrvatsku u cjelini. Ova Glava za razliku od ostalih u Državnom proračunu ne predstavlja organizacijsku cjelinu sa zaposlenim djelatnicima.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02506-Ministarstvo financija - ostali izdaci države</w:t>
            </w:r>
          </w:p>
        </w:tc>
        <w:tc>
          <w:tcPr>
            <w:tcW w:w="2322" w:type="dxa"/>
          </w:tcPr>
          <w:p w:rsidR="00AC0832" w:rsidRDefault="00AC0832" w:rsidP="00A47D80">
            <w:pPr>
              <w:pStyle w:val="CellColumn"/>
            </w:pPr>
            <w:r>
              <w:t>21.552.759.374</w:t>
            </w:r>
          </w:p>
        </w:tc>
        <w:tc>
          <w:tcPr>
            <w:tcW w:w="2322" w:type="dxa"/>
          </w:tcPr>
          <w:p w:rsidR="00AC0832" w:rsidRDefault="00AC0832" w:rsidP="00A47D80">
            <w:pPr>
              <w:pStyle w:val="CellColumn"/>
            </w:pPr>
            <w:r>
              <w:t>23.310.282.465</w:t>
            </w:r>
          </w:p>
        </w:tc>
        <w:tc>
          <w:tcPr>
            <w:tcW w:w="2322" w:type="dxa"/>
          </w:tcPr>
          <w:p w:rsidR="00AC0832" w:rsidRDefault="00AC0832" w:rsidP="00A47D80">
            <w:pPr>
              <w:pStyle w:val="CellColumn"/>
            </w:pPr>
            <w:r>
              <w:t>108,2</w:t>
            </w:r>
          </w:p>
        </w:tc>
      </w:tr>
      <w:tr w:rsidR="00AC0832" w:rsidTr="00A47D80">
        <w:trPr>
          <w:jc w:val="center"/>
        </w:trPr>
        <w:tc>
          <w:tcPr>
            <w:tcW w:w="2322" w:type="dxa"/>
          </w:tcPr>
          <w:p w:rsidR="00AC0832" w:rsidRDefault="00AC0832" w:rsidP="00A47D80">
            <w:pPr>
              <w:pStyle w:val="CellColumnSmall"/>
            </w:pPr>
            <w:r>
              <w:t>2114-POTPORE POLITIČKIM STRANKAMA</w:t>
            </w:r>
          </w:p>
        </w:tc>
        <w:tc>
          <w:tcPr>
            <w:tcW w:w="2322" w:type="dxa"/>
          </w:tcPr>
          <w:p w:rsidR="00AC0832" w:rsidRDefault="00AC0832" w:rsidP="00A47D80">
            <w:pPr>
              <w:pStyle w:val="CellColumnSmall"/>
            </w:pPr>
            <w:r>
              <w:t>50.161.666</w:t>
            </w:r>
          </w:p>
        </w:tc>
        <w:tc>
          <w:tcPr>
            <w:tcW w:w="2322" w:type="dxa"/>
          </w:tcPr>
          <w:p w:rsidR="00AC0832" w:rsidRDefault="00AC0832" w:rsidP="00A47D80">
            <w:pPr>
              <w:pStyle w:val="CellColumnSmall"/>
            </w:pPr>
            <w:r>
              <w:t>50.161.666</w:t>
            </w:r>
          </w:p>
        </w:tc>
        <w:tc>
          <w:tcPr>
            <w:tcW w:w="2322" w:type="dxa"/>
          </w:tcPr>
          <w:p w:rsidR="00AC0832" w:rsidRDefault="00AC0832" w:rsidP="00A47D80">
            <w:pPr>
              <w:pStyle w:val="CellColumnSmall"/>
            </w:pPr>
            <w:r>
              <w:t>100,0</w:t>
            </w:r>
          </w:p>
        </w:tc>
      </w:tr>
      <w:tr w:rsidR="00AC0832" w:rsidTr="00A47D80">
        <w:trPr>
          <w:jc w:val="center"/>
        </w:trPr>
        <w:tc>
          <w:tcPr>
            <w:tcW w:w="2322" w:type="dxa"/>
          </w:tcPr>
          <w:p w:rsidR="00AC0832" w:rsidRDefault="00AC0832" w:rsidP="00A47D80">
            <w:pPr>
              <w:pStyle w:val="CellColumnSmall"/>
            </w:pPr>
            <w:r>
              <w:t>2202-MAKROEKONOMSKO PLANIRANJE I ISTRAŽIVANJE</w:t>
            </w:r>
          </w:p>
        </w:tc>
        <w:tc>
          <w:tcPr>
            <w:tcW w:w="2322" w:type="dxa"/>
          </w:tcPr>
          <w:p w:rsidR="00AC0832" w:rsidRDefault="00AC0832" w:rsidP="00A47D80">
            <w:pPr>
              <w:pStyle w:val="CellColumnSmall"/>
            </w:pPr>
            <w:r>
              <w:t>1.200.000</w:t>
            </w:r>
          </w:p>
        </w:tc>
        <w:tc>
          <w:tcPr>
            <w:tcW w:w="2322" w:type="dxa"/>
          </w:tcPr>
          <w:p w:rsidR="00AC0832" w:rsidRDefault="00AC0832" w:rsidP="00A47D80">
            <w:pPr>
              <w:pStyle w:val="CellColumnSmall"/>
            </w:pPr>
            <w:r>
              <w:t>576.213</w:t>
            </w:r>
          </w:p>
        </w:tc>
        <w:tc>
          <w:tcPr>
            <w:tcW w:w="2322" w:type="dxa"/>
          </w:tcPr>
          <w:p w:rsidR="00AC0832" w:rsidRDefault="00AC0832" w:rsidP="00A47D80">
            <w:pPr>
              <w:pStyle w:val="CellColumnSmall"/>
            </w:pPr>
            <w:r>
              <w:t>48,0</w:t>
            </w:r>
          </w:p>
        </w:tc>
      </w:tr>
      <w:tr w:rsidR="00AC0832" w:rsidTr="00A47D80">
        <w:trPr>
          <w:jc w:val="center"/>
        </w:trPr>
        <w:tc>
          <w:tcPr>
            <w:tcW w:w="2322" w:type="dxa"/>
          </w:tcPr>
          <w:p w:rsidR="00AC0832" w:rsidRDefault="00AC0832" w:rsidP="00A47D80">
            <w:pPr>
              <w:pStyle w:val="CellColumnSmall"/>
            </w:pPr>
            <w:r>
              <w:t>2203-UPRAVLJANJE SUSTAVOM JAVNIH FINANCIJA</w:t>
            </w:r>
          </w:p>
        </w:tc>
        <w:tc>
          <w:tcPr>
            <w:tcW w:w="2322" w:type="dxa"/>
          </w:tcPr>
          <w:p w:rsidR="00AC0832" w:rsidRDefault="00AC0832" w:rsidP="00A47D80">
            <w:pPr>
              <w:pStyle w:val="CellColumnSmall"/>
            </w:pPr>
            <w:r>
              <w:t>201.255.267</w:t>
            </w:r>
          </w:p>
        </w:tc>
        <w:tc>
          <w:tcPr>
            <w:tcW w:w="2322" w:type="dxa"/>
          </w:tcPr>
          <w:p w:rsidR="00AC0832" w:rsidRDefault="00AC0832" w:rsidP="00A47D80">
            <w:pPr>
              <w:pStyle w:val="CellColumnSmall"/>
            </w:pPr>
            <w:r>
              <w:t>186.657.852</w:t>
            </w:r>
          </w:p>
        </w:tc>
        <w:tc>
          <w:tcPr>
            <w:tcW w:w="2322" w:type="dxa"/>
          </w:tcPr>
          <w:p w:rsidR="00AC0832" w:rsidRDefault="00AC0832" w:rsidP="00A47D80">
            <w:pPr>
              <w:pStyle w:val="CellColumnSmall"/>
            </w:pPr>
            <w:r>
              <w:t>92,7</w:t>
            </w:r>
          </w:p>
        </w:tc>
      </w:tr>
      <w:tr w:rsidR="00AC0832" w:rsidTr="00A47D80">
        <w:trPr>
          <w:jc w:val="center"/>
        </w:trPr>
        <w:tc>
          <w:tcPr>
            <w:tcW w:w="2322" w:type="dxa"/>
          </w:tcPr>
          <w:p w:rsidR="00AC0832" w:rsidRDefault="00AC0832" w:rsidP="00A47D80">
            <w:pPr>
              <w:pStyle w:val="CellColumnSmall"/>
            </w:pPr>
            <w:r>
              <w:t>2204-FINANCIRANJE DECENTRALIZIRANIH FUNKCIJA</w:t>
            </w:r>
          </w:p>
        </w:tc>
        <w:tc>
          <w:tcPr>
            <w:tcW w:w="2322" w:type="dxa"/>
          </w:tcPr>
          <w:p w:rsidR="00AC0832" w:rsidRDefault="00AC0832" w:rsidP="00A47D80">
            <w:pPr>
              <w:pStyle w:val="CellColumnSmall"/>
            </w:pPr>
            <w:r>
              <w:t>1.337.216.965</w:t>
            </w:r>
          </w:p>
        </w:tc>
        <w:tc>
          <w:tcPr>
            <w:tcW w:w="2322" w:type="dxa"/>
          </w:tcPr>
          <w:p w:rsidR="00AC0832" w:rsidRDefault="00AC0832" w:rsidP="00A47D80">
            <w:pPr>
              <w:pStyle w:val="CellColumnSmall"/>
            </w:pPr>
            <w:r>
              <w:t>1.337.216.964</w:t>
            </w:r>
          </w:p>
        </w:tc>
        <w:tc>
          <w:tcPr>
            <w:tcW w:w="2322" w:type="dxa"/>
          </w:tcPr>
          <w:p w:rsidR="00AC0832" w:rsidRDefault="00AC0832" w:rsidP="00A47D80">
            <w:pPr>
              <w:pStyle w:val="CellColumnSmall"/>
            </w:pPr>
            <w:r>
              <w:t>100,0</w:t>
            </w:r>
          </w:p>
        </w:tc>
      </w:tr>
      <w:tr w:rsidR="00AC0832" w:rsidTr="00A47D80">
        <w:trPr>
          <w:jc w:val="center"/>
        </w:trPr>
        <w:tc>
          <w:tcPr>
            <w:tcW w:w="2322" w:type="dxa"/>
          </w:tcPr>
          <w:p w:rsidR="00AC0832" w:rsidRDefault="00AC0832" w:rsidP="00A47D80">
            <w:pPr>
              <w:pStyle w:val="CellColumnSmall"/>
            </w:pPr>
            <w:r>
              <w:t>2205-POMOĆI LOKALNOJ I PODRUČNOJ (REGIONALNOJ) SAMOUPRAVI</w:t>
            </w:r>
          </w:p>
        </w:tc>
        <w:tc>
          <w:tcPr>
            <w:tcW w:w="2322" w:type="dxa"/>
          </w:tcPr>
          <w:p w:rsidR="00AC0832" w:rsidRDefault="00AC0832" w:rsidP="00A47D80">
            <w:pPr>
              <w:pStyle w:val="CellColumnSmall"/>
            </w:pPr>
            <w:r>
              <w:t>350.802.675</w:t>
            </w:r>
          </w:p>
        </w:tc>
        <w:tc>
          <w:tcPr>
            <w:tcW w:w="2322" w:type="dxa"/>
          </w:tcPr>
          <w:p w:rsidR="00AC0832" w:rsidRDefault="00AC0832" w:rsidP="00A47D80">
            <w:pPr>
              <w:pStyle w:val="CellColumnSmall"/>
            </w:pPr>
            <w:r>
              <w:t>351.508.345</w:t>
            </w:r>
          </w:p>
        </w:tc>
        <w:tc>
          <w:tcPr>
            <w:tcW w:w="2322" w:type="dxa"/>
          </w:tcPr>
          <w:p w:rsidR="00AC0832" w:rsidRDefault="00AC0832" w:rsidP="00A47D80">
            <w:pPr>
              <w:pStyle w:val="CellColumnSmall"/>
            </w:pPr>
            <w:r>
              <w:t>100,2</w:t>
            </w:r>
          </w:p>
        </w:tc>
      </w:tr>
      <w:tr w:rsidR="00AC0832" w:rsidTr="00A47D80">
        <w:trPr>
          <w:jc w:val="center"/>
        </w:trPr>
        <w:tc>
          <w:tcPr>
            <w:tcW w:w="2322" w:type="dxa"/>
          </w:tcPr>
          <w:p w:rsidR="00AC0832" w:rsidRDefault="00AC0832" w:rsidP="00A47D80">
            <w:pPr>
              <w:pStyle w:val="CellColumnSmall"/>
            </w:pPr>
            <w:r>
              <w:t>2206-UPRAVLJANJE PRETPRISTUPNIM FONDOVIMA</w:t>
            </w:r>
          </w:p>
        </w:tc>
        <w:tc>
          <w:tcPr>
            <w:tcW w:w="2322" w:type="dxa"/>
          </w:tcPr>
          <w:p w:rsidR="00AC0832" w:rsidRDefault="00AC0832" w:rsidP="00A47D80">
            <w:pPr>
              <w:pStyle w:val="CellColumnSmall"/>
            </w:pPr>
            <w:r>
              <w:t>1.100.001</w:t>
            </w:r>
          </w:p>
        </w:tc>
        <w:tc>
          <w:tcPr>
            <w:tcW w:w="2322" w:type="dxa"/>
          </w:tcPr>
          <w:p w:rsidR="00AC0832" w:rsidRDefault="00AC0832" w:rsidP="00A47D80">
            <w:pPr>
              <w:pStyle w:val="CellColumnSmall"/>
            </w:pPr>
            <w:r>
              <w:t>40.574.313</w:t>
            </w:r>
          </w:p>
        </w:tc>
        <w:tc>
          <w:tcPr>
            <w:tcW w:w="2322" w:type="dxa"/>
          </w:tcPr>
          <w:p w:rsidR="00AC0832" w:rsidRDefault="00AC0832" w:rsidP="00A47D80">
            <w:pPr>
              <w:pStyle w:val="CellColumnSmall"/>
            </w:pPr>
            <w:r>
              <w:t>3688,6</w:t>
            </w:r>
          </w:p>
        </w:tc>
      </w:tr>
      <w:tr w:rsidR="00AC0832" w:rsidTr="00A47D80">
        <w:trPr>
          <w:jc w:val="center"/>
        </w:trPr>
        <w:tc>
          <w:tcPr>
            <w:tcW w:w="2322" w:type="dxa"/>
          </w:tcPr>
          <w:p w:rsidR="00AC0832" w:rsidRDefault="00AC0832" w:rsidP="00A47D80">
            <w:pPr>
              <w:pStyle w:val="CellColumnSmall"/>
            </w:pPr>
            <w:r>
              <w:t>2304-SUDJELOVANJE I PARTICIPACIJA U MEĐUNARODNIM ORGANIZACIJAMA I INSTITUCIJAMA EUROPSKE UNIJE</w:t>
            </w:r>
          </w:p>
        </w:tc>
        <w:tc>
          <w:tcPr>
            <w:tcW w:w="2322" w:type="dxa"/>
          </w:tcPr>
          <w:p w:rsidR="00AC0832" w:rsidRDefault="00AC0832" w:rsidP="00A47D80">
            <w:pPr>
              <w:pStyle w:val="CellColumnSmall"/>
            </w:pPr>
            <w:r>
              <w:t>14.511.556</w:t>
            </w:r>
          </w:p>
        </w:tc>
        <w:tc>
          <w:tcPr>
            <w:tcW w:w="2322" w:type="dxa"/>
          </w:tcPr>
          <w:p w:rsidR="00AC0832" w:rsidRDefault="00AC0832" w:rsidP="00A47D80">
            <w:pPr>
              <w:pStyle w:val="CellColumnSmall"/>
            </w:pPr>
            <w:r>
              <w:t>6.502.799</w:t>
            </w:r>
          </w:p>
        </w:tc>
        <w:tc>
          <w:tcPr>
            <w:tcW w:w="2322" w:type="dxa"/>
          </w:tcPr>
          <w:p w:rsidR="00AC0832" w:rsidRDefault="00AC0832" w:rsidP="00A47D80">
            <w:pPr>
              <w:pStyle w:val="CellColumnSmall"/>
            </w:pPr>
            <w:r>
              <w:t>44,8</w:t>
            </w:r>
          </w:p>
        </w:tc>
      </w:tr>
      <w:tr w:rsidR="00AC0832" w:rsidTr="00A47D80">
        <w:trPr>
          <w:jc w:val="center"/>
        </w:trPr>
        <w:tc>
          <w:tcPr>
            <w:tcW w:w="2322" w:type="dxa"/>
          </w:tcPr>
          <w:p w:rsidR="00AC0832" w:rsidRDefault="00AC0832" w:rsidP="00A47D80">
            <w:pPr>
              <w:pStyle w:val="CellColumnSmall"/>
            </w:pPr>
            <w:r>
              <w:t>2305-OBVEZE RH PREMA MEĐUNARODNIM SPORAZUMIMA S BIH</w:t>
            </w:r>
          </w:p>
        </w:tc>
        <w:tc>
          <w:tcPr>
            <w:tcW w:w="2322" w:type="dxa"/>
          </w:tcPr>
          <w:p w:rsidR="00AC0832" w:rsidRDefault="00AC0832" w:rsidP="00A47D80">
            <w:pPr>
              <w:pStyle w:val="CellColumnSmall"/>
            </w:pPr>
            <w:r>
              <w:t>15.000.000</w:t>
            </w:r>
          </w:p>
        </w:tc>
        <w:tc>
          <w:tcPr>
            <w:tcW w:w="2322" w:type="dxa"/>
          </w:tcPr>
          <w:p w:rsidR="00AC0832" w:rsidRDefault="00AC0832" w:rsidP="00A47D80">
            <w:pPr>
              <w:pStyle w:val="CellColumnSmall"/>
            </w:pPr>
            <w:r>
              <w:t>15.000.000</w:t>
            </w:r>
          </w:p>
        </w:tc>
        <w:tc>
          <w:tcPr>
            <w:tcW w:w="2322" w:type="dxa"/>
          </w:tcPr>
          <w:p w:rsidR="00AC0832" w:rsidRDefault="00AC0832" w:rsidP="00A47D80">
            <w:pPr>
              <w:pStyle w:val="CellColumnSmall"/>
            </w:pPr>
            <w:r>
              <w:t>100,0</w:t>
            </w:r>
          </w:p>
        </w:tc>
      </w:tr>
      <w:tr w:rsidR="00AC0832" w:rsidTr="00A47D80">
        <w:trPr>
          <w:jc w:val="center"/>
        </w:trPr>
        <w:tc>
          <w:tcPr>
            <w:tcW w:w="2322" w:type="dxa"/>
          </w:tcPr>
          <w:p w:rsidR="00AC0832" w:rsidRDefault="00AC0832" w:rsidP="00A47D80">
            <w:pPr>
              <w:pStyle w:val="CellColumnSmall"/>
            </w:pPr>
            <w:r>
              <w:t>2403-PROVEDBA OSIGURANJA ZAPOSLENIH I IMOVINE PRORAČUNSKIH KORISNIKA</w:t>
            </w:r>
          </w:p>
        </w:tc>
        <w:tc>
          <w:tcPr>
            <w:tcW w:w="2322" w:type="dxa"/>
          </w:tcPr>
          <w:p w:rsidR="00AC0832" w:rsidRDefault="00AC0832" w:rsidP="00A47D80">
            <w:pPr>
              <w:pStyle w:val="CellColumnSmall"/>
            </w:pPr>
            <w:r>
              <w:t>12.000.000</w:t>
            </w:r>
          </w:p>
        </w:tc>
        <w:tc>
          <w:tcPr>
            <w:tcW w:w="2322" w:type="dxa"/>
          </w:tcPr>
          <w:p w:rsidR="00AC0832" w:rsidRDefault="00AC0832" w:rsidP="00A47D80">
            <w:pPr>
              <w:pStyle w:val="CellColumnSmall"/>
            </w:pPr>
            <w:r>
              <w:t>11.930.380</w:t>
            </w:r>
          </w:p>
        </w:tc>
        <w:tc>
          <w:tcPr>
            <w:tcW w:w="2322" w:type="dxa"/>
          </w:tcPr>
          <w:p w:rsidR="00AC0832" w:rsidRDefault="00AC0832" w:rsidP="00A47D80">
            <w:pPr>
              <w:pStyle w:val="CellColumnSmall"/>
            </w:pPr>
            <w:r>
              <w:t>99,4</w:t>
            </w:r>
          </w:p>
        </w:tc>
      </w:tr>
      <w:tr w:rsidR="00AC0832" w:rsidTr="00A47D80">
        <w:trPr>
          <w:jc w:val="center"/>
        </w:trPr>
        <w:tc>
          <w:tcPr>
            <w:tcW w:w="2322" w:type="dxa"/>
          </w:tcPr>
          <w:p w:rsidR="00AC0832" w:rsidRDefault="00AC0832" w:rsidP="00A47D80">
            <w:pPr>
              <w:pStyle w:val="CellColumnSmall"/>
            </w:pPr>
            <w:r>
              <w:t>2813-NAKNADE ZA ODUZETU IMOVINU I ISPLATE PO SUDSKIM RJEŠENJIMA</w:t>
            </w:r>
          </w:p>
        </w:tc>
        <w:tc>
          <w:tcPr>
            <w:tcW w:w="2322" w:type="dxa"/>
          </w:tcPr>
          <w:p w:rsidR="00AC0832" w:rsidRDefault="00AC0832" w:rsidP="00A47D80">
            <w:pPr>
              <w:pStyle w:val="CellColumnSmall"/>
            </w:pPr>
            <w:r>
              <w:t>129.843.464</w:t>
            </w:r>
          </w:p>
        </w:tc>
        <w:tc>
          <w:tcPr>
            <w:tcW w:w="2322" w:type="dxa"/>
          </w:tcPr>
          <w:p w:rsidR="00AC0832" w:rsidRDefault="00AC0832" w:rsidP="00A47D80">
            <w:pPr>
              <w:pStyle w:val="CellColumnSmall"/>
            </w:pPr>
            <w:r>
              <w:t>125.898.261</w:t>
            </w:r>
          </w:p>
        </w:tc>
        <w:tc>
          <w:tcPr>
            <w:tcW w:w="2322" w:type="dxa"/>
          </w:tcPr>
          <w:p w:rsidR="00AC0832" w:rsidRDefault="00AC0832" w:rsidP="00A47D80">
            <w:pPr>
              <w:pStyle w:val="CellColumnSmall"/>
            </w:pPr>
            <w:r>
              <w:t>97,0</w:t>
            </w:r>
          </w:p>
        </w:tc>
      </w:tr>
      <w:tr w:rsidR="00AC0832" w:rsidTr="00A47D80">
        <w:trPr>
          <w:jc w:val="center"/>
        </w:trPr>
        <w:tc>
          <w:tcPr>
            <w:tcW w:w="2322" w:type="dxa"/>
          </w:tcPr>
          <w:p w:rsidR="00AC0832" w:rsidRDefault="00AC0832" w:rsidP="00A47D80">
            <w:pPr>
              <w:pStyle w:val="CellColumnSmall"/>
            </w:pPr>
            <w:r>
              <w:t>3210-KREDITNI I JAMSTVENI PROGRAMI U GOSPODARSTVU</w:t>
            </w:r>
          </w:p>
        </w:tc>
        <w:tc>
          <w:tcPr>
            <w:tcW w:w="2322" w:type="dxa"/>
          </w:tcPr>
          <w:p w:rsidR="00AC0832" w:rsidRDefault="00AC0832" w:rsidP="00A47D80">
            <w:pPr>
              <w:pStyle w:val="CellColumnSmall"/>
            </w:pPr>
            <w:r>
              <w:t>1.701.575.000</w:t>
            </w:r>
          </w:p>
        </w:tc>
        <w:tc>
          <w:tcPr>
            <w:tcW w:w="2322" w:type="dxa"/>
          </w:tcPr>
          <w:p w:rsidR="00AC0832" w:rsidRDefault="00AC0832" w:rsidP="00A47D80">
            <w:pPr>
              <w:pStyle w:val="CellColumnSmall"/>
            </w:pPr>
            <w:r>
              <w:t>1.234.423.437</w:t>
            </w:r>
          </w:p>
        </w:tc>
        <w:tc>
          <w:tcPr>
            <w:tcW w:w="2322" w:type="dxa"/>
          </w:tcPr>
          <w:p w:rsidR="00AC0832" w:rsidRDefault="00AC0832" w:rsidP="00A47D80">
            <w:pPr>
              <w:pStyle w:val="CellColumnSmall"/>
            </w:pPr>
            <w:r>
              <w:t>72,5</w:t>
            </w:r>
          </w:p>
        </w:tc>
      </w:tr>
      <w:tr w:rsidR="00AC0832" w:rsidTr="00A47D80">
        <w:trPr>
          <w:jc w:val="center"/>
        </w:trPr>
        <w:tc>
          <w:tcPr>
            <w:tcW w:w="2322" w:type="dxa"/>
          </w:tcPr>
          <w:p w:rsidR="00AC0832" w:rsidRDefault="00AC0832" w:rsidP="00A47D80">
            <w:pPr>
              <w:pStyle w:val="CellColumnSmall"/>
            </w:pPr>
            <w:r>
              <w:t>3404-OBNOVA I RAZVITAK LOKALNE INFRASTRUKTURE I ZAŠTITA OKOLIŠA - MEIP</w:t>
            </w:r>
          </w:p>
        </w:tc>
        <w:tc>
          <w:tcPr>
            <w:tcW w:w="2322" w:type="dxa"/>
          </w:tcPr>
          <w:p w:rsidR="00AC0832" w:rsidRDefault="00AC0832" w:rsidP="00A47D80">
            <w:pPr>
              <w:pStyle w:val="CellColumnSmall"/>
            </w:pPr>
            <w:r>
              <w:t>20.000.000</w:t>
            </w:r>
          </w:p>
        </w:tc>
        <w:tc>
          <w:tcPr>
            <w:tcW w:w="2322" w:type="dxa"/>
          </w:tcPr>
          <w:p w:rsidR="00AC0832" w:rsidRDefault="00AC0832" w:rsidP="00A47D80">
            <w:pPr>
              <w:pStyle w:val="CellColumnSmall"/>
            </w:pPr>
            <w:r>
              <w:t>20.000.000</w:t>
            </w:r>
          </w:p>
        </w:tc>
        <w:tc>
          <w:tcPr>
            <w:tcW w:w="2322" w:type="dxa"/>
          </w:tcPr>
          <w:p w:rsidR="00AC0832" w:rsidRDefault="00AC0832" w:rsidP="00A47D80">
            <w:pPr>
              <w:pStyle w:val="CellColumnSmall"/>
            </w:pPr>
            <w:r>
              <w:t>100,0</w:t>
            </w:r>
          </w:p>
        </w:tc>
      </w:tr>
      <w:tr w:rsidR="00AC0832" w:rsidTr="00A47D80">
        <w:trPr>
          <w:jc w:val="center"/>
        </w:trPr>
        <w:tc>
          <w:tcPr>
            <w:tcW w:w="2322" w:type="dxa"/>
          </w:tcPr>
          <w:p w:rsidR="00AC0832" w:rsidRDefault="00AC0832" w:rsidP="00A47D80">
            <w:pPr>
              <w:pStyle w:val="CellColumnSmall"/>
            </w:pPr>
            <w:r>
              <w:t>3506-POTICANJE STAMBENE ŠTEDNJE</w:t>
            </w:r>
          </w:p>
        </w:tc>
        <w:tc>
          <w:tcPr>
            <w:tcW w:w="2322" w:type="dxa"/>
          </w:tcPr>
          <w:p w:rsidR="00AC0832" w:rsidRDefault="00AC0832" w:rsidP="00A47D80">
            <w:pPr>
              <w:pStyle w:val="CellColumnSmall"/>
            </w:pPr>
            <w:r>
              <w:t>186.001.450</w:t>
            </w:r>
          </w:p>
        </w:tc>
        <w:tc>
          <w:tcPr>
            <w:tcW w:w="2322" w:type="dxa"/>
          </w:tcPr>
          <w:p w:rsidR="00AC0832" w:rsidRDefault="00AC0832" w:rsidP="00A47D80">
            <w:pPr>
              <w:pStyle w:val="CellColumnSmall"/>
            </w:pPr>
            <w:r>
              <w:t>185.182.382</w:t>
            </w:r>
          </w:p>
        </w:tc>
        <w:tc>
          <w:tcPr>
            <w:tcW w:w="2322" w:type="dxa"/>
          </w:tcPr>
          <w:p w:rsidR="00AC0832" w:rsidRDefault="00AC0832" w:rsidP="00A47D80">
            <w:pPr>
              <w:pStyle w:val="CellColumnSmall"/>
            </w:pPr>
            <w:r>
              <w:t>99,6</w:t>
            </w:r>
          </w:p>
        </w:tc>
      </w:tr>
      <w:tr w:rsidR="00AC0832" w:rsidTr="00A47D80">
        <w:trPr>
          <w:jc w:val="center"/>
        </w:trPr>
        <w:tc>
          <w:tcPr>
            <w:tcW w:w="2322" w:type="dxa"/>
          </w:tcPr>
          <w:p w:rsidR="00AC0832" w:rsidRDefault="00AC0832" w:rsidP="00A47D80">
            <w:pPr>
              <w:pStyle w:val="CellColumnSmall"/>
            </w:pPr>
            <w:r>
              <w:t>3913-POTPORE VJERSKIM ZAJEDNICAMA</w:t>
            </w:r>
          </w:p>
        </w:tc>
        <w:tc>
          <w:tcPr>
            <w:tcW w:w="2322" w:type="dxa"/>
          </w:tcPr>
          <w:p w:rsidR="00AC0832" w:rsidRDefault="00AC0832" w:rsidP="00A47D80">
            <w:pPr>
              <w:pStyle w:val="CellColumnSmall"/>
            </w:pPr>
            <w:r>
              <w:t>272.119.000</w:t>
            </w:r>
          </w:p>
        </w:tc>
        <w:tc>
          <w:tcPr>
            <w:tcW w:w="2322" w:type="dxa"/>
          </w:tcPr>
          <w:p w:rsidR="00AC0832" w:rsidRDefault="00AC0832" w:rsidP="00A47D80">
            <w:pPr>
              <w:pStyle w:val="CellColumnSmall"/>
            </w:pPr>
            <w:r>
              <w:t>271.659.436</w:t>
            </w:r>
          </w:p>
        </w:tc>
        <w:tc>
          <w:tcPr>
            <w:tcW w:w="2322" w:type="dxa"/>
          </w:tcPr>
          <w:p w:rsidR="00AC0832" w:rsidRDefault="00AC0832" w:rsidP="00A47D80">
            <w:pPr>
              <w:pStyle w:val="CellColumnSmall"/>
            </w:pPr>
            <w:r>
              <w:t>99,8</w:t>
            </w:r>
          </w:p>
        </w:tc>
      </w:tr>
      <w:tr w:rsidR="00AC0832" w:rsidTr="00A47D80">
        <w:trPr>
          <w:jc w:val="center"/>
        </w:trPr>
        <w:tc>
          <w:tcPr>
            <w:tcW w:w="2322" w:type="dxa"/>
          </w:tcPr>
          <w:p w:rsidR="00AC0832" w:rsidRDefault="00AC0832" w:rsidP="00A47D80">
            <w:pPr>
              <w:pStyle w:val="CellColumnSmall"/>
            </w:pPr>
            <w:r>
              <w:t>4004-POTPORE ORGANIZACIJAMA, KUĆANSTVIMA I GOSPODARSTVU</w:t>
            </w:r>
          </w:p>
        </w:tc>
        <w:tc>
          <w:tcPr>
            <w:tcW w:w="2322" w:type="dxa"/>
          </w:tcPr>
          <w:p w:rsidR="00AC0832" w:rsidRDefault="00AC0832" w:rsidP="00A47D80">
            <w:pPr>
              <w:pStyle w:val="CellColumnSmall"/>
            </w:pPr>
            <w:r>
              <w:t>36.863.176</w:t>
            </w:r>
          </w:p>
        </w:tc>
        <w:tc>
          <w:tcPr>
            <w:tcW w:w="2322" w:type="dxa"/>
          </w:tcPr>
          <w:p w:rsidR="00AC0832" w:rsidRDefault="00AC0832" w:rsidP="00A47D80">
            <w:pPr>
              <w:pStyle w:val="CellColumnSmall"/>
            </w:pPr>
            <w:r>
              <w:t>21.620.704</w:t>
            </w:r>
          </w:p>
        </w:tc>
        <w:tc>
          <w:tcPr>
            <w:tcW w:w="2322" w:type="dxa"/>
          </w:tcPr>
          <w:p w:rsidR="00AC0832" w:rsidRDefault="00AC0832" w:rsidP="00A47D80">
            <w:pPr>
              <w:pStyle w:val="CellColumnSmall"/>
            </w:pPr>
            <w:r>
              <w:t>58,7</w:t>
            </w:r>
          </w:p>
        </w:tc>
      </w:tr>
      <w:tr w:rsidR="00AC0832" w:rsidTr="00A47D80">
        <w:trPr>
          <w:jc w:val="center"/>
        </w:trPr>
        <w:tc>
          <w:tcPr>
            <w:tcW w:w="2322" w:type="dxa"/>
          </w:tcPr>
          <w:p w:rsidR="00AC0832" w:rsidRDefault="00AC0832" w:rsidP="00A47D80">
            <w:pPr>
              <w:pStyle w:val="CellColumnSmall"/>
            </w:pPr>
            <w:r>
              <w:t>4104-POTICAJI ZA ČLANOVE DOBROVOLJNIH MIROVINSKIH FONDOVA</w:t>
            </w:r>
          </w:p>
        </w:tc>
        <w:tc>
          <w:tcPr>
            <w:tcW w:w="2322" w:type="dxa"/>
          </w:tcPr>
          <w:p w:rsidR="00AC0832" w:rsidRDefault="00AC0832" w:rsidP="00A47D80">
            <w:pPr>
              <w:pStyle w:val="CellColumnSmall"/>
            </w:pPr>
            <w:r>
              <w:t>40.528.640</w:t>
            </w:r>
          </w:p>
        </w:tc>
        <w:tc>
          <w:tcPr>
            <w:tcW w:w="2322" w:type="dxa"/>
          </w:tcPr>
          <w:p w:rsidR="00AC0832" w:rsidRDefault="00AC0832" w:rsidP="00A47D80">
            <w:pPr>
              <w:pStyle w:val="CellColumnSmall"/>
            </w:pPr>
            <w:r>
              <w:t>38.222.345</w:t>
            </w:r>
          </w:p>
        </w:tc>
        <w:tc>
          <w:tcPr>
            <w:tcW w:w="2322" w:type="dxa"/>
          </w:tcPr>
          <w:p w:rsidR="00AC0832" w:rsidRDefault="00AC0832" w:rsidP="00A47D80">
            <w:pPr>
              <w:pStyle w:val="CellColumnSmall"/>
            </w:pPr>
            <w:r>
              <w:t>94,3</w:t>
            </w:r>
          </w:p>
        </w:tc>
      </w:tr>
      <w:tr w:rsidR="00AC0832" w:rsidTr="00A47D80">
        <w:trPr>
          <w:jc w:val="center"/>
        </w:trPr>
        <w:tc>
          <w:tcPr>
            <w:tcW w:w="2322" w:type="dxa"/>
          </w:tcPr>
          <w:p w:rsidR="00AC0832" w:rsidRDefault="00AC0832" w:rsidP="00A47D80">
            <w:pPr>
              <w:pStyle w:val="CellColumnSmall"/>
            </w:pPr>
            <w:r>
              <w:t>4201-SERVISIRANJE UNUTARNJEG DUGA</w:t>
            </w:r>
          </w:p>
        </w:tc>
        <w:tc>
          <w:tcPr>
            <w:tcW w:w="2322" w:type="dxa"/>
          </w:tcPr>
          <w:p w:rsidR="00AC0832" w:rsidRDefault="00AC0832" w:rsidP="00A47D80">
            <w:pPr>
              <w:pStyle w:val="CellColumnSmall"/>
            </w:pPr>
            <w:r>
              <w:t>12.557.100.133</w:t>
            </w:r>
          </w:p>
        </w:tc>
        <w:tc>
          <w:tcPr>
            <w:tcW w:w="2322" w:type="dxa"/>
          </w:tcPr>
          <w:p w:rsidR="00AC0832" w:rsidRDefault="00AC0832" w:rsidP="00A47D80">
            <w:pPr>
              <w:pStyle w:val="CellColumnSmall"/>
            </w:pPr>
            <w:r>
              <w:t>14.689.002.388</w:t>
            </w:r>
          </w:p>
        </w:tc>
        <w:tc>
          <w:tcPr>
            <w:tcW w:w="2322" w:type="dxa"/>
          </w:tcPr>
          <w:p w:rsidR="00AC0832" w:rsidRDefault="00AC0832" w:rsidP="00A47D80">
            <w:pPr>
              <w:pStyle w:val="CellColumnSmall"/>
            </w:pPr>
            <w:r>
              <w:t>117,0</w:t>
            </w:r>
          </w:p>
        </w:tc>
      </w:tr>
      <w:tr w:rsidR="00AC0832" w:rsidTr="00A47D80">
        <w:trPr>
          <w:jc w:val="center"/>
        </w:trPr>
        <w:tc>
          <w:tcPr>
            <w:tcW w:w="2322" w:type="dxa"/>
          </w:tcPr>
          <w:p w:rsidR="00AC0832" w:rsidRDefault="00AC0832" w:rsidP="00A47D80">
            <w:pPr>
              <w:pStyle w:val="CellColumnSmall"/>
            </w:pPr>
            <w:r>
              <w:t>4202-SERVISIRANJE VANJSKOG DUGA</w:t>
            </w:r>
          </w:p>
        </w:tc>
        <w:tc>
          <w:tcPr>
            <w:tcW w:w="2322" w:type="dxa"/>
          </w:tcPr>
          <w:p w:rsidR="00AC0832" w:rsidRDefault="00AC0832" w:rsidP="00A47D80">
            <w:pPr>
              <w:pStyle w:val="CellColumnSmall"/>
            </w:pPr>
            <w:r>
              <w:t>4.346.390.381</w:t>
            </w:r>
          </w:p>
        </w:tc>
        <w:tc>
          <w:tcPr>
            <w:tcW w:w="2322" w:type="dxa"/>
          </w:tcPr>
          <w:p w:rsidR="00AC0832" w:rsidRDefault="00AC0832" w:rsidP="00A47D80">
            <w:pPr>
              <w:pStyle w:val="CellColumnSmall"/>
            </w:pPr>
            <w:r>
              <w:t>4.479.908.855</w:t>
            </w:r>
          </w:p>
        </w:tc>
        <w:tc>
          <w:tcPr>
            <w:tcW w:w="2322" w:type="dxa"/>
          </w:tcPr>
          <w:p w:rsidR="00AC0832" w:rsidRDefault="00AC0832" w:rsidP="00A47D80">
            <w:pPr>
              <w:pStyle w:val="CellColumnSmall"/>
            </w:pPr>
            <w:r>
              <w:t>103,1</w:t>
            </w:r>
          </w:p>
        </w:tc>
      </w:tr>
      <w:tr w:rsidR="00AC0832" w:rsidTr="00A47D80">
        <w:trPr>
          <w:jc w:val="center"/>
        </w:trPr>
        <w:tc>
          <w:tcPr>
            <w:tcW w:w="2322" w:type="dxa"/>
          </w:tcPr>
          <w:p w:rsidR="00AC0832" w:rsidRDefault="00AC0832" w:rsidP="00A47D80">
            <w:pPr>
              <w:pStyle w:val="CellColumnSmall"/>
            </w:pPr>
            <w:r>
              <w:t>4301-PRORAČUNSKA ZALIHA</w:t>
            </w:r>
          </w:p>
        </w:tc>
        <w:tc>
          <w:tcPr>
            <w:tcW w:w="2322" w:type="dxa"/>
          </w:tcPr>
          <w:p w:rsidR="00AC0832" w:rsidRDefault="00AC0832" w:rsidP="00A47D80">
            <w:pPr>
              <w:pStyle w:val="CellColumnSmall"/>
            </w:pPr>
            <w:r>
              <w:t>160.075.000</w:t>
            </w:r>
          </w:p>
        </w:tc>
        <w:tc>
          <w:tcPr>
            <w:tcW w:w="2322" w:type="dxa"/>
          </w:tcPr>
          <w:p w:rsidR="00AC0832" w:rsidRDefault="00AC0832" w:rsidP="00A47D80">
            <w:pPr>
              <w:pStyle w:val="CellColumnSmall"/>
            </w:pPr>
            <w:r>
              <w:t>139.090.812</w:t>
            </w:r>
          </w:p>
        </w:tc>
        <w:tc>
          <w:tcPr>
            <w:tcW w:w="2322" w:type="dxa"/>
          </w:tcPr>
          <w:p w:rsidR="00AC0832" w:rsidRDefault="00AC0832" w:rsidP="00A47D80">
            <w:pPr>
              <w:pStyle w:val="CellColumnSmall"/>
            </w:pPr>
            <w:r>
              <w:t>86,9</w:t>
            </w:r>
          </w:p>
        </w:tc>
      </w:tr>
      <w:tr w:rsidR="00AC0832" w:rsidTr="00A47D80">
        <w:trPr>
          <w:jc w:val="center"/>
        </w:trPr>
        <w:tc>
          <w:tcPr>
            <w:tcW w:w="2322" w:type="dxa"/>
          </w:tcPr>
          <w:p w:rsidR="00AC0832" w:rsidRDefault="00AC0832" w:rsidP="00A47D80">
            <w:pPr>
              <w:pStyle w:val="CellColumnSmall"/>
            </w:pPr>
            <w:r>
              <w:t>4303-OTKLANJANJE POSLJEDICA ELEMENTARNIH NEPOGODA</w:t>
            </w:r>
          </w:p>
        </w:tc>
        <w:tc>
          <w:tcPr>
            <w:tcW w:w="2322" w:type="dxa"/>
          </w:tcPr>
          <w:p w:rsidR="00AC0832" w:rsidRDefault="00AC0832" w:rsidP="00A47D80">
            <w:pPr>
              <w:pStyle w:val="CellColumnSmall"/>
            </w:pPr>
            <w:r>
              <w:t>19.015.000</w:t>
            </w:r>
          </w:p>
        </w:tc>
        <w:tc>
          <w:tcPr>
            <w:tcW w:w="2322" w:type="dxa"/>
          </w:tcPr>
          <w:p w:rsidR="00AC0832" w:rsidRDefault="00AC0832" w:rsidP="00A47D80">
            <w:pPr>
              <w:pStyle w:val="CellColumnSmall"/>
            </w:pPr>
            <w:r>
              <w:t>5.145.314</w:t>
            </w:r>
          </w:p>
        </w:tc>
        <w:tc>
          <w:tcPr>
            <w:tcW w:w="2322" w:type="dxa"/>
          </w:tcPr>
          <w:p w:rsidR="00AC0832" w:rsidRDefault="00AC0832" w:rsidP="00A47D80">
            <w:pPr>
              <w:pStyle w:val="CellColumnSmall"/>
            </w:pPr>
            <w:r>
              <w:t>27,1</w:t>
            </w:r>
          </w:p>
        </w:tc>
      </w:tr>
    </w:tbl>
    <w:p w:rsidR="00AC0832" w:rsidRDefault="00AC0832" w:rsidP="00C63D4C">
      <w:pPr>
        <w:jc w:val="left"/>
      </w:pPr>
    </w:p>
    <w:p w:rsidR="00AC0832" w:rsidRDefault="00AC0832" w:rsidP="00C63D4C">
      <w:pPr>
        <w:pStyle w:val="Heading4"/>
      </w:pPr>
      <w:r>
        <w:t>OBRAZLOŽENJE PROGRAMA</w:t>
      </w:r>
    </w:p>
    <w:p w:rsidR="00AC0832" w:rsidRDefault="00AC0832" w:rsidP="00C63D4C">
      <w:pPr>
        <w:pStyle w:val="Heading5"/>
      </w:pPr>
      <w:r>
        <w:t>2114 POTPORE POLITIČKIM STRANKAMA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2114-POTPORE POLITIČKIM STRANKAMA</w:t>
            </w:r>
          </w:p>
        </w:tc>
        <w:tc>
          <w:tcPr>
            <w:tcW w:w="2322" w:type="dxa"/>
          </w:tcPr>
          <w:p w:rsidR="00AC0832" w:rsidRDefault="00AC0832" w:rsidP="00A47D80">
            <w:pPr>
              <w:pStyle w:val="CellColumn"/>
            </w:pPr>
            <w:r>
              <w:t>50.161.666</w:t>
            </w:r>
          </w:p>
        </w:tc>
        <w:tc>
          <w:tcPr>
            <w:tcW w:w="2322" w:type="dxa"/>
          </w:tcPr>
          <w:p w:rsidR="00AC0832" w:rsidRDefault="00AC0832" w:rsidP="00A47D80">
            <w:pPr>
              <w:pStyle w:val="CellColumn"/>
            </w:pPr>
            <w:r>
              <w:t>50.161.666</w:t>
            </w:r>
          </w:p>
        </w:tc>
        <w:tc>
          <w:tcPr>
            <w:tcW w:w="2322" w:type="dxa"/>
          </w:tcPr>
          <w:p w:rsidR="00AC0832" w:rsidRDefault="00AC0832" w:rsidP="00A47D80">
            <w:pPr>
              <w:pStyle w:val="CellColumn"/>
            </w:pPr>
            <w:r>
              <w:t>100,0</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Političke stranke se definiraju kao neprofitne udruge koje politički djeluju u skladu, a s ciljevima utvrđenim programom i statutom. One mogu stjecati prihode od članarina, dobrovoljnih priloga, izdavačke djelatnosti, prodaje propagandnog materijala, organizacije stranačkih manifestacija, od imovine u svojem vlasništvu, iz sredstava državnog proračuna te proračuna jedinica lokalne i područne (regionalne) samouprave. Ovaj program se povezuje s Općim ciljem 3. Jačanje pravne države i vladavine prava iz Strategije Vladinih programa za razdoblje 2012.-2014.</w:t>
      </w:r>
    </w:p>
    <w:p w:rsidR="00AC0832" w:rsidRDefault="00AC0832" w:rsidP="00C63D4C">
      <w:pPr>
        <w:pStyle w:val="Heading6"/>
      </w:pPr>
      <w:r>
        <w:t>Zakonske i druge pravne osnove</w:t>
      </w:r>
    </w:p>
    <w:p w:rsidR="00AC0832" w:rsidRDefault="00AC0832" w:rsidP="00C63D4C">
      <w:pPr>
        <w:pStyle w:val="Normal5"/>
      </w:pPr>
      <w:r>
        <w:t>Zakon o financiranju političkih aktivnosti i izborne promidžbe (NN 24/11, 61/11).</w:t>
      </w:r>
    </w:p>
    <w:p w:rsidR="00AC0832" w:rsidRDefault="00AC0832" w:rsidP="00C63D4C">
      <w:pPr>
        <w:pStyle w:val="Heading7"/>
      </w:pPr>
      <w:r>
        <w:t>Cilj 1. Očuvanje demokratskog i višestranačkog sustava</w:t>
      </w:r>
    </w:p>
    <w:p w:rsidR="00AC0832" w:rsidRDefault="00AC0832" w:rsidP="00C63D4C">
      <w:pPr>
        <w:pStyle w:val="Heading8"/>
        <w:jc w:val="left"/>
      </w:pPr>
      <w:r>
        <w:t>Opis provedbe cilja programa</w:t>
      </w:r>
    </w:p>
    <w:p w:rsidR="00AC0832" w:rsidRDefault="00AC0832" w:rsidP="00C63D4C">
      <w:pPr>
        <w:pStyle w:val="Normal6"/>
      </w:pPr>
      <w:r>
        <w:t>Poticanjem osnivanja i rada političkih stranaka ostvaruje se demokratski i višestranački sustav, odnosno jedna od najviših ustavnih vrednota Republike Hrvatske.</w:t>
      </w:r>
    </w:p>
    <w:p w:rsidR="00AC0832" w:rsidRDefault="00AC0832" w:rsidP="00C63D4C">
      <w:pPr>
        <w:pStyle w:val="Heading6"/>
      </w:pPr>
      <w:r>
        <w:t>A539232 POTPORE POLITIČKIM STRANKAMA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A539232-POTPORE POLITIČKIM STRANKAMA</w:t>
            </w:r>
          </w:p>
        </w:tc>
        <w:tc>
          <w:tcPr>
            <w:tcW w:w="2322" w:type="dxa"/>
          </w:tcPr>
          <w:p w:rsidR="00AC0832" w:rsidRDefault="00AC0832" w:rsidP="00A47D80">
            <w:pPr>
              <w:pStyle w:val="CellColumn"/>
            </w:pPr>
            <w:r>
              <w:t>50.161.666</w:t>
            </w:r>
          </w:p>
        </w:tc>
        <w:tc>
          <w:tcPr>
            <w:tcW w:w="2322" w:type="dxa"/>
          </w:tcPr>
          <w:p w:rsidR="00AC0832" w:rsidRDefault="00AC0832" w:rsidP="00A47D80">
            <w:pPr>
              <w:pStyle w:val="CellColumn"/>
            </w:pPr>
            <w:r>
              <w:t>50.161.666</w:t>
            </w:r>
          </w:p>
        </w:tc>
        <w:tc>
          <w:tcPr>
            <w:tcW w:w="2322" w:type="dxa"/>
          </w:tcPr>
          <w:p w:rsidR="00AC0832" w:rsidRDefault="00AC0832" w:rsidP="00A47D80">
            <w:pPr>
              <w:pStyle w:val="CellColumn"/>
            </w:pPr>
            <w:r>
              <w:t>100,0</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 xml:space="preserve">Pravo na redovito godišnje financiranje iz sredstava državnog proračuna imaju političke stranke koje imaju zastupnika u Hrvatskom saboru, nezavisni zastupnici koji su izabrani s nezavisnih lista i zastupnici nacionalnih manjina.  </w:t>
      </w:r>
    </w:p>
    <w:p w:rsidR="00AC0832" w:rsidRDefault="00AC0832" w:rsidP="00C63D4C">
      <w:pPr>
        <w:pStyle w:val="Normal6"/>
      </w:pPr>
      <w:r>
        <w:t>Člankom 3. Zakona o financiranju političkih aktivnosti i izborne promidžbe utvrđuju se sredstva za redovito godišnje financiranje političkih stranaka, nezavisnih zastupnika i zastupnika nacionalnih manjina koja se trebaju osigurati u državnom proračunu Republike Hrvatske, u iznosu od 0,05% ostvarenih rashoda poslovanja iz prethodno objavljenog godišnjeg izvještaja o izvršenju proračuna.</w:t>
      </w:r>
    </w:p>
    <w:p w:rsidR="00AC0832" w:rsidRDefault="00AC0832" w:rsidP="00C63D4C">
      <w:pPr>
        <w:pStyle w:val="Heading5"/>
      </w:pPr>
      <w:r>
        <w:t>2202 MAKROEKONOMSKO PLANIRANJE I ISTRAŽIVANJE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2202-MAKROEKONOMSKO PLANIRANJE I ISTRAŽIVANJE</w:t>
            </w:r>
          </w:p>
        </w:tc>
        <w:tc>
          <w:tcPr>
            <w:tcW w:w="2322" w:type="dxa"/>
          </w:tcPr>
          <w:p w:rsidR="00AC0832" w:rsidRDefault="00AC0832" w:rsidP="00A47D80">
            <w:pPr>
              <w:pStyle w:val="CellColumn"/>
            </w:pPr>
            <w:r>
              <w:t>1.200.000</w:t>
            </w:r>
          </w:p>
        </w:tc>
        <w:tc>
          <w:tcPr>
            <w:tcW w:w="2322" w:type="dxa"/>
          </w:tcPr>
          <w:p w:rsidR="00AC0832" w:rsidRDefault="00AC0832" w:rsidP="00A47D80">
            <w:pPr>
              <w:pStyle w:val="CellColumn"/>
            </w:pPr>
            <w:r>
              <w:t>576.213</w:t>
            </w:r>
          </w:p>
        </w:tc>
        <w:tc>
          <w:tcPr>
            <w:tcW w:w="2322" w:type="dxa"/>
          </w:tcPr>
          <w:p w:rsidR="00AC0832" w:rsidRDefault="00AC0832" w:rsidP="00A47D80">
            <w:pPr>
              <w:pStyle w:val="CellColumn"/>
            </w:pPr>
            <w:r>
              <w:t>48,0</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Programom je uz kapitalni projekt Intrastat – izgradnja sustava obuhvaćen potprogram – aktivnost Nacionalni program makroekonomskih i fiskalnih istraživanja. Programom je u 2012. godini osiguravano održavanje sljedećih projekata, odnosno publikacija: Godišnjeg izvješća Ministarstva financija, Analize konjunkturnih kretanja u Hrvatskoj te Privrednih kretanja i ekonomske politike. Mjesečni statistički prikaz Ministarstva financija prestao je biti tiskana publikacija te se sada objavljuje samo u elektroničkom obliku.</w:t>
      </w:r>
    </w:p>
    <w:p w:rsidR="00AC0832" w:rsidRDefault="00AC0832" w:rsidP="00C63D4C">
      <w:pPr>
        <w:pStyle w:val="Heading6"/>
      </w:pPr>
      <w:r>
        <w:t>Zakonske i druge pravne osnove</w:t>
      </w:r>
    </w:p>
    <w:p w:rsidR="00AC0832" w:rsidRDefault="00AC0832" w:rsidP="00C63D4C">
      <w:pPr>
        <w:pStyle w:val="Heading7"/>
      </w:pPr>
      <w:r>
        <w:t>Cilj 1. Unaprjeđenje i izrada baza podataka s vremenskim serijama nužno je za provođenje kvalitetnih analiza iz područja makroekonomije i fiskalne politike</w:t>
      </w:r>
    </w:p>
    <w:p w:rsidR="00AC0832" w:rsidRDefault="00AC0832" w:rsidP="00C63D4C">
      <w:pPr>
        <w:pStyle w:val="Heading8"/>
        <w:jc w:val="left"/>
      </w:pPr>
      <w:r>
        <w:t>Opis provedbe cilja programa</w:t>
      </w:r>
    </w:p>
    <w:p w:rsidR="00AC0832" w:rsidRDefault="00AC0832" w:rsidP="00C63D4C">
      <w:pPr>
        <w:pStyle w:val="Normal6"/>
      </w:pPr>
      <w:r>
        <w:t>Tijekom 2012. godine, planirane aktivnosti izrade baza podataka s vremenskim serijama potrebnih za izradu analiza iz područja makroekonomije i fiskalne politike nisu realizirane, dijelom i stoga što je preduvjet za to bila adekvatna informatička pripremljenost.</w:t>
      </w:r>
    </w:p>
    <w:p w:rsidR="00AC0832" w:rsidRDefault="00AC0832" w:rsidP="00C63D4C">
      <w:pPr>
        <w:pStyle w:val="Heading6"/>
      </w:pPr>
      <w:r>
        <w:t>A538029 INTRASTAT - IZGRADNJA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A538029-INTRASTAT - IZGRADNJA SUSTAVA</w:t>
            </w:r>
          </w:p>
        </w:tc>
        <w:tc>
          <w:tcPr>
            <w:tcW w:w="2322" w:type="dxa"/>
          </w:tcPr>
          <w:p w:rsidR="00AC0832" w:rsidRDefault="00AC0832" w:rsidP="00A47D80">
            <w:pPr>
              <w:pStyle w:val="CellColumn"/>
            </w:pPr>
            <w:r>
              <w:t>100.000</w:t>
            </w:r>
          </w:p>
        </w:tc>
        <w:tc>
          <w:tcPr>
            <w:tcW w:w="2322" w:type="dxa"/>
          </w:tcPr>
          <w:p w:rsidR="00AC0832" w:rsidRDefault="00AC0832" w:rsidP="00A47D80">
            <w:pPr>
              <w:pStyle w:val="CellColumn"/>
            </w:pPr>
            <w:r>
              <w:t>00</w:t>
            </w:r>
          </w:p>
        </w:tc>
        <w:tc>
          <w:tcPr>
            <w:tcW w:w="2322" w:type="dxa"/>
          </w:tcPr>
          <w:p w:rsidR="00AC0832" w:rsidRDefault="00AC0832" w:rsidP="00A47D80">
            <w:pPr>
              <w:pStyle w:val="CellColumn"/>
            </w:pPr>
            <w:r>
              <w:t>0,0</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Projekt Intrastat obuhvaća izgradnju sustava statističkog izvješćivanja o robnoj razmjeni između država članica Europske unije koji će se primjenjivati danom ulaskom Republike Hrvatske u članstvo Europske unije. Uz Državni zavod za statistiku kao glavnog nositelja izvješćivanja, sa strane Ministarstva financija projekt provodi Carinska uprava. U 2012. godini izvršene aktivnosti koje se obrazlažu u sklopu programa 2207 Djelatnost carinskog i poreznog sustava, u smislu razvoja aplikacije u dijelu koji se odnosi na Carinsku upravu, financirane su iz potprograma A540005 Održavanje informacijskog sustava Carinske uprave. Stoga nije došlo do isplata s potprograma - projekta Intrastat.</w:t>
      </w:r>
    </w:p>
    <w:p w:rsidR="00AC0832" w:rsidRDefault="00AC0832" w:rsidP="00C63D4C">
      <w:pPr>
        <w:pStyle w:val="Heading6"/>
      </w:pPr>
      <w:r>
        <w:t>A539018 NACIONALNI PROGRAM MAKROEKONOMSKIH I FISKALNIH ISTRAŽIVANJA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A539018-NACIONALNI PROGRAM MAKROEKONOMSKIH I FISKALNIH ISTRAŽIVANJA</w:t>
            </w:r>
          </w:p>
        </w:tc>
        <w:tc>
          <w:tcPr>
            <w:tcW w:w="2322" w:type="dxa"/>
          </w:tcPr>
          <w:p w:rsidR="00AC0832" w:rsidRDefault="00AC0832" w:rsidP="00A47D80">
            <w:pPr>
              <w:pStyle w:val="CellColumn"/>
            </w:pPr>
            <w:r>
              <w:t>1.100.000</w:t>
            </w:r>
          </w:p>
        </w:tc>
        <w:tc>
          <w:tcPr>
            <w:tcW w:w="2322" w:type="dxa"/>
          </w:tcPr>
          <w:p w:rsidR="00AC0832" w:rsidRDefault="00AC0832" w:rsidP="00A47D80">
            <w:pPr>
              <w:pStyle w:val="CellColumn"/>
            </w:pPr>
            <w:r>
              <w:t>576.213</w:t>
            </w:r>
          </w:p>
        </w:tc>
        <w:tc>
          <w:tcPr>
            <w:tcW w:w="2322" w:type="dxa"/>
          </w:tcPr>
          <w:p w:rsidR="00AC0832" w:rsidRDefault="00AC0832" w:rsidP="00A47D80">
            <w:pPr>
              <w:pStyle w:val="CellColumn"/>
            </w:pPr>
            <w:r>
              <w:t>52,4</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Aktivnost je izvršena u iznosu od 576.213 kuna ili 52,38% od ukupno planiranih sredstava u proračunu za 2012. godinu. U skladu s provođenjem mjera racionalizacije i štednje sredstava iz Državnog proračuna, s ove su aktivnosti tijekom 2012. godine financirani samo kontinuirani projekti na temelju provedenih postupaka javne nabave: dizajn, lektura, korektura, prijevod, grafička priprema, tisak, uvez, pakiranje i dostava publikacije "Godišnje izvješće Ministarstva financija za 2010. godinu", usluga izrade projekta "Analiza konjunkturnih kretanja u Hrvatskoj" (izračun prognostičkog indeksa CROLEI) te usluga izrade projekta "Privredna kretanja i ekonomska politika". Tijekom 2012. godine nije bilo isplata vezanih uz izradu Mjesečnog statističkog prikaza Ministarstva financija, budući da je objava tiskanog oblika publikacije zamijenjena objavom isključivo u elektroničkom obliku putem mrežne stranice Ministarstva financija, čime je također ostvarena ušteda u korištenju sredstava Državnog proračuna. Ostale planirane aktivnosti izrade različitih studija i analitičkih osnova usmjerenih na iznalaženje rješenja ili analiziranje pojedinih ekonomskih postavki, kretanja, mogućih rješenja i slično te informatička podrška Zavodu za makroekonomske analize i planiranje u kontekstu izvora i stvaranja relevantnih baza podataka primjerenih za brze i pouzdane analize i projekcije, nisu realizirane, dijelom i stoga što je preduvjet za to bila adekvatna informatička pripremljenost.</w:t>
      </w:r>
    </w:p>
    <w:p w:rsidR="00AC0832" w:rsidRDefault="00AC0832" w:rsidP="00C63D4C">
      <w:pPr>
        <w:pStyle w:val="Heading5"/>
      </w:pPr>
      <w:r>
        <w:t>2203 UPRAVLJANJE SUSTAVOM JAVNIH FINANCIJA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2203-UPRAVLJANJE SUSTAVOM JAVNIH FINANCIJA</w:t>
            </w:r>
          </w:p>
        </w:tc>
        <w:tc>
          <w:tcPr>
            <w:tcW w:w="2322" w:type="dxa"/>
          </w:tcPr>
          <w:p w:rsidR="00AC0832" w:rsidRDefault="00AC0832" w:rsidP="00A47D80">
            <w:pPr>
              <w:pStyle w:val="CellColumn"/>
            </w:pPr>
            <w:r>
              <w:t>201.255.267</w:t>
            </w:r>
          </w:p>
        </w:tc>
        <w:tc>
          <w:tcPr>
            <w:tcW w:w="2322" w:type="dxa"/>
          </w:tcPr>
          <w:p w:rsidR="00AC0832" w:rsidRDefault="00AC0832" w:rsidP="00A47D80">
            <w:pPr>
              <w:pStyle w:val="CellColumn"/>
            </w:pPr>
            <w:r>
              <w:t>186.657.852</w:t>
            </w:r>
          </w:p>
        </w:tc>
        <w:tc>
          <w:tcPr>
            <w:tcW w:w="2322" w:type="dxa"/>
          </w:tcPr>
          <w:p w:rsidR="00AC0832" w:rsidRDefault="00AC0832" w:rsidP="00A47D80">
            <w:pPr>
              <w:pStyle w:val="CellColumn"/>
            </w:pPr>
            <w:r>
              <w:t>92,7</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 xml:space="preserve">Ovaj Program koji je već djelomično opisan u Glavi 05 Ministarstva financija, obuhvaća i  aktivnosti koje se odnose na podmirenje obveze RH prema institucijama koje obavljaju određene poslove i usluge u ime i za račun RH, a te obveze podmiruje Ministarstvo financija. Prvenstveno se to odnosi na obavljanje usluga platnog prometa i obrade podataka koje provodi Financijska agencija (FINA).  </w:t>
      </w:r>
    </w:p>
    <w:p w:rsidR="00AC0832" w:rsidRDefault="00AC0832" w:rsidP="00C63D4C">
      <w:pPr>
        <w:pStyle w:val="Normal5"/>
      </w:pPr>
      <w:r>
        <w:t xml:space="preserve">Program obuhvaća i uspostavu i održavanje usluge centralnog obračuna plaća i upravljanja ljudskim resursima. U skladu s potpisanim ugovorom FINA je obvezana obavljati usluge objedinjene informatičko-tehnološke podrške sustavu državne uprave i sustavu državnih i javnih financija. Korisnici sustava COP i HRM TDU su Vlada RH, sva tijela državne uprave i ostali korisnici državnog proračuna čiji se rashodi za zaposlene osiguravaju u proračunu.  </w:t>
      </w:r>
    </w:p>
    <w:p w:rsidR="00AC0832" w:rsidRDefault="00AC0832" w:rsidP="00C63D4C">
      <w:pPr>
        <w:pStyle w:val="Normal5"/>
      </w:pPr>
      <w:r>
        <w:t>Hrvatska banka za obnovu i razvitak također u ime i za račun RH obavlja poslove realizacije određenih kreditnih poslova namijenjenih sektoru malog i srednjeg poduzetništva te vođenja Fonda sredstava za povlašteno financiranje po kreditnim programima.</w:t>
      </w:r>
    </w:p>
    <w:p w:rsidR="00AC0832" w:rsidRDefault="00AC0832" w:rsidP="00C63D4C">
      <w:pPr>
        <w:pStyle w:val="Heading6"/>
      </w:pPr>
      <w:r>
        <w:t>Zakonske i druge pravne osnove</w:t>
      </w:r>
    </w:p>
    <w:p w:rsidR="00AC0832" w:rsidRDefault="00AC0832" w:rsidP="00C63D4C">
      <w:pPr>
        <w:pStyle w:val="Normal5"/>
      </w:pPr>
      <w:r>
        <w:t xml:space="preserve">- Ugovori  s FINA-om i HBOR-om o obavljanju poslova u ime i za račun RH  </w:t>
      </w:r>
    </w:p>
    <w:p w:rsidR="00AC0832" w:rsidRDefault="00AC0832" w:rsidP="00C63D4C">
      <w:pPr>
        <w:pStyle w:val="Normal5"/>
      </w:pPr>
      <w:r>
        <w:t>- Odluka o uspostavi i održavanju usluge centraliziranog obračuna plaća i upravljanja ljudskim resursima za sva tijela državne uprave (COP i HRM TDU) – Narodne novine 90/06, - Odluka o sklapanju ugovora o uspostavi i održavanju usluge centraliziranog obračuna plaća i upravljanja ljudskim resursima za sva tijela državne uprave (COP i HRM TDU) i davanju suglasnosti za preuzimanje obaveza na teret sredstava državnog proračuna RH u razdoblju 2010.-2012., donesena na sjednici Vlade RH u veljači 2009.</w:t>
      </w:r>
    </w:p>
    <w:p w:rsidR="00AC0832" w:rsidRDefault="00AC0832" w:rsidP="00C63D4C">
      <w:pPr>
        <w:pStyle w:val="Heading7"/>
      </w:pPr>
      <w:r>
        <w:t>Cilj 1. Pružiti informatičko-tehnološku podršku radu sustava državne riznice, sustavu prikupljanja javnih prihoda, REGOS-u i dr. te obaviti određene vrste poslova u ime i za račun RH  uz naknadu</w:t>
      </w:r>
    </w:p>
    <w:p w:rsidR="00AC0832" w:rsidRDefault="00AC0832" w:rsidP="00C63D4C">
      <w:pPr>
        <w:pStyle w:val="Heading7"/>
      </w:pPr>
      <w:r>
        <w:t>Cilj 2. Uspostaviti i održavati centralno integrirani sustav s jedinstvenom središnjom bazom podataka</w:t>
      </w:r>
    </w:p>
    <w:p w:rsidR="00AC0832" w:rsidRDefault="00AC0832" w:rsidP="00C63D4C">
      <w:pPr>
        <w:pStyle w:val="Heading8"/>
        <w:jc w:val="left"/>
      </w:pPr>
      <w:r>
        <w:t>Opis provedbe cilja programa</w:t>
      </w:r>
    </w:p>
    <w:p w:rsidR="00AC0832" w:rsidRDefault="00AC0832" w:rsidP="00C63D4C">
      <w:pPr>
        <w:pStyle w:val="Normal6"/>
      </w:pPr>
      <w:r>
        <w:t>S aktivnosti iz ovoga programa uspostavit će se  poslovni procesi vezani za upravljanje rashodima za zaposlene i ljudskim resursima jedinstveno za sve korisnike državnog proračuna.</w:t>
      </w:r>
    </w:p>
    <w:p w:rsidR="00AC0832" w:rsidRDefault="00AC0832" w:rsidP="00C63D4C">
      <w:pPr>
        <w:pStyle w:val="Normal6"/>
      </w:pPr>
    </w:p>
    <w:p w:rsidR="00AC0832" w:rsidRDefault="00AC0832" w:rsidP="00C63D4C">
      <w:pPr>
        <w:pStyle w:val="Normal6"/>
      </w:pPr>
    </w:p>
    <w:p w:rsidR="00AC0832" w:rsidRDefault="00AC0832" w:rsidP="00C63D4C">
      <w:pPr>
        <w:pStyle w:val="Heading6"/>
      </w:pPr>
      <w:r>
        <w:t>A538019 USPOSTAVA I ODRŽAVANJE USLUGE CENTRALNOG OBRAČUNA PLAĆA I UPRAVLJANJA LJUDSKIM RESURSIMA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A538019-USPOSTAVA I ODRŽAVANJE USLUGE CENTRALNOG OBRAČUNA PLAĆA I UPRAVLJANJA LJUDSKIM RESURSIMA</w:t>
            </w:r>
          </w:p>
        </w:tc>
        <w:tc>
          <w:tcPr>
            <w:tcW w:w="2322" w:type="dxa"/>
          </w:tcPr>
          <w:p w:rsidR="00AC0832" w:rsidRDefault="00AC0832" w:rsidP="00A47D80">
            <w:pPr>
              <w:pStyle w:val="CellColumn"/>
            </w:pPr>
            <w:r>
              <w:t>11.000.000</w:t>
            </w:r>
          </w:p>
        </w:tc>
        <w:tc>
          <w:tcPr>
            <w:tcW w:w="2322" w:type="dxa"/>
          </w:tcPr>
          <w:p w:rsidR="00AC0832" w:rsidRDefault="00AC0832" w:rsidP="00A47D80">
            <w:pPr>
              <w:pStyle w:val="CellColumn"/>
            </w:pPr>
            <w:r>
              <w:t>2.320.549</w:t>
            </w:r>
          </w:p>
        </w:tc>
        <w:tc>
          <w:tcPr>
            <w:tcW w:w="2322" w:type="dxa"/>
          </w:tcPr>
          <w:p w:rsidR="00AC0832" w:rsidRDefault="00AC0832" w:rsidP="00A47D80">
            <w:pPr>
              <w:pStyle w:val="CellColumn"/>
            </w:pPr>
            <w:r>
              <w:t>21,1</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 xml:space="preserve">Uspostavom Registra zaposlenih u državnim i javnim službama koji na jednom mjestu objedinjuje podatke o državnim službenicima i namještenicima te službenicima i namještenicima u javnim službama ostvareni su preduvjeti za daljnju izgradnju sustava koji će omogućiti djelotvorno i učinkovito upravljanje ljudskim potencijalima u državnim i javnim službama, i centralizirani obračun plaća za javni sektor odnosno korisnike državnog proračuna čiji se rashodi za zaposlene osiguravaju u državnom proračunu.  </w:t>
      </w:r>
    </w:p>
    <w:p w:rsidR="00AC0832" w:rsidRDefault="00AC0832" w:rsidP="00C63D4C">
      <w:pPr>
        <w:pStyle w:val="Normal6"/>
      </w:pPr>
      <w:r>
        <w:t>Struktura podataka u Registru obuhvaća podatke o institucijama, ustrojstvenim jedinicima, radnim mjestima, zaposlenicima (osobni podaci), uzdržavanim članovima, kompetencijama, ocjenama, prethodnim zaposlenjima, obvezama, postupcima i kaznama te vezanim dokumentima.</w:t>
      </w:r>
    </w:p>
    <w:p w:rsidR="00AC0832" w:rsidRDefault="00AC0832" w:rsidP="00C63D4C">
      <w:pPr>
        <w:pStyle w:val="Heading6"/>
      </w:pPr>
      <w:r>
        <w:t>A539161 USLUGE PLATNOG PROMETA I OBRADE PODATAKA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A539161-USLUGE PLATNOG PROMETA I OBRADE PODATAKA</w:t>
            </w:r>
          </w:p>
        </w:tc>
        <w:tc>
          <w:tcPr>
            <w:tcW w:w="2322" w:type="dxa"/>
          </w:tcPr>
          <w:p w:rsidR="00AC0832" w:rsidRDefault="00AC0832" w:rsidP="00A47D80">
            <w:pPr>
              <w:pStyle w:val="CellColumn"/>
            </w:pPr>
            <w:r>
              <w:t>175.750.000</w:t>
            </w:r>
          </w:p>
        </w:tc>
        <w:tc>
          <w:tcPr>
            <w:tcW w:w="2322" w:type="dxa"/>
          </w:tcPr>
          <w:p w:rsidR="00AC0832" w:rsidRDefault="00AC0832" w:rsidP="00A47D80">
            <w:pPr>
              <w:pStyle w:val="CellColumn"/>
            </w:pPr>
            <w:r>
              <w:t>170.077.236</w:t>
            </w:r>
          </w:p>
        </w:tc>
        <w:tc>
          <w:tcPr>
            <w:tcW w:w="2322" w:type="dxa"/>
          </w:tcPr>
          <w:p w:rsidR="00AC0832" w:rsidRDefault="00AC0832" w:rsidP="00A47D80">
            <w:pPr>
              <w:pStyle w:val="CellColumn"/>
            </w:pPr>
            <w:r>
              <w:t>96,8</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Planirana sredstva po ovoj aktivnosti odnose se na usluge koje obavlja Financijska agencija (usluge platnog prometa i obavljanje poslova programske podrške sustavu nadzora potrošnje plinskog ulja za namjene u poljoprivredi, ribolovu i akvakulturi), Hrvatska narodna banka i HPB Invest.</w:t>
      </w:r>
    </w:p>
    <w:p w:rsidR="00AC0832" w:rsidRDefault="00AC0832" w:rsidP="00C63D4C">
      <w:pPr>
        <w:pStyle w:val="Heading6"/>
      </w:pPr>
      <w:r>
        <w:t>A539231 USLUGE BANAKA - NAKNADE HBOR-U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A539231-USLUGE BANAKA - NAKNADE HBOR-U</w:t>
            </w:r>
          </w:p>
        </w:tc>
        <w:tc>
          <w:tcPr>
            <w:tcW w:w="2322" w:type="dxa"/>
          </w:tcPr>
          <w:p w:rsidR="00AC0832" w:rsidRDefault="00AC0832" w:rsidP="00A47D80">
            <w:pPr>
              <w:pStyle w:val="CellColumn"/>
            </w:pPr>
            <w:r>
              <w:t>9.880.000</w:t>
            </w:r>
          </w:p>
        </w:tc>
        <w:tc>
          <w:tcPr>
            <w:tcW w:w="2322" w:type="dxa"/>
          </w:tcPr>
          <w:p w:rsidR="00AC0832" w:rsidRDefault="00AC0832" w:rsidP="00A47D80">
            <w:pPr>
              <w:pStyle w:val="CellColumn"/>
            </w:pPr>
            <w:r>
              <w:t>9.634.801</w:t>
            </w:r>
          </w:p>
        </w:tc>
        <w:tc>
          <w:tcPr>
            <w:tcW w:w="2322" w:type="dxa"/>
          </w:tcPr>
          <w:p w:rsidR="00AC0832" w:rsidRDefault="00AC0832" w:rsidP="00A47D80">
            <w:pPr>
              <w:pStyle w:val="CellColumn"/>
            </w:pPr>
            <w:r>
              <w:t>97,5</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Planirana sredstva su namjenjena za podmirenje naknada za poslove koje obavlja HBOR za račun Vlade Republike Hrvatske temeljem zaključenog Ugovora o nalogu za obavljanje poslova osiguranja u ime i za račun RH od 04. ožujka 2008. godine, Ugovora u ime i za račun od 14. lipnja 1996. godine (Program zapošljavanja razvojačenih pripadnika HV-a), Ugovora u ime i za račun od 25. lipnja 1997. godine (Program kreditiranja poljodjelskih domaćinstava), Ugovora u ime i za račun od 09. lipnja 1998. godine (Program kreditiranja uzgoja i tova kvalitetne teladi u 1998. godini), Ugovora o otplati kredita po stanoobnovi i Ugovora o nalogu za obavljanje poslova ulaganja u Fondove za gospodarsku suradnju od 26. siječnja 2011. godine.</w:t>
      </w:r>
    </w:p>
    <w:p w:rsidR="00AC0832" w:rsidRDefault="00AC0832" w:rsidP="00C63D4C">
      <w:pPr>
        <w:pStyle w:val="Heading5"/>
      </w:pPr>
      <w:r>
        <w:t>2204 FINANCIRANJE DECENTRALIZIRANIH FUNKCIJA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2204-FINANCIRANJE DECENTRALIZIRANIH FUNKCIJA</w:t>
            </w:r>
          </w:p>
        </w:tc>
        <w:tc>
          <w:tcPr>
            <w:tcW w:w="2322" w:type="dxa"/>
          </w:tcPr>
          <w:p w:rsidR="00AC0832" w:rsidRDefault="00AC0832" w:rsidP="00A47D80">
            <w:pPr>
              <w:pStyle w:val="CellColumn"/>
            </w:pPr>
            <w:r>
              <w:t>1.337.216.965</w:t>
            </w:r>
          </w:p>
        </w:tc>
        <w:tc>
          <w:tcPr>
            <w:tcW w:w="2322" w:type="dxa"/>
          </w:tcPr>
          <w:p w:rsidR="00AC0832" w:rsidRDefault="00AC0832" w:rsidP="00A47D80">
            <w:pPr>
              <w:pStyle w:val="CellColumn"/>
            </w:pPr>
            <w:r>
              <w:t>1.337.216.964</w:t>
            </w:r>
          </w:p>
        </w:tc>
        <w:tc>
          <w:tcPr>
            <w:tcW w:w="2322" w:type="dxa"/>
          </w:tcPr>
          <w:p w:rsidR="00AC0832" w:rsidRDefault="00AC0832" w:rsidP="00A47D80">
            <w:pPr>
              <w:pStyle w:val="CellColumn"/>
            </w:pPr>
            <w:r>
              <w:t>100,0</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Godišnjom Uredbom Vlade Republike Hrvatske o načinu izračuna iznosa pomoći izravnanja za decentralizirane funkcije jedinica lokalne i područne (regionalne) samouprave utvrđuje se način izračuna iznosa pomoći izravnanja za decentralizirane funkcije (jedinicama lokalne i područne (regionalne) samouprave koje su preuzele financiranje decentraliziranih funkcija) iz sredstava pomoći planiranih u državnom proračunu Republike Hrvatske za određenu godinu, prema posebnim zakonima i odlukama o kriterijima i mjerilima za osiguravanje minimalnog financijskog standarda javnih potreba u djelatnostima osnovnog i srednjeg školstva, zdravstva i socijalne skrbi te vatrogastva.</w:t>
      </w:r>
    </w:p>
    <w:p w:rsidR="00AC0832" w:rsidRDefault="00AC0832" w:rsidP="00C63D4C">
      <w:pPr>
        <w:pStyle w:val="Heading6"/>
      </w:pPr>
      <w:r>
        <w:t>Zakonske i druge pravne osnove</w:t>
      </w:r>
    </w:p>
    <w:p w:rsidR="00AC0832" w:rsidRDefault="00AC0832" w:rsidP="00C63D4C">
      <w:pPr>
        <w:pStyle w:val="Normal5"/>
      </w:pPr>
      <w:r>
        <w:t xml:space="preserve">- Članak 45.a i 45.b Zakona o financiranju jedinica lokalne i područne (regionalne) samouprave (Narodne novine, broj 117/93, 69/97, 33/00, 73/00, 127/00, 59/01, 107/01, 117/01, 150/02, 147/03, 132/06, 26/07 – Odluka Ustavnog suda Republike Hrvatske, 73/08 i 25/12), </w:t>
      </w:r>
    </w:p>
    <w:p w:rsidR="00AC0832" w:rsidRDefault="00AC0832" w:rsidP="00C63D4C">
      <w:pPr>
        <w:pStyle w:val="Normal5"/>
      </w:pPr>
      <w:r>
        <w:t xml:space="preserve">- Uredba Vlade Republike Hrvatske o načinu izračuna iznosa pomoći izravnanja za decentralizirane funkcije jedinica lokalne i područne (regionalne) samouprave za 2012. godinu i  </w:t>
      </w:r>
    </w:p>
    <w:p w:rsidR="00AC0832" w:rsidRDefault="00AC0832" w:rsidP="00C63D4C">
      <w:pPr>
        <w:pStyle w:val="Normal5"/>
      </w:pPr>
      <w:r>
        <w:t>- Odluke o minimalnim financijskim standardima u djelatnostima osnovnog i srednjeg školstva, zdravstva i socijalne skrbi te vatrogastva.</w:t>
      </w:r>
    </w:p>
    <w:p w:rsidR="00AC0832" w:rsidRDefault="00AC0832" w:rsidP="00C63D4C">
      <w:pPr>
        <w:pStyle w:val="Heading7"/>
      </w:pPr>
      <w:r>
        <w:t>Cilj 1. Županijama, gradovima i općinama osigurati redovno izvršavanje decentraliziranih funkcija do visine bilančnih prava, odnosno sredstva potrebnih za osiguranje minimalnih financijskih standarda utvrđenih u odlukama Vlade Republike Hrvatske o minimalnim financijskim standardima i Uredbom za određenu godinu.</w:t>
      </w:r>
    </w:p>
    <w:p w:rsidR="00AC0832" w:rsidRDefault="00AC0832" w:rsidP="00C63D4C">
      <w:pPr>
        <w:pStyle w:val="Heading8"/>
        <w:jc w:val="left"/>
      </w:pPr>
      <w:r>
        <w:t>Opis provedbe cilja programa</w:t>
      </w:r>
    </w:p>
    <w:p w:rsidR="00AC0832" w:rsidRDefault="00AC0832" w:rsidP="00C63D4C">
      <w:pPr>
        <w:pStyle w:val="Normal6"/>
      </w:pPr>
      <w:r>
        <w:t>Korisnici pomoći izravnanja ostvaruju pravo na sredstva s pozicije pomoći izravananja za decentralizirane funkcije, koja je planirana u državnom proračunu Republike Hrvatske, ako iz dodatnog udjela poreza na dohodak, propisanog Zakonom o financiranju jedinica lokalne i područne (regionalne) samouprave, ne ostvare sredstva do iznosa bilančnih prava za financiranje preuzetih decentraliziranih funkcija, utvrđenih godišnjim odlukama o minimalnim financijskim standardima i Uredbi Vlade Republike Hrvatske.</w:t>
      </w:r>
    </w:p>
    <w:p w:rsidR="00AC0832" w:rsidRDefault="00AC0832" w:rsidP="00C63D4C">
      <w:pPr>
        <w:pStyle w:val="Heading5"/>
      </w:pPr>
      <w:r>
        <w:t>2205 POMOĆI LOKALNOJ I PODRUČNOJ (REGIONALNOJ) SAMOUPRAVI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2205-POMOĆI LOKALNOJ I PODRUČNOJ (REGIONALNOJ) SAMOUPRAVI</w:t>
            </w:r>
          </w:p>
        </w:tc>
        <w:tc>
          <w:tcPr>
            <w:tcW w:w="2322" w:type="dxa"/>
          </w:tcPr>
          <w:p w:rsidR="00AC0832" w:rsidRDefault="00AC0832" w:rsidP="00A47D80">
            <w:pPr>
              <w:pStyle w:val="CellColumn"/>
            </w:pPr>
            <w:r>
              <w:t>350.802.675</w:t>
            </w:r>
          </w:p>
        </w:tc>
        <w:tc>
          <w:tcPr>
            <w:tcW w:w="2322" w:type="dxa"/>
          </w:tcPr>
          <w:p w:rsidR="00AC0832" w:rsidRDefault="00AC0832" w:rsidP="00A47D80">
            <w:pPr>
              <w:pStyle w:val="CellColumn"/>
            </w:pPr>
            <w:r>
              <w:t>351.508.345</w:t>
            </w:r>
          </w:p>
        </w:tc>
        <w:tc>
          <w:tcPr>
            <w:tcW w:w="2322" w:type="dxa"/>
          </w:tcPr>
          <w:p w:rsidR="00AC0832" w:rsidRDefault="00AC0832" w:rsidP="00A47D80">
            <w:pPr>
              <w:pStyle w:val="CellColumn"/>
            </w:pPr>
            <w:r>
              <w:t>100,2</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Tekuće pomoći županijama, općinama i gradovima odnose se na korekciju fiskalnog kapaciteta i poticanje ulaganja u razvojne programe županija te općina i gradova prve i druge skupine na područjima posebne državne skrbi, što u konačnici pridonosi kvalitetnijem izvršavanju njihovih zakonom propisanih funkcija. Korisnici su jedinice lokalne i područne (reionalne) samouprave, odnosno 14 županija, 11 gradova i 38 općina.</w:t>
      </w:r>
    </w:p>
    <w:p w:rsidR="00AC0832" w:rsidRDefault="00AC0832" w:rsidP="00C63D4C">
      <w:pPr>
        <w:pStyle w:val="Heading6"/>
      </w:pPr>
      <w:r>
        <w:t>Zakonske i druge pravne osnove</w:t>
      </w:r>
    </w:p>
    <w:p w:rsidR="00AC0832" w:rsidRDefault="00AC0832" w:rsidP="00C63D4C">
      <w:pPr>
        <w:pStyle w:val="Normal5"/>
      </w:pPr>
      <w:r>
        <w:t xml:space="preserve">- Zakon o financiranju jedinica lokalne i područne (regionalne) samouprave (Narodne novine, broj 117/93, 69/97, 33/00, 73/00, 127/00, 59/01, 107/01, 117/01, 150/02, 147/03, 132/06, 26/07 – Odluka Ustavnog suda Republike Hrvatske, 73/08 i 25/12), </w:t>
      </w:r>
    </w:p>
    <w:p w:rsidR="00AC0832" w:rsidRDefault="00AC0832" w:rsidP="00C63D4C">
      <w:pPr>
        <w:pStyle w:val="Normal5"/>
      </w:pPr>
      <w:r>
        <w:t xml:space="preserve">- Zakon o izvršavanju Državnog proračuna Republike Hrvatske za 2012. godinu (Narodne novine, broj 24/11 i 132/12), </w:t>
      </w:r>
    </w:p>
    <w:p w:rsidR="00AC0832" w:rsidRDefault="00AC0832" w:rsidP="00C63D4C">
      <w:pPr>
        <w:pStyle w:val="Normal5"/>
      </w:pPr>
      <w:r>
        <w:t xml:space="preserve">- Zakon o područjima posebne državne skrbi (Narodne novine, broj 86/08 i 57/11) i </w:t>
      </w:r>
    </w:p>
    <w:p w:rsidR="00AC0832" w:rsidRDefault="00AC0832" w:rsidP="00C63D4C">
      <w:pPr>
        <w:pStyle w:val="Normal5"/>
      </w:pPr>
      <w:r>
        <w:t>- Zakon o brdsko-planinskim područjima (Narodne novine, broj 12/02, 32/02, 117/03, 42/05,  90/05 i 80/08).</w:t>
      </w:r>
    </w:p>
    <w:p w:rsidR="00AC0832" w:rsidRDefault="00AC0832" w:rsidP="00C63D4C">
      <w:pPr>
        <w:pStyle w:val="Heading7"/>
      </w:pPr>
      <w:r>
        <w:t xml:space="preserve">Cilj 1. Korekcija fiskalnog kapaciteta i poticanje ulaganja na području županija, gradova i općina (više aktivnosti) </w:t>
      </w:r>
    </w:p>
    <w:p w:rsidR="00AC0832" w:rsidRDefault="00AC0832" w:rsidP="00C63D4C">
      <w:pPr>
        <w:pStyle w:val="Heading8"/>
        <w:jc w:val="left"/>
      </w:pPr>
      <w:r>
        <w:t>Opis provedbe cilja programa</w:t>
      </w:r>
    </w:p>
    <w:p w:rsidR="00AC0832" w:rsidRDefault="00AC0832" w:rsidP="00C63D4C">
      <w:pPr>
        <w:pStyle w:val="Normal6"/>
      </w:pPr>
      <w:r>
        <w:t>Planirana sredstva pomoći županijama, općinama i gradovima predstavljaju razliku između pomoći koje bi jedinica lokalne i područne (regionalne) samouprave na području posebne državne skrbi (I. i II. skupina) ostvarila temeljem zakonskih kriterija i procjene povrata poreza na dohodak građanima, a koji se umjesto te jedinice vraća na teret prihoda koji pripada državnom proračunu.</w:t>
      </w:r>
    </w:p>
    <w:p w:rsidR="00AC0832" w:rsidRDefault="00AC0832" w:rsidP="00C63D4C">
      <w:pPr>
        <w:pStyle w:val="Heading7"/>
      </w:pPr>
      <w:r>
        <w:t xml:space="preserve">Cilj 2. Gradovima i općinama na područjima posebne državne skrbi (I. II. i III. skupine) te brdsko-planinskim područjima nadomjestiti izgubljene prihode od poreza na dobit ostvaren na njihovom području (A557036) nastako kao posljedica izmjene zakona </w:t>
      </w:r>
    </w:p>
    <w:p w:rsidR="00AC0832" w:rsidRDefault="00AC0832" w:rsidP="00C63D4C">
      <w:pPr>
        <w:pStyle w:val="Heading8"/>
        <w:jc w:val="left"/>
      </w:pPr>
      <w:r>
        <w:t>Opis provedbe cilja programa</w:t>
      </w:r>
    </w:p>
    <w:p w:rsidR="00AC0832" w:rsidRDefault="00AC0832" w:rsidP="00C63D4C">
      <w:pPr>
        <w:pStyle w:val="Normal6"/>
      </w:pPr>
      <w:r>
        <w:t>Raspodjelom zajedničkih poreznih prihoda, temeljem odredbi Zakona o izmjenama Zakona o financiranju jedinica lokalne i područne (regionalne) samouprave iz 2006. godine, porez na dobit je postao u cijelosti prihod državnog proračuna. Da bi se jedinicama lokalne samouprave nadoknadio gubitak prihoda s te osnove predloženo je uvođenje pomoći tim jedinicama u iznosu ostvarenih prihoda od poreza na dobit na području tih jedinica kako bi se poboljšao njihov financijski položaj.</w:t>
      </w:r>
    </w:p>
    <w:p w:rsidR="00AC0832" w:rsidRDefault="00AC0832" w:rsidP="00C63D4C">
      <w:pPr>
        <w:pStyle w:val="Heading6"/>
      </w:pPr>
      <w:r>
        <w:t>A557036 POMOĆI PODRUČJIMA OD POSEBNOG DRŽAVNOG INTERESA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A557036-POMOĆI PODRUČJIMA OD POSEBNOG DRŽAVNOG INTERESA</w:t>
            </w:r>
          </w:p>
        </w:tc>
        <w:tc>
          <w:tcPr>
            <w:tcW w:w="2322" w:type="dxa"/>
          </w:tcPr>
          <w:p w:rsidR="00AC0832" w:rsidRDefault="00AC0832" w:rsidP="00A47D80">
            <w:pPr>
              <w:pStyle w:val="CellColumn"/>
            </w:pPr>
            <w:r>
              <w:t>267.066.150</w:t>
            </w:r>
          </w:p>
        </w:tc>
        <w:tc>
          <w:tcPr>
            <w:tcW w:w="2322" w:type="dxa"/>
          </w:tcPr>
          <w:p w:rsidR="00AC0832" w:rsidRDefault="00AC0832" w:rsidP="00A47D80">
            <w:pPr>
              <w:pStyle w:val="CellColumn"/>
            </w:pPr>
            <w:r>
              <w:t>267.771.820</w:t>
            </w:r>
          </w:p>
        </w:tc>
        <w:tc>
          <w:tcPr>
            <w:tcW w:w="2322" w:type="dxa"/>
          </w:tcPr>
          <w:p w:rsidR="00AC0832" w:rsidRDefault="00AC0832" w:rsidP="00A47D80">
            <w:pPr>
              <w:pStyle w:val="CellColumn"/>
            </w:pPr>
            <w:r>
              <w:t>100,3</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Za Pomoći područjima od posebnog državnog interesa (A557036) planirano je 267.066.150,00 kuna, a izvršeno 267.771.819,86 kuna odnosno 100,26% planiranih sredstava. Prema članku 36. Zakona o proračunu jedinicama lokalne samouprave na područjima posebne državne skrbi i brdsko-planinskim područjima isplaćuju se pomoći iz državnog proračuna u visini poreza na dobit koji se ostvaruje na području posebne državne skrbi i brdsko-planinskom području. Također, pri korištenju navedenih sredstava, na temelju članka 50. stavak 3. Zakona o proračunu, dana je fleksibilnost da se navedene aktivnosti izvršavaju do visine ostvarenih prihoda od poreza na dobit. Budući da su ostvareni prihodi premašili plan za 2012. godinu, opravdano je izvršenje ove aktivnosti u iznosu od 100,3% planiranih sredstava.</w:t>
      </w:r>
    </w:p>
    <w:p w:rsidR="00AC0832" w:rsidRDefault="00AC0832" w:rsidP="00C63D4C">
      <w:pPr>
        <w:pStyle w:val="Heading5"/>
      </w:pPr>
      <w:r>
        <w:t>2206 UPRAVLJANJE PRETPRISTUPNIM FONDOVIMA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2206-UPRAVLJANJE PRETPRISTUPNIM FONDOVIMA</w:t>
            </w:r>
          </w:p>
        </w:tc>
        <w:tc>
          <w:tcPr>
            <w:tcW w:w="2322" w:type="dxa"/>
          </w:tcPr>
          <w:p w:rsidR="00AC0832" w:rsidRDefault="00AC0832" w:rsidP="00A47D80">
            <w:pPr>
              <w:pStyle w:val="CellColumn"/>
            </w:pPr>
            <w:r>
              <w:t>1.100.001</w:t>
            </w:r>
          </w:p>
        </w:tc>
        <w:tc>
          <w:tcPr>
            <w:tcW w:w="2322" w:type="dxa"/>
          </w:tcPr>
          <w:p w:rsidR="00AC0832" w:rsidRDefault="00AC0832" w:rsidP="00A47D80">
            <w:pPr>
              <w:pStyle w:val="CellColumn"/>
            </w:pPr>
            <w:r>
              <w:t>40.574.313</w:t>
            </w:r>
          </w:p>
        </w:tc>
        <w:tc>
          <w:tcPr>
            <w:tcW w:w="2322" w:type="dxa"/>
          </w:tcPr>
          <w:p w:rsidR="00AC0832" w:rsidRDefault="00AC0832" w:rsidP="00A47D80">
            <w:pPr>
              <w:pStyle w:val="CellColumn"/>
            </w:pPr>
            <w:r>
              <w:t>3688,6</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 xml:space="preserve">U procesu korištenja sredstava EU pomoći potrebno je osigurati njihovo zakonito trošenje, te povrat EU nepravilno korišetnih sredstava. Također, potrebno je pružanje pomoći tijelima državne uprave i jedinicama lokalne samouprave u pripremi projektne dokumentacije. Program je povezan s posebnim ciljem 1.4. Jačanje kapaciteta za korištenje fondova Europske unije. </w:t>
      </w:r>
    </w:p>
    <w:p w:rsidR="00AC0832" w:rsidRDefault="00AC0832" w:rsidP="00C63D4C">
      <w:pPr>
        <w:pStyle w:val="Normal5"/>
      </w:pPr>
      <w:r>
        <w:t xml:space="preserve"> </w:t>
      </w:r>
    </w:p>
    <w:p w:rsidR="00AC0832" w:rsidRDefault="00AC0832" w:rsidP="00C63D4C">
      <w:pPr>
        <w:pStyle w:val="Normal5"/>
      </w:pPr>
      <w:r>
        <w:t xml:space="preserve">Iznos od 39.474.312,37 kuna odnosi se na zajmove za sufinanciranje IPA projekata (EIB). </w:t>
      </w:r>
    </w:p>
    <w:p w:rsidR="00AC0832" w:rsidRDefault="00AC0832" w:rsidP="00C63D4C">
      <w:pPr>
        <w:pStyle w:val="Normal5"/>
      </w:pPr>
      <w:r>
        <w:t xml:space="preserve"> </w:t>
      </w:r>
    </w:p>
    <w:p w:rsidR="00AC0832" w:rsidRDefault="00AC0832" w:rsidP="00C63D4C">
      <w:pPr>
        <w:pStyle w:val="Normal5"/>
      </w:pPr>
      <w:r>
        <w:t>Republika Hrvatska je zaključila s Europskom investicijskom bankom (EIB) ugovor o financiranju IPA/ISPA 2007-2011 projekata u iznosu 200.000.000,00 eura kroz koji se osiguravaju sredstva za nacionalno sufinanciranje IPA i ISPA projekata s nacionalne, regionalne i lokalne razine. U veljači 2012. zaključeni su ugovori o zajmu za financiranje projekata izgradnje Regionalnog centra za gospodarenje otpadom Bikarac (program ISPA), te Županijskih centara za gospodarenje otpadom Kaštjun i Marišćina (program IPA) iz kojih su tijekom 2012. plaćane obveze za regionalno i lokalno sufinanciranje. Ugovori su zaključeni s gradom Šibenikom, Istarskom županijom, Primorsko Goranskom županijom, Gradom Rijekom i Eko-plus d.o.o.</w:t>
      </w:r>
    </w:p>
    <w:p w:rsidR="00AC0832" w:rsidRDefault="00AC0832" w:rsidP="00C63D4C">
      <w:pPr>
        <w:pStyle w:val="Heading7"/>
      </w:pPr>
      <w:r>
        <w:t>Cilj 1. Osigurati zakonitost i provedivost korištenja sredstava pomoći Europske unije</w:t>
      </w:r>
    </w:p>
    <w:p w:rsidR="00AC0832" w:rsidRDefault="00AC0832" w:rsidP="00C63D4C">
      <w:pPr>
        <w:pStyle w:val="Heading5"/>
      </w:pPr>
      <w:r>
        <w:t>2304 SUDJELOVANJE I PARTICIPACIJA U MEĐUNARODNIM ORGANIZACIJAMA I INSTITUCIJAMA EUROPSKE UNIJE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2304-SUDJELOVANJE I PARTICIPACIJA U MEĐUNARODNIM ORGANIZACIJAMA I INSTITUCIJAMA EUROPSKE UNIJE</w:t>
            </w:r>
          </w:p>
        </w:tc>
        <w:tc>
          <w:tcPr>
            <w:tcW w:w="2322" w:type="dxa"/>
          </w:tcPr>
          <w:p w:rsidR="00AC0832" w:rsidRDefault="00AC0832" w:rsidP="00A47D80">
            <w:pPr>
              <w:pStyle w:val="CellColumn"/>
            </w:pPr>
            <w:r>
              <w:t>14.511.556</w:t>
            </w:r>
          </w:p>
        </w:tc>
        <w:tc>
          <w:tcPr>
            <w:tcW w:w="2322" w:type="dxa"/>
          </w:tcPr>
          <w:p w:rsidR="00AC0832" w:rsidRDefault="00AC0832" w:rsidP="00A47D80">
            <w:pPr>
              <w:pStyle w:val="CellColumn"/>
            </w:pPr>
            <w:r>
              <w:t>6.502.799</w:t>
            </w:r>
          </w:p>
        </w:tc>
        <w:tc>
          <w:tcPr>
            <w:tcW w:w="2322" w:type="dxa"/>
          </w:tcPr>
          <w:p w:rsidR="00AC0832" w:rsidRDefault="00AC0832" w:rsidP="00A47D80">
            <w:pPr>
              <w:pStyle w:val="CellColumn"/>
            </w:pPr>
            <w:r>
              <w:t>44,8</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 xml:space="preserve">Vlada Republike Hrvatske, donijela je niz odluka, a Hrvatski sabor zakona, o članstvu u međunarodnim financijskim i drugim međunarodnim organizacijama: Međunarodni monetarni fond (MMF), Međunarodna banka za obnovu i razvoj (IBRD), Europska banka za obnovu i razvoj (EBRD), Međunarodna financijska korporacija (IFC), Agencija za multilateralno garantiranje investicija (MIGA), Međunarodno udruženje za razvoj (IDA), Inter-američka banka za razvoj (IDB), Razvojna banka Vijeća Europe (CEB), Međunarodni centar za rješavanje ulagačkih sporova (ICSID) i dr. za što je potrebno izdvojiti i određena sredstva. </w:t>
      </w:r>
    </w:p>
    <w:p w:rsidR="00AC0832" w:rsidRDefault="00AC0832" w:rsidP="00C63D4C">
      <w:pPr>
        <w:pStyle w:val="Normal5"/>
      </w:pPr>
      <w:r>
        <w:t xml:space="preserve">Ovom programu je u odnosu na raniju programsku klasifikaciju pridružena i nova aktivnost: Doprinos Republike Hrvatske proračunu Europske unije budući je definiran datum pristupanja Republike Hrvatske Europskoj uniji 1. srpnja 2013. godine.  </w:t>
      </w:r>
    </w:p>
    <w:p w:rsidR="00AC0832" w:rsidRDefault="00AC0832" w:rsidP="00C63D4C">
      <w:pPr>
        <w:pStyle w:val="Normal5"/>
      </w:pPr>
      <w:r>
        <w:t>Program je povezan s Općim ciljem 9. Daljnje jačanje međunarodnog položaja Republike Hrvatske te Posebnim ciljem 9.1. Završetak pregovora i članstvo u Europskoj uniji.</w:t>
      </w:r>
    </w:p>
    <w:p w:rsidR="00AC0832" w:rsidRDefault="00AC0832" w:rsidP="00C63D4C">
      <w:pPr>
        <w:pStyle w:val="Heading6"/>
      </w:pPr>
      <w:r>
        <w:t>Zakonske i druge pravne osnove</w:t>
      </w:r>
    </w:p>
    <w:p w:rsidR="00AC0832" w:rsidRDefault="00AC0832" w:rsidP="00C63D4C">
      <w:pPr>
        <w:pStyle w:val="Normal5"/>
      </w:pPr>
      <w:r>
        <w:t>Sporazumi s međunarodnim organizacijama, Sporazumi i Rezolucije/Odluke međunarodnih financijskih institucija: Međunarodne banke za obnovu i razvoj i Inter-američke banke za razvoj, Odluke Vlade RH: Odluka o sudjelovanju Republike Hrvatske u općem povećanju kapitala Međunarodne banke za obnovu i razvoj (NN 34/2011) i Odluka o sudjelovanju Republike Hrvatske u općem povećanju kapitala Interameričke banke za razvoj i dopuni sredstava Fonda za posebne operacije Interameričke banke za razvoj (NN 16/2011).</w:t>
      </w:r>
    </w:p>
    <w:p w:rsidR="00AC0832" w:rsidRDefault="00AC0832" w:rsidP="00C63D4C">
      <w:pPr>
        <w:pStyle w:val="Heading7"/>
      </w:pPr>
      <w:r>
        <w:t>Cilj 1. Jačati bilateralnu i multilateralnu suradnju Republike Hrvatske s međunarodnim tijelima i organizacijama te uredno  podmirivati preuzete obveze</w:t>
      </w:r>
    </w:p>
    <w:p w:rsidR="00AC0832" w:rsidRDefault="00AC0832" w:rsidP="00C63D4C">
      <w:pPr>
        <w:pStyle w:val="Heading7"/>
      </w:pPr>
      <w:r>
        <w:t>Cilj 2. Sudjelovati u radu i korištenju sredstava međunarodnih financijskih institucija kroz razne vrste projekata</w:t>
      </w:r>
    </w:p>
    <w:p w:rsidR="00AC0832" w:rsidRDefault="00AC0832" w:rsidP="00C63D4C">
      <w:pPr>
        <w:pStyle w:val="Heading8"/>
        <w:jc w:val="left"/>
      </w:pPr>
      <w:r>
        <w:t>Opis provedbe cilja programa</w:t>
      </w:r>
    </w:p>
    <w:p w:rsidR="00AC0832" w:rsidRDefault="00AC0832" w:rsidP="00C63D4C">
      <w:pPr>
        <w:pStyle w:val="Normal6"/>
      </w:pPr>
      <w:r>
        <w:t xml:space="preserve">Izvršene su obveze vezane uz sudjelovanje Republike Hrvatkse u: </w:t>
      </w:r>
    </w:p>
    <w:p w:rsidR="00AC0832" w:rsidRDefault="00AC0832" w:rsidP="00C63D4C">
      <w:pPr>
        <w:pStyle w:val="Normal6"/>
      </w:pPr>
      <w:r>
        <w:t xml:space="preserve">a)  općem povećanju kapitala IBRD-a: plaćen je drugi od pet obroka obveze RH za kapital  IBRD-a; drugi obrok iznosio je 890,3 tisuće USD.  </w:t>
      </w:r>
    </w:p>
    <w:p w:rsidR="00AC0832" w:rsidRDefault="00AC0832" w:rsidP="00C63D4C">
      <w:pPr>
        <w:pStyle w:val="Normal6"/>
      </w:pPr>
      <w:r>
        <w:t>b)  u devetom općem povećanju kapitala IDB-a i dopuni sredstava Fonda za posebne operacije IDB-a: plaćen je prvi od pet obroka obveze RH za kapital IDB-a; prvi obrok iznosio je 168,9 tisuća USD; također je plaćen i drugi od pet obroka obveze RH za doprinos Fondu za posebne operacije IDB-a (drugi obrok iznosio je 62,6 tisuća USD).</w:t>
      </w:r>
    </w:p>
    <w:p w:rsidR="00AC0832" w:rsidRDefault="00AC0832" w:rsidP="00C63D4C">
      <w:pPr>
        <w:pStyle w:val="Heading6"/>
      </w:pPr>
      <w:r>
        <w:t>A539053 UDJELI U KAPITALU MEĐUNARODNIH FINANCIJSKIH INSTITUCIJA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A539053-UDJELI U KAPITALU MEĐUNARODNIH FINANCIJSKIH INSTITUCIJA</w:t>
            </w:r>
          </w:p>
        </w:tc>
        <w:tc>
          <w:tcPr>
            <w:tcW w:w="2322" w:type="dxa"/>
          </w:tcPr>
          <w:p w:rsidR="00AC0832" w:rsidRDefault="00AC0832" w:rsidP="00A47D80">
            <w:pPr>
              <w:pStyle w:val="CellColumn"/>
            </w:pPr>
            <w:r>
              <w:t>14.511.556</w:t>
            </w:r>
          </w:p>
        </w:tc>
        <w:tc>
          <w:tcPr>
            <w:tcW w:w="2322" w:type="dxa"/>
          </w:tcPr>
          <w:p w:rsidR="00AC0832" w:rsidRDefault="00AC0832" w:rsidP="00A47D80">
            <w:pPr>
              <w:pStyle w:val="CellColumn"/>
            </w:pPr>
            <w:r>
              <w:t>6.502.799</w:t>
            </w:r>
          </w:p>
        </w:tc>
        <w:tc>
          <w:tcPr>
            <w:tcW w:w="2322" w:type="dxa"/>
          </w:tcPr>
          <w:p w:rsidR="00AC0832" w:rsidRDefault="00AC0832" w:rsidP="00A47D80">
            <w:pPr>
              <w:pStyle w:val="CellColumn"/>
            </w:pPr>
            <w:r>
              <w:t>44,8</w:t>
            </w:r>
          </w:p>
        </w:tc>
      </w:tr>
    </w:tbl>
    <w:p w:rsidR="00AC0832" w:rsidRDefault="00AC0832" w:rsidP="00C63D4C">
      <w:pPr>
        <w:jc w:val="left"/>
      </w:pPr>
    </w:p>
    <w:p w:rsidR="00AC0832" w:rsidRDefault="00AC0832" w:rsidP="00C63D4C">
      <w:pPr>
        <w:pStyle w:val="Heading5"/>
      </w:pPr>
      <w:r>
        <w:t>2305 OBVEZE RH PREMA MEĐUNARODNIM SPORAZUMIMA S BIH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2305-OBVEZE RH PREMA MEĐUNARODNIM SPORAZUMIMA S BIH</w:t>
            </w:r>
          </w:p>
        </w:tc>
        <w:tc>
          <w:tcPr>
            <w:tcW w:w="2322" w:type="dxa"/>
          </w:tcPr>
          <w:p w:rsidR="00AC0832" w:rsidRDefault="00AC0832" w:rsidP="00A47D80">
            <w:pPr>
              <w:pStyle w:val="CellColumn"/>
            </w:pPr>
            <w:r>
              <w:t>15.000.000</w:t>
            </w:r>
          </w:p>
        </w:tc>
        <w:tc>
          <w:tcPr>
            <w:tcW w:w="2322" w:type="dxa"/>
          </w:tcPr>
          <w:p w:rsidR="00AC0832" w:rsidRDefault="00AC0832" w:rsidP="00A47D80">
            <w:pPr>
              <w:pStyle w:val="CellColumn"/>
            </w:pPr>
            <w:r>
              <w:t>15.000.000</w:t>
            </w:r>
          </w:p>
        </w:tc>
        <w:tc>
          <w:tcPr>
            <w:tcW w:w="2322" w:type="dxa"/>
          </w:tcPr>
          <w:p w:rsidR="00AC0832" w:rsidRDefault="00AC0832" w:rsidP="00A47D80">
            <w:pPr>
              <w:pStyle w:val="CellColumn"/>
            </w:pPr>
            <w:r>
              <w:t>100,0</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Republika Hrvatska je 22. studenoga 1998. godine sklopila Sporazum o posebnim odnosima između Republike Hrvatske i Federacije Bosne i Hercegovine koji je potvrđen od strane Hrvatskoga sabora 12. ožujka 1999. godine. Provedba Sporazuma o uspostavljanju posebnih odnosa odnosi se na provođenje suradnje u područjima gospodarske suradnje i trgovine, razvitka i obnove, imovinskopravnih pitanja, zakonodavstva, unutarnjih poslova, socijalne politike i zdravstva, znanosti i tehnologije, obrazovanja, kulture i športa, turizma, zaštite okoliša i korištenja prirodnih izvora, informiranja, razvoja regionalne i lokalne samouprave i drugo.</w:t>
      </w:r>
    </w:p>
    <w:p w:rsidR="00AC0832" w:rsidRDefault="00AC0832" w:rsidP="00C63D4C">
      <w:pPr>
        <w:pStyle w:val="Heading6"/>
      </w:pPr>
      <w:r>
        <w:t>Zakonske i druge pravne osnove</w:t>
      </w:r>
    </w:p>
    <w:p w:rsidR="00AC0832" w:rsidRDefault="00AC0832" w:rsidP="00C63D4C">
      <w:pPr>
        <w:pStyle w:val="Normal5"/>
      </w:pPr>
      <w:r>
        <w:t xml:space="preserve">Sporazum o posebnim odnosima između Republike Hrvatske i Federacije Bosne i Hercegovine od 22. studenoga 1998. godine. </w:t>
      </w:r>
    </w:p>
    <w:p w:rsidR="00AC0832" w:rsidRDefault="00AC0832" w:rsidP="00C63D4C">
      <w:pPr>
        <w:pStyle w:val="Normal5"/>
      </w:pPr>
      <w:r>
        <w:t>Odluke o raspodjeli sredstava za financiranje obrazovnih, kulturnih, znanstvenih i zdravstvenih programa i projekata od interesa za hrvatski narod u BiH iz sredstava Državnog proračuna Republike Hrvatske za 2012. godinu (NN 137/12)</w:t>
      </w:r>
    </w:p>
    <w:p w:rsidR="00AC0832" w:rsidRDefault="00AC0832" w:rsidP="00C63D4C">
      <w:pPr>
        <w:pStyle w:val="Heading7"/>
      </w:pPr>
      <w:r>
        <w:t>Cilj 1. Poticati transparentnu međusobnu suradnju izvršnih, zakonodavnih i drugih institucija Republike Hrvatske i Bosne i Hercegovine u ovisnosti od općih političkih i gospodarskih uvjeta</w:t>
      </w:r>
    </w:p>
    <w:p w:rsidR="00AC0832" w:rsidRDefault="00AC0832" w:rsidP="00C63D4C">
      <w:pPr>
        <w:pStyle w:val="Heading8"/>
        <w:jc w:val="left"/>
      </w:pPr>
      <w:r>
        <w:t>Opis provedbe cilja programa</w:t>
      </w:r>
    </w:p>
    <w:p w:rsidR="00AC0832" w:rsidRDefault="00AC0832" w:rsidP="00C63D4C">
      <w:pPr>
        <w:pStyle w:val="Normal6"/>
      </w:pPr>
      <w:r>
        <w:t>Svake godine donosi se Zaključak o raspodjeli planiranih sredstava za tekuću godinu, koja se prenose nadležnim ministarstvima za provedbu odobrenih programa i projekata.</w:t>
      </w:r>
    </w:p>
    <w:p w:rsidR="00AC0832" w:rsidRDefault="00AC0832" w:rsidP="00C63D4C">
      <w:pPr>
        <w:pStyle w:val="Heading6"/>
      </w:pPr>
      <w:r>
        <w:t>A539061 POTICAJ ZA OBRAZOVANJE, KULTURU, ZNANOST I ZDRAVSTVO U BIH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A539061-POTICAJ ZA OBRAZOVANJE, KULTURU, ZNANOST I ZDRAVSTVO U BIH</w:t>
            </w:r>
          </w:p>
        </w:tc>
        <w:tc>
          <w:tcPr>
            <w:tcW w:w="2322" w:type="dxa"/>
          </w:tcPr>
          <w:p w:rsidR="00AC0832" w:rsidRDefault="00AC0832" w:rsidP="00A47D80">
            <w:pPr>
              <w:pStyle w:val="CellColumn"/>
            </w:pPr>
            <w:r>
              <w:t>15.000.000</w:t>
            </w:r>
          </w:p>
        </w:tc>
        <w:tc>
          <w:tcPr>
            <w:tcW w:w="2322" w:type="dxa"/>
          </w:tcPr>
          <w:p w:rsidR="00AC0832" w:rsidRDefault="00AC0832" w:rsidP="00A47D80">
            <w:pPr>
              <w:pStyle w:val="CellColumn"/>
            </w:pPr>
            <w:r>
              <w:t>15.000.000</w:t>
            </w:r>
          </w:p>
        </w:tc>
        <w:tc>
          <w:tcPr>
            <w:tcW w:w="2322" w:type="dxa"/>
          </w:tcPr>
          <w:p w:rsidR="00AC0832" w:rsidRDefault="00AC0832" w:rsidP="00A47D80">
            <w:pPr>
              <w:pStyle w:val="CellColumn"/>
            </w:pPr>
            <w:r>
              <w:t>100,0</w:t>
            </w:r>
          </w:p>
        </w:tc>
      </w:tr>
    </w:tbl>
    <w:p w:rsidR="00AC0832" w:rsidRDefault="00AC0832" w:rsidP="00C63D4C">
      <w:pPr>
        <w:pStyle w:val="Heading5"/>
      </w:pPr>
      <w:r>
        <w:t>2403 PROVEDBA OSIGURANJA ZAPOSLENIH I IMOVINE PRORAČUNSKIH KORISNIKA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2403-PROVEDBA OSIGURANJA ZAPOSLENIH I IMOVINE PRORAČUNSKIH KORISNIKA</w:t>
            </w:r>
          </w:p>
        </w:tc>
        <w:tc>
          <w:tcPr>
            <w:tcW w:w="2322" w:type="dxa"/>
          </w:tcPr>
          <w:p w:rsidR="00AC0832" w:rsidRDefault="00AC0832" w:rsidP="00A47D80">
            <w:pPr>
              <w:pStyle w:val="CellColumn"/>
            </w:pPr>
            <w:r>
              <w:t>12.000.000</w:t>
            </w:r>
          </w:p>
        </w:tc>
        <w:tc>
          <w:tcPr>
            <w:tcW w:w="2322" w:type="dxa"/>
          </w:tcPr>
          <w:p w:rsidR="00AC0832" w:rsidRDefault="00AC0832" w:rsidP="00A47D80">
            <w:pPr>
              <w:pStyle w:val="CellColumn"/>
            </w:pPr>
            <w:r>
              <w:t>11.930.380</w:t>
            </w:r>
          </w:p>
        </w:tc>
        <w:tc>
          <w:tcPr>
            <w:tcW w:w="2322" w:type="dxa"/>
          </w:tcPr>
          <w:p w:rsidR="00AC0832" w:rsidRDefault="00AC0832" w:rsidP="00A47D80">
            <w:pPr>
              <w:pStyle w:val="CellColumn"/>
            </w:pPr>
            <w:r>
              <w:t>99,4</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Proračunskim korisnicima se osiguravaju sredstva za obvezno osiguranje u skladu s propisima kojima se uređuje osiguranje te za osiguranje službenika, namještenika i dužnosnika od posljedica nesretnog slučaja. Također se u državnom proračunu osiguravaju sredstva za nadoknadu štete na neosiguranoj imovini (poslovne zgrade, uređaji, instalacije, oprema i dr.), a doznačavaju se korisnicima na njihov zahtjev.</w:t>
      </w:r>
    </w:p>
    <w:p w:rsidR="00AC0832" w:rsidRDefault="00AC0832" w:rsidP="00C63D4C">
      <w:pPr>
        <w:pStyle w:val="Heading6"/>
      </w:pPr>
      <w:r>
        <w:t>Zakonske i druge pravne osnove</w:t>
      </w:r>
    </w:p>
    <w:p w:rsidR="00AC0832" w:rsidRDefault="00AC0832" w:rsidP="00C63D4C">
      <w:pPr>
        <w:pStyle w:val="Normal5"/>
      </w:pPr>
      <w:r>
        <w:t>Zakon o izvršavanju Državnog proračuna RH za proračunsku godinu i Zakon o osiguranju (NN br 9/94, 46/97, 151/05, 87/08 i 82/09).</w:t>
      </w:r>
    </w:p>
    <w:p w:rsidR="00AC0832" w:rsidRDefault="00AC0832" w:rsidP="00C63D4C">
      <w:pPr>
        <w:pStyle w:val="Heading7"/>
      </w:pPr>
      <w:r>
        <w:t>Cilj 1. Osigurati državne službenike, namještenike i dužnosnike od posljedica nesretnog slučaja i podmiriti nastalu štetu na državnoj imovini</w:t>
      </w:r>
    </w:p>
    <w:p w:rsidR="00AC0832" w:rsidRDefault="00AC0832" w:rsidP="00C63D4C">
      <w:pPr>
        <w:pStyle w:val="Heading8"/>
        <w:jc w:val="left"/>
      </w:pPr>
      <w:r>
        <w:t>Opis provedbe cilja programa</w:t>
      </w:r>
    </w:p>
    <w:p w:rsidR="00AC0832" w:rsidRDefault="00AC0832" w:rsidP="00C63D4C">
      <w:pPr>
        <w:pStyle w:val="Normal6"/>
      </w:pPr>
      <w:r>
        <w:t>Osigurati državne službenike, namještenike i dužnosnike od posljedica nesretnog slučaja i podmiriti nastalu štetu na državnoj imovini.</w:t>
      </w:r>
    </w:p>
    <w:p w:rsidR="00AC0832" w:rsidRDefault="00AC0832" w:rsidP="00C63D4C">
      <w:pPr>
        <w:pStyle w:val="Heading6"/>
      </w:pPr>
      <w:r>
        <w:t>A539005 OSIGURANJE ZAPOSLENIH I IMOVINE PRORAČUNSKIH KORISNIKA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A539005-OSIGURANJE ZAPOSLENIH I IMOVINE PRORAČUNSKIH KORISNIKA</w:t>
            </w:r>
          </w:p>
        </w:tc>
        <w:tc>
          <w:tcPr>
            <w:tcW w:w="2322" w:type="dxa"/>
          </w:tcPr>
          <w:p w:rsidR="00AC0832" w:rsidRDefault="00AC0832" w:rsidP="00A47D80">
            <w:pPr>
              <w:pStyle w:val="CellColumn"/>
            </w:pPr>
            <w:r>
              <w:t>12.000.000</w:t>
            </w:r>
          </w:p>
        </w:tc>
        <w:tc>
          <w:tcPr>
            <w:tcW w:w="2322" w:type="dxa"/>
          </w:tcPr>
          <w:p w:rsidR="00AC0832" w:rsidRDefault="00AC0832" w:rsidP="00A47D80">
            <w:pPr>
              <w:pStyle w:val="CellColumn"/>
            </w:pPr>
            <w:r>
              <w:t>11.930.380</w:t>
            </w:r>
          </w:p>
        </w:tc>
        <w:tc>
          <w:tcPr>
            <w:tcW w:w="2322" w:type="dxa"/>
          </w:tcPr>
          <w:p w:rsidR="00AC0832" w:rsidRDefault="00AC0832" w:rsidP="00A47D80">
            <w:pPr>
              <w:pStyle w:val="CellColumn"/>
            </w:pPr>
            <w:r>
              <w:t>99,4</w:t>
            </w:r>
          </w:p>
        </w:tc>
      </w:tr>
    </w:tbl>
    <w:p w:rsidR="00AC0832" w:rsidRDefault="00AC0832" w:rsidP="00C63D4C">
      <w:pPr>
        <w:jc w:val="left"/>
      </w:pPr>
    </w:p>
    <w:p w:rsidR="00AC0832" w:rsidRDefault="00AC0832" w:rsidP="00C63D4C">
      <w:pPr>
        <w:pStyle w:val="Heading5"/>
      </w:pPr>
      <w:r>
        <w:t>2813 NAKNADE ZA ODUZETU IMOVINU I ISPLATE PO SUDSKIM RJEŠENJIMA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2813-NAKNADE ZA ODUZETU IMOVINU I ISPLATE PO SUDSKIM RJEŠENJIMA</w:t>
            </w:r>
          </w:p>
        </w:tc>
        <w:tc>
          <w:tcPr>
            <w:tcW w:w="2322" w:type="dxa"/>
          </w:tcPr>
          <w:p w:rsidR="00AC0832" w:rsidRDefault="00AC0832" w:rsidP="00A47D80">
            <w:pPr>
              <w:pStyle w:val="CellColumn"/>
            </w:pPr>
            <w:r>
              <w:t>129.843.464</w:t>
            </w:r>
          </w:p>
        </w:tc>
        <w:tc>
          <w:tcPr>
            <w:tcW w:w="2322" w:type="dxa"/>
          </w:tcPr>
          <w:p w:rsidR="00AC0832" w:rsidRDefault="00AC0832" w:rsidP="00A47D80">
            <w:pPr>
              <w:pStyle w:val="CellColumn"/>
            </w:pPr>
            <w:r>
              <w:t>125.898.261</w:t>
            </w:r>
          </w:p>
        </w:tc>
        <w:tc>
          <w:tcPr>
            <w:tcW w:w="2322" w:type="dxa"/>
          </w:tcPr>
          <w:p w:rsidR="00AC0832" w:rsidRDefault="00AC0832" w:rsidP="00A47D80">
            <w:pPr>
              <w:pStyle w:val="CellColumn"/>
            </w:pPr>
            <w:r>
              <w:t>97,0</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 xml:space="preserve">U izvršenju ovoga programa sudjeluje Fond za naknadu oduzete imovine koji je izvanproračunski fond ustanovljen Zakonom o naknadi za imovinu oduzetu za vrijeme jugoslavenske komunističke vladavine. Izvori financiranja Fonda su: sredstva ostvarena prodajom nacionaliziranih i konfisciranih stanova koje Fond prodaje temeljem odredbi Zakona; sredstva pribavljena prodajom stanova stanarima koji su stekli pravo na otkup stana; iz proračuna Republike Hrvatske i iz drugih izvora propisanih zakonom. Fond je obveznik naknade u obveznicama za sve nekretnine koje se ne mogu vratiti u naravi, osim one imovine koja je ušla u temeljni kapital dioničkih društava. </w:t>
      </w:r>
    </w:p>
    <w:p w:rsidR="00AC0832" w:rsidRDefault="00AC0832" w:rsidP="00C63D4C">
      <w:pPr>
        <w:pStyle w:val="Normal5"/>
      </w:pPr>
      <w:r>
        <w:t>Zbog neprimjene pojedinih odredaba kolektivnih ugovora u javnim i državnim službama pokrenuto je niz sporova protiv Republike Hrvatske. Mnoge presude su donesene, pa s tog naslova slijede i isplate iz državnog proračuna, a pokrenuto je i niz postupaka izvansudskih nagodbi.</w:t>
      </w:r>
    </w:p>
    <w:p w:rsidR="00AC0832" w:rsidRDefault="00AC0832" w:rsidP="00C63D4C">
      <w:pPr>
        <w:pStyle w:val="Heading6"/>
      </w:pPr>
      <w:r>
        <w:t>Zakonske i druge pravne osnove</w:t>
      </w:r>
    </w:p>
    <w:p w:rsidR="00AC0832" w:rsidRDefault="00AC0832" w:rsidP="00C63D4C">
      <w:pPr>
        <w:pStyle w:val="Normal5"/>
      </w:pPr>
      <w:r>
        <w:t xml:space="preserve">- Zakon o naknadi za imovinu oduzetu za vrijeme jugoslavenske komunističke vladavine (NN, br. 92/96, 39/99, 42/99, 92/99, 43/00,131/00,27/01, 65/01, 118/01, 80/02, i 81/02 ; </w:t>
      </w:r>
    </w:p>
    <w:p w:rsidR="00AC0832" w:rsidRDefault="00AC0832" w:rsidP="00C63D4C">
      <w:pPr>
        <w:pStyle w:val="Normal5"/>
      </w:pPr>
      <w:r>
        <w:t xml:space="preserve">- Pravilnik o mjerilima za utvrđivanje naknade za oduzeto građevinsko zemljište i poslovni prostor (NN, br. 204/03 i 3/04); </w:t>
      </w:r>
    </w:p>
    <w:p w:rsidR="00AC0832" w:rsidRDefault="00AC0832" w:rsidP="00C63D4C">
      <w:pPr>
        <w:pStyle w:val="Normal5"/>
      </w:pPr>
      <w:r>
        <w:t>- Pravomoćne sudske presude, sudske i izvansudske nagodbe</w:t>
      </w:r>
    </w:p>
    <w:p w:rsidR="00AC0832" w:rsidRDefault="00AC0832" w:rsidP="00C63D4C">
      <w:pPr>
        <w:pStyle w:val="Heading7"/>
      </w:pPr>
      <w:r>
        <w:t>Cilj 1. Pravovremena isplata naknade u novcu i obveznicama Republike Hrvatske ovlaštenicima  naknade prema odredbama Zakona i Pravilnika</w:t>
      </w:r>
    </w:p>
    <w:p w:rsidR="00AC0832" w:rsidRDefault="00AC0832" w:rsidP="00C63D4C">
      <w:pPr>
        <w:pStyle w:val="Heading7"/>
      </w:pPr>
      <w:r>
        <w:t>Cilj 2. Isplata sredstava za sklapanje sudskih i izvansudskih nagodbi temeljem pravomoćnih sudskih odluka, sudskih i izvansudskih nagodbi</w:t>
      </w:r>
    </w:p>
    <w:p w:rsidR="00AC0832" w:rsidRDefault="00AC0832" w:rsidP="00C63D4C">
      <w:pPr>
        <w:pStyle w:val="Heading5"/>
      </w:pPr>
    </w:p>
    <w:p w:rsidR="00AC0832" w:rsidRDefault="00AC0832" w:rsidP="00C63D4C"/>
    <w:p w:rsidR="00AC0832" w:rsidRPr="009135EC" w:rsidRDefault="00AC0832" w:rsidP="00C63D4C"/>
    <w:p w:rsidR="00AC0832" w:rsidRDefault="00AC0832" w:rsidP="00C63D4C">
      <w:pPr>
        <w:pStyle w:val="Heading5"/>
      </w:pPr>
      <w:r>
        <w:t>3210 KREDITNI I JAMSTVENI PROGRAMI U GOSPODARSTVU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3210-KREDITNI I JAMSTVENI PROGRAMI U GOSPODARSTVU</w:t>
            </w:r>
          </w:p>
        </w:tc>
        <w:tc>
          <w:tcPr>
            <w:tcW w:w="2322" w:type="dxa"/>
          </w:tcPr>
          <w:p w:rsidR="00AC0832" w:rsidRDefault="00AC0832" w:rsidP="00A47D80">
            <w:pPr>
              <w:pStyle w:val="CellColumn"/>
            </w:pPr>
            <w:r>
              <w:t>1.701.575.000</w:t>
            </w:r>
          </w:p>
        </w:tc>
        <w:tc>
          <w:tcPr>
            <w:tcW w:w="2322" w:type="dxa"/>
          </w:tcPr>
          <w:p w:rsidR="00AC0832" w:rsidRDefault="00AC0832" w:rsidP="00A47D80">
            <w:pPr>
              <w:pStyle w:val="CellColumn"/>
            </w:pPr>
            <w:r>
              <w:t>1.234.423.437</w:t>
            </w:r>
          </w:p>
        </w:tc>
        <w:tc>
          <w:tcPr>
            <w:tcW w:w="2322" w:type="dxa"/>
          </w:tcPr>
          <w:p w:rsidR="00AC0832" w:rsidRDefault="00AC0832" w:rsidP="00A47D80">
            <w:pPr>
              <w:pStyle w:val="CellColumn"/>
            </w:pPr>
            <w:r>
              <w:t>72,5</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 xml:space="preserve">Odobrenim sredstvima po ovom Programu potiče se razvoj konkurentnosti hrvatskog gospodarstva putem jačanja konkurentskih sposobnosti hrvatskih gospodarskih subjekata na hrvatskom i međunarodnom tržištu. Programom se provode aktivnosti kojima se razvija infrastruktura, jačaju postojeći i pokreću novi gospodarski subjekti, povećava izvoz, zadržavaju sadašnja i stvaraju nova radna mjesta te ostvaruje ravnomjeran gospodarski i društveni razvitak Republike Hrvatske. Ciljevi programa ostvaruju se putem kreditiranja gospodarskih subjekata od strane HBOR-a po povoljnijim uvjetima u odnosu na tržišne uvjete. </w:t>
      </w:r>
    </w:p>
    <w:p w:rsidR="00AC0832" w:rsidRDefault="00AC0832" w:rsidP="00C63D4C">
      <w:pPr>
        <w:pStyle w:val="Normal5"/>
      </w:pPr>
      <w:r>
        <w:t>Financijska državna jamstva izdaju se za: potporu kapitalnim ulaganjima u razvitak kojima se poboljšavaju opći uvjeti gospodarskog djelovanja i koji utječu na izvozni učinak, provedbu prioritetnih programa, osiguranje gospodarske stabilnosti odnosno za ublažavanje gospodarske  nerazvijenosti određenog područja.</w:t>
      </w:r>
    </w:p>
    <w:p w:rsidR="00AC0832" w:rsidRDefault="00AC0832" w:rsidP="00C63D4C">
      <w:pPr>
        <w:pStyle w:val="Heading6"/>
      </w:pPr>
      <w:r>
        <w:t>Zakonske i druge pravne osnove</w:t>
      </w:r>
    </w:p>
    <w:p w:rsidR="00AC0832" w:rsidRDefault="00AC0832" w:rsidP="00C63D4C">
      <w:pPr>
        <w:pStyle w:val="Normal5"/>
      </w:pPr>
      <w:r>
        <w:t xml:space="preserve">- Zakon o Hrvatskoj banci za obnovu i razvitak (NN 138/06), </w:t>
      </w:r>
    </w:p>
    <w:p w:rsidR="00AC0832" w:rsidRDefault="00AC0832" w:rsidP="00C63D4C">
      <w:pPr>
        <w:pStyle w:val="Normal5"/>
      </w:pPr>
      <w:r>
        <w:t xml:space="preserve">- Ugovor o nalogu za obavljanje poslova povlaštenog financiranja po kreditnim programima HBOR-a od 01. listopada 2006. godine, </w:t>
      </w:r>
    </w:p>
    <w:p w:rsidR="00AC0832" w:rsidRDefault="00AC0832" w:rsidP="00C63D4C">
      <w:pPr>
        <w:pStyle w:val="Normal5"/>
      </w:pPr>
      <w:r>
        <w:t xml:space="preserve">- Dodatak I Ugovoru o nalogu za obavljanje poslova povlaštenog financiranja po kreditnim programima HBOR-a od 02. svibnja 2007. godine, </w:t>
      </w:r>
    </w:p>
    <w:p w:rsidR="00AC0832" w:rsidRDefault="00AC0832" w:rsidP="00C63D4C">
      <w:pPr>
        <w:pStyle w:val="Normal5"/>
      </w:pPr>
      <w:r>
        <w:t xml:space="preserve">- Dodatak II Ugovoru o nalogu za obavljanje poslova povlaštenog financiranja od 01. veljače 2008. godine i </w:t>
      </w:r>
    </w:p>
    <w:p w:rsidR="00AC0832" w:rsidRDefault="00AC0832" w:rsidP="00C63D4C">
      <w:pPr>
        <w:pStyle w:val="Normal5"/>
      </w:pPr>
      <w:r>
        <w:t>- Dodatak III Ugovoru o nalogu za obavljanje poslova povlaštenog financiranja po kreditnim programima HBOR-a od 31. prosinca 2008. godine.</w:t>
      </w:r>
    </w:p>
    <w:p w:rsidR="00AC0832" w:rsidRDefault="00AC0832" w:rsidP="00C63D4C">
      <w:pPr>
        <w:pStyle w:val="Heading7"/>
      </w:pPr>
      <w:r>
        <w:t>Cilj 1. Povećanje konkurentnosti hrvatskih gospodarskih subjekata</w:t>
      </w:r>
    </w:p>
    <w:p w:rsidR="00AC0832" w:rsidRDefault="00AC0832" w:rsidP="00C63D4C">
      <w:pPr>
        <w:pStyle w:val="Heading8"/>
        <w:jc w:val="left"/>
      </w:pPr>
      <w:r>
        <w:t>Opis provedbe cilja programa</w:t>
      </w:r>
    </w:p>
    <w:p w:rsidR="00AC0832" w:rsidRDefault="00AC0832" w:rsidP="00C63D4C">
      <w:pPr>
        <w:pStyle w:val="Normal6"/>
      </w:pPr>
      <w:r>
        <w:t>Omogućavanjem financiranja hrvatskih gospodarskih subjekata po povoljnim uvjetima povećava se njihova konkurentnost na hrvatskom i međunarodnom tržištu. Veća konkurentnost gospodarskih subjekata pozitivno utječe na povećanje izvoza, zadržavanje sadašnjih i stvaranje novih radnih mjesta. Financiranje gospodarskih subjekata po povoljnim uvjetima realizira se kreditiranjem gospodarskih subjekata putem kreditnih programa HBOR-a.</w:t>
      </w:r>
    </w:p>
    <w:p w:rsidR="00AC0832" w:rsidRDefault="00AC0832" w:rsidP="00C63D4C">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A47D80">
        <w:trPr>
          <w:jc w:val="center"/>
        </w:trPr>
        <w:tc>
          <w:tcPr>
            <w:tcW w:w="1300" w:type="dxa"/>
            <w:shd w:val="clear" w:color="auto" w:fill="B5C0D8"/>
          </w:tcPr>
          <w:p w:rsidR="00AC0832" w:rsidRPr="00392240" w:rsidRDefault="00AC0832" w:rsidP="00A47D80">
            <w:pPr>
              <w:rPr>
                <w:sz w:val="20"/>
                <w:lang w:eastAsia="hr-HR"/>
              </w:rPr>
            </w:pPr>
            <w:r w:rsidRPr="00392240">
              <w:rPr>
                <w:sz w:val="20"/>
                <w:lang w:eastAsia="hr-HR"/>
              </w:rPr>
              <w:t>Pokazatelj učinka</w:t>
            </w:r>
          </w:p>
        </w:tc>
        <w:tc>
          <w:tcPr>
            <w:tcW w:w="1300" w:type="dxa"/>
            <w:shd w:val="clear" w:color="auto" w:fill="B5C0D8"/>
          </w:tcPr>
          <w:p w:rsidR="00AC0832" w:rsidRDefault="00AC0832" w:rsidP="00A47D80">
            <w:pPr>
              <w:pStyle w:val="CellHeader"/>
            </w:pPr>
            <w:r>
              <w:t>Definicija</w:t>
            </w:r>
          </w:p>
        </w:tc>
        <w:tc>
          <w:tcPr>
            <w:tcW w:w="1300" w:type="dxa"/>
            <w:shd w:val="clear" w:color="auto" w:fill="B5C0D8"/>
          </w:tcPr>
          <w:p w:rsidR="00AC0832" w:rsidRDefault="00AC0832" w:rsidP="00A47D80">
            <w:pPr>
              <w:pStyle w:val="CellHeader"/>
            </w:pPr>
            <w:r>
              <w:t>Jedinica</w:t>
            </w:r>
          </w:p>
        </w:tc>
        <w:tc>
          <w:tcPr>
            <w:tcW w:w="1300" w:type="dxa"/>
            <w:shd w:val="clear" w:color="auto" w:fill="B5C0D8"/>
          </w:tcPr>
          <w:p w:rsidR="00AC0832" w:rsidRDefault="00AC0832" w:rsidP="00A47D80">
            <w:pPr>
              <w:pStyle w:val="CellHeader"/>
            </w:pPr>
            <w:r>
              <w:t>Polazna vrijednost</w:t>
            </w:r>
          </w:p>
        </w:tc>
        <w:tc>
          <w:tcPr>
            <w:tcW w:w="1300" w:type="dxa"/>
            <w:shd w:val="clear" w:color="auto" w:fill="B5C0D8"/>
          </w:tcPr>
          <w:p w:rsidR="00AC0832" w:rsidRDefault="00AC0832" w:rsidP="00A47D80">
            <w:pPr>
              <w:pStyle w:val="CellHeader"/>
            </w:pPr>
            <w:r>
              <w:t>Izvor podataka</w:t>
            </w:r>
          </w:p>
        </w:tc>
        <w:tc>
          <w:tcPr>
            <w:tcW w:w="1300" w:type="dxa"/>
            <w:shd w:val="clear" w:color="auto" w:fill="B5C0D8"/>
          </w:tcPr>
          <w:p w:rsidR="00AC0832" w:rsidRDefault="00AC0832" w:rsidP="00A47D80">
            <w:pPr>
              <w:pStyle w:val="CellHeader"/>
            </w:pPr>
            <w:r>
              <w:t>Ciljana vrijednost (2012.)</w:t>
            </w:r>
          </w:p>
        </w:tc>
        <w:tc>
          <w:tcPr>
            <w:tcW w:w="1300" w:type="dxa"/>
            <w:shd w:val="clear" w:color="auto" w:fill="B5C0D8"/>
          </w:tcPr>
          <w:p w:rsidR="00AC0832" w:rsidRDefault="00AC0832" w:rsidP="00A47D80">
            <w:pPr>
              <w:pStyle w:val="CellHeader"/>
            </w:pPr>
            <w:r>
              <w:t>Ostvarena vrijednost (2012.)</w:t>
            </w:r>
          </w:p>
        </w:tc>
      </w:tr>
      <w:tr w:rsidR="00AC0832" w:rsidTr="00A47D80">
        <w:trPr>
          <w:jc w:val="center"/>
        </w:trPr>
        <w:tc>
          <w:tcPr>
            <w:tcW w:w="1300" w:type="dxa"/>
          </w:tcPr>
          <w:p w:rsidR="00AC0832" w:rsidRDefault="00AC0832" w:rsidP="00A47D80">
            <w:pPr>
              <w:pStyle w:val="CellColumn"/>
            </w:pPr>
            <w:r>
              <w:t>Ukupne ostvarene investicije na jedinicu uloženih sredstava HBOR-a</w:t>
            </w:r>
          </w:p>
        </w:tc>
        <w:tc>
          <w:tcPr>
            <w:tcW w:w="1300" w:type="dxa"/>
          </w:tcPr>
          <w:p w:rsidR="00AC0832" w:rsidRDefault="00AC0832" w:rsidP="00A47D80">
            <w:pPr>
              <w:pStyle w:val="CellColumn"/>
            </w:pPr>
            <w:r>
              <w:t>Pokazatelj pokazuje koliko se kuna investicija generira plasmanom jedne kune HBOR-ovih sredstava</w:t>
            </w:r>
          </w:p>
        </w:tc>
        <w:tc>
          <w:tcPr>
            <w:tcW w:w="1300" w:type="dxa"/>
          </w:tcPr>
          <w:p w:rsidR="00AC0832" w:rsidRDefault="00AC0832" w:rsidP="00A47D80">
            <w:pPr>
              <w:pStyle w:val="CellColumn"/>
            </w:pPr>
            <w:r>
              <w:t>kuna</w:t>
            </w:r>
          </w:p>
        </w:tc>
        <w:tc>
          <w:tcPr>
            <w:tcW w:w="1300" w:type="dxa"/>
          </w:tcPr>
          <w:p w:rsidR="00AC0832" w:rsidRDefault="00AC0832" w:rsidP="00A47D80">
            <w:pPr>
              <w:pStyle w:val="CellColumn"/>
            </w:pPr>
            <w:r>
              <w:t>1,3</w:t>
            </w:r>
          </w:p>
        </w:tc>
        <w:tc>
          <w:tcPr>
            <w:tcW w:w="1300" w:type="dxa"/>
          </w:tcPr>
          <w:p w:rsidR="00AC0832" w:rsidRDefault="00AC0832" w:rsidP="00A47D80">
            <w:pPr>
              <w:pStyle w:val="CellColumn"/>
            </w:pPr>
            <w:r>
              <w:t>HBOR</w:t>
            </w:r>
          </w:p>
        </w:tc>
        <w:tc>
          <w:tcPr>
            <w:tcW w:w="1300" w:type="dxa"/>
          </w:tcPr>
          <w:p w:rsidR="00AC0832" w:rsidRDefault="00AC0832" w:rsidP="00A47D80">
            <w:pPr>
              <w:pStyle w:val="CellColumn"/>
            </w:pPr>
            <w:r>
              <w:t>&gt;1,4</w:t>
            </w:r>
          </w:p>
        </w:tc>
        <w:tc>
          <w:tcPr>
            <w:tcW w:w="1300" w:type="dxa"/>
          </w:tcPr>
          <w:p w:rsidR="00AC0832" w:rsidRDefault="00AC0832" w:rsidP="00A47D80">
            <w:pPr>
              <w:pStyle w:val="CellColumn"/>
            </w:pPr>
            <w:r>
              <w:t>1,64</w:t>
            </w:r>
          </w:p>
        </w:tc>
      </w:tr>
    </w:tbl>
    <w:p w:rsidR="00AC0832" w:rsidRDefault="00AC0832" w:rsidP="00C63D4C">
      <w:pPr>
        <w:jc w:val="left"/>
      </w:pPr>
    </w:p>
    <w:p w:rsidR="00AC0832" w:rsidRDefault="00AC0832" w:rsidP="00C63D4C">
      <w:pPr>
        <w:pStyle w:val="Heading7"/>
      </w:pPr>
      <w:r>
        <w:t>Cilj 2. Poticati gospodarski razvoj i podmiriti obveze po jamstvima</w:t>
      </w:r>
    </w:p>
    <w:p w:rsidR="00AC0832" w:rsidRDefault="00AC0832" w:rsidP="00C63D4C">
      <w:pPr>
        <w:pStyle w:val="Heading8"/>
        <w:jc w:val="left"/>
      </w:pPr>
      <w:r>
        <w:t>Opis provedbe cilja programa</w:t>
      </w:r>
    </w:p>
    <w:p w:rsidR="00AC0832" w:rsidRDefault="00AC0832" w:rsidP="00C63D4C">
      <w:pPr>
        <w:pStyle w:val="Normal6"/>
      </w:pPr>
      <w:r>
        <w:t>U situaciji nemogućnosti plaćanja obveza od strane dužnika, Republika Hrvatska je izdavanjem državnog jamstva obvezna podmiriti dug prema vjerovniku.</w:t>
      </w:r>
    </w:p>
    <w:p w:rsidR="00AC0832" w:rsidRDefault="00AC0832" w:rsidP="00C63D4C">
      <w:pPr>
        <w:pStyle w:val="Heading6"/>
      </w:pPr>
      <w:r>
        <w:t>A544001 PROGRAM POVLAŠTENOG FINANCIRANJA PO KREDITNIM PROGRAMIMA HBOR-A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A544001-PROGRAM POVLAŠTENOG FINANCIRANJA PO KREDITNIM PROGRAMIMA HBOR-A</w:t>
            </w:r>
          </w:p>
        </w:tc>
        <w:tc>
          <w:tcPr>
            <w:tcW w:w="2322" w:type="dxa"/>
          </w:tcPr>
          <w:p w:rsidR="00AC0832" w:rsidRDefault="00AC0832" w:rsidP="00A47D80">
            <w:pPr>
              <w:pStyle w:val="CellColumn"/>
            </w:pPr>
            <w:r>
              <w:t>100.000.000</w:t>
            </w:r>
          </w:p>
        </w:tc>
        <w:tc>
          <w:tcPr>
            <w:tcW w:w="2322" w:type="dxa"/>
          </w:tcPr>
          <w:p w:rsidR="00AC0832" w:rsidRDefault="00AC0832" w:rsidP="00A47D80">
            <w:pPr>
              <w:pStyle w:val="CellColumn"/>
            </w:pPr>
            <w:r>
              <w:t>100.000.000</w:t>
            </w:r>
          </w:p>
        </w:tc>
        <w:tc>
          <w:tcPr>
            <w:tcW w:w="2322" w:type="dxa"/>
          </w:tcPr>
          <w:p w:rsidR="00AC0832" w:rsidRDefault="00AC0832" w:rsidP="00A47D80">
            <w:pPr>
              <w:pStyle w:val="CellColumn"/>
            </w:pPr>
            <w:r>
              <w:t>100,0</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 xml:space="preserve">U svrhu provedbe ovog Programa osnovan je Fond sredstava za povlašteno financiranje po kreditnim programima HBOR-a (dalje u tekstu: Fond). HBOR koristi sredstva Fonda po odobrenim kreditima za korisnike kredita koji: </w:t>
      </w:r>
    </w:p>
    <w:p w:rsidR="00AC0832" w:rsidRDefault="00AC0832" w:rsidP="00C63D4C">
      <w:pPr>
        <w:pStyle w:val="Normal6"/>
      </w:pPr>
      <w:r>
        <w:t xml:space="preserve">- ulažu na područja posebne državne skrbi (uključujući brdsko-planinska područja), ili </w:t>
      </w:r>
    </w:p>
    <w:p w:rsidR="00AC0832" w:rsidRDefault="00AC0832" w:rsidP="00C63D4C">
      <w:pPr>
        <w:pStyle w:val="Normal6"/>
      </w:pPr>
      <w:r>
        <w:t>- ulažu na otoke, ili</w:t>
      </w:r>
      <w:r>
        <w:tab/>
        <w:t xml:space="preserve"> </w:t>
      </w:r>
    </w:p>
    <w:p w:rsidR="00AC0832" w:rsidRDefault="00AC0832" w:rsidP="00C63D4C">
      <w:pPr>
        <w:pStyle w:val="Normal6"/>
      </w:pPr>
      <w:r>
        <w:t xml:space="preserve">- ulažu u turističku djelatnost, ili </w:t>
      </w:r>
    </w:p>
    <w:p w:rsidR="00AC0832" w:rsidRDefault="00AC0832" w:rsidP="00C63D4C">
      <w:pPr>
        <w:pStyle w:val="Normal6"/>
      </w:pPr>
      <w:r>
        <w:t xml:space="preserve">- ulažu u poljoprivredu i ribarstvo, ili </w:t>
      </w:r>
    </w:p>
    <w:p w:rsidR="00AC0832" w:rsidRDefault="00AC0832" w:rsidP="00C63D4C">
      <w:pPr>
        <w:pStyle w:val="Normal6"/>
      </w:pPr>
      <w:r>
        <w:t xml:space="preserve">- male i srednje poduzetnike, ili </w:t>
      </w:r>
    </w:p>
    <w:p w:rsidR="00AC0832" w:rsidRDefault="00AC0832" w:rsidP="00C63D4C">
      <w:pPr>
        <w:pStyle w:val="Normal6"/>
      </w:pPr>
      <w:r>
        <w:t xml:space="preserve">- koji su dokazali tržišnu konkurentnost i uspješnu prodaju na domaćem i/ili inozemnom tržištu, ili </w:t>
      </w:r>
    </w:p>
    <w:p w:rsidR="00AC0832" w:rsidRDefault="00AC0832" w:rsidP="00C63D4C">
      <w:pPr>
        <w:pStyle w:val="Normal6"/>
      </w:pPr>
      <w:r>
        <w:t xml:space="preserve">- jedinice lokalne i područne (regionalne) samouprave i trgovačka društva (komunalna poduzeća) u vlasništvu jedinica lokalne i područne (regionalne) samouprave, ili  </w:t>
      </w:r>
    </w:p>
    <w:p w:rsidR="00AC0832" w:rsidRDefault="00AC0832" w:rsidP="00C63D4C">
      <w:pPr>
        <w:pStyle w:val="Normal6"/>
      </w:pPr>
      <w:r>
        <w:t xml:space="preserve">- ostale gospodarske subjekte koji ostvaruju poticajnu kamatnu stopu. </w:t>
      </w:r>
    </w:p>
    <w:p w:rsidR="00AC0832" w:rsidRDefault="00AC0832" w:rsidP="00C63D4C">
      <w:pPr>
        <w:pStyle w:val="Normal6"/>
      </w:pPr>
      <w:r>
        <w:t xml:space="preserve">Temeljem Dodatka III Ugovoru o nalogu iz Fonda se po odobrenim kreditima za cijelo vrijeme trajanja kredita nadoknađuje razlika kamatne stope u visini do najviše 3% (postotna boda), iznimno, za pojedine korisnike kredita nadoknađuje se razlika kamatne stope u visini do najviše 5% (postotnih bodova). </w:t>
      </w:r>
    </w:p>
    <w:p w:rsidR="00AC0832" w:rsidRDefault="00AC0832" w:rsidP="00C63D4C">
      <w:pPr>
        <w:pStyle w:val="Normal6"/>
      </w:pPr>
      <w:r>
        <w:t xml:space="preserve">U 2012. godini za odobrene kredite po programima kreditiranja HBOR-a u iznosu 1.609 milijuna kuna odobrena su sredstva subvencija u iznosu 179 milijuna kuna. </w:t>
      </w:r>
    </w:p>
    <w:p w:rsidR="00AC0832" w:rsidRDefault="00AC0832" w:rsidP="00C63D4C">
      <w:pPr>
        <w:pStyle w:val="Normal6"/>
      </w:pPr>
      <w:r>
        <w:t xml:space="preserve">Znatno povećana kreditna aktivnost u  2012. godini u odnosu na 2011. godinu (rast od 55,7%), a s druge strane znatno smanjenje odobrenih i doznačenih sredstava (57,9% manja doznaka) za subvencioniranje kamatnih stopa iz Državnog proračuna u 2012. godini, rezultirali su time da raspoloživa sredstva u Fondu u 2012. godini nisu mogla pratiti rezervirane iznose odobrenih subvencija po plasmanima te je na dan 12. rujna 2012. godine iskazan iznos od preko 500.000 tisuća kuna nedostatnih sredstava. U cilju smanjenja daljnjeg nerazmjera 13. rujna 2012. godine Uprava HBOR-a donijela je Odluku o privremenoj obustavi obračuna i rezervacije naknade u kamati (subvencije) iz Fonda sredstava za povlašteno financiranje do 31.12.2012. godine. </w:t>
      </w:r>
    </w:p>
    <w:p w:rsidR="00AC0832" w:rsidRDefault="00AC0832" w:rsidP="00C63D4C">
      <w:pPr>
        <w:pStyle w:val="Normal6"/>
      </w:pPr>
      <w:r>
        <w:t xml:space="preserve">Na dan 31. prosinca 2012. godine raspoloživa sredstava Fonda za daljnji raspored iznose 8.455  tisuća kuna i ona su najvećim dijelom rezultat prijevremenih otplata kredita po 12 zahtjeva za rezervaciju subvencije u iznosu od 3.593 tisuća kuna, većih povrata u Fond kod više rezerviranih sredstava subvencije po 3 zahtjeva za rezervaciju subvencije u iznosu od  6.314 tisuća kuna, te dodatnog povlačenja po jednom zahtjevu za rezervaciju subvencije u iznosu od 1.337 tisuća kuna kod prijenosa kredita u otplatu, a isto se odnosi na zahtjeve za rezervaciju subvencije odobrene do 13. rujna 2012. godine. </w:t>
      </w:r>
    </w:p>
    <w:p w:rsidR="00AC0832" w:rsidRDefault="00AC0832" w:rsidP="00C63D4C">
      <w:pPr>
        <w:pStyle w:val="Normal6"/>
      </w:pPr>
      <w:r>
        <w:t>Temeljem Ugovora o nalogu za obavljanje poslova povlaštenog financiranja po kreditnim programima HBOR-a od 01. listopada 2006. godine, i dodataka istom, neiskorištena sredstva Fonda u 2012. godini prebacuju se za korištenje u sljedeću godinu.</w:t>
      </w:r>
    </w:p>
    <w:p w:rsidR="00AC0832" w:rsidRDefault="00AC0832" w:rsidP="00C63D4C">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50"/>
        <w:gridCol w:w="1300"/>
        <w:gridCol w:w="1300"/>
        <w:gridCol w:w="1300"/>
        <w:gridCol w:w="1300"/>
        <w:gridCol w:w="1300"/>
      </w:tblGrid>
      <w:tr w:rsidR="00AC0832" w:rsidTr="00A47D80">
        <w:trPr>
          <w:jc w:val="center"/>
        </w:trPr>
        <w:tc>
          <w:tcPr>
            <w:tcW w:w="1300" w:type="dxa"/>
            <w:shd w:val="clear" w:color="auto" w:fill="B5C0D8"/>
          </w:tcPr>
          <w:p w:rsidR="00AC0832" w:rsidRPr="00392240" w:rsidRDefault="00AC0832" w:rsidP="00A47D80">
            <w:pPr>
              <w:rPr>
                <w:sz w:val="20"/>
                <w:lang w:eastAsia="hr-HR"/>
              </w:rPr>
            </w:pPr>
            <w:r w:rsidRPr="00392240">
              <w:rPr>
                <w:sz w:val="20"/>
                <w:lang w:eastAsia="hr-HR"/>
              </w:rPr>
              <w:t>Pokazatelj rezultata</w:t>
            </w:r>
          </w:p>
        </w:tc>
        <w:tc>
          <w:tcPr>
            <w:tcW w:w="1300" w:type="dxa"/>
            <w:shd w:val="clear" w:color="auto" w:fill="B5C0D8"/>
          </w:tcPr>
          <w:p w:rsidR="00AC0832" w:rsidRDefault="00AC0832" w:rsidP="00A47D80">
            <w:pPr>
              <w:pStyle w:val="CellHeader"/>
            </w:pPr>
            <w:r>
              <w:t>Definicija</w:t>
            </w:r>
          </w:p>
        </w:tc>
        <w:tc>
          <w:tcPr>
            <w:tcW w:w="1300" w:type="dxa"/>
            <w:shd w:val="clear" w:color="auto" w:fill="B5C0D8"/>
          </w:tcPr>
          <w:p w:rsidR="00AC0832" w:rsidRDefault="00AC0832" w:rsidP="00A47D80">
            <w:pPr>
              <w:pStyle w:val="CellHeader"/>
            </w:pPr>
            <w:r>
              <w:t>Jedinica</w:t>
            </w:r>
          </w:p>
        </w:tc>
        <w:tc>
          <w:tcPr>
            <w:tcW w:w="1300" w:type="dxa"/>
            <w:shd w:val="clear" w:color="auto" w:fill="B5C0D8"/>
          </w:tcPr>
          <w:p w:rsidR="00AC0832" w:rsidRDefault="00AC0832" w:rsidP="00A47D80">
            <w:pPr>
              <w:pStyle w:val="CellHeader"/>
            </w:pPr>
            <w:r>
              <w:t>Polazna vrijednost</w:t>
            </w:r>
          </w:p>
        </w:tc>
        <w:tc>
          <w:tcPr>
            <w:tcW w:w="1300" w:type="dxa"/>
            <w:shd w:val="clear" w:color="auto" w:fill="B5C0D8"/>
          </w:tcPr>
          <w:p w:rsidR="00AC0832" w:rsidRDefault="00AC0832" w:rsidP="00A47D80">
            <w:pPr>
              <w:pStyle w:val="CellHeader"/>
            </w:pPr>
            <w:r>
              <w:t>Izvor podataka</w:t>
            </w:r>
          </w:p>
        </w:tc>
        <w:tc>
          <w:tcPr>
            <w:tcW w:w="1300" w:type="dxa"/>
            <w:shd w:val="clear" w:color="auto" w:fill="B5C0D8"/>
          </w:tcPr>
          <w:p w:rsidR="00AC0832" w:rsidRDefault="00AC0832" w:rsidP="00A47D80">
            <w:pPr>
              <w:pStyle w:val="CellHeader"/>
            </w:pPr>
            <w:r>
              <w:t>Ciljana vrijednost (2012.)</w:t>
            </w:r>
          </w:p>
        </w:tc>
        <w:tc>
          <w:tcPr>
            <w:tcW w:w="1300" w:type="dxa"/>
            <w:shd w:val="clear" w:color="auto" w:fill="B5C0D8"/>
          </w:tcPr>
          <w:p w:rsidR="00AC0832" w:rsidRDefault="00AC0832" w:rsidP="00A47D80">
            <w:pPr>
              <w:pStyle w:val="CellHeader"/>
            </w:pPr>
            <w:r>
              <w:t>Ostvarena vrijednost (2012.)</w:t>
            </w:r>
          </w:p>
        </w:tc>
      </w:tr>
      <w:tr w:rsidR="00AC0832" w:rsidTr="00A47D80">
        <w:trPr>
          <w:jc w:val="center"/>
        </w:trPr>
        <w:tc>
          <w:tcPr>
            <w:tcW w:w="1300" w:type="dxa"/>
          </w:tcPr>
          <w:p w:rsidR="00AC0832" w:rsidRDefault="00AC0832" w:rsidP="00A47D80">
            <w:pPr>
              <w:pStyle w:val="CellColumn"/>
            </w:pPr>
            <w:r>
              <w:t>Kreditna aktivnost uz povlaštene uvjete kreditiranja</w:t>
            </w:r>
          </w:p>
        </w:tc>
        <w:tc>
          <w:tcPr>
            <w:tcW w:w="1300" w:type="dxa"/>
          </w:tcPr>
          <w:p w:rsidR="00AC0832" w:rsidRDefault="00AC0832" w:rsidP="00A47D80">
            <w:pPr>
              <w:pStyle w:val="CellColumn"/>
            </w:pPr>
            <w:r>
              <w:t>visina kreditne aktivnosti HBOR-a uz povlaštene uvjete tijekom promatranog razdoblja</w:t>
            </w:r>
          </w:p>
        </w:tc>
        <w:tc>
          <w:tcPr>
            <w:tcW w:w="1300" w:type="dxa"/>
          </w:tcPr>
          <w:p w:rsidR="00AC0832" w:rsidRDefault="00AC0832" w:rsidP="00A47D80">
            <w:pPr>
              <w:pStyle w:val="CellColumn"/>
            </w:pPr>
            <w:r>
              <w:t>milijuni kuna</w:t>
            </w:r>
          </w:p>
        </w:tc>
        <w:tc>
          <w:tcPr>
            <w:tcW w:w="1300" w:type="dxa"/>
          </w:tcPr>
          <w:p w:rsidR="00AC0832" w:rsidRDefault="00AC0832" w:rsidP="00A47D80">
            <w:pPr>
              <w:pStyle w:val="CellColumn"/>
            </w:pPr>
            <w:r>
              <w:t>1.340,0</w:t>
            </w:r>
          </w:p>
        </w:tc>
        <w:tc>
          <w:tcPr>
            <w:tcW w:w="1300" w:type="dxa"/>
          </w:tcPr>
          <w:p w:rsidR="00AC0832" w:rsidRDefault="00AC0832" w:rsidP="00A47D80">
            <w:pPr>
              <w:pStyle w:val="CellColumn"/>
            </w:pPr>
            <w:r>
              <w:t>HBOR</w:t>
            </w:r>
          </w:p>
        </w:tc>
        <w:tc>
          <w:tcPr>
            <w:tcW w:w="1300" w:type="dxa"/>
          </w:tcPr>
          <w:p w:rsidR="00AC0832" w:rsidRDefault="00AC0832" w:rsidP="00A47D80">
            <w:pPr>
              <w:pStyle w:val="CellColumn"/>
            </w:pPr>
            <w:r>
              <w:t>1.545,0</w:t>
            </w:r>
          </w:p>
        </w:tc>
        <w:tc>
          <w:tcPr>
            <w:tcW w:w="1300" w:type="dxa"/>
          </w:tcPr>
          <w:p w:rsidR="00AC0832" w:rsidRDefault="00AC0832" w:rsidP="00A47D80">
            <w:pPr>
              <w:pStyle w:val="CellColumn"/>
            </w:pPr>
            <w:r>
              <w:t>2.694,3</w:t>
            </w:r>
          </w:p>
        </w:tc>
      </w:tr>
    </w:tbl>
    <w:p w:rsidR="00AC0832" w:rsidRDefault="00AC0832" w:rsidP="00C63D4C">
      <w:pPr>
        <w:jc w:val="left"/>
      </w:pPr>
    </w:p>
    <w:p w:rsidR="00AC0832" w:rsidRDefault="00AC0832" w:rsidP="00C63D4C">
      <w:pPr>
        <w:pStyle w:val="Heading6"/>
      </w:pPr>
      <w:r>
        <w:t>A544005 KREDITIRANJE (KROZ OSNIVAČKI KAPITAL HBOR-A) - POTICANJA IZVOZA, INFRASTRUKTURE I GOSPODARSKIH DJELATNOSTI TE MALOG I SREDNJEG PODUZETNIŠTVA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A544005-KREDITIRANJE (KROZ OSNIVAČKI KAPITAL HBOR-A) - POTICANJA IZVOZA, INFRASTRUKTURE I GOSPODARSKIH DJELATNOSTI TE MALOG I SREDNJEG PODUZETNIŠTVA</w:t>
            </w:r>
          </w:p>
        </w:tc>
        <w:tc>
          <w:tcPr>
            <w:tcW w:w="2322" w:type="dxa"/>
          </w:tcPr>
          <w:p w:rsidR="00AC0832" w:rsidRDefault="00AC0832" w:rsidP="00A47D80">
            <w:pPr>
              <w:pStyle w:val="CellColumn"/>
            </w:pPr>
            <w:r>
              <w:t>600.000.000</w:t>
            </w:r>
          </w:p>
        </w:tc>
        <w:tc>
          <w:tcPr>
            <w:tcW w:w="2322" w:type="dxa"/>
          </w:tcPr>
          <w:p w:rsidR="00AC0832" w:rsidRDefault="00AC0832" w:rsidP="00A47D80">
            <w:pPr>
              <w:pStyle w:val="CellColumn"/>
            </w:pPr>
            <w:r>
              <w:t>600.000.000</w:t>
            </w:r>
          </w:p>
        </w:tc>
        <w:tc>
          <w:tcPr>
            <w:tcW w:w="2322" w:type="dxa"/>
          </w:tcPr>
          <w:p w:rsidR="00AC0832" w:rsidRDefault="00AC0832" w:rsidP="00A47D80">
            <w:pPr>
              <w:pStyle w:val="CellColumn"/>
            </w:pPr>
            <w:r>
              <w:t>100,0</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 xml:space="preserve">Sredstvima proračuna koja se uplaćuju u osnivački kapital HBOR-a, a koja izravno utječu na razvoj gospodarstva Republike Hrvatske financira se sljedeće: </w:t>
      </w:r>
    </w:p>
    <w:p w:rsidR="00AC0832" w:rsidRDefault="00AC0832" w:rsidP="00C63D4C">
      <w:pPr>
        <w:pStyle w:val="Normal6"/>
      </w:pPr>
      <w:r>
        <w:t xml:space="preserve"> </w:t>
      </w:r>
    </w:p>
    <w:p w:rsidR="00AC0832" w:rsidRDefault="00AC0832" w:rsidP="00C63D4C">
      <w:pPr>
        <w:pStyle w:val="Normal6"/>
      </w:pPr>
      <w:r>
        <w:t>1.</w:t>
      </w:r>
      <w:r>
        <w:tab/>
        <w:t xml:space="preserve">Financiranje izvoza, koje se provodi kroz: </w:t>
      </w:r>
    </w:p>
    <w:p w:rsidR="00AC0832" w:rsidRDefault="00AC0832" w:rsidP="00C63D4C">
      <w:pPr>
        <w:pStyle w:val="Normal6"/>
      </w:pPr>
      <w:r>
        <w:t></w:t>
      </w:r>
      <w:r>
        <w:tab/>
        <w:t xml:space="preserve">Program kreditiranja pripreme i naplate izvoznih poslova, </w:t>
      </w:r>
    </w:p>
    <w:p w:rsidR="00AC0832" w:rsidRDefault="00AC0832" w:rsidP="00C63D4C">
      <w:pPr>
        <w:pStyle w:val="Normal6"/>
      </w:pPr>
      <w:r>
        <w:t></w:t>
      </w:r>
      <w:r>
        <w:tab/>
        <w:t xml:space="preserve">Program kreditiranja kupaca-banaka u inozemstvu, </w:t>
      </w:r>
    </w:p>
    <w:p w:rsidR="00AC0832" w:rsidRDefault="00AC0832" w:rsidP="00C63D4C">
      <w:pPr>
        <w:pStyle w:val="Normal6"/>
      </w:pPr>
      <w:r>
        <w:t></w:t>
      </w:r>
      <w:r>
        <w:tab/>
        <w:t xml:space="preserve">Program kreditiranja dobavljača kod izvoznih poslova, </w:t>
      </w:r>
    </w:p>
    <w:p w:rsidR="00AC0832" w:rsidRDefault="00AC0832" w:rsidP="00C63D4C">
      <w:pPr>
        <w:pStyle w:val="Normal6"/>
      </w:pPr>
      <w:r>
        <w:t></w:t>
      </w:r>
      <w:r>
        <w:tab/>
        <w:t xml:space="preserve">Kreditne linije bankama inozemnih kupaca, </w:t>
      </w:r>
    </w:p>
    <w:p w:rsidR="00AC0832" w:rsidRDefault="00AC0832" w:rsidP="00C63D4C">
      <w:pPr>
        <w:pStyle w:val="Normal6"/>
      </w:pPr>
      <w:r>
        <w:t></w:t>
      </w:r>
      <w:r>
        <w:tab/>
        <w:t xml:space="preserve">Program kreditiranja turističkog sektora i </w:t>
      </w:r>
    </w:p>
    <w:p w:rsidR="00AC0832" w:rsidRDefault="00AC0832" w:rsidP="00C63D4C">
      <w:pPr>
        <w:pStyle w:val="Normal6"/>
      </w:pPr>
      <w:r>
        <w:t></w:t>
      </w:r>
      <w:r>
        <w:tab/>
        <w:t xml:space="preserve">Program kreditiranja pripreme turističke sezone. </w:t>
      </w:r>
    </w:p>
    <w:p w:rsidR="00AC0832" w:rsidRDefault="00AC0832" w:rsidP="00C63D4C">
      <w:pPr>
        <w:pStyle w:val="Normal6"/>
      </w:pPr>
      <w:r>
        <w:t xml:space="preserve"> </w:t>
      </w:r>
    </w:p>
    <w:p w:rsidR="00AC0832" w:rsidRDefault="00AC0832" w:rsidP="00C63D4C">
      <w:pPr>
        <w:pStyle w:val="Normal6"/>
      </w:pPr>
      <w:r>
        <w:t xml:space="preserve">Osim putem spomenutih programa HBOR prati hrvatske izvoznike i kroz: </w:t>
      </w:r>
    </w:p>
    <w:p w:rsidR="00AC0832" w:rsidRDefault="00AC0832" w:rsidP="00C63D4C">
      <w:pPr>
        <w:pStyle w:val="Normal6"/>
      </w:pPr>
      <w:r>
        <w:t></w:t>
      </w:r>
      <w:r>
        <w:tab/>
        <w:t xml:space="preserve">Program kreditiranja financijskog restrukturiranja i  </w:t>
      </w:r>
    </w:p>
    <w:p w:rsidR="00AC0832" w:rsidRDefault="00AC0832" w:rsidP="00C63D4C">
      <w:pPr>
        <w:pStyle w:val="Normal6"/>
      </w:pPr>
      <w:r>
        <w:t></w:t>
      </w:r>
      <w:r>
        <w:tab/>
        <w:t xml:space="preserve">Program kreditiranja gospodarstva. </w:t>
      </w:r>
    </w:p>
    <w:p w:rsidR="00AC0832" w:rsidRDefault="00AC0832" w:rsidP="00C63D4C">
      <w:pPr>
        <w:pStyle w:val="Normal6"/>
      </w:pPr>
      <w:r>
        <w:t xml:space="preserve"> </w:t>
      </w:r>
    </w:p>
    <w:p w:rsidR="00AC0832" w:rsidRDefault="00AC0832" w:rsidP="00C63D4C">
      <w:pPr>
        <w:pStyle w:val="Normal6"/>
      </w:pPr>
      <w:r>
        <w:t xml:space="preserve">Rezultati djelovanja HBOR-a vidljivi su iz realizacije odobrenja kredita za financiranje izvoza koja u 2012. godini iznosi 3.415,0 milijuna kuna. </w:t>
      </w:r>
    </w:p>
    <w:p w:rsidR="00AC0832" w:rsidRDefault="00AC0832" w:rsidP="00C63D4C">
      <w:pPr>
        <w:pStyle w:val="Normal6"/>
      </w:pPr>
      <w:r>
        <w:t xml:space="preserve"> </w:t>
      </w:r>
    </w:p>
    <w:p w:rsidR="00AC0832" w:rsidRDefault="00AC0832" w:rsidP="00C63D4C">
      <w:pPr>
        <w:pStyle w:val="Normal6"/>
      </w:pPr>
      <w:r>
        <w:t>2.</w:t>
      </w:r>
      <w:r>
        <w:tab/>
        <w:t xml:space="preserve">Financiranje projekata infrastrukture provodi se kroz programe kreditiranja komunalne infrastrukture i projekte zaštite okoliša, energetske učinkovitosti i obnovljivih izvora energije. </w:t>
      </w:r>
    </w:p>
    <w:p w:rsidR="00AC0832" w:rsidRDefault="00AC0832" w:rsidP="00C63D4C">
      <w:pPr>
        <w:pStyle w:val="Normal6"/>
      </w:pPr>
      <w:r>
        <w:t xml:space="preserve"> </w:t>
      </w:r>
    </w:p>
    <w:p w:rsidR="00AC0832" w:rsidRDefault="00AC0832" w:rsidP="00C63D4C">
      <w:pPr>
        <w:pStyle w:val="Normal6"/>
      </w:pPr>
      <w:r>
        <w:t xml:space="preserve">Tijekom 2012. godine HBOR je nastavio aktivnosti na poticanju ulaganja u infrastrukturne projekte. Glavni cilj ovih projekata je razvoj infrastrukture kao temelj razvoja gospodarstva, malog i srednjeg poduzetništva, turizma i poljoprivrede. Osim toga, razvojem infrastrukture poboljšavaju se i ujednačavaju životni uvjeti kućanstava na cjelokupnom području Republike Hrvatske. </w:t>
      </w:r>
    </w:p>
    <w:p w:rsidR="00AC0832" w:rsidRDefault="00AC0832" w:rsidP="00C63D4C">
      <w:pPr>
        <w:pStyle w:val="Normal6"/>
      </w:pPr>
      <w:r>
        <w:t xml:space="preserve"> </w:t>
      </w:r>
    </w:p>
    <w:p w:rsidR="00AC0832" w:rsidRDefault="00AC0832" w:rsidP="00C63D4C">
      <w:pPr>
        <w:pStyle w:val="Normal6"/>
      </w:pPr>
      <w:r>
        <w:t xml:space="preserve">S ciljem jačanja podrške projektima namijenjenim zaštiti okoliša, racionalnom korištenju prirodnih resursa te prilagodbi energetskog sektora Republike Hrvatske standardima Europske unije, HBOR provodi Program kreditiranja projekata zaštite okoliša, energetske učinkovitosti i obnovljivih izvora energije. Kroz navedeni Program HBOR omogućuje hrvatskim gospodarstvenicima unapređenje proizvodnje u skladu sa suvremenim standardima zbrinjavanja i prerade otpada te povećanje energetske učinkovitosti kao jednim od strateških interesa Republike Hrvatske. </w:t>
      </w:r>
    </w:p>
    <w:p w:rsidR="00AC0832" w:rsidRDefault="00AC0832" w:rsidP="00C63D4C">
      <w:pPr>
        <w:pStyle w:val="Normal6"/>
      </w:pPr>
      <w:r>
        <w:t xml:space="preserve"> </w:t>
      </w:r>
    </w:p>
    <w:p w:rsidR="00AC0832" w:rsidRDefault="00AC0832" w:rsidP="00C63D4C">
      <w:pPr>
        <w:pStyle w:val="Normal6"/>
      </w:pPr>
      <w:r>
        <w:t xml:space="preserve">Tijekom 2012. godine HBOR je provodio i Program kreditiranja projekata kandidata za IPARD Mjeru 301. s ciljem kreditiranja projekata koji se kandidiraju za sufinanciranje sredstvima V. komponente Instrumenata za pretpristupnu pomoć (IPA) – Ruralni razvoj. U okviru programa financiraju se: ulaganja u sustave kanalizacije i pročišćavanja otpadnih voda, lokalne nerazvrstane ceste, toplane te protupožarne prosjeke s elementima šumskih cesta. </w:t>
      </w:r>
    </w:p>
    <w:p w:rsidR="00AC0832" w:rsidRDefault="00AC0832" w:rsidP="00C63D4C">
      <w:pPr>
        <w:pStyle w:val="Normal6"/>
      </w:pPr>
      <w:r>
        <w:t xml:space="preserve"> </w:t>
      </w:r>
    </w:p>
    <w:p w:rsidR="00AC0832" w:rsidRDefault="00AC0832" w:rsidP="00C63D4C">
      <w:pPr>
        <w:pStyle w:val="Normal6"/>
      </w:pPr>
      <w:r>
        <w:t xml:space="preserve">Za kreditiranje projekata infrastrukture HBOR je 2012. godine odobrio 1.614,6 milijuna kuna. </w:t>
      </w:r>
    </w:p>
    <w:p w:rsidR="00AC0832" w:rsidRDefault="00AC0832" w:rsidP="00C63D4C">
      <w:pPr>
        <w:pStyle w:val="Normal6"/>
      </w:pPr>
      <w:r>
        <w:t xml:space="preserve"> </w:t>
      </w:r>
    </w:p>
    <w:p w:rsidR="00AC0832" w:rsidRDefault="00AC0832" w:rsidP="00C63D4C">
      <w:pPr>
        <w:pStyle w:val="Normal6"/>
      </w:pPr>
      <w:r>
        <w:t>3.</w:t>
      </w:r>
      <w:r>
        <w:tab/>
        <w:t xml:space="preserve">Poticanje malog i srednjeg poduzetništva provodi se kreditiranjem obrta i malog gospodarstva, kao značajnog čimbenika gospodarskog razvitka Republike Hrvatske. </w:t>
      </w:r>
    </w:p>
    <w:p w:rsidR="00AC0832" w:rsidRDefault="00AC0832" w:rsidP="00C63D4C">
      <w:pPr>
        <w:pStyle w:val="Normal6"/>
      </w:pPr>
      <w:r>
        <w:t xml:space="preserve"> </w:t>
      </w:r>
    </w:p>
    <w:p w:rsidR="00AC0832" w:rsidRDefault="00AC0832" w:rsidP="00C63D4C">
      <w:pPr>
        <w:pStyle w:val="Normal6"/>
      </w:pPr>
      <w:r>
        <w:t xml:space="preserve">Mala i srednja trgovačka društva predstavljaju osnovu ubrzanog rasta gospodarstva i novog zapošljavanja. HBOR je i tijekom 2012. godine značajan dio svoje kreditne aktivnosti usmjeravao u razvoj malog i srednjeg poduzetništva kroz: </w:t>
      </w:r>
    </w:p>
    <w:p w:rsidR="00AC0832" w:rsidRDefault="00AC0832" w:rsidP="00C63D4C">
      <w:pPr>
        <w:pStyle w:val="Normal6"/>
      </w:pPr>
      <w:r>
        <w:t></w:t>
      </w:r>
      <w:r>
        <w:tab/>
        <w:t xml:space="preserve">Program kreditiranja razvitka malog i srednjeg poduzetništva, </w:t>
      </w:r>
    </w:p>
    <w:p w:rsidR="00AC0832" w:rsidRDefault="00AC0832" w:rsidP="00C63D4C">
      <w:pPr>
        <w:pStyle w:val="Normal6"/>
      </w:pPr>
      <w:r>
        <w:t></w:t>
      </w:r>
      <w:r>
        <w:tab/>
        <w:t xml:space="preserve">Program kreditiranja financijskog restrukturiranja, </w:t>
      </w:r>
    </w:p>
    <w:p w:rsidR="00AC0832" w:rsidRDefault="00AC0832" w:rsidP="00C63D4C">
      <w:pPr>
        <w:pStyle w:val="Normal6"/>
      </w:pPr>
      <w:r>
        <w:t></w:t>
      </w:r>
      <w:r>
        <w:tab/>
        <w:t xml:space="preserve">Program kreditiranja razvitka otoka, </w:t>
      </w:r>
    </w:p>
    <w:p w:rsidR="00AC0832" w:rsidRDefault="00AC0832" w:rsidP="00C63D4C">
      <w:pPr>
        <w:pStyle w:val="Normal6"/>
      </w:pPr>
      <w:r>
        <w:t></w:t>
      </w:r>
      <w:r>
        <w:tab/>
        <w:t xml:space="preserve">Program kreditiranja poljoprivrede i malog gospodarstva na područjima posebne državne skrbi, </w:t>
      </w:r>
    </w:p>
    <w:p w:rsidR="00AC0832" w:rsidRDefault="00AC0832" w:rsidP="00C63D4C">
      <w:pPr>
        <w:pStyle w:val="Normal6"/>
      </w:pPr>
      <w:r>
        <w:t></w:t>
      </w:r>
      <w:r>
        <w:tab/>
        <w:t xml:space="preserve">Program financiranja pronalazaka, </w:t>
      </w:r>
    </w:p>
    <w:p w:rsidR="00AC0832" w:rsidRDefault="00AC0832" w:rsidP="00C63D4C">
      <w:pPr>
        <w:pStyle w:val="Normal6"/>
      </w:pPr>
      <w:r>
        <w:t></w:t>
      </w:r>
      <w:r>
        <w:tab/>
        <w:t xml:space="preserve">Program kreditiranja poduzetnika početnika, </w:t>
      </w:r>
    </w:p>
    <w:p w:rsidR="00AC0832" w:rsidRDefault="00AC0832" w:rsidP="00C63D4C">
      <w:pPr>
        <w:pStyle w:val="Normal6"/>
      </w:pPr>
      <w:r>
        <w:t></w:t>
      </w:r>
      <w:r>
        <w:tab/>
        <w:t xml:space="preserve">Program kreditiranja seoskog turizma, </w:t>
      </w:r>
    </w:p>
    <w:p w:rsidR="00AC0832" w:rsidRDefault="00AC0832" w:rsidP="00C63D4C">
      <w:pPr>
        <w:pStyle w:val="Normal6"/>
      </w:pPr>
      <w:r>
        <w:t></w:t>
      </w:r>
      <w:r>
        <w:tab/>
        <w:t xml:space="preserve">Program kreditiranja projekata kandidata za IPARD Mjeru 1.1. i Mjeru 1.2., </w:t>
      </w:r>
    </w:p>
    <w:p w:rsidR="00AC0832" w:rsidRDefault="00AC0832" w:rsidP="00C63D4C">
      <w:pPr>
        <w:pStyle w:val="Normal6"/>
      </w:pPr>
      <w:r>
        <w:t></w:t>
      </w:r>
      <w:r>
        <w:tab/>
        <w:t xml:space="preserve">Program kreditiranja projekata kandidata za IPARD Mjeru 101. i Mjeru 103., </w:t>
      </w:r>
    </w:p>
    <w:p w:rsidR="00AC0832" w:rsidRDefault="00AC0832" w:rsidP="00C63D4C">
      <w:pPr>
        <w:pStyle w:val="Normal6"/>
      </w:pPr>
      <w:r>
        <w:t></w:t>
      </w:r>
      <w:r>
        <w:tab/>
        <w:t xml:space="preserve">Program kreditiranja projekata kandidata za IPARD Mjeru 302. i </w:t>
      </w:r>
    </w:p>
    <w:p w:rsidR="00AC0832" w:rsidRDefault="00AC0832" w:rsidP="00C63D4C">
      <w:pPr>
        <w:pStyle w:val="Normal6"/>
      </w:pPr>
      <w:r>
        <w:t></w:t>
      </w:r>
      <w:r>
        <w:tab/>
        <w:t xml:space="preserve">Program kreditiranja ženskog poduzetništva. </w:t>
      </w:r>
    </w:p>
    <w:p w:rsidR="00AC0832" w:rsidRDefault="00AC0832" w:rsidP="00C63D4C">
      <w:pPr>
        <w:pStyle w:val="Normal6"/>
      </w:pPr>
      <w:r>
        <w:t xml:space="preserve"> </w:t>
      </w:r>
    </w:p>
    <w:p w:rsidR="00AC0832" w:rsidRDefault="00AC0832" w:rsidP="00C63D4C">
      <w:pPr>
        <w:pStyle w:val="Normal6"/>
      </w:pPr>
      <w:r>
        <w:t xml:space="preserve">Tijekom 2012. godine uvedeni su sljedeći programi kreditiranja: </w:t>
      </w:r>
    </w:p>
    <w:p w:rsidR="00AC0832" w:rsidRDefault="00AC0832" w:rsidP="00C63D4C">
      <w:pPr>
        <w:pStyle w:val="Normal6"/>
      </w:pPr>
      <w:r>
        <w:t></w:t>
      </w:r>
      <w:r>
        <w:tab/>
        <w:t xml:space="preserve">IPA MSP (Program kreditiranja projekata kandidata IPA MSP darovnice) – cilj: kreditiranje projekata kandidata za dodjelu bespovratnih sredstava iz pretpristupnog fonda IPA III C – „Potpora povećanju konkurentnosti malog i srednjeg poduzetništva u Republici Hrvatskoj“ i </w:t>
      </w:r>
    </w:p>
    <w:p w:rsidR="00AC0832" w:rsidRDefault="00AC0832" w:rsidP="00C63D4C">
      <w:pPr>
        <w:pStyle w:val="Normal6"/>
      </w:pPr>
      <w:r>
        <w:t></w:t>
      </w:r>
      <w:r>
        <w:tab/>
        <w:t xml:space="preserve">Kreditiranje IPA-e (Program kreditiranja projekata kandidata za program IPA) – cilj: kreditiranje projekata koji se kandidiraju za sufinanciranje sredstvima komponenti Instrumenata za pretpristupnu pomoć (IPA), a koji nisu obuhvaćeni postojećim programima kreditiranja HBOR-a (IPARD Mjere 101, 103, 301, 302 i IPA MSP darovnica). </w:t>
      </w:r>
    </w:p>
    <w:p w:rsidR="00AC0832" w:rsidRDefault="00AC0832" w:rsidP="00C63D4C">
      <w:pPr>
        <w:pStyle w:val="Normal6"/>
      </w:pPr>
      <w:r>
        <w:t xml:space="preserve"> </w:t>
      </w:r>
    </w:p>
    <w:p w:rsidR="00AC0832" w:rsidRDefault="00AC0832" w:rsidP="00C63D4C">
      <w:pPr>
        <w:pStyle w:val="Normal6"/>
      </w:pPr>
      <w:r>
        <w:t xml:space="preserve">Za kreditiranje malog i srednjeg poduzetništva HBOR je 2012. godine odobrio 2.398,9 milijuna kuna. </w:t>
      </w:r>
    </w:p>
    <w:p w:rsidR="00AC0832" w:rsidRDefault="00AC0832" w:rsidP="00C63D4C">
      <w:pPr>
        <w:pStyle w:val="Normal6"/>
      </w:pPr>
      <w:r>
        <w:t xml:space="preserve"> </w:t>
      </w:r>
    </w:p>
    <w:p w:rsidR="00AC0832" w:rsidRDefault="00AC0832" w:rsidP="00C63D4C">
      <w:pPr>
        <w:pStyle w:val="Normal6"/>
      </w:pPr>
      <w:r>
        <w:t>4.</w:t>
      </w:r>
      <w:r>
        <w:tab/>
        <w:t xml:space="preserve">Financiranje razvitka gospodarskih djelatnosti važan je projekt kreditiranja s ciljem jačanja gospodarstva Republike Hrvatske, u okviru kojeg se kroz ponudu financiranja modernizacije proizvodnih kapaciteta, nabavku nove opreme te uvođenje novih tehnologija i proizvoda, omogućava jačanje proizvodnih kapaciteta te ulaganje u širenje opsega postojećih poslovnih aktivnosti hrvatskih gospodarstvenika. Tijekom 2012. godine HBOR je kroz Program kreditiranja proizvodnje omogućio kreditiranje obrtnih sredstava namijenjenih proizvodnji kako bi se proizvođačima olakšalo nesmetano obavljanje proizvodnje te poboljšala njihova konkurentnost i likvidnost. </w:t>
      </w:r>
    </w:p>
    <w:p w:rsidR="00AC0832" w:rsidRDefault="00AC0832" w:rsidP="00C63D4C">
      <w:pPr>
        <w:pStyle w:val="Normal6"/>
      </w:pPr>
      <w:r>
        <w:t xml:space="preserve"> </w:t>
      </w:r>
    </w:p>
    <w:p w:rsidR="00AC0832" w:rsidRDefault="00AC0832" w:rsidP="00C63D4C">
      <w:pPr>
        <w:pStyle w:val="Normal6"/>
      </w:pPr>
      <w:r>
        <w:t>Za realizaciju kreditiranja razvoja gospodarskih djelatnosti u 2012. godini HBOR je odobrio 2.800,6 milijuna kuna.</w:t>
      </w:r>
    </w:p>
    <w:p w:rsidR="00AC0832" w:rsidRDefault="00AC0832" w:rsidP="00C63D4C">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50"/>
        <w:gridCol w:w="1300"/>
        <w:gridCol w:w="1300"/>
        <w:gridCol w:w="1300"/>
        <w:gridCol w:w="1300"/>
        <w:gridCol w:w="1300"/>
      </w:tblGrid>
      <w:tr w:rsidR="00AC0832" w:rsidTr="00A47D80">
        <w:trPr>
          <w:jc w:val="center"/>
        </w:trPr>
        <w:tc>
          <w:tcPr>
            <w:tcW w:w="1300" w:type="dxa"/>
            <w:shd w:val="clear" w:color="auto" w:fill="B5C0D8"/>
          </w:tcPr>
          <w:p w:rsidR="00AC0832" w:rsidRPr="00392240" w:rsidRDefault="00AC0832" w:rsidP="00A47D80">
            <w:pPr>
              <w:rPr>
                <w:sz w:val="20"/>
                <w:lang w:eastAsia="hr-HR"/>
              </w:rPr>
            </w:pPr>
            <w:r w:rsidRPr="00392240">
              <w:rPr>
                <w:sz w:val="20"/>
                <w:lang w:eastAsia="hr-HR"/>
              </w:rPr>
              <w:t>Pokazatelj rezultata</w:t>
            </w:r>
          </w:p>
        </w:tc>
        <w:tc>
          <w:tcPr>
            <w:tcW w:w="1300" w:type="dxa"/>
            <w:shd w:val="clear" w:color="auto" w:fill="B5C0D8"/>
          </w:tcPr>
          <w:p w:rsidR="00AC0832" w:rsidRDefault="00AC0832" w:rsidP="00A47D80">
            <w:pPr>
              <w:pStyle w:val="CellHeader"/>
            </w:pPr>
            <w:r>
              <w:t>Definicija</w:t>
            </w:r>
          </w:p>
        </w:tc>
        <w:tc>
          <w:tcPr>
            <w:tcW w:w="1300" w:type="dxa"/>
            <w:shd w:val="clear" w:color="auto" w:fill="B5C0D8"/>
          </w:tcPr>
          <w:p w:rsidR="00AC0832" w:rsidRDefault="00AC0832" w:rsidP="00A47D80">
            <w:pPr>
              <w:pStyle w:val="CellHeader"/>
            </w:pPr>
            <w:r>
              <w:t>Jedinica</w:t>
            </w:r>
          </w:p>
        </w:tc>
        <w:tc>
          <w:tcPr>
            <w:tcW w:w="1300" w:type="dxa"/>
            <w:shd w:val="clear" w:color="auto" w:fill="B5C0D8"/>
          </w:tcPr>
          <w:p w:rsidR="00AC0832" w:rsidRDefault="00AC0832" w:rsidP="00A47D80">
            <w:pPr>
              <w:pStyle w:val="CellHeader"/>
            </w:pPr>
            <w:r>
              <w:t>Polazna vrijednost</w:t>
            </w:r>
          </w:p>
        </w:tc>
        <w:tc>
          <w:tcPr>
            <w:tcW w:w="1300" w:type="dxa"/>
            <w:shd w:val="clear" w:color="auto" w:fill="B5C0D8"/>
          </w:tcPr>
          <w:p w:rsidR="00AC0832" w:rsidRDefault="00AC0832" w:rsidP="00A47D80">
            <w:pPr>
              <w:pStyle w:val="CellHeader"/>
            </w:pPr>
            <w:r>
              <w:t>Izvor podataka</w:t>
            </w:r>
          </w:p>
        </w:tc>
        <w:tc>
          <w:tcPr>
            <w:tcW w:w="1300" w:type="dxa"/>
            <w:shd w:val="clear" w:color="auto" w:fill="B5C0D8"/>
          </w:tcPr>
          <w:p w:rsidR="00AC0832" w:rsidRDefault="00AC0832" w:rsidP="00A47D80">
            <w:pPr>
              <w:pStyle w:val="CellHeader"/>
            </w:pPr>
            <w:r>
              <w:t>Ciljana vrijednost (2012.)</w:t>
            </w:r>
          </w:p>
        </w:tc>
        <w:tc>
          <w:tcPr>
            <w:tcW w:w="1300" w:type="dxa"/>
            <w:shd w:val="clear" w:color="auto" w:fill="B5C0D8"/>
          </w:tcPr>
          <w:p w:rsidR="00AC0832" w:rsidRDefault="00AC0832" w:rsidP="00A47D80">
            <w:pPr>
              <w:pStyle w:val="CellHeader"/>
            </w:pPr>
            <w:r>
              <w:t>Ostvarena vrijednost (2012.)</w:t>
            </w:r>
          </w:p>
        </w:tc>
      </w:tr>
      <w:tr w:rsidR="00AC0832" w:rsidTr="00A47D80">
        <w:trPr>
          <w:jc w:val="center"/>
        </w:trPr>
        <w:tc>
          <w:tcPr>
            <w:tcW w:w="1300" w:type="dxa"/>
          </w:tcPr>
          <w:p w:rsidR="00AC0832" w:rsidRDefault="00AC0832" w:rsidP="00A47D80">
            <w:pPr>
              <w:pStyle w:val="CellColumn"/>
            </w:pPr>
            <w:r>
              <w:t>Kreditna aktivnost iz kapitala HBOR-a</w:t>
            </w:r>
          </w:p>
        </w:tc>
        <w:tc>
          <w:tcPr>
            <w:tcW w:w="1300" w:type="dxa"/>
          </w:tcPr>
          <w:p w:rsidR="00AC0832" w:rsidRDefault="00AC0832" w:rsidP="00A47D80">
            <w:pPr>
              <w:pStyle w:val="CellColumn"/>
            </w:pPr>
            <w:r>
              <w:t>Visina kreditne aktivnosti iz kapitala HBOR-a tijekom promatranog razdoblja</w:t>
            </w:r>
          </w:p>
        </w:tc>
        <w:tc>
          <w:tcPr>
            <w:tcW w:w="1300" w:type="dxa"/>
          </w:tcPr>
          <w:p w:rsidR="00AC0832" w:rsidRDefault="00AC0832" w:rsidP="00A47D80">
            <w:pPr>
              <w:pStyle w:val="CellColumn"/>
            </w:pPr>
            <w:r>
              <w:t>milijuni kuna</w:t>
            </w:r>
          </w:p>
        </w:tc>
        <w:tc>
          <w:tcPr>
            <w:tcW w:w="1300" w:type="dxa"/>
          </w:tcPr>
          <w:p w:rsidR="00AC0832" w:rsidRDefault="00AC0832" w:rsidP="00A47D80">
            <w:pPr>
              <w:pStyle w:val="CellColumn"/>
            </w:pPr>
            <w:r>
              <w:t>180,0</w:t>
            </w:r>
          </w:p>
        </w:tc>
        <w:tc>
          <w:tcPr>
            <w:tcW w:w="1300" w:type="dxa"/>
          </w:tcPr>
          <w:p w:rsidR="00AC0832" w:rsidRDefault="00AC0832" w:rsidP="00A47D80">
            <w:pPr>
              <w:pStyle w:val="CellColumn"/>
            </w:pPr>
            <w:r>
              <w:t>HBOR</w:t>
            </w:r>
          </w:p>
        </w:tc>
        <w:tc>
          <w:tcPr>
            <w:tcW w:w="1300" w:type="dxa"/>
          </w:tcPr>
          <w:p w:rsidR="00AC0832" w:rsidRDefault="00AC0832" w:rsidP="00A47D80">
            <w:pPr>
              <w:pStyle w:val="CellColumn"/>
            </w:pPr>
            <w:r>
              <w:t>600,0</w:t>
            </w:r>
          </w:p>
        </w:tc>
        <w:tc>
          <w:tcPr>
            <w:tcW w:w="1300" w:type="dxa"/>
          </w:tcPr>
          <w:p w:rsidR="00AC0832" w:rsidRDefault="00AC0832" w:rsidP="00A47D80">
            <w:pPr>
              <w:pStyle w:val="CellColumn"/>
            </w:pPr>
            <w:r>
              <w:t>600,0</w:t>
            </w:r>
          </w:p>
        </w:tc>
      </w:tr>
    </w:tbl>
    <w:p w:rsidR="00AC0832" w:rsidRDefault="00AC0832" w:rsidP="00C63D4C">
      <w:pPr>
        <w:jc w:val="left"/>
      </w:pPr>
    </w:p>
    <w:p w:rsidR="00AC0832" w:rsidRDefault="00AC0832" w:rsidP="00C63D4C">
      <w:pPr>
        <w:pStyle w:val="Heading5"/>
      </w:pPr>
      <w:r>
        <w:t>3404 OBNOVA I RAZVITAK LOKALNE INFRASTRUKTURE I ZAŠTITA OKOLIŠA - MEIP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3404-OBNOVA I RAZVITAK LOKALNE INFRASTRUKTURE I ZAŠTITA OKOLIŠA - MEIP</w:t>
            </w:r>
          </w:p>
        </w:tc>
        <w:tc>
          <w:tcPr>
            <w:tcW w:w="2322" w:type="dxa"/>
          </w:tcPr>
          <w:p w:rsidR="00AC0832" w:rsidRDefault="00AC0832" w:rsidP="00A47D80">
            <w:pPr>
              <w:pStyle w:val="CellColumn"/>
            </w:pPr>
            <w:r>
              <w:t>20.000.000</w:t>
            </w:r>
          </w:p>
        </w:tc>
        <w:tc>
          <w:tcPr>
            <w:tcW w:w="2322" w:type="dxa"/>
          </w:tcPr>
          <w:p w:rsidR="00AC0832" w:rsidRDefault="00AC0832" w:rsidP="00A47D80">
            <w:pPr>
              <w:pStyle w:val="CellColumn"/>
            </w:pPr>
            <w:r>
              <w:t>20.000.000</w:t>
            </w:r>
          </w:p>
        </w:tc>
        <w:tc>
          <w:tcPr>
            <w:tcW w:w="2322" w:type="dxa"/>
          </w:tcPr>
          <w:p w:rsidR="00AC0832" w:rsidRDefault="00AC0832" w:rsidP="00A47D80">
            <w:pPr>
              <w:pStyle w:val="CellColumn"/>
            </w:pPr>
            <w:r>
              <w:t>100,0</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 xml:space="preserve">Program MEIP je važan zbog nastojanja Republike Hrvatske da se približi standardima zaštite okoliša Europske unije. Izgradnjom sustava zaštite voda i sustava za zbrinjavanje otpadnih voda zaštićuju se podzemne vode i omogućava pročišćavanje otpadnih i oborinskih voda.  </w:t>
      </w:r>
    </w:p>
    <w:p w:rsidR="00AC0832" w:rsidRDefault="00AC0832" w:rsidP="00C63D4C">
      <w:pPr>
        <w:pStyle w:val="Normal5"/>
      </w:pPr>
      <w:r>
        <w:t xml:space="preserve">U okviru svojih aktivnosti, HBOR sudjeluje u projektima obnove i razvitka infrastrukture i zaštite okoliša. Program MEIP obuhvaća dva projekta: </w:t>
      </w:r>
    </w:p>
    <w:p w:rsidR="00AC0832" w:rsidRDefault="00AC0832" w:rsidP="00C63D4C">
      <w:pPr>
        <w:pStyle w:val="Normal5"/>
      </w:pPr>
      <w:r>
        <w:t></w:t>
      </w:r>
      <w:r>
        <w:tab/>
        <w:t xml:space="preserve">Integralni ekološki projekt zaštite Kaštelanskog zaljeva –  EKO projekt i  </w:t>
      </w:r>
    </w:p>
    <w:p w:rsidR="00AC0832" w:rsidRDefault="00AC0832" w:rsidP="00C63D4C">
      <w:pPr>
        <w:pStyle w:val="Normal5"/>
      </w:pPr>
      <w:r>
        <w:t></w:t>
      </w:r>
      <w:r>
        <w:tab/>
        <w:t>Projekt pročišćavanja i odvodnje otpadnih voda grada Pule – Projekt Pula.</w:t>
      </w:r>
    </w:p>
    <w:p w:rsidR="00AC0832" w:rsidRDefault="00AC0832" w:rsidP="00C63D4C">
      <w:pPr>
        <w:pStyle w:val="Heading6"/>
      </w:pPr>
      <w:r>
        <w:t>Zakonske i druge pravne osnove</w:t>
      </w:r>
    </w:p>
    <w:p w:rsidR="00AC0832" w:rsidRDefault="00AC0832" w:rsidP="00C63D4C">
      <w:pPr>
        <w:pStyle w:val="Normal5"/>
      </w:pPr>
      <w:r>
        <w:t></w:t>
      </w:r>
      <w:r>
        <w:tab/>
        <w:t xml:space="preserve">Ugovor o obavljanju poslova po nalogu broj 5100-MF-1/99 zaključen između Republike Hrvatske – Ministarstva financija i HBOR-a od 4. veljače 1999. godine, </w:t>
      </w:r>
    </w:p>
    <w:p w:rsidR="00AC0832" w:rsidRDefault="00AC0832" w:rsidP="00C63D4C">
      <w:pPr>
        <w:pStyle w:val="Normal5"/>
      </w:pPr>
      <w:r>
        <w:t></w:t>
      </w:r>
      <w:r>
        <w:tab/>
        <w:t xml:space="preserve">Dodatak I Ugovoru o obavljanju poslova po nalogu zaključen između Republike Hrvatske – Ministarstva financija i HBOR-a od 2. veljače 2000. godine, </w:t>
      </w:r>
    </w:p>
    <w:p w:rsidR="00AC0832" w:rsidRDefault="00AC0832" w:rsidP="00C63D4C">
      <w:pPr>
        <w:pStyle w:val="Normal5"/>
      </w:pPr>
      <w:r>
        <w:t></w:t>
      </w:r>
      <w:r>
        <w:tab/>
        <w:t xml:space="preserve">Dodatak II Ugovoru o obavljanju poslova po nalogu zaključen između Republike Hrvatske – Ministarstva financija i HBOR-a od 18. srpnja 2002. godine, </w:t>
      </w:r>
    </w:p>
    <w:p w:rsidR="00AC0832" w:rsidRDefault="00AC0832" w:rsidP="00C63D4C">
      <w:pPr>
        <w:pStyle w:val="Normal5"/>
      </w:pPr>
      <w:r>
        <w:t></w:t>
      </w:r>
      <w:r>
        <w:tab/>
        <w:t xml:space="preserve">Dodatak III Ugovoru o obavljanju poslova po nalogu zaključen između Republike Hrvatske – Ministarstva financija i HBOR-a od 26. lipnja 2006. godine, </w:t>
      </w:r>
    </w:p>
    <w:p w:rsidR="00AC0832" w:rsidRDefault="00AC0832" w:rsidP="00C63D4C">
      <w:pPr>
        <w:pStyle w:val="Normal5"/>
      </w:pPr>
      <w:r>
        <w:t></w:t>
      </w:r>
      <w:r>
        <w:tab/>
        <w:t xml:space="preserve">Dodatak IV Ugovoru o obavljanju poslova po nalogu zaključen između Republike Hrvatske – Ministarstva financija i HBOR-a od 15. prosinca 2007. godine, </w:t>
      </w:r>
    </w:p>
    <w:p w:rsidR="00AC0832" w:rsidRDefault="00AC0832" w:rsidP="00C63D4C">
      <w:pPr>
        <w:pStyle w:val="Normal5"/>
      </w:pPr>
      <w:r>
        <w:t></w:t>
      </w:r>
      <w:r>
        <w:tab/>
        <w:t xml:space="preserve">Investicijski programi EKO projekta i Projekta Pula te </w:t>
      </w:r>
    </w:p>
    <w:p w:rsidR="00AC0832" w:rsidRDefault="00AC0832" w:rsidP="00C63D4C">
      <w:pPr>
        <w:pStyle w:val="Normal5"/>
      </w:pPr>
      <w:r>
        <w:t></w:t>
      </w:r>
      <w:r>
        <w:tab/>
        <w:t>Izvješće i zaključci Vlade RH o provedbi Integralnog ekološkog projekta zaštite Kaštelanskog zaljeva iz lipnja 2007. i lipnja 2009. godine.</w:t>
      </w:r>
    </w:p>
    <w:p w:rsidR="00AC0832" w:rsidRDefault="00AC0832" w:rsidP="00C63D4C">
      <w:pPr>
        <w:pStyle w:val="Heading7"/>
      </w:pPr>
      <w:r>
        <w:t>Cilj 1. Smanjiti zagađenost Kaštelanskog zaljeva sukladno standardima zaštite okoliša i poboljšati vodoopskrbu izgradnjom novih i proširenjem postojećih vodoopskrbnih kapaciteta</w:t>
      </w:r>
    </w:p>
    <w:p w:rsidR="00AC0832" w:rsidRDefault="00AC0832" w:rsidP="00C63D4C">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5"/>
        <w:gridCol w:w="1417"/>
        <w:gridCol w:w="1286"/>
        <w:gridCol w:w="1290"/>
        <w:gridCol w:w="1417"/>
        <w:gridCol w:w="1290"/>
        <w:gridCol w:w="1293"/>
      </w:tblGrid>
      <w:tr w:rsidR="00AC0832" w:rsidTr="00A47D80">
        <w:trPr>
          <w:jc w:val="center"/>
        </w:trPr>
        <w:tc>
          <w:tcPr>
            <w:tcW w:w="1300" w:type="dxa"/>
            <w:shd w:val="clear" w:color="auto" w:fill="B5C0D8"/>
          </w:tcPr>
          <w:p w:rsidR="00AC0832" w:rsidRPr="00392240" w:rsidRDefault="00AC0832" w:rsidP="00A47D80">
            <w:pPr>
              <w:rPr>
                <w:sz w:val="20"/>
                <w:lang w:eastAsia="hr-HR"/>
              </w:rPr>
            </w:pPr>
            <w:r w:rsidRPr="00392240">
              <w:rPr>
                <w:sz w:val="20"/>
                <w:lang w:eastAsia="hr-HR"/>
              </w:rPr>
              <w:t>Pokazatelj učinka</w:t>
            </w:r>
          </w:p>
        </w:tc>
        <w:tc>
          <w:tcPr>
            <w:tcW w:w="1300" w:type="dxa"/>
            <w:shd w:val="clear" w:color="auto" w:fill="B5C0D8"/>
          </w:tcPr>
          <w:p w:rsidR="00AC0832" w:rsidRDefault="00AC0832" w:rsidP="00A47D80">
            <w:pPr>
              <w:pStyle w:val="CellHeader"/>
            </w:pPr>
            <w:r>
              <w:t>Definicija</w:t>
            </w:r>
          </w:p>
        </w:tc>
        <w:tc>
          <w:tcPr>
            <w:tcW w:w="1300" w:type="dxa"/>
            <w:shd w:val="clear" w:color="auto" w:fill="B5C0D8"/>
          </w:tcPr>
          <w:p w:rsidR="00AC0832" w:rsidRDefault="00AC0832" w:rsidP="00A47D80">
            <w:pPr>
              <w:pStyle w:val="CellHeader"/>
            </w:pPr>
            <w:r>
              <w:t>Jedinica</w:t>
            </w:r>
          </w:p>
        </w:tc>
        <w:tc>
          <w:tcPr>
            <w:tcW w:w="1300" w:type="dxa"/>
            <w:shd w:val="clear" w:color="auto" w:fill="B5C0D8"/>
          </w:tcPr>
          <w:p w:rsidR="00AC0832" w:rsidRDefault="00AC0832" w:rsidP="00A47D80">
            <w:pPr>
              <w:pStyle w:val="CellHeader"/>
            </w:pPr>
            <w:r>
              <w:t>Polazna vrijednost</w:t>
            </w:r>
          </w:p>
        </w:tc>
        <w:tc>
          <w:tcPr>
            <w:tcW w:w="1300" w:type="dxa"/>
            <w:shd w:val="clear" w:color="auto" w:fill="B5C0D8"/>
          </w:tcPr>
          <w:p w:rsidR="00AC0832" w:rsidRDefault="00AC0832" w:rsidP="00A47D80">
            <w:pPr>
              <w:pStyle w:val="CellHeader"/>
            </w:pPr>
            <w:r>
              <w:t>Izvor podataka</w:t>
            </w:r>
          </w:p>
        </w:tc>
        <w:tc>
          <w:tcPr>
            <w:tcW w:w="1300" w:type="dxa"/>
            <w:shd w:val="clear" w:color="auto" w:fill="B5C0D8"/>
          </w:tcPr>
          <w:p w:rsidR="00AC0832" w:rsidRDefault="00AC0832" w:rsidP="00A47D80">
            <w:pPr>
              <w:pStyle w:val="CellHeader"/>
            </w:pPr>
            <w:r>
              <w:t>Ciljana vrijednost (2012.)</w:t>
            </w:r>
          </w:p>
        </w:tc>
        <w:tc>
          <w:tcPr>
            <w:tcW w:w="1300" w:type="dxa"/>
            <w:shd w:val="clear" w:color="auto" w:fill="B5C0D8"/>
          </w:tcPr>
          <w:p w:rsidR="00AC0832" w:rsidRDefault="00AC0832" w:rsidP="00A47D80">
            <w:pPr>
              <w:pStyle w:val="CellHeader"/>
            </w:pPr>
            <w:r>
              <w:t>Ostvarena vrijednost (2012.)</w:t>
            </w:r>
          </w:p>
        </w:tc>
      </w:tr>
      <w:tr w:rsidR="00AC0832" w:rsidTr="00A47D80">
        <w:trPr>
          <w:jc w:val="center"/>
        </w:trPr>
        <w:tc>
          <w:tcPr>
            <w:tcW w:w="1300" w:type="dxa"/>
          </w:tcPr>
          <w:p w:rsidR="00AC0832" w:rsidRDefault="00AC0832" w:rsidP="00A47D80">
            <w:pPr>
              <w:pStyle w:val="CellColumn"/>
            </w:pPr>
            <w:r>
              <w:t>Zaštita priobalnog mora</w:t>
            </w:r>
          </w:p>
        </w:tc>
        <w:tc>
          <w:tcPr>
            <w:tcW w:w="1300" w:type="dxa"/>
          </w:tcPr>
          <w:p w:rsidR="00AC0832" w:rsidRDefault="00AC0832" w:rsidP="00A47D80">
            <w:pPr>
              <w:pStyle w:val="CellColumn"/>
            </w:pPr>
            <w:r>
              <w:t>Bakteriološka ispravnost mora 300m od crte obale</w:t>
            </w:r>
          </w:p>
        </w:tc>
        <w:tc>
          <w:tcPr>
            <w:tcW w:w="1300" w:type="dxa"/>
          </w:tcPr>
          <w:p w:rsidR="00AC0832" w:rsidRDefault="00AC0832" w:rsidP="00A47D80">
            <w:pPr>
              <w:pStyle w:val="CellColumn"/>
            </w:pPr>
            <w:r>
              <w:t>broj bakterija         x 106ml-1</w:t>
            </w:r>
          </w:p>
        </w:tc>
        <w:tc>
          <w:tcPr>
            <w:tcW w:w="1300" w:type="dxa"/>
          </w:tcPr>
          <w:p w:rsidR="00AC0832" w:rsidRDefault="00AC0832" w:rsidP="00A47D80">
            <w:pPr>
              <w:pStyle w:val="CellColumn"/>
            </w:pPr>
            <w:r>
              <w:t>1,1</w:t>
            </w:r>
          </w:p>
        </w:tc>
        <w:tc>
          <w:tcPr>
            <w:tcW w:w="1300" w:type="dxa"/>
          </w:tcPr>
          <w:p w:rsidR="00AC0832" w:rsidRDefault="00AC0832" w:rsidP="00A47D80">
            <w:pPr>
              <w:pStyle w:val="CellColumn"/>
            </w:pPr>
            <w:r>
              <w:t>Institut za oceanografiju i ribarstvo Split</w:t>
            </w:r>
          </w:p>
        </w:tc>
        <w:tc>
          <w:tcPr>
            <w:tcW w:w="1300" w:type="dxa"/>
          </w:tcPr>
          <w:p w:rsidR="00AC0832" w:rsidRDefault="00AC0832" w:rsidP="00A47D80">
            <w:pPr>
              <w:pStyle w:val="CellColumn"/>
            </w:pPr>
            <w:r>
              <w:t>&lt;1,0</w:t>
            </w:r>
          </w:p>
        </w:tc>
        <w:tc>
          <w:tcPr>
            <w:tcW w:w="1300" w:type="dxa"/>
          </w:tcPr>
          <w:p w:rsidR="00AC0832" w:rsidRDefault="00AC0832" w:rsidP="00A47D80">
            <w:pPr>
              <w:pStyle w:val="CellColumn"/>
            </w:pPr>
            <w:r>
              <w:t>0,9</w:t>
            </w:r>
          </w:p>
        </w:tc>
      </w:tr>
    </w:tbl>
    <w:p w:rsidR="00AC0832" w:rsidRDefault="00AC0832" w:rsidP="00C63D4C">
      <w:pPr>
        <w:jc w:val="left"/>
      </w:pPr>
    </w:p>
    <w:p w:rsidR="00AC0832" w:rsidRDefault="00AC0832" w:rsidP="00C63D4C">
      <w:pPr>
        <w:pStyle w:val="Heading6"/>
      </w:pPr>
      <w:r>
        <w:t>A544002 PROGRAM MEIP - OBNOVA I RAZVITAK LOKALNE INFRASTRUKTURE I ZAŠTITA OKOLIŠA - (KREDIT EBRD I IBRD-UDIO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A544002-PROGRAM MEIP - OBNOVA I RAZVITAK LOKALNE INFRASTRUKTURE I ZAŠTITA OKOLIŠA - (KREDIT EBRD I IBRD-UDIO RH)</w:t>
            </w:r>
          </w:p>
        </w:tc>
        <w:tc>
          <w:tcPr>
            <w:tcW w:w="2322" w:type="dxa"/>
          </w:tcPr>
          <w:p w:rsidR="00AC0832" w:rsidRDefault="00AC0832" w:rsidP="00A47D80">
            <w:pPr>
              <w:pStyle w:val="CellColumn"/>
            </w:pPr>
            <w:r>
              <w:t>20.000.000</w:t>
            </w:r>
          </w:p>
        </w:tc>
        <w:tc>
          <w:tcPr>
            <w:tcW w:w="2322" w:type="dxa"/>
          </w:tcPr>
          <w:p w:rsidR="00AC0832" w:rsidRDefault="00AC0832" w:rsidP="00A47D80">
            <w:pPr>
              <w:pStyle w:val="CellColumn"/>
            </w:pPr>
            <w:r>
              <w:t>20.000.000</w:t>
            </w:r>
          </w:p>
        </w:tc>
        <w:tc>
          <w:tcPr>
            <w:tcW w:w="2322" w:type="dxa"/>
          </w:tcPr>
          <w:p w:rsidR="00AC0832" w:rsidRDefault="00AC0832" w:rsidP="00A47D80">
            <w:pPr>
              <w:pStyle w:val="CellColumn"/>
            </w:pPr>
            <w:r>
              <w:t>100,0</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 xml:space="preserve">Integralni projekt zaštite Kaštelanskog zaljeva – EKO projekt  </w:t>
      </w:r>
    </w:p>
    <w:p w:rsidR="00AC0832" w:rsidRDefault="00AC0832" w:rsidP="00C63D4C">
      <w:pPr>
        <w:pStyle w:val="Normal6"/>
      </w:pPr>
      <w:r>
        <w:t xml:space="preserve">Zaključcima Vlade RH iz 2007. i 2009. godine, potvrđen je interes RH za završetak EKO projekta s ciljem razvoja gospodarstva i turizma te zaštite okoliša sukladno odredbama Zakona o vodama.  </w:t>
      </w:r>
    </w:p>
    <w:p w:rsidR="00AC0832" w:rsidRDefault="00AC0832" w:rsidP="00C63D4C">
      <w:pPr>
        <w:pStyle w:val="Normal6"/>
      </w:pPr>
      <w:r>
        <w:t xml:space="preserve">EKO projekt se provodi na širem području gradova Splita, Solina, Kaštela i Trogira. Osobitost regije čini veliki priljev stanovništva, intenzivna stambena i industrijska izgradnja koju nije pratila odgovarajuća izgradnja komunalne infrastrukture. </w:t>
      </w:r>
    </w:p>
    <w:p w:rsidR="00AC0832" w:rsidRDefault="00AC0832" w:rsidP="00C63D4C">
      <w:pPr>
        <w:pStyle w:val="Normal6"/>
      </w:pPr>
      <w:r>
        <w:t xml:space="preserve">Uplatama iz državnog proračuna financira se izgradnja: </w:t>
      </w:r>
    </w:p>
    <w:p w:rsidR="00AC0832" w:rsidRDefault="00AC0832" w:rsidP="00C63D4C">
      <w:pPr>
        <w:pStyle w:val="Normal6"/>
      </w:pPr>
      <w:r>
        <w:t></w:t>
      </w:r>
      <w:r>
        <w:tab/>
        <w:t xml:space="preserve">kanalizacijskog sustava Split-Solin,  </w:t>
      </w:r>
    </w:p>
    <w:p w:rsidR="00AC0832" w:rsidRDefault="00AC0832" w:rsidP="00C63D4C">
      <w:pPr>
        <w:pStyle w:val="Normal6"/>
      </w:pPr>
      <w:r>
        <w:t></w:t>
      </w:r>
      <w:r>
        <w:tab/>
        <w:t xml:space="preserve">vodoopskrbnog sustava Split-Solin-Kaštela-Trogir, </w:t>
      </w:r>
    </w:p>
    <w:p w:rsidR="00AC0832" w:rsidRDefault="00AC0832" w:rsidP="00C63D4C">
      <w:pPr>
        <w:pStyle w:val="Normal6"/>
      </w:pPr>
      <w:r>
        <w:t></w:t>
      </w:r>
      <w:r>
        <w:tab/>
        <w:t xml:space="preserve">kanalizacijskog sustava Kaštela-Trogir i </w:t>
      </w:r>
    </w:p>
    <w:p w:rsidR="00AC0832" w:rsidRDefault="00AC0832" w:rsidP="00C63D4C">
      <w:pPr>
        <w:pStyle w:val="Normal6"/>
      </w:pPr>
      <w:r>
        <w:t></w:t>
      </w:r>
      <w:r>
        <w:tab/>
        <w:t xml:space="preserve">optimalizacija sustava kroz izgradnju dodatnih objekata radi ostvarivanja povoljnih uvjeta rada i omogućavanja priključivanja većeg broja potrošača. </w:t>
      </w:r>
    </w:p>
    <w:p w:rsidR="00AC0832" w:rsidRDefault="00AC0832" w:rsidP="00C63D4C">
      <w:pPr>
        <w:pStyle w:val="Normal6"/>
      </w:pPr>
      <w:r>
        <w:t xml:space="preserve">Završetak EKO projekta planiran je u 2017. godini. </w:t>
      </w:r>
    </w:p>
    <w:p w:rsidR="00AC0832" w:rsidRDefault="00AC0832" w:rsidP="00C63D4C">
      <w:pPr>
        <w:pStyle w:val="Normal6"/>
      </w:pPr>
      <w:r>
        <w:t xml:space="preserve">Za izgradnju objekata u okviru EKO projekta koji su potrebni radi zaštite Kaštelanskog zaljeva do 31. prosinca 2012. godine ukupno je utrošeno 1.638 milijuna kuna. Od navedenog iznosa, iz državnog proračuna RH osigurano je 751,5 milijuna kuna.  </w:t>
      </w:r>
    </w:p>
    <w:p w:rsidR="00AC0832" w:rsidRDefault="00AC0832" w:rsidP="00C63D4C">
      <w:pPr>
        <w:pStyle w:val="Normal6"/>
      </w:pPr>
      <w:r>
        <w:t xml:space="preserve">Projekt pročišćavanja i odvodnje otpadnih voda grada Pule – Projekt Pula </w:t>
      </w:r>
    </w:p>
    <w:p w:rsidR="00AC0832" w:rsidRDefault="00AC0832" w:rsidP="00C63D4C">
      <w:pPr>
        <w:pStyle w:val="Normal6"/>
      </w:pPr>
      <w:r>
        <w:t xml:space="preserve">Realizacija ovog projekta započela je 1998. godine, a završetak projekta planira se u 2013. godini. </w:t>
      </w:r>
    </w:p>
    <w:p w:rsidR="00AC0832" w:rsidRDefault="00AC0832" w:rsidP="00C63D4C">
      <w:pPr>
        <w:pStyle w:val="Normal6"/>
      </w:pPr>
      <w:r>
        <w:t xml:space="preserve">Za Projekt Pula do 2003. godine doznačeno je ukupno 33,1 milijun kuna, dok je do 31.12.2012. godine iskorišteno ukupno 23,8 milijuna kuna. </w:t>
      </w:r>
    </w:p>
    <w:p w:rsidR="00AC0832" w:rsidRDefault="00AC0832" w:rsidP="00C63D4C">
      <w:pPr>
        <w:pStyle w:val="Normal6"/>
      </w:pPr>
      <w:r>
        <w:t xml:space="preserve">Vlada RH je na sjednici održanoj u lipnju 2009. godine prihvatila Izvješće o provedbi Projekta Pula kojim je HBOR izvijestio Vladu RH o mogućnostima nastavka financiranja Projekta. Time su stvoreni uvjeti za daljnje financiranje Projekta Pula sredstvima proračuna RH. </w:t>
      </w:r>
    </w:p>
    <w:p w:rsidR="00AC0832" w:rsidRDefault="00AC0832" w:rsidP="00C63D4C">
      <w:pPr>
        <w:pStyle w:val="Normal6"/>
      </w:pPr>
      <w:r>
        <w:t xml:space="preserve">HBOR je nadležnom Ministarstvu zaštite okoliša, prostornog uređenja i graditeljstva u rujnu 2011. godine dostavio izvješće o provedbi MEIP-a. </w:t>
      </w:r>
    </w:p>
    <w:p w:rsidR="00AC0832" w:rsidRDefault="00AC0832" w:rsidP="00C63D4C">
      <w:pPr>
        <w:pStyle w:val="Normal6"/>
      </w:pPr>
      <w:r>
        <w:t>Osnovni cilj Programa MEIP je približavanje Republike Hrvatske europskim standardima očuvanja okoliša i zaštite prirode te stvaranje pretpostavki za dugoročni razvitak hrvatskog turizma i gospodarstva u cjelini.</w:t>
      </w:r>
    </w:p>
    <w:p w:rsidR="00AC0832" w:rsidRDefault="00AC0832" w:rsidP="00C63D4C">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9"/>
        <w:gridCol w:w="1439"/>
        <w:gridCol w:w="1271"/>
        <w:gridCol w:w="1439"/>
        <w:gridCol w:w="1293"/>
        <w:gridCol w:w="1281"/>
        <w:gridCol w:w="1286"/>
      </w:tblGrid>
      <w:tr w:rsidR="00AC0832" w:rsidTr="00A47D80">
        <w:trPr>
          <w:jc w:val="center"/>
        </w:trPr>
        <w:tc>
          <w:tcPr>
            <w:tcW w:w="1300" w:type="dxa"/>
            <w:shd w:val="clear" w:color="auto" w:fill="B5C0D8"/>
          </w:tcPr>
          <w:p w:rsidR="00AC0832" w:rsidRPr="00392240" w:rsidRDefault="00AC0832" w:rsidP="00A47D80">
            <w:pPr>
              <w:rPr>
                <w:sz w:val="20"/>
                <w:lang w:eastAsia="hr-HR"/>
              </w:rPr>
            </w:pPr>
            <w:r w:rsidRPr="00392240">
              <w:rPr>
                <w:sz w:val="20"/>
                <w:lang w:eastAsia="hr-HR"/>
              </w:rPr>
              <w:t>Pokazatelj rezultata</w:t>
            </w:r>
          </w:p>
        </w:tc>
        <w:tc>
          <w:tcPr>
            <w:tcW w:w="1300" w:type="dxa"/>
            <w:shd w:val="clear" w:color="auto" w:fill="B5C0D8"/>
          </w:tcPr>
          <w:p w:rsidR="00AC0832" w:rsidRDefault="00AC0832" w:rsidP="00A47D80">
            <w:pPr>
              <w:pStyle w:val="CellHeader"/>
            </w:pPr>
            <w:r>
              <w:t>Definicija</w:t>
            </w:r>
          </w:p>
        </w:tc>
        <w:tc>
          <w:tcPr>
            <w:tcW w:w="1300" w:type="dxa"/>
            <w:shd w:val="clear" w:color="auto" w:fill="B5C0D8"/>
          </w:tcPr>
          <w:p w:rsidR="00AC0832" w:rsidRDefault="00AC0832" w:rsidP="00A47D80">
            <w:pPr>
              <w:pStyle w:val="CellHeader"/>
            </w:pPr>
            <w:r>
              <w:t>Jedinica</w:t>
            </w:r>
          </w:p>
        </w:tc>
        <w:tc>
          <w:tcPr>
            <w:tcW w:w="1300" w:type="dxa"/>
            <w:shd w:val="clear" w:color="auto" w:fill="B5C0D8"/>
          </w:tcPr>
          <w:p w:rsidR="00AC0832" w:rsidRDefault="00AC0832" w:rsidP="00A47D80">
            <w:pPr>
              <w:pStyle w:val="CellHeader"/>
            </w:pPr>
            <w:r>
              <w:t>Polazna vrijednost</w:t>
            </w:r>
          </w:p>
        </w:tc>
        <w:tc>
          <w:tcPr>
            <w:tcW w:w="1300" w:type="dxa"/>
            <w:shd w:val="clear" w:color="auto" w:fill="B5C0D8"/>
          </w:tcPr>
          <w:p w:rsidR="00AC0832" w:rsidRDefault="00AC0832" w:rsidP="00A47D80">
            <w:pPr>
              <w:pStyle w:val="CellHeader"/>
            </w:pPr>
            <w:r>
              <w:t>Izvor podataka</w:t>
            </w:r>
          </w:p>
        </w:tc>
        <w:tc>
          <w:tcPr>
            <w:tcW w:w="1300" w:type="dxa"/>
            <w:shd w:val="clear" w:color="auto" w:fill="B5C0D8"/>
          </w:tcPr>
          <w:p w:rsidR="00AC0832" w:rsidRDefault="00AC0832" w:rsidP="00A47D80">
            <w:pPr>
              <w:pStyle w:val="CellHeader"/>
            </w:pPr>
            <w:r>
              <w:t>Ciljana vrijednost (2012.)</w:t>
            </w:r>
          </w:p>
        </w:tc>
        <w:tc>
          <w:tcPr>
            <w:tcW w:w="1300" w:type="dxa"/>
            <w:shd w:val="clear" w:color="auto" w:fill="B5C0D8"/>
          </w:tcPr>
          <w:p w:rsidR="00AC0832" w:rsidRDefault="00AC0832" w:rsidP="00A47D80">
            <w:pPr>
              <w:pStyle w:val="CellHeader"/>
            </w:pPr>
            <w:r>
              <w:t>Ostvarena vrijednost (2012.)</w:t>
            </w:r>
          </w:p>
        </w:tc>
      </w:tr>
      <w:tr w:rsidR="00AC0832" w:rsidTr="00A47D80">
        <w:trPr>
          <w:jc w:val="center"/>
        </w:trPr>
        <w:tc>
          <w:tcPr>
            <w:tcW w:w="1300" w:type="dxa"/>
          </w:tcPr>
          <w:p w:rsidR="00AC0832" w:rsidRDefault="00AC0832" w:rsidP="00A47D80">
            <w:pPr>
              <w:pStyle w:val="CellColumn"/>
            </w:pPr>
            <w:r>
              <w:t>Zaštita voda i mora</w:t>
            </w:r>
          </w:p>
        </w:tc>
        <w:tc>
          <w:tcPr>
            <w:tcW w:w="1300" w:type="dxa"/>
          </w:tcPr>
          <w:p w:rsidR="00AC0832" w:rsidRDefault="00AC0832" w:rsidP="00A47D80">
            <w:pPr>
              <w:pStyle w:val="CellColumn"/>
            </w:pPr>
            <w:r>
              <w:t>Dužina izgrađene magistralne ili sekundarne mreže odvodnje otpadnih voda izražene u km</w:t>
            </w:r>
          </w:p>
        </w:tc>
        <w:tc>
          <w:tcPr>
            <w:tcW w:w="1300" w:type="dxa"/>
          </w:tcPr>
          <w:p w:rsidR="00AC0832" w:rsidRDefault="00AC0832" w:rsidP="00A47D80">
            <w:pPr>
              <w:pStyle w:val="CellColumn"/>
            </w:pPr>
            <w:r>
              <w:t>km</w:t>
            </w:r>
          </w:p>
        </w:tc>
        <w:tc>
          <w:tcPr>
            <w:tcW w:w="1300" w:type="dxa"/>
          </w:tcPr>
          <w:p w:rsidR="00AC0832" w:rsidRDefault="00AC0832" w:rsidP="00A47D80">
            <w:pPr>
              <w:pStyle w:val="CellColumn"/>
            </w:pPr>
            <w:r>
              <w:t>98</w:t>
            </w:r>
          </w:p>
        </w:tc>
        <w:tc>
          <w:tcPr>
            <w:tcW w:w="1300" w:type="dxa"/>
          </w:tcPr>
          <w:p w:rsidR="00AC0832" w:rsidRDefault="00AC0832" w:rsidP="00A47D80">
            <w:pPr>
              <w:pStyle w:val="CellColumn"/>
            </w:pPr>
            <w:r>
              <w:t>Revidirani investicijski program 2010</w:t>
            </w:r>
          </w:p>
        </w:tc>
        <w:tc>
          <w:tcPr>
            <w:tcW w:w="1300" w:type="dxa"/>
          </w:tcPr>
          <w:p w:rsidR="00AC0832" w:rsidRDefault="00AC0832" w:rsidP="00A47D80">
            <w:pPr>
              <w:pStyle w:val="CellColumn"/>
            </w:pPr>
            <w:r>
              <w:t>116</w:t>
            </w:r>
          </w:p>
        </w:tc>
        <w:tc>
          <w:tcPr>
            <w:tcW w:w="1300" w:type="dxa"/>
          </w:tcPr>
          <w:p w:rsidR="00AC0832" w:rsidRDefault="00AC0832" w:rsidP="00A47D80">
            <w:pPr>
              <w:pStyle w:val="CellColumn"/>
            </w:pPr>
            <w:r>
              <w:t>116</w:t>
            </w:r>
          </w:p>
        </w:tc>
      </w:tr>
      <w:tr w:rsidR="00AC0832" w:rsidTr="00A47D80">
        <w:trPr>
          <w:jc w:val="center"/>
        </w:trPr>
        <w:tc>
          <w:tcPr>
            <w:tcW w:w="1300" w:type="dxa"/>
          </w:tcPr>
          <w:p w:rsidR="00AC0832" w:rsidRDefault="00AC0832" w:rsidP="00A47D80">
            <w:pPr>
              <w:pStyle w:val="CellColumn"/>
            </w:pPr>
            <w:r>
              <w:t>Zaštita voda i mora</w:t>
            </w:r>
          </w:p>
        </w:tc>
        <w:tc>
          <w:tcPr>
            <w:tcW w:w="1300" w:type="dxa"/>
          </w:tcPr>
          <w:p w:rsidR="00AC0832" w:rsidRDefault="00AC0832" w:rsidP="00A47D80">
            <w:pPr>
              <w:pStyle w:val="CellColumn"/>
            </w:pPr>
            <w:r>
              <w:t>Broj izgrađenih vodnih građevina (osim mreže) uključujući i uređaje za pročišćavanje i zbrinjavanje mulja</w:t>
            </w:r>
          </w:p>
        </w:tc>
        <w:tc>
          <w:tcPr>
            <w:tcW w:w="1300" w:type="dxa"/>
          </w:tcPr>
          <w:p w:rsidR="00AC0832" w:rsidRDefault="00AC0832" w:rsidP="00A47D80">
            <w:pPr>
              <w:pStyle w:val="CellColumn"/>
            </w:pPr>
            <w:r>
              <w:t>broj</w:t>
            </w:r>
          </w:p>
        </w:tc>
        <w:tc>
          <w:tcPr>
            <w:tcW w:w="1300" w:type="dxa"/>
          </w:tcPr>
          <w:p w:rsidR="00AC0832" w:rsidRDefault="00AC0832" w:rsidP="00A47D80">
            <w:pPr>
              <w:pStyle w:val="CellColumn"/>
            </w:pPr>
            <w:r>
              <w:t>36 crpnih stanica + 6 (2 uređaja za pročišćavanje + 2 tunela i 2 podmorska ispusta) = 42</w:t>
            </w:r>
          </w:p>
        </w:tc>
        <w:tc>
          <w:tcPr>
            <w:tcW w:w="1300" w:type="dxa"/>
          </w:tcPr>
          <w:p w:rsidR="00AC0832" w:rsidRDefault="00AC0832" w:rsidP="00A47D80">
            <w:pPr>
              <w:pStyle w:val="CellColumn"/>
            </w:pPr>
            <w:r>
              <w:t>Revidirani investicijski program 2010</w:t>
            </w:r>
          </w:p>
        </w:tc>
        <w:tc>
          <w:tcPr>
            <w:tcW w:w="1300" w:type="dxa"/>
          </w:tcPr>
          <w:p w:rsidR="00AC0832" w:rsidRDefault="00AC0832" w:rsidP="00A47D80">
            <w:pPr>
              <w:pStyle w:val="CellColumn"/>
            </w:pPr>
            <w:r>
              <w:t>51</w:t>
            </w:r>
          </w:p>
        </w:tc>
        <w:tc>
          <w:tcPr>
            <w:tcW w:w="1300" w:type="dxa"/>
          </w:tcPr>
          <w:p w:rsidR="00AC0832" w:rsidRDefault="00AC0832" w:rsidP="00A47D80">
            <w:pPr>
              <w:pStyle w:val="CellColumn"/>
            </w:pPr>
            <w:r>
              <w:t>51</w:t>
            </w:r>
          </w:p>
        </w:tc>
      </w:tr>
    </w:tbl>
    <w:p w:rsidR="00AC0832" w:rsidRDefault="00AC0832" w:rsidP="00C63D4C">
      <w:pPr>
        <w:jc w:val="left"/>
      </w:pPr>
    </w:p>
    <w:p w:rsidR="00AC0832" w:rsidRDefault="00AC0832" w:rsidP="00C63D4C">
      <w:pPr>
        <w:pStyle w:val="Heading5"/>
      </w:pPr>
      <w:r>
        <w:t>3506 POTICANJE STAMBENE ŠTEDNJE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3506-POTICANJE STAMBENE ŠTEDNJE</w:t>
            </w:r>
          </w:p>
        </w:tc>
        <w:tc>
          <w:tcPr>
            <w:tcW w:w="2322" w:type="dxa"/>
          </w:tcPr>
          <w:p w:rsidR="00AC0832" w:rsidRDefault="00AC0832" w:rsidP="00A47D80">
            <w:pPr>
              <w:pStyle w:val="CellColumn"/>
            </w:pPr>
            <w:r>
              <w:t>186.001.450</w:t>
            </w:r>
          </w:p>
        </w:tc>
        <w:tc>
          <w:tcPr>
            <w:tcW w:w="2322" w:type="dxa"/>
          </w:tcPr>
          <w:p w:rsidR="00AC0832" w:rsidRDefault="00AC0832" w:rsidP="00A47D80">
            <w:pPr>
              <w:pStyle w:val="CellColumn"/>
            </w:pPr>
            <w:r>
              <w:t>185.182.382</w:t>
            </w:r>
          </w:p>
        </w:tc>
        <w:tc>
          <w:tcPr>
            <w:tcW w:w="2322" w:type="dxa"/>
          </w:tcPr>
          <w:p w:rsidR="00AC0832" w:rsidRDefault="00AC0832" w:rsidP="00A47D80">
            <w:pPr>
              <w:pStyle w:val="CellColumn"/>
            </w:pPr>
            <w:r>
              <w:t>99,6</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 xml:space="preserve">Prema Zakonu o stambenoj štednji i državnom poticanju stambene štednje, stambena štednja predstavlja prikupljanje novčanih sredstava – depozita od fizičkih i pravnih osoba radi rješavanja stambenih potreba stambenih štediša odobravanjem stambenih kredita uz financijsku potporu države na području Republike Hrvatske.  </w:t>
      </w:r>
    </w:p>
    <w:p w:rsidR="00AC0832" w:rsidRDefault="00AC0832" w:rsidP="00C63D4C">
      <w:pPr>
        <w:pStyle w:val="Normal5"/>
      </w:pPr>
      <w:r>
        <w:t xml:space="preserve">Državna poticajna sredstva za stambene štediše odobravaju se stambenoj štedionici iz državnog proračuna RH na osnovu dokumentiranih podataka o prikupljenoj stambenoj štednji u prethodnoj kalendarskoj godini.  </w:t>
      </w:r>
    </w:p>
    <w:p w:rsidR="00AC0832" w:rsidRDefault="00AC0832" w:rsidP="00C63D4C">
      <w:pPr>
        <w:pStyle w:val="Normal5"/>
      </w:pPr>
      <w:r>
        <w:t xml:space="preserve">Stambena štednja u svrhu rješavanja stambenih potreba građanja obuhvatila je isplatom državnih poticajnih sredstava u 2012. godini 790.570 stambenih štediša.  </w:t>
      </w:r>
    </w:p>
    <w:p w:rsidR="00AC0832" w:rsidRDefault="00AC0832" w:rsidP="00C63D4C">
      <w:pPr>
        <w:pStyle w:val="Normal5"/>
      </w:pPr>
      <w:r>
        <w:t>Program je povezan s Posebnim ciljem 12.4. Unapređenje stanja u području stanovanja, komunalnog gospodarenja i graditeljstva</w:t>
      </w:r>
    </w:p>
    <w:p w:rsidR="00AC0832" w:rsidRDefault="00AC0832" w:rsidP="00C63D4C">
      <w:pPr>
        <w:pStyle w:val="Heading6"/>
      </w:pPr>
      <w:r>
        <w:t>Zakonske i druge pravne osnove</w:t>
      </w:r>
    </w:p>
    <w:p w:rsidR="00AC0832" w:rsidRDefault="00AC0832" w:rsidP="00C63D4C">
      <w:pPr>
        <w:pStyle w:val="Normal5"/>
      </w:pPr>
      <w:r>
        <w:t>Zakon o stambenoj štednji i državnom poticanju stambene štednje (NN br. 109/97, 117/97, 76/99, 10/01, 92/05 i 21/10 čl. 21. st. 1. i čl. 22.)</w:t>
      </w:r>
    </w:p>
    <w:p w:rsidR="00AC0832" w:rsidRDefault="00AC0832" w:rsidP="00C63D4C">
      <w:pPr>
        <w:pStyle w:val="Heading7"/>
      </w:pPr>
      <w:r>
        <w:t>Cilj 1. Podizanje kvalitete stanovanja svih građana Hrvatske</w:t>
      </w:r>
    </w:p>
    <w:p w:rsidR="00AC0832" w:rsidRDefault="00AC0832" w:rsidP="00C63D4C">
      <w:pPr>
        <w:pStyle w:val="Heading8"/>
        <w:jc w:val="left"/>
      </w:pPr>
      <w:r>
        <w:t>Opis provedbe cilja programa</w:t>
      </w:r>
    </w:p>
    <w:p w:rsidR="00AC0832" w:rsidRDefault="00AC0832" w:rsidP="00C63D4C">
      <w:pPr>
        <w:pStyle w:val="Normal6"/>
      </w:pPr>
      <w:r>
        <w:t xml:space="preserve">Radi rješavanja stambenih potreba građana odobravanjem kredita za stanogradnju Republika Hrvatska daje financijsku potporu hrvatskim državljanima, općinama i gradovima na području Republike Hrvatske. </w:t>
      </w:r>
    </w:p>
    <w:p w:rsidR="00AC0832" w:rsidRDefault="00AC0832" w:rsidP="00C63D4C">
      <w:pPr>
        <w:pStyle w:val="Normal6"/>
      </w:pPr>
      <w:r>
        <w:t xml:space="preserve">Zamjetan je kontinuirani porast broja stambenih štediša kojima su isplaćena poticajna sredstava iz državnog proračuna u razdoblju od 2005. do 2012. godine, od 601.533 stambene štediše 2005. godine do cca 790.570 stambenih štediša obuhvaćenih isplatom u 2012. za 2010. godinu.  </w:t>
      </w:r>
    </w:p>
    <w:p w:rsidR="00AC0832" w:rsidRDefault="00AC0832" w:rsidP="00C63D4C">
      <w:pPr>
        <w:pStyle w:val="Normal6"/>
      </w:pPr>
      <w:r>
        <w:t>Navedeni podaci ukazuju na povećanje svijesti građana Republike Hrvatske o potrebi podizanja kvalitete stanovanja, odnosno rješavanja stambenih potreba, a čemu u znatnoj mjeri pridonose i poticajna sredstva iz državnog proračuna.</w:t>
      </w:r>
    </w:p>
    <w:p w:rsidR="00AC0832" w:rsidRDefault="00AC0832" w:rsidP="00C63D4C">
      <w:pPr>
        <w:pStyle w:val="Heading6"/>
      </w:pPr>
      <w:r>
        <w:t>A539042 POTICANJE STAMBENE ŠTEDNJE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A539042-POTICANJE STAMBENE ŠTEDNJE</w:t>
            </w:r>
          </w:p>
        </w:tc>
        <w:tc>
          <w:tcPr>
            <w:tcW w:w="2322" w:type="dxa"/>
          </w:tcPr>
          <w:p w:rsidR="00AC0832" w:rsidRDefault="00AC0832" w:rsidP="00A47D80">
            <w:pPr>
              <w:pStyle w:val="CellColumn"/>
            </w:pPr>
            <w:r>
              <w:t>186.001.450</w:t>
            </w:r>
          </w:p>
        </w:tc>
        <w:tc>
          <w:tcPr>
            <w:tcW w:w="2322" w:type="dxa"/>
          </w:tcPr>
          <w:p w:rsidR="00AC0832" w:rsidRDefault="00AC0832" w:rsidP="00A47D80">
            <w:pPr>
              <w:pStyle w:val="CellColumn"/>
            </w:pPr>
            <w:r>
              <w:t>185.182.382</w:t>
            </w:r>
          </w:p>
        </w:tc>
        <w:tc>
          <w:tcPr>
            <w:tcW w:w="2322" w:type="dxa"/>
          </w:tcPr>
          <w:p w:rsidR="00AC0832" w:rsidRDefault="00AC0832" w:rsidP="00A47D80">
            <w:pPr>
              <w:pStyle w:val="CellColumn"/>
            </w:pPr>
            <w:r>
              <w:t>99,6</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 xml:space="preserve">Osnovu za planiranje potrebnih sredstava za isplatu državnih poticaja u sljedećoj fiskalnoj godini čine podaci o prikupljenoj stambenoj štednji u prethodnoj kalendarskoj godini. </w:t>
      </w:r>
    </w:p>
    <w:p w:rsidR="00AC0832" w:rsidRDefault="00AC0832" w:rsidP="00C63D4C">
      <w:pPr>
        <w:pStyle w:val="Normal6"/>
      </w:pPr>
      <w:r>
        <w:t>Stambene štedionice dužne su najkasnije do 20. lipnja tekuće godine izraditi i Ministarstvu financija podnijeti obrazloženi plan za dodjelu državnih poticajnih u sljedećoj fiskalnoj godini. Plan zahtjeva za dodjelu državnih poticajnih sredstava izrađuje se na temelju prikupljenih štednih uloga stambenih štediša u prvih pet mjeseci tekuće godine i procjene pritjecanja sredstava stambene štednje do konca tekuće godine.</w:t>
      </w:r>
    </w:p>
    <w:p w:rsidR="00AC0832" w:rsidRDefault="00AC0832" w:rsidP="00C63D4C">
      <w:pPr>
        <w:pStyle w:val="Heading5"/>
      </w:pPr>
      <w:r>
        <w:t>3913 POTPORE VJERSKIM ZAJEDNICAMA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3913-POTPORE VJERSKIM ZAJEDNICAMA</w:t>
            </w:r>
          </w:p>
        </w:tc>
        <w:tc>
          <w:tcPr>
            <w:tcW w:w="2322" w:type="dxa"/>
          </w:tcPr>
          <w:p w:rsidR="00AC0832" w:rsidRDefault="00AC0832" w:rsidP="00A47D80">
            <w:pPr>
              <w:pStyle w:val="CellColumn"/>
            </w:pPr>
            <w:r>
              <w:t>272.119.000</w:t>
            </w:r>
          </w:p>
        </w:tc>
        <w:tc>
          <w:tcPr>
            <w:tcW w:w="2322" w:type="dxa"/>
          </w:tcPr>
          <w:p w:rsidR="00AC0832" w:rsidRDefault="00AC0832" w:rsidP="00A47D80">
            <w:pPr>
              <w:pStyle w:val="CellColumn"/>
            </w:pPr>
            <w:r>
              <w:t>271.659.436</w:t>
            </w:r>
          </w:p>
        </w:tc>
        <w:tc>
          <w:tcPr>
            <w:tcW w:w="2322" w:type="dxa"/>
          </w:tcPr>
          <w:p w:rsidR="00AC0832" w:rsidRDefault="00AC0832" w:rsidP="00A47D80">
            <w:pPr>
              <w:pStyle w:val="CellColumn"/>
            </w:pPr>
            <w:r>
              <w:t>99,8</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Program obuhvaća aktivnosti koje se odnose na izvršavanje obveza prema Katoličkoj Crkvi (na temelju Ugovora između Svete Stolice i Republike Hrvatske o gospodarskim pitanjima) te ostalim vjerskim zajednicama u Republici Hrvatskoj.</w:t>
      </w:r>
    </w:p>
    <w:p w:rsidR="00AC0832" w:rsidRDefault="00AC0832" w:rsidP="00C63D4C">
      <w:pPr>
        <w:pStyle w:val="Heading6"/>
      </w:pPr>
      <w:r>
        <w:t>Zakonske i druge pravne osnove</w:t>
      </w:r>
    </w:p>
    <w:p w:rsidR="00AC0832" w:rsidRDefault="00AC0832" w:rsidP="00C63D4C">
      <w:pPr>
        <w:pStyle w:val="Normal5"/>
      </w:pPr>
      <w:r>
        <w:t>Zakon o potvrđivanju Ugovora između Svete Stolice i Republike Hrvatske o gospodarskim pitanjima (NN - MU br. 18/98) i Zakon o potvrđivanju Ugovora između Svete Stolice i Republike Hrvatske o pravnim pitanjima (NN - MU br.3/97) te Zakon o pravnom položaju vjerskih zajednica (NN br. 83/2002).</w:t>
      </w:r>
    </w:p>
    <w:p w:rsidR="00AC0832" w:rsidRDefault="00AC0832" w:rsidP="00C63D4C">
      <w:pPr>
        <w:pStyle w:val="Heading7"/>
      </w:pPr>
      <w:r>
        <w:t xml:space="preserve">Cilj 1. Redovito izvršavanje obveza po Ugovoru između Svete Stolice i Republike Hrvatske i  Zakonu o pravnom položaju vjerskih zajednica </w:t>
      </w:r>
    </w:p>
    <w:p w:rsidR="00AC0832" w:rsidRDefault="00AC0832" w:rsidP="00C63D4C">
      <w:pPr>
        <w:pStyle w:val="Heading8"/>
        <w:jc w:val="left"/>
      </w:pPr>
      <w:r>
        <w:t>Opis provedbe cilja programa</w:t>
      </w:r>
    </w:p>
    <w:p w:rsidR="00AC0832" w:rsidRDefault="00AC0832" w:rsidP="00C63D4C">
      <w:pPr>
        <w:pStyle w:val="Normal6"/>
      </w:pPr>
      <w:r>
        <w:t>Redovitim izvršavanjem obveza po Ugovoru između Svete Stolice i Republike Hrvatske i Zakonu o pravnom položaju vjerskih zajednica potiče se općekorisno djelovanje Katoličke crkve kao i  ostalih vjerskih zajednica u Republici Hrvatskoj.</w:t>
      </w:r>
    </w:p>
    <w:p w:rsidR="00AC0832" w:rsidRDefault="00AC0832" w:rsidP="00C63D4C">
      <w:pPr>
        <w:pStyle w:val="Heading6"/>
      </w:pPr>
      <w:r>
        <w:t>A539026 MEĐUNARODNI SPORAZUM - SVETA STOLICA I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A539026-MEĐUNARODNI SPORAZUM - SVETA STOLICA I RH</w:t>
            </w:r>
          </w:p>
        </w:tc>
        <w:tc>
          <w:tcPr>
            <w:tcW w:w="2322" w:type="dxa"/>
          </w:tcPr>
          <w:p w:rsidR="00AC0832" w:rsidRDefault="00AC0832" w:rsidP="00A47D80">
            <w:pPr>
              <w:pStyle w:val="CellColumn"/>
            </w:pPr>
            <w:r>
              <w:t>245.000.000</w:t>
            </w:r>
          </w:p>
        </w:tc>
        <w:tc>
          <w:tcPr>
            <w:tcW w:w="2322" w:type="dxa"/>
          </w:tcPr>
          <w:p w:rsidR="00AC0832" w:rsidRDefault="00AC0832" w:rsidP="00A47D80">
            <w:pPr>
              <w:pStyle w:val="CellColumn"/>
            </w:pPr>
            <w:r>
              <w:t>245.000.000</w:t>
            </w:r>
          </w:p>
        </w:tc>
        <w:tc>
          <w:tcPr>
            <w:tcW w:w="2322" w:type="dxa"/>
          </w:tcPr>
          <w:p w:rsidR="00AC0832" w:rsidRDefault="00AC0832" w:rsidP="00A47D80">
            <w:pPr>
              <w:pStyle w:val="CellColumn"/>
            </w:pPr>
            <w:r>
              <w:t>100,0</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Financijska sredstva isplaćena su Katoličkoj crkvi prema Ugovoru između Svete Stolice i Republike Hrvatske o gospodarskim pitanjima (Narodne novine– Međunarodni ugovori br. 18/1998). Sredstva se odnose na troškove za opće društveno vrijedan rad Katoličke Crkve u službi građana na kulturnom, odgojnom, društveno i etičkom polju, troškove uzdržavanja klera i drugih crkvenih službenika, troškove izgradnje i uzdržavanje crkava i pastoralnih središta koja nisu u popisu spomenika kulture te doprinos za karitativnu djelatnost Katoličke Crkve.</w:t>
      </w:r>
    </w:p>
    <w:p w:rsidR="00AC0832" w:rsidRDefault="00AC0832" w:rsidP="00C63D4C">
      <w:pPr>
        <w:pStyle w:val="Heading5"/>
      </w:pPr>
      <w:r>
        <w:t>4004 POTPORE ORGANIZACIJAMA, KUĆANSTVIMA I GOSPODARSTVU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4004-POTPORE ORGANIZACIJAMA, KUĆANSTVIMA I GOSPODARSTVU</w:t>
            </w:r>
          </w:p>
        </w:tc>
        <w:tc>
          <w:tcPr>
            <w:tcW w:w="2322" w:type="dxa"/>
          </w:tcPr>
          <w:p w:rsidR="00AC0832" w:rsidRDefault="00AC0832" w:rsidP="00A47D80">
            <w:pPr>
              <w:pStyle w:val="CellColumn"/>
            </w:pPr>
            <w:r>
              <w:t>36.863.176</w:t>
            </w:r>
          </w:p>
        </w:tc>
        <w:tc>
          <w:tcPr>
            <w:tcW w:w="2322" w:type="dxa"/>
          </w:tcPr>
          <w:p w:rsidR="00AC0832" w:rsidRDefault="00AC0832" w:rsidP="00A47D80">
            <w:pPr>
              <w:pStyle w:val="CellColumn"/>
            </w:pPr>
            <w:r>
              <w:t>21.620.704</w:t>
            </w:r>
          </w:p>
        </w:tc>
        <w:tc>
          <w:tcPr>
            <w:tcW w:w="2322" w:type="dxa"/>
          </w:tcPr>
          <w:p w:rsidR="00AC0832" w:rsidRDefault="00AC0832" w:rsidP="00A47D80">
            <w:pPr>
              <w:pStyle w:val="CellColumn"/>
            </w:pPr>
            <w:r>
              <w:t>58,7</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 xml:space="preserve">Uslijed izmijenjenih makroekonomskih uvjeta posebice u pogledu porasta cijene energenata, te globalnih kretanja sa značajnim posljedicama na hrvatsko gospodarstvo, Ministarstvo financija je sredinom 2008. godine u suradnji s Hrvatskom elektroprivredom predložilo Vladi RH donošenje zaključka o prihvaćanju modela provedbenih mjera za operacionalizaciju potpora stanovništvu za ublažavanje porasta cijena električne energije. Zaključkom Vlade RH, klasa: 308-03/08-01/01 od 12. lipnja 2008. zaduženo je Ministarstvo gospodarstva, rada i poduzetništva da u suradnji s Ministarstvom financija i Hrvatskom elektroprivredom provede sve radnje za provedbu predloženog modela iz Potpora. </w:t>
      </w:r>
    </w:p>
    <w:p w:rsidR="00AC0832" w:rsidRDefault="00AC0832" w:rsidP="00C63D4C">
      <w:pPr>
        <w:pStyle w:val="Normal5"/>
      </w:pPr>
      <w:r>
        <w:t xml:space="preserve">Nastavno na ovu mjeru donesena je Odluka o provedbi posebne mjere za ublažavanje porasta cijena prirodnog plina u kućanstvima i Odluka o provedbi posebne mjere za ublažavanje porasta cijena električne energije građanima i kućanstvima. </w:t>
      </w:r>
    </w:p>
    <w:p w:rsidR="00AC0832" w:rsidRDefault="00AC0832" w:rsidP="00C63D4C">
      <w:pPr>
        <w:pStyle w:val="Normal5"/>
      </w:pPr>
      <w:r>
        <w:t xml:space="preserve">Odluka o provedbi posebne mjere za ublažavanje porasta cijena prirodnog plina u kućanstvima primjenjuje se za obračun potrošnje plina zaključno s 2011. godinom. </w:t>
      </w:r>
    </w:p>
    <w:p w:rsidR="00AC0832" w:rsidRDefault="00AC0832" w:rsidP="00C63D4C">
      <w:pPr>
        <w:pStyle w:val="Normal5"/>
      </w:pPr>
      <w:r>
        <w:t xml:space="preserve">Odluka o provedbi posebne mjere za ublažavanje porasta cijena električne energije građanima i kućanstvima bila je na snazi do 30. lipnja 2011. </w:t>
      </w:r>
    </w:p>
    <w:p w:rsidR="00AC0832" w:rsidRDefault="00AC0832" w:rsidP="00C63D4C">
      <w:pPr>
        <w:pStyle w:val="Normal5"/>
      </w:pPr>
      <w:r>
        <w:t>U 2012. godini  isplaćena su sredstva po konačnim obračunima električne energije i plina za 2011. godinu.</w:t>
      </w:r>
    </w:p>
    <w:p w:rsidR="00AC0832" w:rsidRDefault="00AC0832" w:rsidP="00C63D4C">
      <w:pPr>
        <w:pStyle w:val="Heading6"/>
      </w:pPr>
      <w:r>
        <w:t>Zakonske i druge pravne osnove</w:t>
      </w:r>
    </w:p>
    <w:p w:rsidR="00AC0832" w:rsidRDefault="00AC0832" w:rsidP="00C63D4C">
      <w:pPr>
        <w:pStyle w:val="Normal5"/>
      </w:pPr>
      <w:r>
        <w:t xml:space="preserve">- Odluka o provedbi posebne mjere za ublažavanje porasta cijena električne energije građanima i kućanstvima (NN br. 75/2008); </w:t>
      </w:r>
    </w:p>
    <w:p w:rsidR="00AC0832" w:rsidRDefault="00AC0832" w:rsidP="00C63D4C">
      <w:pPr>
        <w:pStyle w:val="Normal5"/>
      </w:pPr>
      <w:r>
        <w:t xml:space="preserve">- Odluka o izmjeni Odluke o provedbi mjera za ublažavanje porasta cijena električne energije građanima i kućanstvima (NN br. 83/2009, 81/2010, 148/2010); </w:t>
      </w:r>
    </w:p>
    <w:p w:rsidR="00AC0832" w:rsidRDefault="00AC0832" w:rsidP="00C63D4C">
      <w:pPr>
        <w:pStyle w:val="Normal5"/>
      </w:pPr>
      <w:r>
        <w:t>- Odluka o provedbi posebne mjere za ublažavanje porasta cijena prirodnog plina u kućanstvima u 2010. godini  (NN br. 158/2009, 148/2010).</w:t>
      </w:r>
    </w:p>
    <w:p w:rsidR="00AC0832" w:rsidRDefault="00AC0832" w:rsidP="00C63D4C">
      <w:pPr>
        <w:pStyle w:val="Heading5"/>
      </w:pPr>
      <w:r>
        <w:t>4104 POTICAJI ZA ČLANOVE DOBROVOLJNIH MIROVINSKIH FONDOVA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4104-POTICAJI ZA ČLANOVE DOBROVOLJNIH MIROVINSKIH FONDOVA</w:t>
            </w:r>
          </w:p>
        </w:tc>
        <w:tc>
          <w:tcPr>
            <w:tcW w:w="2322" w:type="dxa"/>
          </w:tcPr>
          <w:p w:rsidR="00AC0832" w:rsidRDefault="00AC0832" w:rsidP="00A47D80">
            <w:pPr>
              <w:pStyle w:val="CellColumn"/>
            </w:pPr>
            <w:r>
              <w:t>40.528.640</w:t>
            </w:r>
          </w:p>
        </w:tc>
        <w:tc>
          <w:tcPr>
            <w:tcW w:w="2322" w:type="dxa"/>
          </w:tcPr>
          <w:p w:rsidR="00AC0832" w:rsidRDefault="00AC0832" w:rsidP="00A47D80">
            <w:pPr>
              <w:pStyle w:val="CellColumn"/>
            </w:pPr>
            <w:r>
              <w:t>38.222.345</w:t>
            </w:r>
          </w:p>
        </w:tc>
        <w:tc>
          <w:tcPr>
            <w:tcW w:w="2322" w:type="dxa"/>
          </w:tcPr>
          <w:p w:rsidR="00AC0832" w:rsidRDefault="00AC0832" w:rsidP="00A47D80">
            <w:pPr>
              <w:pStyle w:val="CellColumn"/>
            </w:pPr>
            <w:r>
              <w:t>94,3</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 xml:space="preserve">Program obuhvaća jednu aktivnost - Poticaje za članove dobrovoljnih mirovinskih fondova odnosno isplata subvencija. Dobrovoljnim mirovinskim osiguranjem na temelju individualne kapitalizirane štednje obuhvaćeno je isplatom državnih poticajnih sredstava u 2012. g. ukupno 103.191 osiguranik.  </w:t>
      </w:r>
    </w:p>
    <w:p w:rsidR="00AC0832" w:rsidRDefault="00AC0832" w:rsidP="00C63D4C">
      <w:pPr>
        <w:pStyle w:val="Normal5"/>
      </w:pPr>
      <w:r>
        <w:t xml:space="preserve">Poticajna sredstva iz državnog proračuna za uplate u dobrovoljne mirovinske fondove u 2012. godini odobravala su se po stopi od 15%. </w:t>
      </w:r>
    </w:p>
    <w:p w:rsidR="00AC0832" w:rsidRDefault="00AC0832" w:rsidP="00C63D4C">
      <w:pPr>
        <w:pStyle w:val="Normal5"/>
      </w:pPr>
      <w:r>
        <w:t>Program je povezan s Općim ciljem Strategije Vladinih programa –  6. Jačanje socijalne pravednosti te posebnim ciljem 6.4. Postizanje održivosti sustava mirovinskog osiguranja u uvjetima starenja stanovništva.</w:t>
      </w:r>
    </w:p>
    <w:p w:rsidR="00AC0832" w:rsidRDefault="00AC0832" w:rsidP="00C63D4C">
      <w:pPr>
        <w:pStyle w:val="Heading6"/>
      </w:pPr>
      <w:r>
        <w:t>Zakonske i druge pravne osnove</w:t>
      </w:r>
    </w:p>
    <w:p w:rsidR="00AC0832" w:rsidRDefault="00AC0832" w:rsidP="00C63D4C">
      <w:pPr>
        <w:pStyle w:val="Normal5"/>
      </w:pPr>
      <w:r>
        <w:t>Zakon o obveznim i dobrovoljnim mirovinskim fondovima (NN 49/99, 63/00, 103/03 , 177/04 i 71/07 i 124/10 i 114/11).</w:t>
      </w:r>
    </w:p>
    <w:p w:rsidR="00AC0832" w:rsidRDefault="00AC0832" w:rsidP="00C63D4C">
      <w:pPr>
        <w:pStyle w:val="Heading7"/>
      </w:pPr>
      <w:r>
        <w:t>Cilj 1. Poticati razvoj sustava mirovinskog osiguranja</w:t>
      </w:r>
    </w:p>
    <w:p w:rsidR="00AC0832" w:rsidRDefault="00AC0832" w:rsidP="00C63D4C">
      <w:pPr>
        <w:pStyle w:val="Heading8"/>
        <w:jc w:val="left"/>
      </w:pPr>
      <w:r>
        <w:t>Opis provedbe cilja programa</w:t>
      </w:r>
    </w:p>
    <w:p w:rsidR="00AC0832" w:rsidRDefault="00AC0832" w:rsidP="00C63D4C">
      <w:pPr>
        <w:pStyle w:val="Normal6"/>
      </w:pPr>
      <w:r>
        <w:t xml:space="preserve">Uplatama subvencija članovima dobrovoljnih mirovinskih fondova potiče se  razvoj trećeg stupa mirovinskog osiguranja.  </w:t>
      </w:r>
    </w:p>
    <w:p w:rsidR="00AC0832" w:rsidRDefault="00AC0832" w:rsidP="00C63D4C">
      <w:pPr>
        <w:pStyle w:val="Normal6"/>
      </w:pPr>
      <w:r>
        <w:t xml:space="preserve">Zamjetan je kontinuirani porast broja članova dobrovoljnih mirovinskih fondova kojima su isplaćena poticajna sredstava iz državnog proračuna u razdoblju od 2002. do 2012. godine, od 8.039 članova 2002. godine do cca 103.191 članova obuhvaćenih isplatom državnih poticajnih sredstava u 2012. za 2010. godinu.  </w:t>
      </w:r>
    </w:p>
    <w:p w:rsidR="00AC0832" w:rsidRDefault="00AC0832" w:rsidP="00C63D4C">
      <w:pPr>
        <w:pStyle w:val="Normal6"/>
      </w:pPr>
      <w:r>
        <w:t xml:space="preserve">Sukladno porastu broja članova, povećavao se i iznos isplaćenih državnih poticajnih sredstava od 2003. godine, kada je isplaćeno 5.697.495,28 kuna, do 2012. godine, kada je u ožujku 2012. za 2010. isplaćeno 38.222.979,84 kuna.  </w:t>
      </w:r>
    </w:p>
    <w:p w:rsidR="00AC0832" w:rsidRDefault="00AC0832" w:rsidP="00C63D4C">
      <w:pPr>
        <w:pStyle w:val="Normal6"/>
      </w:pPr>
      <w:r>
        <w:t>Navedeni podaci ukazuju na povećanje svijesti građana Republike Hrvatske o potrebi brige za vlastitu mirovinu kroz što ranije započinjanje izdvajanja novčanih sredstava na osobne račune u fondove III. mirovinskog stupa, a čemu u znatnoj mjeri pridonose i poticajna sredstva iz državnog proračuna.</w:t>
      </w:r>
    </w:p>
    <w:p w:rsidR="00AC0832" w:rsidRDefault="00AC0832" w:rsidP="00C63D4C">
      <w:pPr>
        <w:pStyle w:val="Heading6"/>
      </w:pPr>
      <w:r>
        <w:t>A539274 POTICAJI ZA ČLANOVE DOBROVOLJNIH MIROVINSKIH FONDOVA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A539274-POTICAJI ZA ČLANOVE DOBROVOLJNIH MIROVINSKIH FONDOVA</w:t>
            </w:r>
          </w:p>
        </w:tc>
        <w:tc>
          <w:tcPr>
            <w:tcW w:w="2322" w:type="dxa"/>
          </w:tcPr>
          <w:p w:rsidR="00AC0832" w:rsidRDefault="00AC0832" w:rsidP="00A47D80">
            <w:pPr>
              <w:pStyle w:val="CellColumn"/>
            </w:pPr>
            <w:r>
              <w:t>40.528.640</w:t>
            </w:r>
          </w:p>
        </w:tc>
        <w:tc>
          <w:tcPr>
            <w:tcW w:w="2322" w:type="dxa"/>
          </w:tcPr>
          <w:p w:rsidR="00AC0832" w:rsidRDefault="00AC0832" w:rsidP="00A47D80">
            <w:pPr>
              <w:pStyle w:val="CellColumn"/>
            </w:pPr>
            <w:r>
              <w:t>38.222.345</w:t>
            </w:r>
          </w:p>
        </w:tc>
        <w:tc>
          <w:tcPr>
            <w:tcW w:w="2322" w:type="dxa"/>
          </w:tcPr>
          <w:p w:rsidR="00AC0832" w:rsidRDefault="00AC0832" w:rsidP="00A47D80">
            <w:pPr>
              <w:pStyle w:val="CellColumn"/>
            </w:pPr>
            <w:r>
              <w:t>94,3</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Poticaji se planiraju temeljem prikupljenih planova zahtjeva dobrovoljnih mirovinskih društava za dodjelu državnih poticajnih sredstava u slijedećoj kalendarskoj godini, a koja dobrovoljna mirovinska društva izrađuju na temelju prikupljenih doprinosa članova fondova u prvih osam mjeseci tekuće godine i procjene pritjecanja doprinosa do kraja tekuće godine.</w:t>
      </w:r>
    </w:p>
    <w:p w:rsidR="00AC0832" w:rsidRDefault="00AC0832" w:rsidP="00C63D4C">
      <w:pPr>
        <w:pStyle w:val="Heading5"/>
      </w:pPr>
      <w:r>
        <w:t>4201 SERVISIRANJE UNUTARNJEG DUGA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4201-SERVISIRANJE UNUTARNJEG DUGA</w:t>
            </w:r>
          </w:p>
        </w:tc>
        <w:tc>
          <w:tcPr>
            <w:tcW w:w="2322" w:type="dxa"/>
          </w:tcPr>
          <w:p w:rsidR="00AC0832" w:rsidRDefault="00AC0832" w:rsidP="00A47D80">
            <w:pPr>
              <w:pStyle w:val="CellColumn"/>
            </w:pPr>
            <w:r>
              <w:t>12.557.100.133</w:t>
            </w:r>
          </w:p>
        </w:tc>
        <w:tc>
          <w:tcPr>
            <w:tcW w:w="2322" w:type="dxa"/>
          </w:tcPr>
          <w:p w:rsidR="00AC0832" w:rsidRDefault="00AC0832" w:rsidP="00A47D80">
            <w:pPr>
              <w:pStyle w:val="CellColumn"/>
            </w:pPr>
            <w:r>
              <w:t>14.689.002.388</w:t>
            </w:r>
          </w:p>
        </w:tc>
        <w:tc>
          <w:tcPr>
            <w:tcW w:w="2322" w:type="dxa"/>
          </w:tcPr>
          <w:p w:rsidR="00AC0832" w:rsidRDefault="00AC0832" w:rsidP="00A47D80">
            <w:pPr>
              <w:pStyle w:val="CellColumn"/>
            </w:pPr>
            <w:r>
              <w:t>117,0</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 xml:space="preserve">Rashodi i izdaci po ovoj osnovi odnose se za servisiranje obveza po izdanim obveznicama i trezorskim zapisima u zemlji, za servisiranja obveza po zajmovima od tuzemnih banaka i ostalih financijskih institucija kao i za servisiranje obveza po zajmovima sveučilišta u Zagrebu, Splitu, Dubrovniku, Rijeci i Osijeku.  </w:t>
      </w:r>
    </w:p>
    <w:p w:rsidR="00AC0832" w:rsidRDefault="00AC0832" w:rsidP="00C63D4C">
      <w:pPr>
        <w:pStyle w:val="Normal5"/>
      </w:pPr>
      <w:r>
        <w:t xml:space="preserve">U 2012. godini za servisiranje unutarnjeg duga odnosno za plaćanje glavnice i kamate po osnovi unutarnjeg duga utrošeno je 14.689.002.388 kuna, od čega se 6,8 milijardi kuna se odnosi na plaćanje kamata i glavnice po izdanim obveznicama na domaćem tržištu kapitala, 6,6 milijarda kuna se odnosi na servisiranje obveza po zajmovima od tuzemnih banaka i ostalih financijskih institucija, a 773 milijuna kuna se odnosi na plaćanje kamata po izdanim trezorskim zapisima. </w:t>
      </w:r>
    </w:p>
    <w:p w:rsidR="00AC0832" w:rsidRDefault="00AC0832" w:rsidP="00C63D4C">
      <w:pPr>
        <w:pStyle w:val="Normal5"/>
      </w:pPr>
      <w:r>
        <w:t>U svibnju 2012. godine su dospjele i iskupljene obveznice koje je Republika Hrvatska izdala na domaćem tržištu kapitala 2002. godine, u kunskoj protuvrijednosti iznosa od EUR 500.000.000,00.</w:t>
      </w:r>
    </w:p>
    <w:p w:rsidR="00AC0832" w:rsidRDefault="00AC0832" w:rsidP="00C63D4C">
      <w:pPr>
        <w:pStyle w:val="Heading6"/>
      </w:pPr>
      <w:r>
        <w:t>Zakonske i druge pravne osnove</w:t>
      </w:r>
    </w:p>
    <w:p w:rsidR="00AC0832" w:rsidRDefault="00AC0832" w:rsidP="00C63D4C">
      <w:pPr>
        <w:pStyle w:val="Normal5"/>
      </w:pPr>
      <w:r>
        <w:t xml:space="preserve">- Zakon o zateznim kamatama (NN 28/96);  </w:t>
      </w:r>
    </w:p>
    <w:p w:rsidR="00AC0832" w:rsidRDefault="00AC0832" w:rsidP="00C63D4C">
      <w:pPr>
        <w:pStyle w:val="Normal5"/>
      </w:pPr>
      <w:r>
        <w:t xml:space="preserve">- Zakon o bankama (NN 84/02);  </w:t>
      </w:r>
    </w:p>
    <w:p w:rsidR="00AC0832" w:rsidRDefault="00AC0832" w:rsidP="00C63D4C">
      <w:pPr>
        <w:pStyle w:val="Normal5"/>
      </w:pPr>
      <w:r>
        <w:t xml:space="preserve">- Zakon o izdavanju i prometu vrijednosnim papirima (NN 107/95, 142/98, 87/00);  </w:t>
      </w:r>
    </w:p>
    <w:p w:rsidR="00AC0832" w:rsidRDefault="00AC0832" w:rsidP="00C63D4C">
      <w:pPr>
        <w:pStyle w:val="Normal5"/>
      </w:pPr>
      <w:r>
        <w:t xml:space="preserve">- Zakon o izdavanju obveznica za restrukturiranje gospodarstva u Republici Hrvatskoj (NN 27/91);  </w:t>
      </w:r>
    </w:p>
    <w:p w:rsidR="00AC0832" w:rsidRDefault="00AC0832" w:rsidP="00C63D4C">
      <w:pPr>
        <w:pStyle w:val="Normal5"/>
      </w:pPr>
      <w:r>
        <w:t xml:space="preserve">Odluka o izdavanju obveznica RH uz plasman na domaćem tržištu kapitala u kunskoj protuvrijednosti iznosa od EUR 150.000.000,00 (NN 58/02) ;  </w:t>
      </w:r>
    </w:p>
    <w:p w:rsidR="00AC0832" w:rsidRDefault="00AC0832" w:rsidP="00C63D4C">
      <w:pPr>
        <w:pStyle w:val="Normal5"/>
      </w:pPr>
      <w:r>
        <w:t xml:space="preserve">Odluka o izdavanju obveznica RH uz plasman na domaćem tržištu kapitala u kunskoj protuvrijednosti iznosa od EUR 150.000.000,00 (NN 111/02);  </w:t>
      </w:r>
    </w:p>
    <w:p w:rsidR="00AC0832" w:rsidRDefault="00AC0832" w:rsidP="00C63D4C">
      <w:pPr>
        <w:pStyle w:val="Normal5"/>
      </w:pPr>
      <w:r>
        <w:t xml:space="preserve">Odluka o izdavanju obveznica RH uz plasman na domaćem tržištu kapitala u kunskoj protuvrijednosti iznosa od EUR 200.000.000,00 (NN 14/03);  </w:t>
      </w:r>
    </w:p>
    <w:p w:rsidR="00AC0832" w:rsidRDefault="00AC0832" w:rsidP="00C63D4C">
      <w:pPr>
        <w:pStyle w:val="Normal5"/>
      </w:pPr>
      <w:r>
        <w:t xml:space="preserve">Odluka o izdavanju obveznica RH uz plasman na domaćem tržištu kapitala u kunskoj protuvrijednosti iznosa od EUR 200.000.000,00 (NN 16/04);  </w:t>
      </w:r>
    </w:p>
    <w:p w:rsidR="00AC0832" w:rsidRDefault="00AC0832" w:rsidP="00C63D4C">
      <w:pPr>
        <w:pStyle w:val="Normal5"/>
      </w:pPr>
      <w:r>
        <w:t xml:space="preserve">Odluka o izdavanju obveznica RH uz plasman na domaćem tržištu kapitala u kunskoj protuvrijednosti iznosa od EUR 150.000.000,00 (NN 34/04);  </w:t>
      </w:r>
    </w:p>
    <w:p w:rsidR="00AC0832" w:rsidRDefault="00AC0832" w:rsidP="00C63D4C">
      <w:pPr>
        <w:pStyle w:val="Normal5"/>
      </w:pPr>
      <w:r>
        <w:t xml:space="preserve">Odluka o izdavanju obveznica RH uz plasman na domaćem tržištu kapitala u kunskoj protuvrijednosti iznosa od EUR 300.000.000,00 (NN 131/04);  </w:t>
      </w:r>
    </w:p>
    <w:p w:rsidR="00AC0832" w:rsidRDefault="00AC0832" w:rsidP="00C63D4C">
      <w:pPr>
        <w:pStyle w:val="Normal5"/>
      </w:pPr>
      <w:r>
        <w:t xml:space="preserve">Odluka o izdavanju obveznica RH uz plasman na domaćem tržištu kapitala u kunskoj protuvrijednosti iznosa od EUR 200.000.000,00 (NN 166/04);  </w:t>
      </w:r>
    </w:p>
    <w:p w:rsidR="00AC0832" w:rsidRDefault="00AC0832" w:rsidP="00C63D4C">
      <w:pPr>
        <w:pStyle w:val="Normal5"/>
      </w:pPr>
      <w:r>
        <w:t xml:space="preserve">Odluka o izdavanju obveznica RH uz plasman na domaćem tržištu kapitala u kunskoj protuvrijednosti iznosa od EUR 300.000.000,00 (NN 112/07);  </w:t>
      </w:r>
    </w:p>
    <w:p w:rsidR="00AC0832" w:rsidRDefault="00AC0832" w:rsidP="00C63D4C">
      <w:pPr>
        <w:pStyle w:val="Normal5"/>
      </w:pPr>
      <w:r>
        <w:t xml:space="preserve">Odluka o izdavanju obveznica RH uz plasman na domaćem tržištu kapitala u kunskoj protuvrijednosti iznosa od EUR 350.000.000,00 (NN 85/05);  </w:t>
      </w:r>
    </w:p>
    <w:p w:rsidR="00AC0832" w:rsidRDefault="00AC0832" w:rsidP="00C63D4C">
      <w:pPr>
        <w:pStyle w:val="Normal5"/>
      </w:pPr>
      <w:r>
        <w:t xml:space="preserve">Odluka o izdavanju obveznica RH uz plasman na domaćem tržištu kapitala u iznosu  od 2.000.000.000,00 KN (NN 18/06);  </w:t>
      </w:r>
    </w:p>
    <w:p w:rsidR="00AC0832" w:rsidRDefault="00AC0832" w:rsidP="00C63D4C">
      <w:pPr>
        <w:pStyle w:val="Normal5"/>
      </w:pPr>
      <w:r>
        <w:t xml:space="preserve">Odluka o izdavanju obveznica RH uz plasman na domaćem tržištu kapitala u iznosu  od 2.500.000.000,00 KN (NN 77/06);  </w:t>
      </w:r>
    </w:p>
    <w:p w:rsidR="00AC0832" w:rsidRDefault="00AC0832" w:rsidP="00C63D4C">
      <w:pPr>
        <w:pStyle w:val="Normal5"/>
      </w:pPr>
      <w:r>
        <w:t xml:space="preserve">Odluka o izdavanju obveznica RH uz plasman na domaćem tržištu kapitala u iznosu  od 1.500.000.000,00 KN (NN 124/06);  </w:t>
      </w:r>
    </w:p>
    <w:p w:rsidR="00AC0832" w:rsidRDefault="00AC0832" w:rsidP="00C63D4C">
      <w:pPr>
        <w:pStyle w:val="Normal5"/>
      </w:pPr>
      <w:r>
        <w:t xml:space="preserve">Odluka o izdavanju obveznica RH uz plasman na domaćem tržištu kapitala u iznosu  od 2.500.000.000,00 KN (NN 14/07);  </w:t>
      </w:r>
    </w:p>
    <w:p w:rsidR="00AC0832" w:rsidRDefault="00AC0832" w:rsidP="00C63D4C">
      <w:pPr>
        <w:pStyle w:val="Normal5"/>
      </w:pPr>
      <w:r>
        <w:t xml:space="preserve">Odluka o izdavanju obveznica RH uz plasman na domaćem tržištu kapitala u iznosu  od 3.000.000.000,00 KN (NN 72/07);  </w:t>
      </w:r>
    </w:p>
    <w:p w:rsidR="00AC0832" w:rsidRDefault="00AC0832" w:rsidP="00C63D4C">
      <w:pPr>
        <w:pStyle w:val="Normal5"/>
      </w:pPr>
      <w:r>
        <w:t xml:space="preserve">Odluka o izdavanju obveznica RH uz plasman na domaćem tržištu kapitala u iznosu  od 3.500.000.000,00 KN (NN 30/10);  </w:t>
      </w:r>
    </w:p>
    <w:p w:rsidR="00AC0832" w:rsidRDefault="00AC0832" w:rsidP="00C63D4C">
      <w:pPr>
        <w:pStyle w:val="Normal5"/>
      </w:pPr>
      <w:r>
        <w:t xml:space="preserve">Odluka o izdavanju obveznica RH uz plasman na domaćem tržištu kapitala u kunskoj protuvrijednosti iznosa od 350.000.000,00 EUR-a (NN 30/10);  </w:t>
      </w:r>
    </w:p>
    <w:p w:rsidR="00AC0832" w:rsidRDefault="00AC0832" w:rsidP="00C63D4C">
      <w:pPr>
        <w:pStyle w:val="Normal5"/>
      </w:pPr>
      <w:r>
        <w:t xml:space="preserve">Odluka o izdavanju obveznica RH uz plasman na domaćem tržištu kapitala u iznosu  od 1.500.000.000,00 KN (NN 87/10);  </w:t>
      </w:r>
    </w:p>
    <w:p w:rsidR="00AC0832" w:rsidRDefault="00AC0832" w:rsidP="00C63D4C">
      <w:pPr>
        <w:pStyle w:val="Normal5"/>
      </w:pPr>
      <w:r>
        <w:t xml:space="preserve">Odluka o izdavanju obveznica RH uz plasman na domaćem tržištu kapitala u kunskoj protuvrijednosti iznosa od 650.000.000,00 EUR-a (NN 87/10);  </w:t>
      </w:r>
    </w:p>
    <w:p w:rsidR="00AC0832" w:rsidRDefault="00AC0832" w:rsidP="00C63D4C">
      <w:pPr>
        <w:pStyle w:val="Normal5"/>
      </w:pPr>
      <w:r>
        <w:t xml:space="preserve">Odluka o izdavanju obveznica RH uz plasman na domaćem tržištu kapitala u iznosu  od 4.000.000.000,00 KN (NN 130/10);  </w:t>
      </w:r>
    </w:p>
    <w:p w:rsidR="00AC0832" w:rsidRDefault="00AC0832" w:rsidP="00C63D4C">
      <w:pPr>
        <w:pStyle w:val="Normal5"/>
      </w:pPr>
      <w:r>
        <w:t xml:space="preserve">Odluka o izdavanju obveznica RH uz plasman na domaćem tržištu kapitala u iznosu  od 1.500.000.000,00 KN (NN 85/11);  </w:t>
      </w:r>
    </w:p>
    <w:p w:rsidR="00AC0832" w:rsidRDefault="00AC0832" w:rsidP="00C63D4C">
      <w:pPr>
        <w:pStyle w:val="Normal5"/>
      </w:pPr>
      <w:r>
        <w:t xml:space="preserve">Odluka o izdavanju obveznica RH uz plasman na domaćem tržištu kapitala u kunskoj protuvrijednosti iznosa od 600.000.000,00 EUR-a (NN 85/11);   </w:t>
      </w:r>
    </w:p>
    <w:p w:rsidR="00AC0832" w:rsidRDefault="00AC0832" w:rsidP="00C63D4C">
      <w:pPr>
        <w:pStyle w:val="Normal5"/>
      </w:pPr>
      <w:r>
        <w:t xml:space="preserve">Odluka o zaduživanju RH deviznim kreditom sindiciranim kod domaćih banaka u iznosu od EUR 500.000.000,00 (NN 39/05);  </w:t>
      </w:r>
    </w:p>
    <w:p w:rsidR="00AC0832" w:rsidRDefault="00AC0832" w:rsidP="00C63D4C">
      <w:pPr>
        <w:pStyle w:val="Normal5"/>
      </w:pPr>
      <w:r>
        <w:t xml:space="preserve">Odluka o zaduživanju RH deviznim kreditom sindiciranim kod domaćih banaka u iznosu od EUR 760.000.000,00 (NN 59/08);  </w:t>
      </w:r>
    </w:p>
    <w:p w:rsidR="00AC0832" w:rsidRDefault="00AC0832" w:rsidP="00C63D4C">
      <w:pPr>
        <w:pStyle w:val="Normal5"/>
      </w:pPr>
      <w:r>
        <w:t xml:space="preserve">Odluka o zaduživanju RH deviznim kreditom sindiciranim kod domaćih banaka u iznosu od EUR 750.000.000,00 (NN 18/09);  </w:t>
      </w:r>
    </w:p>
    <w:p w:rsidR="00AC0832" w:rsidRDefault="00AC0832" w:rsidP="00C63D4C">
      <w:pPr>
        <w:pStyle w:val="Normal5"/>
      </w:pPr>
      <w:r>
        <w:t xml:space="preserve">Odluka o izdavanju obveznica RH uz plasman na domaćem tržištu kapitala u iznosu  od 2.000.000.000,00 KN   </w:t>
      </w:r>
    </w:p>
    <w:p w:rsidR="00AC0832" w:rsidRDefault="00AC0832" w:rsidP="00C63D4C">
      <w:pPr>
        <w:pStyle w:val="Normal5"/>
      </w:pPr>
      <w:r>
        <w:t xml:space="preserve">Odluka o izdavanju obveznica RH uz plasman na domaćem tržištu kapitala u kunskoj protuvrijednosti iznosa od 400.000.000,00 EUR-a  </w:t>
      </w:r>
    </w:p>
    <w:p w:rsidR="00AC0832" w:rsidRDefault="00AC0832" w:rsidP="00C63D4C">
      <w:pPr>
        <w:pStyle w:val="Normal5"/>
      </w:pPr>
      <w:r>
        <w:t xml:space="preserve">Ugovori o zajmu za sveučilišta u Rijeci, Osijeku, Zagrebu, Splitu, Dubrovniku i Mostaru, s Privrednom bankom, Zagreb, Zagrebačkom bankom,  Erste &amp; Steiermarkische bank, Rijeka, Slavonskom bankom, Osijek i HBOR-om za Mostar (Program pomoći BiH u sustavu znanosti, obrazovanja i športa) i  </w:t>
      </w:r>
    </w:p>
    <w:p w:rsidR="00AC0832" w:rsidRDefault="00AC0832" w:rsidP="00C63D4C">
      <w:pPr>
        <w:pStyle w:val="Normal5"/>
      </w:pPr>
      <w:r>
        <w:t>-</w:t>
      </w:r>
      <w:r>
        <w:tab/>
        <w:t>Zakon o izvršavanju Državnog proračuna RH.</w:t>
      </w:r>
    </w:p>
    <w:p w:rsidR="00AC0832" w:rsidRDefault="00AC0832" w:rsidP="00C63D4C">
      <w:pPr>
        <w:pStyle w:val="Heading7"/>
      </w:pPr>
      <w:r>
        <w:t>Cilj 1. Pravovremena otplata anuiteta po zaduživanju na domaćem tržištu kapitala</w:t>
      </w:r>
    </w:p>
    <w:p w:rsidR="00AC0832" w:rsidRDefault="00AC0832" w:rsidP="00C63D4C">
      <w:pPr>
        <w:pStyle w:val="Heading5"/>
      </w:pPr>
      <w:r>
        <w:t>4202 SERVISIRANJE VANJSKOG DUGA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4202-SERVISIRANJE VANJSKOG DUGA</w:t>
            </w:r>
          </w:p>
        </w:tc>
        <w:tc>
          <w:tcPr>
            <w:tcW w:w="2322" w:type="dxa"/>
          </w:tcPr>
          <w:p w:rsidR="00AC0832" w:rsidRDefault="00AC0832" w:rsidP="00A47D80">
            <w:pPr>
              <w:pStyle w:val="CellColumn"/>
            </w:pPr>
            <w:r>
              <w:t>4.346.390.381</w:t>
            </w:r>
          </w:p>
        </w:tc>
        <w:tc>
          <w:tcPr>
            <w:tcW w:w="2322" w:type="dxa"/>
          </w:tcPr>
          <w:p w:rsidR="00AC0832" w:rsidRDefault="00AC0832" w:rsidP="00A47D80">
            <w:pPr>
              <w:pStyle w:val="CellColumn"/>
            </w:pPr>
            <w:r>
              <w:t>4.479.908.855</w:t>
            </w:r>
          </w:p>
        </w:tc>
        <w:tc>
          <w:tcPr>
            <w:tcW w:w="2322" w:type="dxa"/>
          </w:tcPr>
          <w:p w:rsidR="00AC0832" w:rsidRDefault="00AC0832" w:rsidP="00A47D80">
            <w:pPr>
              <w:pStyle w:val="CellColumn"/>
            </w:pPr>
            <w:r>
              <w:t>103,1</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 xml:space="preserve">Rashodi i izdaci po ovoj osnovi odnose se za servisiranje obveza po izdanim obveznicama na međunarodnom financijskom tržištu, kao i za servisiranje obveza po zajmovima od međunarodnih financijskih institucija  za projekte iz djelokruga EBRD-a, IBRD-a, EIB-a, CEB-a EUROFIMA-e (za obnovu, rekonstrukciju  i izgradnju cesta, željeznica, reformu pravosuđa, zdravstveni sektor, obnovu i izgradnju škola, poljoprivredu, gospodarski oporavak područja posebne državne skrbi, hitne obnove prometa i razminiranja, zaštite od onečišćenja voda u priobalju, obnovu i zaštitu obalnih šuma).  </w:t>
      </w:r>
    </w:p>
    <w:p w:rsidR="00AC0832" w:rsidRDefault="00AC0832" w:rsidP="00C63D4C">
      <w:pPr>
        <w:pStyle w:val="Normal5"/>
      </w:pPr>
      <w:r>
        <w:t>U 2012. godini za servisiranje vanjskog duga odnosno za plaćanje glavnice i kamate po osnovi vanjskog duga utrošeno je 4.346.390.381 kuna, od čega se 2,8 milijarde kuna odnosi na plaćanje kamata po obveznicama izdanih u inozemstvu, a 1,1 milijarde  kuna na zajmove od međunarodnih financijskih organizacija.</w:t>
      </w:r>
    </w:p>
    <w:p w:rsidR="00AC0832" w:rsidRDefault="00AC0832" w:rsidP="00C63D4C">
      <w:pPr>
        <w:pStyle w:val="Heading6"/>
      </w:pPr>
      <w:r>
        <w:t>Zakonske i druge pravne osnove</w:t>
      </w:r>
    </w:p>
    <w:p w:rsidR="00AC0832" w:rsidRDefault="00AC0832" w:rsidP="00C63D4C">
      <w:pPr>
        <w:pStyle w:val="Normal5"/>
      </w:pPr>
      <w:r>
        <w:t xml:space="preserve">- Odluka o izdavanju euroobveznica RH u iznosu od EUR 750.000.000,00 (NN 20/01,NN 62/01);  </w:t>
      </w:r>
    </w:p>
    <w:p w:rsidR="00AC0832" w:rsidRDefault="00AC0832" w:rsidP="00C63D4C">
      <w:pPr>
        <w:pStyle w:val="Normal5"/>
      </w:pPr>
      <w:r>
        <w:t xml:space="preserve">- Odluka o izdavanju euroobveznica RH u iznosu od EUR 500.000.000,00 (NN 48/04);  </w:t>
      </w:r>
    </w:p>
    <w:p w:rsidR="00AC0832" w:rsidRDefault="00AC0832" w:rsidP="00C63D4C">
      <w:pPr>
        <w:pStyle w:val="Normal5"/>
      </w:pPr>
      <w:r>
        <w:t xml:space="preserve">- Odluka o izdavanju euroobveznica RH u iznosu od EUR 750.000.000,00 (NN 62/09)  </w:t>
      </w:r>
    </w:p>
    <w:p w:rsidR="00AC0832" w:rsidRDefault="00AC0832" w:rsidP="00C63D4C">
      <w:pPr>
        <w:pStyle w:val="Normal5"/>
      </w:pPr>
      <w:r>
        <w:t xml:space="preserve">- Odluka o izdavanju euroobveznica RH u iznosu od USD 1.500.000.000,00 (NN 132/09);  </w:t>
      </w:r>
    </w:p>
    <w:p w:rsidR="00AC0832" w:rsidRDefault="00AC0832" w:rsidP="00C63D4C">
      <w:pPr>
        <w:pStyle w:val="Normal5"/>
      </w:pPr>
      <w:r>
        <w:t xml:space="preserve">- Odluka o izdavanju euroobveznica RH u iznosu od USD 1.250.000.000,00 (NN 87/10);  </w:t>
      </w:r>
    </w:p>
    <w:p w:rsidR="00AC0832" w:rsidRDefault="00AC0832" w:rsidP="00C63D4C">
      <w:pPr>
        <w:pStyle w:val="Normal5"/>
      </w:pPr>
      <w:r>
        <w:t xml:space="preserve">- Odluka o izdavanju euroobveznica RH u iznosu od USD 1.500.000.000,00 (NN 35/11);  </w:t>
      </w:r>
    </w:p>
    <w:p w:rsidR="00AC0832" w:rsidRDefault="00AC0832" w:rsidP="00C63D4C">
      <w:pPr>
        <w:pStyle w:val="Normal5"/>
      </w:pPr>
      <w:r>
        <w:t xml:space="preserve">- Odluka o izdavanju euroobveznica RH u iznosu od EUR 750.000.000,00 (NN 77/11);  </w:t>
      </w:r>
    </w:p>
    <w:p w:rsidR="00AC0832" w:rsidRDefault="00AC0832" w:rsidP="00C63D4C">
      <w:pPr>
        <w:pStyle w:val="Normal5"/>
      </w:pPr>
      <w:r>
        <w:t xml:space="preserve">- Odluka o izdavanju euroobveznica RH u iznosu od USD 1.500.000.000,00 (NN 49/12 ) ; </w:t>
      </w:r>
    </w:p>
    <w:p w:rsidR="00AC0832" w:rsidRDefault="00AC0832" w:rsidP="00C63D4C">
      <w:pPr>
        <w:pStyle w:val="Normal5"/>
      </w:pPr>
      <w:r>
        <w:t xml:space="preserve">-Zakon o kreditnim poslovima s inozemstvom (NN 43/96);  </w:t>
      </w:r>
    </w:p>
    <w:p w:rsidR="00AC0832" w:rsidRDefault="00AC0832" w:rsidP="00C63D4C">
      <w:pPr>
        <w:pStyle w:val="Normal5"/>
      </w:pPr>
      <w:r>
        <w:t xml:space="preserve">- Zakon o potvrđivanju okvirnog ugovora o zajmu između RH i Razvojne banke Zakon o potvrđivanju (ratifikaciji) Sporazuma o garanciji između RH i Međunarodne banke za obnovu i razvoj i Sporazuma o preuzimanju zajma između RH i Međunarodne banke (NN MU 7/94);  </w:t>
      </w:r>
    </w:p>
    <w:p w:rsidR="00AC0832" w:rsidRDefault="00AC0832" w:rsidP="00C63D4C">
      <w:pPr>
        <w:pStyle w:val="Normal5"/>
      </w:pPr>
      <w:r>
        <w:t xml:space="preserve">- Zakon o potvrđivanju (ratifikaciji) Sporazuma o zajmu za obnovu sklopljenog između RH i Međunarodne banke za obnovu i razvoj (NN MU 7/94);  </w:t>
      </w:r>
    </w:p>
    <w:p w:rsidR="00AC0832" w:rsidRDefault="00AC0832" w:rsidP="00C63D4C">
      <w:pPr>
        <w:pStyle w:val="Normal5"/>
      </w:pPr>
      <w:r>
        <w:t xml:space="preserve">- Zakon o potvrđivanju Sporazuma o zajmu za projekt sustava zračne plovidbe, između RH i Europske banke za obnovu i razvoj (NN MU 13/94);  </w:t>
      </w:r>
    </w:p>
    <w:p w:rsidR="00AC0832" w:rsidRDefault="00AC0832" w:rsidP="00C63D4C">
      <w:pPr>
        <w:pStyle w:val="Normal5"/>
      </w:pPr>
      <w:r>
        <w:t xml:space="preserve">- Zakon o potvrđivanju Sporazuma o zajmu za projekt obnove cesta, između RH i Europske banke za obnovu i razvoj, sklopljen 17.01.1995. Godine (NN MU 6/95);   </w:t>
      </w:r>
    </w:p>
    <w:p w:rsidR="00AC0832" w:rsidRDefault="00AC0832" w:rsidP="00C63D4C">
      <w:pPr>
        <w:pStyle w:val="Normal5"/>
      </w:pPr>
      <w:r>
        <w:t xml:space="preserve">- Zakon o potvrđivanju ugovora o kreditu za projekt u zdravstvu, između RH i Međunarodne banke za obnovu i razvoj, s ugovorom o projektu, između Međunarodne banke za obnovu i razvoj i Hrvatskog zavoda za zdravstveno osiguranje (NN MU 7/95);  </w:t>
      </w:r>
    </w:p>
    <w:p w:rsidR="00AC0832" w:rsidRDefault="00AC0832" w:rsidP="00C63D4C">
      <w:pPr>
        <w:pStyle w:val="Normal5"/>
      </w:pPr>
      <w:r>
        <w:t xml:space="preserve">- Zakon o potvrđivanju Sporazuma o zajmu za projekt cestovnog sektora, između RH i Međunarodne banke za obnovu i razvoj (NN MU8/95);   </w:t>
      </w:r>
    </w:p>
    <w:p w:rsidR="00AC0832" w:rsidRDefault="00AC0832" w:rsidP="00C63D4C">
      <w:pPr>
        <w:pStyle w:val="Normal5"/>
      </w:pPr>
      <w:r>
        <w:t xml:space="preserve">- Zakon o potvrđivanju sporazuma o zajmu za projekt tehničke pomoći, između RH i Međunarodne banke za obnovu i razvoj (NN MU 8/96);  </w:t>
      </w:r>
    </w:p>
    <w:p w:rsidR="00AC0832" w:rsidRDefault="00AC0832" w:rsidP="00C63D4C">
      <w:pPr>
        <w:pStyle w:val="Normal5"/>
      </w:pPr>
      <w:r>
        <w:t xml:space="preserve">- Zakon o potvrđivanju sporazuma o zajmu za projekt razvoja tržišta kapitala, između RH i Međunarodne banke za obnovu i razvoj (NN MU 9/96),  </w:t>
      </w:r>
    </w:p>
    <w:p w:rsidR="00AC0832" w:rsidRDefault="00AC0832" w:rsidP="00C63D4C">
      <w:pPr>
        <w:pStyle w:val="Normal5"/>
      </w:pPr>
      <w:r>
        <w:t xml:space="preserve">- Zakon o potvrđivanju sporazuma o zajmu za projekt razvoja službi za potporu obiteljskih poljoprivrednih gospodarstava, između RH i Međunarodne banke za obnovu i razvoj (NN MU 9/96);  </w:t>
      </w:r>
    </w:p>
    <w:p w:rsidR="00AC0832" w:rsidRDefault="00AC0832" w:rsidP="00C63D4C">
      <w:pPr>
        <w:pStyle w:val="Normal5"/>
      </w:pPr>
      <w:r>
        <w:t xml:space="preserve">- Zakon o potvrđivanju sporazuma o zajmu za projekt hitne obnove prometa i razminiranje, između RH i Međunarodne banke za obnovu i razvoj (NN MU 3/97);  </w:t>
      </w:r>
    </w:p>
    <w:p w:rsidR="00AC0832" w:rsidRDefault="00AC0832" w:rsidP="00C63D4C">
      <w:pPr>
        <w:pStyle w:val="Normal5"/>
      </w:pPr>
      <w:r>
        <w:t xml:space="preserve">- Zakon o potvrđivanju Ugovora o jamstvu RH za "Program investiranja u lokalnu infrastrukturu i zaštitu okoliša" između RH i Europske banke za obnovu i razvoj (NN MU 4/97);  </w:t>
      </w:r>
    </w:p>
    <w:p w:rsidR="00AC0832" w:rsidRDefault="00AC0832" w:rsidP="00C63D4C">
      <w:pPr>
        <w:pStyle w:val="Normal5"/>
      </w:pPr>
      <w:r>
        <w:t xml:space="preserve">- Zakon o potvrđivanju Ugovora o zajmu između RH i Međunarodne banke za obnovu i razvoj za projekt obnove i zaštite obalnih šuma, s projektnim ugovorom "Obnova i zaštita obalnih šuma", između Hrvatskih šuma i Međunarodne banke za obnovu i razvoj (NN MU 8/97);  </w:t>
      </w:r>
    </w:p>
    <w:p w:rsidR="00AC0832" w:rsidRDefault="00AC0832" w:rsidP="00C63D4C">
      <w:pPr>
        <w:pStyle w:val="Normal5"/>
      </w:pPr>
      <w:r>
        <w:t xml:space="preserve">- Zakon o potvrđivanju ugovora o zajmu za prilagodbu financijskog sektora i poduzeća između RH i Međunarodne banke za obnovu i razvoj (NN MU 17/97);  </w:t>
      </w:r>
    </w:p>
    <w:p w:rsidR="00AC0832" w:rsidRDefault="00AC0832" w:rsidP="00C63D4C">
      <w:pPr>
        <w:pStyle w:val="Normal5"/>
      </w:pPr>
      <w:r>
        <w:t xml:space="preserve">- Zakon o potvrđivanju ugovora o jamstvu za projekt oporavka investicija, između RH i Međunarodne banke za obnovu i razvoj (NN MU 3/98);  </w:t>
      </w:r>
    </w:p>
    <w:p w:rsidR="00AC0832" w:rsidRDefault="00AC0832" w:rsidP="00C63D4C">
      <w:pPr>
        <w:pStyle w:val="Normal5"/>
      </w:pPr>
      <w:r>
        <w:t xml:space="preserve">- Zakon o potvrđivanju sporazuma o zajmu za projekt veletržnice između RH i Europske banke za obnovu i razvoj (NN MU 7/98);  </w:t>
      </w:r>
    </w:p>
    <w:p w:rsidR="00AC0832" w:rsidRDefault="00AC0832" w:rsidP="00C63D4C">
      <w:pPr>
        <w:pStyle w:val="Normal5"/>
      </w:pPr>
      <w:r>
        <w:t xml:space="preserve">- Zakon o potvrđivanju Okvirnog ugovora o zajmu između Fonda Vijeća Europe za socijalni razvoj i RH za projekt 1279 (1998) - obnova škola u Istočnoj Slavoniji (NN MU 13/98);   </w:t>
      </w:r>
    </w:p>
    <w:p w:rsidR="00AC0832" w:rsidRDefault="00AC0832" w:rsidP="00C63D4C">
      <w:pPr>
        <w:pStyle w:val="Normal5"/>
      </w:pPr>
      <w:r>
        <w:t xml:space="preserve">- Zakon o potvrđivanju Okvirnog ugovora o zajmu između Fonda Vijeća Europe za socijalni razvoj i RH za projekt 1278 (1998) - obnova zdravstvene infrastrukture u Istočnoj Slavoniji (NN MU13/98);  </w:t>
      </w:r>
    </w:p>
    <w:p w:rsidR="00AC0832" w:rsidRDefault="00AC0832" w:rsidP="00C63D4C">
      <w:pPr>
        <w:pStyle w:val="Normal5"/>
      </w:pPr>
      <w:r>
        <w:t xml:space="preserve">- Zakon o potvrđivanju ugovora o zajmu između RH i Međunarodne banke za obnovu i razvoj za projekt obnove dijela područja (Istočne Slavonije, Baranje i Zapadnog Srijema) (NN MU 15/98);  </w:t>
      </w:r>
    </w:p>
    <w:p w:rsidR="00AC0832" w:rsidRDefault="00AC0832" w:rsidP="00C63D4C">
      <w:pPr>
        <w:pStyle w:val="Normal5"/>
      </w:pPr>
      <w:r>
        <w:t xml:space="preserve">- Zakon o potvrđivanju ugovora o jamstvu između RH i Europske banke za obnovu i razvoj za projekt obnove željezničkih lokomotiva (NN MU 4/99);  </w:t>
      </w:r>
    </w:p>
    <w:p w:rsidR="00AC0832" w:rsidRDefault="00AC0832" w:rsidP="00C63D4C">
      <w:pPr>
        <w:pStyle w:val="Normal5"/>
      </w:pPr>
      <w:r>
        <w:t xml:space="preserve">- Zakon o potvrđivanju ugovora o zajmu između RH i Međunarodne banke za obnovu i razvoj za projekt osuvremenjivanja i restrukturiranja željeznica (NN MU 4/99);   </w:t>
      </w:r>
    </w:p>
    <w:p w:rsidR="00AC0832" w:rsidRDefault="00AC0832" w:rsidP="00C63D4C">
      <w:pPr>
        <w:pStyle w:val="Normal5"/>
      </w:pPr>
      <w:r>
        <w:t xml:space="preserve">- Zakon o potvrđivanju Ugovora o zajmu između RH i Međunarodne banke za obnovu i razvoj za projekt tehničke pomoći u svezi s institucionalnim i zakonodavnim promjenama radi razvoja privatnog sektora (NN MU 8/99);  </w:t>
      </w:r>
    </w:p>
    <w:p w:rsidR="00AC0832" w:rsidRDefault="00AC0832" w:rsidP="00C63D4C">
      <w:pPr>
        <w:pStyle w:val="Normal5"/>
      </w:pPr>
      <w:r>
        <w:t xml:space="preserve">- Odluka o zaduživanju RH kod Chase Manhattan Bank (NN MU 61/99, 65/99);  </w:t>
      </w:r>
    </w:p>
    <w:p w:rsidR="00AC0832" w:rsidRDefault="00AC0832" w:rsidP="00C63D4C">
      <w:pPr>
        <w:pStyle w:val="Normal5"/>
      </w:pPr>
      <w:r>
        <w:t xml:space="preserve">- Zakon o potvrđivanju okvirnog ugovora o zajmu između RH i Razvojne banke Vijeća Europe za projekt povratka prognanika i izbjeglica u RH - obnova i stambeno zbrinjavanje (NN MU 7/01);   </w:t>
      </w:r>
    </w:p>
    <w:p w:rsidR="00AC0832" w:rsidRDefault="00AC0832" w:rsidP="00C63D4C">
      <w:pPr>
        <w:pStyle w:val="Normal5"/>
      </w:pPr>
      <w:r>
        <w:t xml:space="preserve">- Zakon o potvrđivanju - Ugovora o zajmu između RH i Međunarodne banke za obnovu i razvoj za projekt tehničke pomoći u vezi sa stečajevima (NN MU 14/01);   </w:t>
      </w:r>
    </w:p>
    <w:p w:rsidR="00AC0832" w:rsidRDefault="00AC0832" w:rsidP="00C63D4C">
      <w:pPr>
        <w:pStyle w:val="Normal5"/>
      </w:pPr>
      <w:r>
        <w:t xml:space="preserve">- Zakon o potvrđivanju Okvirnog ugovora o zajmu 1379 (2000) za obnovu franjevačkog samostana Male braće u Dubrovniku, između Razvojne banke Vijeća Europe i RH (NN MU 14/01);  </w:t>
      </w:r>
    </w:p>
    <w:p w:rsidR="00AC0832" w:rsidRDefault="00AC0832" w:rsidP="00C63D4C">
      <w:pPr>
        <w:pStyle w:val="Normal5"/>
      </w:pPr>
      <w:r>
        <w:t xml:space="preserve">- Zakon o potvrđivanju Ugovora o financiranju između Europske investicijske banke i Republike Hrvatske i HŽ-Hrvatskih željeznica, d.o.o. za obnovu željezničke pruge na V.c. koridoru (NN MU br. 2/02);   </w:t>
      </w:r>
    </w:p>
    <w:p w:rsidR="00AC0832" w:rsidRDefault="00AC0832" w:rsidP="00C63D4C">
      <w:pPr>
        <w:pStyle w:val="Normal5"/>
      </w:pPr>
      <w:r>
        <w:t xml:space="preserve">- Zakon o potvrđivanju Ugovora o zajmu za strukturnu prilagodbu, između Republike Hrvatske i Međunarodne banke za obnovu i razvoj (NN MU br. 2/02);   </w:t>
      </w:r>
    </w:p>
    <w:p w:rsidR="00AC0832" w:rsidRDefault="00AC0832" w:rsidP="00C63D4C">
      <w:pPr>
        <w:pStyle w:val="Normal5"/>
      </w:pPr>
      <w:r>
        <w:t xml:space="preserve">- Zakon o potvrđivanju Okvirnog ugovora o zajmu 1351 (1999) za obnovu zdravstvene infrastrukture, između Razvojne banke Vijeća Europe i Republike Hrvatske (NN MU br. 9/02);  </w:t>
      </w:r>
    </w:p>
    <w:p w:rsidR="00AC0832" w:rsidRDefault="00AC0832" w:rsidP="00C63D4C">
      <w:pPr>
        <w:pStyle w:val="Normal5"/>
      </w:pPr>
      <w:r>
        <w:t xml:space="preserve">- Zakon o potvrđivanju Okvirnog ugovora o zajmu 1419 (2001) za obnovu škole narodnog zdravlja „Andrija Štampar“ u Zagrebu i Međunarodnog centra za zdravstveni management „Andrija Štampar“ u Dubrovniku, između Razvojne banke Vijeća Europe i Republike Hrvatske (NN MU br. 10/02);  </w:t>
      </w:r>
    </w:p>
    <w:p w:rsidR="00AC0832" w:rsidRDefault="00AC0832" w:rsidP="00C63D4C">
      <w:pPr>
        <w:pStyle w:val="Normal5"/>
      </w:pPr>
      <w:r>
        <w:t xml:space="preserve">- Zakon o potvrđivanju Ugovora o zajmu između Republike Hrvatske i Međunarodne banke za obnovu i razvoj za Projekt ulaganja u mirovinski sustav (NN-MU br.2/2003);   </w:t>
      </w:r>
    </w:p>
    <w:p w:rsidR="00AC0832" w:rsidRDefault="00AC0832" w:rsidP="00C63D4C">
      <w:pPr>
        <w:pStyle w:val="Normal5"/>
      </w:pPr>
      <w:r>
        <w:t xml:space="preserve">-Zakon o potvrđivanju Ugovora o zajmu između Republike Hrvatske i Međunarodne banke za obnovu i razvoj za Projekt sređivanja zemljišnih knjiga i katastra (NN-MU br.2/2003);  </w:t>
      </w:r>
    </w:p>
    <w:p w:rsidR="00AC0832" w:rsidRDefault="00AC0832" w:rsidP="00C63D4C">
      <w:pPr>
        <w:pStyle w:val="Normal5"/>
      </w:pPr>
      <w:r>
        <w:t xml:space="preserve">- Zakon o potvrđivanju Ugovora o financiranju između Republike Hrvatske i Europske investicijske banke za projekt – Obnova komunalne infrastrukture na područjima od posebne državne skrbi (NN MU br. 16/03);  </w:t>
      </w:r>
    </w:p>
    <w:p w:rsidR="00AC0832" w:rsidRDefault="00AC0832" w:rsidP="00C63D4C">
      <w:pPr>
        <w:pStyle w:val="Normal5"/>
      </w:pPr>
      <w:r>
        <w:t xml:space="preserve">- Zakon o potvrđivanju Okvirnog ugovora o zajmu za projekt 1435 (2002) održivi povratak  prognanika i izbjeglica – povrat imovine i stambeno zbrinjavanje između Republike Hrvatske i Razvojne banke Vijeća Europe (NN MU br. 6/04);  </w:t>
      </w:r>
    </w:p>
    <w:p w:rsidR="00AC0832" w:rsidRDefault="00AC0832" w:rsidP="00C63D4C">
      <w:pPr>
        <w:pStyle w:val="Normal5"/>
      </w:pPr>
      <w:r>
        <w:t xml:space="preserve">- Ugovor o zajmu između Republike Hrvatske i Međunarodne banke za obnovu i razvoj za financiranje Projekta zaštite od onečišćenja voda u priobalnom području (NN – MU br. 11/04);  </w:t>
      </w:r>
    </w:p>
    <w:p w:rsidR="00AC0832" w:rsidRDefault="00AC0832" w:rsidP="00C63D4C">
      <w:pPr>
        <w:pStyle w:val="Normal5"/>
      </w:pPr>
      <w:r>
        <w:t xml:space="preserve">- Zakon o potvrđivanju Okvirnog ugovora o zajmu broj F/P 1456 (2003) za Projekt obnove i izgradnje školskih objekata u Republici Hrvatskoj, između Razvojne banke Vijeća Europe i Republike Hrvatske (NN MU br. 5/05);  </w:t>
      </w:r>
    </w:p>
    <w:p w:rsidR="00AC0832" w:rsidRDefault="00AC0832" w:rsidP="00C63D4C">
      <w:pPr>
        <w:pStyle w:val="Normal5"/>
      </w:pPr>
      <w:r>
        <w:t xml:space="preserve">- Zakon o potvrđivanju Okvirnog ugovora o zajmu broj F/P 1498 (2004) za Projekt izgradnje objekata komunalne i društvene infrastrukture na hrvatskim otocima, između Republike Hrvatske i Razvojne banke Vijeća Europe (NN MU br. 5/05);  </w:t>
      </w:r>
    </w:p>
    <w:p w:rsidR="00AC0832" w:rsidRDefault="00AC0832" w:rsidP="00C63D4C">
      <w:pPr>
        <w:pStyle w:val="Normal5"/>
      </w:pPr>
      <w:r>
        <w:t xml:space="preserve">- Zakon o potvrđivanju Ugovora o financiranju između Republike Hrvatske i Europske investicijske banke – Okvirni višesektorski zajam za komunalnu infrastrukturu za projekt „Integralni razvoj lokalne zajednice“ (NN MU br. 7/05);  </w:t>
      </w:r>
    </w:p>
    <w:p w:rsidR="00AC0832" w:rsidRDefault="00AC0832" w:rsidP="00C63D4C">
      <w:pPr>
        <w:pStyle w:val="Normal5"/>
      </w:pPr>
      <w:r>
        <w:t xml:space="preserve">- Programski zajam za prilagodbu (NN MU br. 12/05);  </w:t>
      </w:r>
    </w:p>
    <w:p w:rsidR="00AC0832" w:rsidRDefault="00AC0832" w:rsidP="00C63D4C">
      <w:pPr>
        <w:pStyle w:val="Normal5"/>
      </w:pPr>
      <w:r>
        <w:t xml:space="preserve">- Programski zajam za prilagodbu II (NN MU br. 7/07);  </w:t>
      </w:r>
    </w:p>
    <w:p w:rsidR="00AC0832" w:rsidRDefault="00AC0832" w:rsidP="00C63D4C">
      <w:pPr>
        <w:pStyle w:val="Normal5"/>
      </w:pPr>
      <w:r>
        <w:t xml:space="preserve">- Okvirni ugovor o zajmu broj:F/P 1576 (2006) W između Razvojne banke Vijeća Europe i Republike Hrvatske za Projekt financiranja zdravstvenih ustanova u Republici Hrvatskoj (NN MU br. 9/07);  </w:t>
      </w:r>
    </w:p>
    <w:p w:rsidR="00AC0832" w:rsidRDefault="00AC0832" w:rsidP="00C63D4C">
      <w:pPr>
        <w:pStyle w:val="Normal5"/>
      </w:pPr>
      <w:r>
        <w:t xml:space="preserve">- Zakon o potvrđivanju Ugovora o zajmu broj 7598 HR za Projekt unapređenja hitne medicinske pomoći i investicijskog planiranja u zdravstvu između Republike Hrvatske i Međunarodne banke za obnovu i razvoj (NN MU br. 12/08);  </w:t>
      </w:r>
    </w:p>
    <w:p w:rsidR="00AC0832" w:rsidRDefault="00AC0832" w:rsidP="00C63D4C">
      <w:pPr>
        <w:pStyle w:val="Normal5"/>
      </w:pPr>
      <w:r>
        <w:t xml:space="preserve">- Zakon o potvrđivanju Ugovora o zajmu između Republike Hrvatske i Međunarodne banke za obnovu i razvoj za Projekt zaštite od onečišćenja voda u priobalnom području 2 (NN MU br. 4/09);  </w:t>
      </w:r>
    </w:p>
    <w:p w:rsidR="00AC0832" w:rsidRDefault="00AC0832" w:rsidP="00C63D4C">
      <w:pPr>
        <w:pStyle w:val="Normal5"/>
      </w:pPr>
      <w:r>
        <w:t>- Zakon o izvršavanju Državnog proračuna RH za proračunsku godinu i Zakon o osiguranju (NN br 9/94 i 46/97i 151/05).</w:t>
      </w:r>
    </w:p>
    <w:p w:rsidR="00AC0832" w:rsidRDefault="00AC0832" w:rsidP="00C63D4C">
      <w:pPr>
        <w:pStyle w:val="Heading7"/>
      </w:pPr>
      <w:r>
        <w:t>Cilj 1. Pravovremena otplata anuiteta po zaduživanju iz vanjskih izvora sredstava</w:t>
      </w:r>
    </w:p>
    <w:p w:rsidR="00AC0832" w:rsidRDefault="00AC0832" w:rsidP="00C63D4C">
      <w:pPr>
        <w:pStyle w:val="Heading8"/>
        <w:jc w:val="left"/>
      </w:pPr>
      <w:r>
        <w:t>Opis provedbe cilja programa</w:t>
      </w:r>
    </w:p>
    <w:p w:rsidR="00AC0832" w:rsidRDefault="00AC0832" w:rsidP="00C63D4C">
      <w:pPr>
        <w:pStyle w:val="Normal6"/>
      </w:pPr>
      <w:r>
        <w:t>Pravovremeno i točno podmirivanje obveza proizašlih iz povlačenja zajmova i izdavanja vrijednosnih papira uz najniže moguće troškove,  u skladu je s prvim Općim ciljem iz Strategije Vladinih programa – Makroekonomska i gospodarska stabilnost te Posebnim ciljem 1.1. Učinkovitije upravljanje javnim financijama</w:t>
      </w:r>
    </w:p>
    <w:p w:rsidR="00AC0832" w:rsidRDefault="00AC0832" w:rsidP="00C63D4C">
      <w:pPr>
        <w:pStyle w:val="Heading5"/>
      </w:pPr>
      <w:r>
        <w:t>4301 PRORAČUNSKA ZALIHA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4301-PRORAČUNSKA ZALIHA</w:t>
            </w:r>
          </w:p>
        </w:tc>
        <w:tc>
          <w:tcPr>
            <w:tcW w:w="2322" w:type="dxa"/>
          </w:tcPr>
          <w:p w:rsidR="00AC0832" w:rsidRDefault="00AC0832" w:rsidP="00A47D80">
            <w:pPr>
              <w:pStyle w:val="CellColumn"/>
            </w:pPr>
            <w:r>
              <w:t>160.075.000</w:t>
            </w:r>
          </w:p>
        </w:tc>
        <w:tc>
          <w:tcPr>
            <w:tcW w:w="2322" w:type="dxa"/>
          </w:tcPr>
          <w:p w:rsidR="00AC0832" w:rsidRDefault="00AC0832" w:rsidP="00A47D80">
            <w:pPr>
              <w:pStyle w:val="CellColumn"/>
            </w:pPr>
            <w:r>
              <w:t>139.090.812</w:t>
            </w:r>
          </w:p>
        </w:tc>
        <w:tc>
          <w:tcPr>
            <w:tcW w:w="2322" w:type="dxa"/>
          </w:tcPr>
          <w:p w:rsidR="00AC0832" w:rsidRDefault="00AC0832" w:rsidP="00A47D80">
            <w:pPr>
              <w:pStyle w:val="CellColumn"/>
            </w:pPr>
            <w:r>
              <w:t>86,9</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 xml:space="preserve">Sredstva proračunske zalihe koriste se za nepredviđene namjene, za koje u proračunu nisu osigurana sredstva, ili za namjene za koje se tijekom godine pokaže da za njih nisu utvrđena dovoljna sredstva jer ih pri planiranju proračuna nije bilo moguće predvidjeti. Sredstva proračunske zalihe koriste se i za financiranje rashoda nastalih pri otklanjanju posljedica elementarnih nepogoda, epidemija, ekoloških nesreća ili izvanrednih događaja i ostalih nepredvidivih nesreća, te za druge nepredviđene rashode tijekom godine. </w:t>
      </w:r>
    </w:p>
    <w:p w:rsidR="00AC0832" w:rsidRDefault="00AC0832" w:rsidP="00C63D4C">
      <w:pPr>
        <w:pStyle w:val="Normal5"/>
      </w:pPr>
      <w:r>
        <w:t>O korištenju sredstava proračunske zalihe odlučuje Vlada, predsjednik Vlade, odnosno ministar financija do iznosa utvrđenog u zakonu o izvršavanju Državnog proračuna Republike Hrvatske za svaku proračunsku godinu. Ministar financija je obvezan svaki mjesec izvijestiti Vladu o korištenju proračunske zalihe.</w:t>
      </w:r>
    </w:p>
    <w:p w:rsidR="00AC0832" w:rsidRDefault="00AC0832" w:rsidP="00C63D4C">
      <w:pPr>
        <w:pStyle w:val="Heading6"/>
      </w:pPr>
      <w:r>
        <w:t>Zakonske i druge pravne osnove</w:t>
      </w:r>
    </w:p>
    <w:p w:rsidR="00AC0832" w:rsidRDefault="00AC0832" w:rsidP="00C63D4C">
      <w:pPr>
        <w:pStyle w:val="Normal5"/>
      </w:pPr>
      <w:r>
        <w:t xml:space="preserve">- Zakon o proračunu (Narodne novine broj 87/08 i 136/12) i </w:t>
      </w:r>
    </w:p>
    <w:p w:rsidR="00AC0832" w:rsidRDefault="00AC0832" w:rsidP="00C63D4C">
      <w:pPr>
        <w:pStyle w:val="Normal5"/>
      </w:pPr>
      <w:r>
        <w:t>- Zakon o izvršavanju Državnog proračuna Republike Hrvatske za 2012 (Narodne novine broj 24/12 i 132/12).</w:t>
      </w:r>
    </w:p>
    <w:p w:rsidR="00AC0832" w:rsidRDefault="00AC0832" w:rsidP="00C63D4C">
      <w:pPr>
        <w:pStyle w:val="Heading7"/>
      </w:pPr>
      <w:r>
        <w:t>Cilj 1. Osigurati sredstva za financiranje nepredviđenih namjena ili izvanrednih događaja</w:t>
      </w:r>
    </w:p>
    <w:p w:rsidR="00AC0832" w:rsidRDefault="00AC0832" w:rsidP="00C63D4C">
      <w:pPr>
        <w:pStyle w:val="Heading6"/>
      </w:pPr>
      <w:r>
        <w:t>A539019 PRORAČUNSKA ZALIHA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A539019-PRORAČUNSKA ZALIHA</w:t>
            </w:r>
          </w:p>
        </w:tc>
        <w:tc>
          <w:tcPr>
            <w:tcW w:w="2322" w:type="dxa"/>
          </w:tcPr>
          <w:p w:rsidR="00AC0832" w:rsidRDefault="00AC0832" w:rsidP="00A47D80">
            <w:pPr>
              <w:pStyle w:val="CellColumn"/>
            </w:pPr>
            <w:r>
              <w:t>160.075.000</w:t>
            </w:r>
          </w:p>
        </w:tc>
        <w:tc>
          <w:tcPr>
            <w:tcW w:w="2322" w:type="dxa"/>
          </w:tcPr>
          <w:p w:rsidR="00AC0832" w:rsidRDefault="00AC0832" w:rsidP="00A47D80">
            <w:pPr>
              <w:pStyle w:val="CellColumn"/>
            </w:pPr>
            <w:r>
              <w:t>139.090.812</w:t>
            </w:r>
          </w:p>
        </w:tc>
        <w:tc>
          <w:tcPr>
            <w:tcW w:w="2322" w:type="dxa"/>
          </w:tcPr>
          <w:p w:rsidR="00AC0832" w:rsidRDefault="00AC0832" w:rsidP="00A47D80">
            <w:pPr>
              <w:pStyle w:val="CellColumn"/>
            </w:pPr>
            <w:r>
              <w:t>86,9</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Proračunska zaliha u 2012. godini izvršena je u iznosu od 139.090.811,49 kuna. Temeljem rješenja Vlade Republike Hrvatske doznačeno je 44.081.307,50 kuna, za isplatu mjesečnih renti po sudskim presudama 2.112.301,02 kuna i za podmirenje naknada i troškova po sudskim presudama - sudske ovrhe 92.897.202,97 kuna.</w:t>
      </w:r>
    </w:p>
    <w:p w:rsidR="00AC0832" w:rsidRDefault="00AC0832" w:rsidP="00C63D4C">
      <w:pPr>
        <w:pStyle w:val="Heading5"/>
      </w:pPr>
      <w:r>
        <w:t>4303 OTKLANJANJE POSLJEDICA ELEMENTARNIH NEPOGODA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4303-OTKLANJANJE POSLJEDICA ELEMENTARNIH NEPOGODA</w:t>
            </w:r>
          </w:p>
        </w:tc>
        <w:tc>
          <w:tcPr>
            <w:tcW w:w="2322" w:type="dxa"/>
          </w:tcPr>
          <w:p w:rsidR="00AC0832" w:rsidRDefault="00AC0832" w:rsidP="00A47D80">
            <w:pPr>
              <w:pStyle w:val="CellColumn"/>
            </w:pPr>
            <w:r>
              <w:t>19.015.000</w:t>
            </w:r>
          </w:p>
        </w:tc>
        <w:tc>
          <w:tcPr>
            <w:tcW w:w="2322" w:type="dxa"/>
          </w:tcPr>
          <w:p w:rsidR="00AC0832" w:rsidRDefault="00AC0832" w:rsidP="00A47D80">
            <w:pPr>
              <w:pStyle w:val="CellColumn"/>
            </w:pPr>
            <w:r>
              <w:t>5.145.314</w:t>
            </w:r>
          </w:p>
        </w:tc>
        <w:tc>
          <w:tcPr>
            <w:tcW w:w="2322" w:type="dxa"/>
          </w:tcPr>
          <w:p w:rsidR="00AC0832" w:rsidRDefault="00AC0832" w:rsidP="00A47D80">
            <w:pPr>
              <w:pStyle w:val="CellColumn"/>
            </w:pPr>
            <w:r>
              <w:t>27,1</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 xml:space="preserve">Sustav pružanje pomoći vrši se na razini lokalne samouprave, područne (regionalne)  samouprave i na razini države, najčešće za direktne  štetu u poljoprivredi koje nisu osigurane kod osiguravateljskih  društava. </w:t>
      </w:r>
    </w:p>
    <w:p w:rsidR="00AC0832" w:rsidRDefault="00AC0832" w:rsidP="00C63D4C">
      <w:pPr>
        <w:pStyle w:val="Normal5"/>
      </w:pPr>
      <w:r>
        <w:t>Pravo na pomoć iz državnog proračuna imaju (fizičke osobe iznimno i pravne osobe) u jedinicama lokalne samouprave ako je potvrđena vrijednost ukupne izravne štete  veća od 20% vrijednosti proračuna jedinice lokalne samouprave za prethodnu godinu ili ako je nepogoda prouzročila umanjenje prinosa pojedine poljoprivredne kulture ili dugogodišnjeg nasada preko 30% po hektaru prema prethodnom trogodišnjem prosjeku u dotičnoj županiji.</w:t>
      </w:r>
    </w:p>
    <w:p w:rsidR="00AC0832" w:rsidRDefault="00AC0832" w:rsidP="00C63D4C">
      <w:pPr>
        <w:pStyle w:val="Heading6"/>
      </w:pPr>
      <w:r>
        <w:t>Zakonske i druge pravne osnove</w:t>
      </w:r>
    </w:p>
    <w:p w:rsidR="00AC0832" w:rsidRDefault="00AC0832" w:rsidP="00C63D4C">
      <w:pPr>
        <w:pStyle w:val="Normal5"/>
      </w:pPr>
      <w:r>
        <w:t>Zakon o zaštiti od elementarnih nepogoda («Narodne novine» broj 73/97), i dijelom i drugi zakoni kao što su: Zakon o zaštiti i spašavanju, Zakon o vodama, Zakon o sustavu obrane od tuče, Zakon o zaštiti od požara, Zakon o građenju, te niz popratnih podzakonskih akata.</w:t>
      </w:r>
    </w:p>
    <w:p w:rsidR="00AC0832" w:rsidRDefault="00AC0832" w:rsidP="00C63D4C">
      <w:pPr>
        <w:pStyle w:val="Heading7"/>
      </w:pPr>
      <w:r>
        <w:t>Cilj 1. Ublažiti i ukloniti izravne posljedice elementarnih nepogoda</w:t>
      </w:r>
    </w:p>
    <w:p w:rsidR="00AC0832" w:rsidRDefault="00AC0832" w:rsidP="00C63D4C">
      <w:pPr>
        <w:pStyle w:val="Heading8"/>
        <w:jc w:val="left"/>
      </w:pPr>
      <w:r>
        <w:t>Opis provedbe cilja programa</w:t>
      </w:r>
    </w:p>
    <w:p w:rsidR="00AC0832" w:rsidRDefault="00AC0832" w:rsidP="00C63D4C">
      <w:pPr>
        <w:pStyle w:val="Normal6"/>
      </w:pPr>
      <w:r>
        <w:t>Radi normalizacije života stanovništva, obnove pojedinih gospodarskih djelatnosti i/ili određenih javnih službi i u 2012. godini iz Državnog proračuna isplaćena su sredstva za uklanjanje posljedica elementarnih nepogoda.</w:t>
      </w:r>
    </w:p>
    <w:p w:rsidR="00AC0832" w:rsidRDefault="00AC0832" w:rsidP="00C63D4C">
      <w:pPr>
        <w:pStyle w:val="Heading6"/>
      </w:pPr>
      <w:r>
        <w:t>A539020 PROCJENA ŠTETA OD ELEMENTARNIH NEPOGODA - DRŽAVNO POVJERENSTVO ZA PROCJENU ŠTETA OD ELEMENTARNIH NEPOGODA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A539020-PROCJENA ŠTETA OD ELEMENTARNIH NEPOGODA - DRŽAVNO POVJERENSTVO ZA PROCJENU ŠTETA OD ELEMENTARNIH NEPOGODA</w:t>
            </w:r>
          </w:p>
        </w:tc>
        <w:tc>
          <w:tcPr>
            <w:tcW w:w="2322" w:type="dxa"/>
          </w:tcPr>
          <w:p w:rsidR="00AC0832" w:rsidRDefault="00AC0832" w:rsidP="00A47D80">
            <w:pPr>
              <w:pStyle w:val="CellColumn"/>
            </w:pPr>
            <w:r>
              <w:t>15.000</w:t>
            </w:r>
          </w:p>
        </w:tc>
        <w:tc>
          <w:tcPr>
            <w:tcW w:w="2322" w:type="dxa"/>
          </w:tcPr>
          <w:p w:rsidR="00AC0832" w:rsidRDefault="00AC0832" w:rsidP="00A47D80">
            <w:pPr>
              <w:pStyle w:val="CellColumn"/>
            </w:pPr>
            <w:r>
              <w:t>9.543</w:t>
            </w:r>
          </w:p>
        </w:tc>
        <w:tc>
          <w:tcPr>
            <w:tcW w:w="2322" w:type="dxa"/>
          </w:tcPr>
          <w:p w:rsidR="00AC0832" w:rsidRDefault="00AC0832" w:rsidP="00A47D80">
            <w:pPr>
              <w:pStyle w:val="CellColumn"/>
            </w:pPr>
            <w:r>
              <w:t>63,6</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 xml:space="preserve">Svaka županija ima Županijsko povjerenstvo za procjenu štete od elementarnih nepogoda koja prikupljaju i objedinjuju podatke svoje županije i dostavljaju ih Državnom povjerenstvu. </w:t>
      </w:r>
    </w:p>
    <w:p w:rsidR="00AC0832" w:rsidRDefault="00AC0832" w:rsidP="00C63D4C">
      <w:pPr>
        <w:pStyle w:val="Normal6"/>
      </w:pPr>
      <w:r>
        <w:t>Državno povjerenstvo za procjenu štete od elementarnih nepogoda je samostalno tijelo koje ima sjedište u Ministarstvu financija. Ima predsjednika i 10 članova koje imenuje Hrvatski sabor. Zadaća Povjerenstva je pružanje financijske i druge pomoći, fizičkim i pravnim osobama, za ublažavanje i uklanjanje posljedica elementarnih nepogoda. Pomoć se daje iz državnog proračuna i bespovratna je.</w:t>
      </w:r>
    </w:p>
    <w:p w:rsidR="00AC0832" w:rsidRDefault="00AC0832" w:rsidP="00C63D4C">
      <w:pPr>
        <w:pStyle w:val="Heading6"/>
      </w:pPr>
      <w:r>
        <w:t>A539025 NAKNADA ZA ŠTETE UZROKOVANE ELEMENTARNIM NEPOGODAMA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A539025-NAKNADA ZA ŠTETE UZROKOVANE ELEMENTARNIM NEPOGODAMA</w:t>
            </w:r>
          </w:p>
        </w:tc>
        <w:tc>
          <w:tcPr>
            <w:tcW w:w="2322" w:type="dxa"/>
          </w:tcPr>
          <w:p w:rsidR="00AC0832" w:rsidRDefault="00AC0832" w:rsidP="00A47D80">
            <w:pPr>
              <w:pStyle w:val="CellColumn"/>
            </w:pPr>
            <w:r>
              <w:t>19.000.000</w:t>
            </w:r>
          </w:p>
        </w:tc>
        <w:tc>
          <w:tcPr>
            <w:tcW w:w="2322" w:type="dxa"/>
          </w:tcPr>
          <w:p w:rsidR="00AC0832" w:rsidRDefault="00AC0832" w:rsidP="00A47D80">
            <w:pPr>
              <w:pStyle w:val="CellColumn"/>
            </w:pPr>
            <w:r>
              <w:t>5.135.771</w:t>
            </w:r>
          </w:p>
        </w:tc>
        <w:tc>
          <w:tcPr>
            <w:tcW w:w="2322" w:type="dxa"/>
          </w:tcPr>
          <w:p w:rsidR="00AC0832" w:rsidRDefault="00AC0832" w:rsidP="00A47D80">
            <w:pPr>
              <w:pStyle w:val="CellColumn"/>
            </w:pPr>
            <w:r>
              <w:t>27,0</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Pomoć za djelomičnu sanaciju štete dodijeljena je oštećenicima stradalim od poplave nastale u studenom 2012. godine, u iznosu od 4.500.000 kuna te razlike sredstava žurne pomoći za štete nastale u  2011. godine  u iznosu od  635.771 kuna.</w:t>
      </w:r>
    </w:p>
    <w:p w:rsidR="00AC0832" w:rsidRDefault="00AC0832" w:rsidP="00C63D4C">
      <w:pPr>
        <w:pStyle w:val="Heading2"/>
      </w:pPr>
      <w:r>
        <w:t>02510 Carinska uprava</w:t>
      </w:r>
    </w:p>
    <w:p w:rsidR="00AC0832" w:rsidRDefault="00AC0832" w:rsidP="00C63D4C">
      <w:pPr>
        <w:pStyle w:val="Heading4"/>
      </w:pPr>
      <w:r>
        <w:t>Uvod</w:t>
      </w:r>
    </w:p>
    <w:p w:rsidR="00AC0832" w:rsidRDefault="00AC0832" w:rsidP="00C63D4C">
      <w:pPr>
        <w:pStyle w:val="Normal3"/>
      </w:pPr>
      <w:r>
        <w:t xml:space="preserve">Carinska uprava je upravna organizacija u sastavu Ministarstva financija Republike Hrvatske koja provodi propisane mjere i radnje u svrhu osiguranja zaštite i sigurnosti tržišta i društva te stvaranja najpovoljnijih uvjeta za razvoj gospodarstva i olakšavanje trgovine, obavlja poslove utvrđivanja i naplate carine, trošarina, posebnih poreza, poreza na dodanu vrijednost i drugih propisanih javnih davanja, provodi mjere carinskog, poreznog i trošarinskog nadzora, obavlja carinske, porezne i trošarinske provjere u svrhu otkrivanja prekršajnih i drugih kaznenih dijela iz svoje nadležnosti i nadležnosti drugih ovlaštenih tijela kao i druge poslove koji su joj carinskim, poreznim, trošarinskim i drugim propisima stavljeni u nadležnost. </w:t>
      </w:r>
    </w:p>
    <w:p w:rsidR="00AC0832" w:rsidRDefault="00AC0832" w:rsidP="00C63D4C">
      <w:pPr>
        <w:pStyle w:val="Normal3"/>
      </w:pPr>
      <w:r>
        <w:t xml:space="preserve">U 2012. godini ukupno ostvareni prihodi koje prikuplja Carinska uprava iznosili su 40.457.961.747,00 kn  što čini 37 % ukupno ostvarenih prihoda Državnog proračuna.  </w:t>
      </w:r>
    </w:p>
    <w:p w:rsidR="00AC0832" w:rsidRDefault="00AC0832" w:rsidP="00C63D4C">
      <w:pPr>
        <w:pStyle w:val="Normal3"/>
      </w:pPr>
      <w:r>
        <w:t xml:space="preserve">Ostvareni prihodi u 2012. godini veći su od prihoda ostvarenih u istom razdoblju prethodne 2011. godine za 1.891.247.436,00 kn odnosno za 5%. </w:t>
      </w:r>
    </w:p>
    <w:p w:rsidR="00AC0832" w:rsidRDefault="00AC0832" w:rsidP="00C63D4C">
      <w:pPr>
        <w:pStyle w:val="Normal3"/>
      </w:pPr>
      <w:r>
        <w:t xml:space="preserve">U ukupno ostvarenim prihodima Carinske uprave u 2012. godine najveći udio čini porez na dodanu vrijednost 67,89% koji je ostvaren u iznosu 27.466.381.325,00 kn, zatim slijede trošarine i posebni porezi sa udjelom 27,70% ostvareni u iznosu 11.206.488.527,00 kn, carina i carinske pristojbe sa udjelom 4,33% ostvareni u iznosu 1.754.363.501,00 kn, te ostali javni prihodi sa udjelom 0,08% ostvareni u iznosu 30.728.393,00 kn. </w:t>
      </w:r>
    </w:p>
    <w:p w:rsidR="00AC0832" w:rsidRDefault="00AC0832" w:rsidP="00C63D4C">
      <w:pPr>
        <w:pStyle w:val="Normal3"/>
      </w:pPr>
      <w:r>
        <w:t xml:space="preserve">U okviru priprema Carinske službe za funkcioniranje na jedinstvenom carinskom području Carinske unije provode se aktivnosti radi usklađivanja carinskog i trošarinskog sustava Republike Hrvatske s odgovarajućim sustavima Europske unije, što podrazumijeva usklađivanje carinskih i trošarinskih propisa Republike Hrvatske sa pravnom stečevinom Europske unije te osiguranje njene učinkovite primjene i provedbe razvojem administrativnih i operativnih kapaciteta u skladu s najboljom carinskom praksom zemalja članica Europske unije kao i potpunu uspostavu i implementaciju svih specifičnih instituta i sustava, a osobito sustava informacijske tehnologije koji se kontinuirano razvijaju i kojima se ostvaruje koncept  tzv. „elektroničke carine“ (e-carine) čiji je cilj zamijeniti provođenje carinskih postupaka u pisanom obliku s elektroničkim procedurama na cjelokupnom području Europske unije, stvarajući tako uvjete za učinkovito i suvremeno carinsko poslovanje. </w:t>
      </w:r>
    </w:p>
    <w:p w:rsidR="00AC0832" w:rsidRDefault="00AC0832" w:rsidP="00C63D4C">
      <w:pPr>
        <w:pStyle w:val="Normal3"/>
      </w:pPr>
      <w:r>
        <w:t xml:space="preserve">Carinsku upravu činile su unutarnje ustrojstvene jedinice, Središnji ured sa sjedištem u Zagrebu, te 17 carinarnica do 01.07.2012. godine kada je izvršen preustroj Carinske uprave.  Preustrojem je sukladno Uredbi o izmjenama i dopunama Uredbe o unutarnjem ustrojstvu Ministarstva financija (NN 67/12) ustrojeno 8 unutarnjih ustrojstvenih jedinica i to Središnji ured sa sjedištem u Zagrebu te 7 carinarnica sa sjedištima u: Zagrebu, Rijeci, Splitu, Zadru, Pločama, Varaždinu i Osijeku.  </w:t>
      </w:r>
    </w:p>
    <w:p w:rsidR="00AC0832" w:rsidRDefault="00AC0832" w:rsidP="00C63D4C">
      <w:pPr>
        <w:pStyle w:val="Normal3"/>
      </w:pPr>
      <w:r>
        <w:t xml:space="preserve">Prema novoj organizacijskoj strukturi Središnji ured Carinske uprave se sastoji od 10 sektora, 26 službi  i  40 odjela, dok je na carinarnicama ustrojeno 36 službi, 56 odjela, 84 carinske ispostave te 119 carinskih odjeljaka. Ukupan broj unutarnjih ustrojstvenih jedinica Carinske uprave do 01.07.2012. godine iznosio je 554, a nakon 01.07.2012. ustrojeno je ukupno 378 unutarnjih ustrojstvenih jedinica. Iz navedenog je razvidno da je u svrhu racionalizacije, učinkovitijeg rade te kvalitetnije podjele poslova broj unutarnjih ustrojstvenih jedinica Carinske uprave sa novim preustrojem smanjen za 32 % u odnosu na prethodni ustroj. </w:t>
      </w:r>
    </w:p>
    <w:p w:rsidR="00AC0832" w:rsidRDefault="00AC0832" w:rsidP="00C63D4C">
      <w:pPr>
        <w:pStyle w:val="Normal3"/>
      </w:pPr>
      <w:r>
        <w:t xml:space="preserve">U Carinskoj upravi je na dan 31.12.2012. godine bilo zaposleno 3.021 službenika.  </w:t>
      </w:r>
    </w:p>
    <w:p w:rsidR="00AC0832" w:rsidRDefault="00AC0832" w:rsidP="00C63D4C">
      <w:pPr>
        <w:pStyle w:val="Normal3"/>
      </w:pPr>
      <w:r>
        <w:t xml:space="preserve">Carinskoj upravi su Državnim proračunom za 2012. godinu osigurana sredstva u visini 586.500.115,00 kn. Ostvareni su rashodi u visini 578.082.400,57 kn, uz postotak izvršenja proračuna 98,56 %. </w:t>
      </w:r>
    </w:p>
    <w:p w:rsidR="00AC0832" w:rsidRDefault="00AC0832" w:rsidP="00C63D4C">
      <w:pPr>
        <w:pStyle w:val="Normal3"/>
      </w:pPr>
      <w:r>
        <w:t xml:space="preserve">Rashodi su financirani  iz  izvora financiranja 11, 12, 14, 31, 43, 51 i 52 u slijedećim iznosima: </w:t>
      </w:r>
    </w:p>
    <w:p w:rsidR="00AC0832" w:rsidRDefault="00AC0832" w:rsidP="00C63D4C">
      <w:pPr>
        <w:pStyle w:val="Normal3"/>
      </w:pPr>
      <w:r>
        <w:t xml:space="preserve">-  11  Opći prihodi i primici u strukturi ukupno odobrenih sredstava za 2012. godinu čine 94,51%. Sredstva su planirana u iznosu 554.292.501,00 kn dok je izvršenje plana u iznosu 552.232.437,89 kn ili 99,63%.  </w:t>
      </w:r>
    </w:p>
    <w:p w:rsidR="00AC0832" w:rsidRDefault="00AC0832" w:rsidP="00C63D4C">
      <w:pPr>
        <w:pStyle w:val="Normal3"/>
      </w:pPr>
      <w:r>
        <w:t xml:space="preserve">-  12  Sredstva učešća za pomoći u strukturi ukupno odobrenih sredstava za 2012. godinu čine 0,38%. Sredstva su planirana u iznosu 2.208.255,00 kn dok je izvršenje plana u iznosu  2.160.043,28 kn ili 97,82%. Navedeno se većim dijelom odnosi na projekte IPA 2007. </w:t>
      </w:r>
    </w:p>
    <w:p w:rsidR="00AC0832" w:rsidRDefault="00AC0832" w:rsidP="00C63D4C">
      <w:pPr>
        <w:pStyle w:val="Normal3"/>
      </w:pPr>
      <w:r>
        <w:t xml:space="preserve">-  14  Neutrošena sredstva za financiranje prenesenih EU aktivnosti i projekata  u 2012. godini izvršena su u iznosu 259.113,20 kn, a odnosila su se na projekt IPA 2007. </w:t>
      </w:r>
    </w:p>
    <w:p w:rsidR="00AC0832" w:rsidRDefault="00AC0832" w:rsidP="00C63D4C">
      <w:pPr>
        <w:pStyle w:val="Normal3"/>
      </w:pPr>
      <w:r>
        <w:t xml:space="preserve">-  31  Vlastiti prihodi u strukturi ukupno odobrenih sredstava za 2012. godinu čine 0,00%. Sredstva su planirana u iznosu 102.000,00 kn dok je izvršenje plana u iznosu 92.538,58 kn ili 90,72%. Vlastiti prihodi ostvareni su s osnova poslovanja čajne kuhinje. </w:t>
      </w:r>
    </w:p>
    <w:p w:rsidR="00AC0832" w:rsidRDefault="00AC0832" w:rsidP="00C63D4C">
      <w:pPr>
        <w:pStyle w:val="Normal3"/>
      </w:pPr>
      <w:r>
        <w:t xml:space="preserve">       - 43 Ostali prihodi za posebne namjene ostvareni su temeljem prihoda od naknada za tiskanje markica za duhan, alkohol i kavu, prihoda od naknada za pristup polaganju stručnom ispitu kod komisije za carinskog zastupnika, prihoda od naknada za izdavanje iskaznice temeljem odobrenja za obavljanje poslova ovlaštenog carinskog zastupnika, prihoda s osnova obveznih doprinosa za I. i II. stup mirovinskog osiguranja osobama uključenim u stručno osposobljavanje za rad bez zasnivanja radnog odnosa. Navedeni prihodi u strukturi ukupno odobrenih sredstava za 2012. godine čine 3,04%. Sredstva su planirana u iznosu 17.810.977,00 kn dok izvršenje plana iznosi 15.857.813,20 kn ili 89,03%. </w:t>
      </w:r>
    </w:p>
    <w:p w:rsidR="00AC0832" w:rsidRDefault="00AC0832" w:rsidP="00C63D4C">
      <w:pPr>
        <w:pStyle w:val="Normal3"/>
      </w:pPr>
      <w:r>
        <w:t xml:space="preserve">-  51 Pomoći EU u strukturi ukupno odobrenih sredstava za 2012. godini čine 1,98%. Sredstva su planirana u iznosu 11.626.382,00 kn dok je izvršenje plana u iznosu 6.635.953,47 kn ili 57,08%. </w:t>
      </w:r>
    </w:p>
    <w:p w:rsidR="00AC0832" w:rsidRDefault="00AC0832" w:rsidP="00C63D4C">
      <w:pPr>
        <w:pStyle w:val="Normal3"/>
      </w:pPr>
      <w:r>
        <w:t xml:space="preserve">Izvršenje je manje od plana iz razloga što su za pojedine ugovore o nabavi opreme u sklopu projekta IPA 2007 utvrđeni iznosi penala iz razloga neizvršavanja obveza sukladno ugovorima, a na temelju kojih su umanjeni iznosi završnih plaćanja.  </w:t>
      </w:r>
    </w:p>
    <w:p w:rsidR="00AC0832" w:rsidRDefault="00AC0832" w:rsidP="00C63D4C">
      <w:pPr>
        <w:pStyle w:val="Normal3"/>
      </w:pPr>
      <w:r>
        <w:t xml:space="preserve"> -  52 Ostale pomoći u strukturi ukupno odobrenih sredstava za 2012. godinu čine 0,08%.  Sredstva su planirana u iznosu 460.000,00 kn te izvršenje plana iznosi 844.500,95 kn ili 183,59%. </w:t>
      </w:r>
    </w:p>
    <w:p w:rsidR="00AC0832" w:rsidRDefault="00AC0832" w:rsidP="00C63D4C">
      <w:pPr>
        <w:pStyle w:val="Normal3"/>
      </w:pPr>
      <w:r>
        <w:t>Sukladno članku 50. Zakona o proračunu (NN, br. 87/08) uplaćene i prenesene, a manje planirane pomoći, donacije, prihodi za posebne namjene i namjenski primici od zaduživanja mogu se izvršavati iznad iznosa utvrđenih u državnom proračunu, a do visine uplaćenih, odnosno prenesenih sredstava.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02510-Carinska uprava</w:t>
            </w:r>
          </w:p>
        </w:tc>
        <w:tc>
          <w:tcPr>
            <w:tcW w:w="2322" w:type="dxa"/>
          </w:tcPr>
          <w:p w:rsidR="00AC0832" w:rsidRDefault="00AC0832" w:rsidP="00A47D80">
            <w:pPr>
              <w:pStyle w:val="CellColumn"/>
            </w:pPr>
            <w:r>
              <w:t>586.500.115</w:t>
            </w:r>
          </w:p>
        </w:tc>
        <w:tc>
          <w:tcPr>
            <w:tcW w:w="2322" w:type="dxa"/>
          </w:tcPr>
          <w:p w:rsidR="00AC0832" w:rsidRDefault="00AC0832" w:rsidP="00A47D80">
            <w:pPr>
              <w:pStyle w:val="CellColumn"/>
            </w:pPr>
            <w:r>
              <w:t>578.082.401</w:t>
            </w:r>
          </w:p>
        </w:tc>
        <w:tc>
          <w:tcPr>
            <w:tcW w:w="2322" w:type="dxa"/>
          </w:tcPr>
          <w:p w:rsidR="00AC0832" w:rsidRDefault="00AC0832" w:rsidP="00A47D80">
            <w:pPr>
              <w:pStyle w:val="CellColumn"/>
            </w:pPr>
            <w:r>
              <w:t>98,6</w:t>
            </w:r>
          </w:p>
        </w:tc>
      </w:tr>
      <w:tr w:rsidR="00AC0832" w:rsidTr="00A47D80">
        <w:trPr>
          <w:jc w:val="center"/>
        </w:trPr>
        <w:tc>
          <w:tcPr>
            <w:tcW w:w="2322" w:type="dxa"/>
          </w:tcPr>
          <w:p w:rsidR="00AC0832" w:rsidRDefault="00AC0832" w:rsidP="00A47D80">
            <w:pPr>
              <w:pStyle w:val="CellColumnSmall"/>
            </w:pPr>
            <w:r>
              <w:t>2207-DJELATNOST CARINSKOG I POREZNOG SUSTAVA</w:t>
            </w:r>
          </w:p>
        </w:tc>
        <w:tc>
          <w:tcPr>
            <w:tcW w:w="2322" w:type="dxa"/>
          </w:tcPr>
          <w:p w:rsidR="00AC0832" w:rsidRDefault="00AC0832" w:rsidP="00A47D80">
            <w:pPr>
              <w:pStyle w:val="CellColumnSmall"/>
            </w:pPr>
            <w:r>
              <w:t>586.500.115</w:t>
            </w:r>
          </w:p>
        </w:tc>
        <w:tc>
          <w:tcPr>
            <w:tcW w:w="2322" w:type="dxa"/>
          </w:tcPr>
          <w:p w:rsidR="00AC0832" w:rsidRDefault="00AC0832" w:rsidP="00A47D80">
            <w:pPr>
              <w:pStyle w:val="CellColumnSmall"/>
            </w:pPr>
            <w:r>
              <w:t>578.082.401</w:t>
            </w:r>
          </w:p>
        </w:tc>
        <w:tc>
          <w:tcPr>
            <w:tcW w:w="2322" w:type="dxa"/>
          </w:tcPr>
          <w:p w:rsidR="00AC0832" w:rsidRDefault="00AC0832" w:rsidP="00A47D80">
            <w:pPr>
              <w:pStyle w:val="CellColumnSmall"/>
            </w:pPr>
            <w:r>
              <w:t>98,6</w:t>
            </w:r>
          </w:p>
        </w:tc>
      </w:tr>
    </w:tbl>
    <w:p w:rsidR="00AC0832" w:rsidRDefault="00AC0832" w:rsidP="00C63D4C">
      <w:pPr>
        <w:jc w:val="left"/>
      </w:pPr>
    </w:p>
    <w:p w:rsidR="00AC0832" w:rsidRDefault="00AC0832" w:rsidP="00C63D4C">
      <w:pPr>
        <w:pStyle w:val="Heading4"/>
      </w:pPr>
      <w:r>
        <w:t>OBRAZLOŽENJE PROGRAMA</w:t>
      </w:r>
    </w:p>
    <w:p w:rsidR="00AC0832" w:rsidRDefault="00AC0832" w:rsidP="00C63D4C">
      <w:pPr>
        <w:pStyle w:val="Heading5"/>
      </w:pPr>
      <w:r>
        <w:t>2207 DJELATNOST CARINSKOG I POREZNOG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2207-DJELATNOST CARINSKOG I POREZNOG SUSTAVA</w:t>
            </w:r>
          </w:p>
        </w:tc>
        <w:tc>
          <w:tcPr>
            <w:tcW w:w="2322" w:type="dxa"/>
          </w:tcPr>
          <w:p w:rsidR="00AC0832" w:rsidRDefault="00AC0832" w:rsidP="00A47D80">
            <w:pPr>
              <w:pStyle w:val="CellColumn"/>
            </w:pPr>
            <w:r>
              <w:t>586.500.115</w:t>
            </w:r>
          </w:p>
        </w:tc>
        <w:tc>
          <w:tcPr>
            <w:tcW w:w="2322" w:type="dxa"/>
          </w:tcPr>
          <w:p w:rsidR="00AC0832" w:rsidRDefault="00AC0832" w:rsidP="00A47D80">
            <w:pPr>
              <w:pStyle w:val="CellColumn"/>
            </w:pPr>
            <w:r>
              <w:t>578.082.401</w:t>
            </w:r>
          </w:p>
        </w:tc>
        <w:tc>
          <w:tcPr>
            <w:tcW w:w="2322" w:type="dxa"/>
          </w:tcPr>
          <w:p w:rsidR="00AC0832" w:rsidRDefault="00AC0832" w:rsidP="00A47D80">
            <w:pPr>
              <w:pStyle w:val="CellColumn"/>
            </w:pPr>
            <w:r>
              <w:t>98,6</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 xml:space="preserve">Carinska uprava kao upravna organizacija u sastavu Ministarstva financija usmjerena je na provedbu učinkovitih mjera carinskog nadzora u svrhu osiguranja zaštite i sigurnost tržišta i društva, efikasnog prikupljanja javnih prihoda, kao i stvaranje najpovoljnijih uvjeta za razvoj gospodarstva i olakšavanje trgovine. Nadalje, cilj Carinske uprave je jačanje administrativnih i operativnih kapaciteta za obavljanje zakonitog, učinkovitog, djelotvornog i ekonomičnog rada u skladu s pravnom stečevinom i najboljom praksom carinskih službi zemalja članica Europske unije (EU), te funkcioniranje kao takve u  Carinskoj uniji po ulasku Republike Hrvatske u Europsku uniju. </w:t>
      </w:r>
    </w:p>
    <w:p w:rsidR="00AC0832" w:rsidRDefault="00AC0832" w:rsidP="00C63D4C">
      <w:pPr>
        <w:pStyle w:val="Normal5"/>
      </w:pPr>
      <w:r>
        <w:t xml:space="preserve">Sastoji se od slijedećih aktivnosti i kapitalnih projekata: A540000 Administracija i upravljanje Carinske uprave, A540005 Održavanje informacijskog sustava Carinske uprave,  A540020 IPA 2010 Sudjelovanje u programu zajednice Customs 2013, A540024 IPA I 2008 Jačanje kapaciteta Carinske uprave u borbi protiv korupcije, A540025 IPA I 2009 Harmonizacija carinskog sustava upravljanja rizicima, A540029 IPA 2011 Sudjelovanje u programu zajednice Customs 2013, K310009 Modernizacija i opremanje Carinske uprave, K540026 IPA I 2007 Razvoj sustava carinskih laboratorija, K540027 IPA I 2007 Opremnje jedinica za borbu protiv krijumčarenja. </w:t>
      </w:r>
    </w:p>
    <w:p w:rsidR="00AC0832" w:rsidRDefault="00AC0832" w:rsidP="00C63D4C">
      <w:pPr>
        <w:pStyle w:val="Normal5"/>
      </w:pPr>
      <w:r>
        <w:t>Državnim proračunom za 2012. godinu osigurana su sredstva u visini 586.500.115,00 kn, te su ostvareni  rashodi u visini 578.082.400,57 kn. Postotak izvršenja proračuna iznosi 98,56%.</w:t>
      </w:r>
    </w:p>
    <w:p w:rsidR="00AC0832" w:rsidRDefault="00AC0832" w:rsidP="00C63D4C">
      <w:pPr>
        <w:pStyle w:val="Heading6"/>
      </w:pPr>
      <w:r>
        <w:t>Zakonske i druge pravne osnove</w:t>
      </w:r>
    </w:p>
    <w:p w:rsidR="00AC0832" w:rsidRDefault="00AC0832" w:rsidP="00C63D4C">
      <w:pPr>
        <w:pStyle w:val="Normal5"/>
      </w:pPr>
      <w:r>
        <w:t>Hrvatski carinski, trošarinski i porezni sustav temeljen je na slijedećim pravnim temeljima:  Zakonu o carinskoj službi, Carinskom zakonu i drugim carinskim propisima, Zakonu o carinskoj tarifi, Zakon o trošarinama i drugim trošarinskim propisima te propisima o posebnim porezima kao i nizu međunarodnih sporazuma, bilateralnih i multilateralnih.</w:t>
      </w:r>
    </w:p>
    <w:p w:rsidR="00AC0832" w:rsidRDefault="00AC0832" w:rsidP="00C63D4C">
      <w:pPr>
        <w:pStyle w:val="Heading7"/>
      </w:pPr>
      <w:r>
        <w:t>Cilj 1. Zaštita i sigurnost tržišta i društva kao i financijskih interesa u području carina i  trošarina te olakšavanje trgovine</w:t>
      </w:r>
    </w:p>
    <w:p w:rsidR="00AC0832" w:rsidRDefault="00AC0832" w:rsidP="00C63D4C">
      <w:pPr>
        <w:pStyle w:val="Heading8"/>
        <w:jc w:val="left"/>
      </w:pPr>
      <w:r>
        <w:t>Opis provedbe cilja programa</w:t>
      </w:r>
    </w:p>
    <w:p w:rsidR="00AC0832" w:rsidRDefault="00AC0832" w:rsidP="00C63D4C">
      <w:pPr>
        <w:pStyle w:val="Normal6"/>
      </w:pPr>
      <w:r>
        <w:t xml:space="preserve">Carinska uprava je javnopravno i porezno tijelo koje se po svim obilježjima svoje pravne i ustrojstvene prirode nalazi u položaju koji omogućava da svojim djelovanjem utječe na sigurnost prekograničnog prometa roba i općenito globalnog lanca nabave, pridonosi društveno-gospodarskom razvitku kroz naplatu javnih davanja te ima značajnu ulogu u olakšavanju trgovine. </w:t>
      </w:r>
    </w:p>
    <w:p w:rsidR="00AC0832" w:rsidRDefault="00AC0832" w:rsidP="00C63D4C">
      <w:pPr>
        <w:pStyle w:val="Normal6"/>
      </w:pPr>
      <w:r>
        <w:t xml:space="preserve">U okviru priprema Carinske službe za pristupanje Carinskoj uniji Europske unije provode se aktivnosti radi usklađivanja carinskog i trošarinskog sustava Republike Hrvatske s odgovarajućim sustavima Europske unije, što podrazumijeva usklađivanje carinskih i trošarinskih propisa Republike Hrvatske sa pravnom stečevinom Europske unije te osiguranje njene učinkovite primjene i provedbe razvojem administrativnih i operativnih kapaciteta u skladu s najboljom carinskom praksom zemalja članica Europske unije kao i potpunu uspostavu i implementaciju svih specifičnih instituta i sustava srodnih institutima i sustavima Europske unije.  </w:t>
      </w:r>
    </w:p>
    <w:p w:rsidR="00AC0832" w:rsidRDefault="00AC0832" w:rsidP="00C63D4C">
      <w:pPr>
        <w:pStyle w:val="Normal6"/>
      </w:pPr>
      <w:r>
        <w:t xml:space="preserve">U tom kontekstu poduzimane su radnje i aktivnosti vezane uz pristupne pregovore Europskoj uniji u poglavljima: 1. Sloboda kretanja roba, 7. Pravo intelektualnog vlasništva, 16. Oporezivanje, 18. Statistika, 24. Pravda, sloboda i sigurnost, 29. Carinska unija, 30. Vanjski odnosi, 32. Financijski nadzor i 33. Financijske i proračunske odredbe.  </w:t>
      </w:r>
    </w:p>
    <w:p w:rsidR="00AC0832" w:rsidRDefault="00AC0832" w:rsidP="00C63D4C">
      <w:pPr>
        <w:pStyle w:val="Normal6"/>
      </w:pPr>
      <w:r>
        <w:t xml:space="preserve">Pripremane su stručne podloge za sklapanje ugovora sa stranim carinskim službama o međusobnoj pomoći i suradnji te organizirani pregovori o ugovorima i provedbi zakonske procedure glede njihova stupanja na snagu. </w:t>
      </w:r>
    </w:p>
    <w:p w:rsidR="00AC0832" w:rsidRDefault="00AC0832" w:rsidP="00C63D4C">
      <w:pPr>
        <w:pStyle w:val="Normal6"/>
      </w:pPr>
      <w:r>
        <w:t xml:space="preserve">Provođeno je koordiniranje sudjelovanja Carinske uprave u aktivnostima koje provodi Svjetska carinska organizacija (WCO) kroz praćenje aktivnosti, odluka i preporuka WCO; izrada odgovora na razne upitnike WCO; distribuiranje podnesaka WCO prema stručnim službama i praćenje i koordinacija njihove provedbe. </w:t>
      </w:r>
    </w:p>
    <w:p w:rsidR="00AC0832" w:rsidRDefault="00AC0832" w:rsidP="00C63D4C">
      <w:pPr>
        <w:pStyle w:val="Normal6"/>
      </w:pPr>
      <w:r>
        <w:t xml:space="preserve">Redovito se provodila suradnja s drugim tijelima državne uprave, stranim veleposlanstvima, stranim carinskim upravama i međunarodnim organizacijama koje se bave carinskim pitanjima poput organizacije sudjelovanja na godišnjem sastanku šefova carina zemalja Kvadrilaterale; organizacije biletaralnog sastanka s visokim izaslanstvom Carine Slovenije; organizacije sastanka ravnatelja carinskih službi Hrvatske, Bosne i Hercegovine, Crne Gore i Srbije; organizacije sudjelovanja na sastancima na visokoj razini. </w:t>
      </w:r>
    </w:p>
    <w:p w:rsidR="00AC0832" w:rsidRDefault="00AC0832" w:rsidP="00C63D4C">
      <w:pPr>
        <w:pStyle w:val="Normal6"/>
      </w:pPr>
      <w:r>
        <w:t xml:space="preserve">Obavljane su aktivnosti vezane uz izradu projektne dokumentacije, koordinaciju i nadzor provedbe projekata kao i pripremu i provedbu natječajne i procedure ugovaranja za projekte pretpristupne pomoći Europske unije. U tom kontekstu vršena je koordinacija pripreme i provedbe slijedećih projekata: IPA 2007 Razvoj carinskog laboratorija – twinning i nabava opreme, IPA 2007 Nabava opreme za mobilne jedinice za suzbijanje krijumčarenja, IPA 2009 FPP RAC Usklađivanje carinskog sustava analize rizika sa standardima i najboljom praksom Europske unije, IPA 2010 Integrirano upravljanje granicama, IPA 2011 Usklađivanje sustava naknadnih kontrola sa standardima i najboljom praksom EU, IPA 2012 Nabava IT opreme za Carinsku upravu; izvršena je izrada dva Izvješća o provedbi decentraliziranih EU projekata (IPA, Phare) koji se razmatraju na polugodišnjim sastancima Sektorskog nadzornog upravljačkog odbora (SMSC) i izrada godišnje Izjave o jamstvu za komponentu I. IPA programa u djelokrugu Carinske uprave. </w:t>
      </w:r>
    </w:p>
    <w:p w:rsidR="00AC0832" w:rsidRDefault="00AC0832" w:rsidP="00C63D4C">
      <w:pPr>
        <w:pStyle w:val="Normal6"/>
      </w:pPr>
      <w:r>
        <w:t xml:space="preserve">Ostvarena je suradnja s međunarodnim institucijama u svrhu usklađivanja nacionalnoga zakonodavstva s pravnom stečevinom Europske unije i provedbe propisa. </w:t>
      </w:r>
    </w:p>
    <w:p w:rsidR="00AC0832" w:rsidRDefault="00AC0832" w:rsidP="00C63D4C">
      <w:pPr>
        <w:pStyle w:val="Normal6"/>
      </w:pPr>
      <w:r>
        <w:t xml:space="preserve">U sklopu programa Customs organizirano je sudjelovanje 91 sudionika na 54 seminara/radionica, organizirano je 20  odlaznih i  4  dolazne radne posjete stručnjaka.  U sklopu programa Fiscalis organizirano je sudjelovanje 7 djelatnika na 3 seminara, 1 obuci i 2 radne posjete. </w:t>
      </w:r>
    </w:p>
    <w:p w:rsidR="00AC0832" w:rsidRDefault="00AC0832" w:rsidP="00C63D4C">
      <w:pPr>
        <w:pStyle w:val="Normal6"/>
      </w:pPr>
      <w:r>
        <w:t xml:space="preserve">U svrhu osiguranja zaštite i sigurnosti tržišta i društva te uspostave sigurnosnog prekograničnog prometa robom operativno dežurstvo i Help desk obavljali su poslove iz svog djelokruga neprekidno 24 sata dnevno. Operativno dežurstvo je zaprimalo i obrađivalo telefonske pozive građana te odgovaralo na razna pitanja vezana za carinsku proceduru, carinske postupke i kontakt telefone za određene službe/sektora unutar CURH-a. </w:t>
      </w:r>
    </w:p>
    <w:p w:rsidR="00AC0832" w:rsidRDefault="00AC0832" w:rsidP="00C63D4C">
      <w:pPr>
        <w:pStyle w:val="Normal6"/>
      </w:pPr>
      <w:r>
        <w:t xml:space="preserve">Help desk je pružao pomoć svim korisnicima provoznog postupka, kako carinskim službenicima, tako i svim ostalim sudionicima u provoznom postupku (otpremništva, prijevoznici i gospodarstvenici). Ulaskom RH u Konvenciju o zajedničkom provoznom postupku (EU+EFTA) 01.07.2012. godine proširila se uloga i zadaće Help deska. U 2012. godini Help desk je zaprimao  i obrađivao „Incidente“ u provoznom postupku. </w:t>
      </w:r>
    </w:p>
    <w:p w:rsidR="00AC0832" w:rsidRDefault="00AC0832" w:rsidP="00C63D4C">
      <w:pPr>
        <w:pStyle w:val="Normal6"/>
      </w:pPr>
      <w:r>
        <w:t xml:space="preserve">Carinska uprava je nastavila provoditi obrazovanje i stručno usavršavanje službenika u svrhu osiguranja što višeg nivoa obrazovanja,  profesionalnosti i kvalitete pri obavljanju poslova u svim segmentima carinske struke. U 2012. godini intenziviran je rad u Centru za obuku tako da je u odnosu na prethodne godine zabilježen znatan porast aktivnosti.  </w:t>
      </w:r>
    </w:p>
    <w:p w:rsidR="00AC0832" w:rsidRDefault="00AC0832" w:rsidP="00C63D4C">
      <w:pPr>
        <w:pStyle w:val="Normal6"/>
      </w:pPr>
      <w:r>
        <w:t xml:space="preserve">Obuka se redovno organizirala u Carinskom centru u Zagrebu i regionalno u carinarnicama kako bi se racionalno iskoristili resursi koje Carinska uprava ima na raspolaganju. Ukupno gledajući u 2012. godini provedena je 141 obrazovna aktivnost, a obuku je pohađalo 2960 carinskih službenika.  </w:t>
      </w:r>
    </w:p>
    <w:p w:rsidR="00AC0832" w:rsidRDefault="00AC0832" w:rsidP="00C63D4C">
      <w:pPr>
        <w:pStyle w:val="Normal6"/>
      </w:pPr>
      <w:r>
        <w:t xml:space="preserve">Obrazovne aktivnosti (seminari, radionice, tečajevi, praktična obuka i stručni sastanci) provođeni su temeljem ukupne potrebe za obrazovanjem svih organizacijskih jedinica, sukladno Godišnjem obrazovnom planu za obuku i stručno usavršavanje za službenike Ministarstva financija Carinske uprave. </w:t>
      </w:r>
    </w:p>
    <w:p w:rsidR="00AC0832" w:rsidRDefault="00AC0832" w:rsidP="00C63D4C">
      <w:pPr>
        <w:pStyle w:val="Normal6"/>
      </w:pPr>
      <w:r>
        <w:t xml:space="preserve">U tijeku 2012. godine održana su tri seminara temeljne obuke u svrhu stjecanja temeljnih  znanja i osposobljavanja službenika za obavljanje poslova radnog mjesta i pripreme za polaganje posebnog dijela državnog stručnog ispita za upravno područje financija – carinski sustav, na kojem je sudjelovalo 109  polaznika koji su nakon toga uspješno položili državni stručni ispit. </w:t>
      </w:r>
    </w:p>
    <w:p w:rsidR="00AC0832" w:rsidRDefault="00AC0832" w:rsidP="00C63D4C">
      <w:pPr>
        <w:pStyle w:val="Normal6"/>
      </w:pPr>
      <w:r>
        <w:t xml:space="preserve">Godišnji obrazovni plan obuhvaća sva stručna područja te je tijekom 2012. godine proveden čitav niz obuka: Obuka za vježbenike i novoprimljene službenike, Provođenje dokaznih radnji i podnošenje kaznenih prijava sukladno odredbama Zakona o kaznenom postupku, Edukacija i praktične vježbe primjene sigurnosnih mjera pri provođenju ovlasti zaustavljanja vozila, pregledu i pretrazi prijevoznih sredstava, Praktično provođenje ovlasti s naglaskom na pregled i pretragu kontejnera, Naknadne provjere, Stručno usavršavanje ovlaštenih carinskih službenika – inspektora, Primjena sustava za upravljanje rizicima, Provedba CITES konvencije i Montrealski protokol, Suzbijanje krijumčarenja droga, Nadzor prijenosa gotovine preko granice i sprječavanje pranja novca, Granična kontrola nuklearnog i drugog radioaktivnog materijala, Tehnologije i oprema za detekciju u carinskoj službi, Roba vojne i dvojne namjene, Licenciranje vodiča i službenih pasa,  Provozni postupci u EU i NCTS te uporaba IT aplikacije, Pojednostavljeni postupci, Tradicionalna vlastita sredstva A i B računi, Intelektualno vlasništvo – prepoznavanje krivotvorina, Otvorena pitanja kod primjene hrvatskog trošarinskog zakonodavstva, Oporezivanje trošarinskih proizvoda, Aplikacija za carinsku tarifu i drugi izvori informacija o razvrstavanju robe dostupni putem interneta, Tarifni propisi Europske unije, zajedničke carinske tarife i TARIC, Razvrstavanje robe u carinsku tarifu, Obuka carinskih službenika o uzorkovanju, Utvrđivanje carinske vrijednosti i utvrđivanje pravila podrijetla, Priprema za uvođenje EMCS-a. </w:t>
      </w:r>
    </w:p>
    <w:p w:rsidR="00AC0832" w:rsidRDefault="00AC0832" w:rsidP="00C63D4C">
      <w:pPr>
        <w:pStyle w:val="Normal6"/>
      </w:pPr>
      <w:r>
        <w:t xml:space="preserve">Na provedbi obuke angažirani su stručnjaci iz carine i to njih 77 te su također angažirani vanjski suradnici. Suradnja uspostavljena proteklih godina aktivno je nastavljena sa drugim upravama Ministarstva financija, Ministarstvom uprave, Ministarstvom pravosuđa, Ministarstvom obrane, Ministarstvom unutarnjih poslova, Ministarstvom poljoprivrede, ribarstva i ruralnog razvoja, Ministarstvom pomorstva, prometa i infrastrukture, Ministarstvom kulture, Ministarstvom zaštite okoliša, prostornog uređenja i graditeljstva, Ministarstvom vanjskih poslova i EU integracija, Državnim odvjetništvom i Državnim zavodom za zaštitu od zračenja.  </w:t>
      </w:r>
    </w:p>
    <w:p w:rsidR="00AC0832" w:rsidRDefault="00AC0832" w:rsidP="00C63D4C">
      <w:pPr>
        <w:pStyle w:val="Normal6"/>
      </w:pPr>
      <w:r>
        <w:t xml:space="preserve">U Carinskom centru za obuku redovito su se odvijali seminari i radionice vezane uz međunarodne projekte, radionice u okviru bilateralne suradnje sa drugim zemljama, primjerice u suradnji sa španjolskim ekspertima održane su radionice IPA programa Europske unije za Hrvatsku – „Razvoj carinskog laboratorija“ u okviru Twinning projekta, a u suradnji s talijanskim ekspertima provodio se projekt Twinning Light IPA 2009 „Usklađivanje carinskog sustava za upravljanje rizicima sa standardima i najboljom praksom EU“, te u suradnji sa Ministarstvom energetike SAD-a održavao se seminar Druga linija obrane koja se odnosi na sprečavanje nedopuštenog prometa nuklearnih i drugih radioaktivnih materijala. </w:t>
      </w:r>
    </w:p>
    <w:p w:rsidR="00AC0832" w:rsidRDefault="00AC0832" w:rsidP="00C63D4C">
      <w:pPr>
        <w:pStyle w:val="Normal6"/>
      </w:pPr>
      <w:r>
        <w:t xml:space="preserve">Kontinuirano se provodila informatička izobrazba koja uključuje provedbu obrazovnih aktivnosti u cilju ispunjavanja uvjeta za međusobnu povezanost i funkcioniranje u IT sustavima Europske Unije. Kroz rad projektnih timova vršio se razvoj softvera, osposobljavali su se treneri i provodila se edukacija. Tako je u 2012. godini provedena edukacija carinskih službenika kao preduvjet za uspješnu primjenu zajedničkog provoznog postupka (NCTS). Održano je 6 jednodnevnih radionica za 163  polaznika. Isto tako provedena je i edukacija koja je imala za cilj upoznati carinske službenike s osnovnim funkcionalnostima sustava kontrole kretanja trošarinskih proizvoda u sustavu odgode plaćanja trošarine (EMCS-a), te su održane 4 dvodnevne radionice za 120 polaznika. </w:t>
      </w:r>
    </w:p>
    <w:p w:rsidR="00AC0832" w:rsidRDefault="00AC0832" w:rsidP="00C63D4C">
      <w:pPr>
        <w:pStyle w:val="Normal6"/>
      </w:pPr>
      <w:r>
        <w:t>Sredstvima utrošenim u 2012. godini Carinska uprava ostvarila je sve zadane ciljeve ovog programa.</w:t>
      </w:r>
    </w:p>
    <w:p w:rsidR="00AC0832" w:rsidRDefault="00AC0832" w:rsidP="00C63D4C">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96"/>
        <w:gridCol w:w="1642"/>
        <w:gridCol w:w="879"/>
        <w:gridCol w:w="1120"/>
        <w:gridCol w:w="959"/>
        <w:gridCol w:w="1120"/>
        <w:gridCol w:w="1372"/>
      </w:tblGrid>
      <w:tr w:rsidR="00AC0832" w:rsidTr="00A47D80">
        <w:trPr>
          <w:jc w:val="center"/>
        </w:trPr>
        <w:tc>
          <w:tcPr>
            <w:tcW w:w="1300" w:type="dxa"/>
            <w:shd w:val="clear" w:color="auto" w:fill="B5C0D8"/>
          </w:tcPr>
          <w:p w:rsidR="00AC0832" w:rsidRPr="00392240" w:rsidRDefault="00AC0832" w:rsidP="00A47D80">
            <w:pPr>
              <w:rPr>
                <w:sz w:val="20"/>
                <w:lang w:eastAsia="hr-HR"/>
              </w:rPr>
            </w:pPr>
            <w:r w:rsidRPr="00392240">
              <w:rPr>
                <w:sz w:val="20"/>
                <w:lang w:eastAsia="hr-HR"/>
              </w:rPr>
              <w:t>Pokazatelj učinka</w:t>
            </w:r>
          </w:p>
        </w:tc>
        <w:tc>
          <w:tcPr>
            <w:tcW w:w="1300" w:type="dxa"/>
            <w:shd w:val="clear" w:color="auto" w:fill="B5C0D8"/>
          </w:tcPr>
          <w:p w:rsidR="00AC0832" w:rsidRDefault="00AC0832" w:rsidP="00A47D80">
            <w:pPr>
              <w:pStyle w:val="CellHeader"/>
            </w:pPr>
            <w:r>
              <w:t>Definicija</w:t>
            </w:r>
          </w:p>
        </w:tc>
        <w:tc>
          <w:tcPr>
            <w:tcW w:w="1300" w:type="dxa"/>
            <w:shd w:val="clear" w:color="auto" w:fill="B5C0D8"/>
          </w:tcPr>
          <w:p w:rsidR="00AC0832" w:rsidRDefault="00AC0832" w:rsidP="00A47D80">
            <w:pPr>
              <w:pStyle w:val="CellHeader"/>
            </w:pPr>
            <w:r>
              <w:t>Jedinica</w:t>
            </w:r>
          </w:p>
        </w:tc>
        <w:tc>
          <w:tcPr>
            <w:tcW w:w="1300" w:type="dxa"/>
            <w:shd w:val="clear" w:color="auto" w:fill="B5C0D8"/>
          </w:tcPr>
          <w:p w:rsidR="00AC0832" w:rsidRDefault="00AC0832" w:rsidP="00A47D80">
            <w:pPr>
              <w:pStyle w:val="CellHeader"/>
            </w:pPr>
            <w:r>
              <w:t>Polazna vrijednost</w:t>
            </w:r>
          </w:p>
        </w:tc>
        <w:tc>
          <w:tcPr>
            <w:tcW w:w="1300" w:type="dxa"/>
            <w:shd w:val="clear" w:color="auto" w:fill="B5C0D8"/>
          </w:tcPr>
          <w:p w:rsidR="00AC0832" w:rsidRDefault="00AC0832" w:rsidP="00A47D80">
            <w:pPr>
              <w:pStyle w:val="CellHeader"/>
            </w:pPr>
            <w:r>
              <w:t>Izvor podataka</w:t>
            </w:r>
          </w:p>
        </w:tc>
        <w:tc>
          <w:tcPr>
            <w:tcW w:w="1300" w:type="dxa"/>
            <w:shd w:val="clear" w:color="auto" w:fill="B5C0D8"/>
          </w:tcPr>
          <w:p w:rsidR="00AC0832" w:rsidRDefault="00AC0832" w:rsidP="00A47D80">
            <w:pPr>
              <w:pStyle w:val="CellHeader"/>
            </w:pPr>
            <w:r>
              <w:t>Ciljana vrijednost (2012.)</w:t>
            </w:r>
          </w:p>
        </w:tc>
        <w:tc>
          <w:tcPr>
            <w:tcW w:w="1300" w:type="dxa"/>
            <w:shd w:val="clear" w:color="auto" w:fill="B5C0D8"/>
          </w:tcPr>
          <w:p w:rsidR="00AC0832" w:rsidRDefault="00AC0832" w:rsidP="00A47D80">
            <w:pPr>
              <w:pStyle w:val="CellHeader"/>
            </w:pPr>
            <w:r>
              <w:t>Ostvarena vrijednost (2012.)</w:t>
            </w:r>
          </w:p>
        </w:tc>
      </w:tr>
      <w:tr w:rsidR="00AC0832" w:rsidTr="00A47D80">
        <w:trPr>
          <w:jc w:val="center"/>
        </w:trPr>
        <w:tc>
          <w:tcPr>
            <w:tcW w:w="1300" w:type="dxa"/>
          </w:tcPr>
          <w:p w:rsidR="00AC0832" w:rsidRDefault="00AC0832" w:rsidP="00A47D80">
            <w:pPr>
              <w:pStyle w:val="CellColumn"/>
            </w:pPr>
            <w:r>
              <w:t>1.3.1.2. Broj i vrsta izrađenih profila za sustav upravljanja rizicima</w:t>
            </w:r>
          </w:p>
        </w:tc>
        <w:tc>
          <w:tcPr>
            <w:tcW w:w="1300" w:type="dxa"/>
          </w:tcPr>
          <w:p w:rsidR="00AC0832" w:rsidRDefault="00AC0832" w:rsidP="00A47D80">
            <w:pPr>
              <w:pStyle w:val="CellColumn"/>
            </w:pPr>
            <w:r>
              <w:t>Izrada učinkovitih profila rizika kao podloge za provjere (osoba, prijevoznih sredstava, robe i tvrtke)</w:t>
            </w:r>
          </w:p>
        </w:tc>
        <w:tc>
          <w:tcPr>
            <w:tcW w:w="1300" w:type="dxa"/>
          </w:tcPr>
          <w:p w:rsidR="00AC0832" w:rsidRDefault="00AC0832" w:rsidP="00A47D80">
            <w:pPr>
              <w:pStyle w:val="CellColumn"/>
            </w:pPr>
            <w:r>
              <w:t>broj</w:t>
            </w:r>
          </w:p>
        </w:tc>
        <w:tc>
          <w:tcPr>
            <w:tcW w:w="1300" w:type="dxa"/>
          </w:tcPr>
          <w:p w:rsidR="00AC0832" w:rsidRDefault="00AC0832" w:rsidP="00A47D80">
            <w:pPr>
              <w:pStyle w:val="CellColumn"/>
            </w:pPr>
            <w:r>
              <w:t>150</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250</w:t>
            </w:r>
          </w:p>
        </w:tc>
        <w:tc>
          <w:tcPr>
            <w:tcW w:w="1300" w:type="dxa"/>
          </w:tcPr>
          <w:p w:rsidR="00AC0832" w:rsidRDefault="00AC0832" w:rsidP="00A47D80">
            <w:pPr>
              <w:pStyle w:val="CellColumn"/>
            </w:pPr>
            <w:r>
              <w:t>276</w:t>
            </w:r>
          </w:p>
        </w:tc>
      </w:tr>
      <w:tr w:rsidR="00AC0832" w:rsidTr="00A47D80">
        <w:trPr>
          <w:jc w:val="center"/>
        </w:trPr>
        <w:tc>
          <w:tcPr>
            <w:tcW w:w="1300" w:type="dxa"/>
          </w:tcPr>
          <w:p w:rsidR="00AC0832" w:rsidRDefault="00AC0832" w:rsidP="00A47D80">
            <w:pPr>
              <w:pStyle w:val="CellColumn"/>
            </w:pPr>
            <w:r>
              <w:t>1.3.1.3. Rezultati proračunskih i neproračunskih profila koji su ugrađeni u sustav za upravljanje rizicima</w:t>
            </w:r>
          </w:p>
        </w:tc>
        <w:tc>
          <w:tcPr>
            <w:tcW w:w="1300" w:type="dxa"/>
          </w:tcPr>
          <w:p w:rsidR="00AC0832" w:rsidRDefault="00AC0832" w:rsidP="00A47D80">
            <w:pPr>
              <w:pStyle w:val="CellColumn"/>
            </w:pPr>
            <w:r>
              <w:t>Razlika između deklariranog i obračunatog carinskog duga i broj utvrđenih nepravilnosti iskazanih brojem pokrenutih prekršajnih postupaka</w:t>
            </w:r>
          </w:p>
        </w:tc>
        <w:tc>
          <w:tcPr>
            <w:tcW w:w="1300" w:type="dxa"/>
          </w:tcPr>
          <w:p w:rsidR="00AC0832" w:rsidRDefault="00AC0832" w:rsidP="00A47D80">
            <w:pPr>
              <w:pStyle w:val="CellColumn"/>
            </w:pPr>
            <w:r>
              <w:t>broj</w:t>
            </w:r>
          </w:p>
        </w:tc>
        <w:tc>
          <w:tcPr>
            <w:tcW w:w="1300" w:type="dxa"/>
          </w:tcPr>
          <w:p w:rsidR="00AC0832" w:rsidRDefault="00AC0832" w:rsidP="00A47D80">
            <w:pPr>
              <w:pStyle w:val="CellColumn"/>
            </w:pPr>
            <w:r>
              <w:t>0</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20</w:t>
            </w:r>
          </w:p>
        </w:tc>
        <w:tc>
          <w:tcPr>
            <w:tcW w:w="1300" w:type="dxa"/>
          </w:tcPr>
          <w:p w:rsidR="00AC0832" w:rsidRDefault="00AC0832" w:rsidP="00A47D80">
            <w:pPr>
              <w:pStyle w:val="CellColumn"/>
            </w:pPr>
            <w:r>
              <w:t>25</w:t>
            </w:r>
          </w:p>
        </w:tc>
      </w:tr>
      <w:tr w:rsidR="00AC0832" w:rsidTr="00A47D80">
        <w:trPr>
          <w:jc w:val="center"/>
        </w:trPr>
        <w:tc>
          <w:tcPr>
            <w:tcW w:w="1300" w:type="dxa"/>
          </w:tcPr>
          <w:p w:rsidR="00AC0832" w:rsidRDefault="00AC0832" w:rsidP="00A47D80">
            <w:pPr>
              <w:pStyle w:val="CellColumn"/>
            </w:pPr>
            <w:r>
              <w:t>1.3.2.1. Broj provedenih naknadnih provjera (nakon postupka carinjenja robe)</w:t>
            </w:r>
          </w:p>
        </w:tc>
        <w:tc>
          <w:tcPr>
            <w:tcW w:w="1300" w:type="dxa"/>
          </w:tcPr>
          <w:p w:rsidR="00AC0832" w:rsidRDefault="00AC0832" w:rsidP="00A47D80">
            <w:pPr>
              <w:pStyle w:val="CellColumn"/>
            </w:pPr>
            <w:r>
              <w:t>Povećanjem broja naknadnih kontrola osigurat će se zakonito postupanje sudionika u carinskim postupcima, smanjenje carinskih formalnosti i troškova postupka te rast prihoda proračuna</w:t>
            </w:r>
          </w:p>
        </w:tc>
        <w:tc>
          <w:tcPr>
            <w:tcW w:w="1300" w:type="dxa"/>
          </w:tcPr>
          <w:p w:rsidR="00AC0832" w:rsidRDefault="00AC0832" w:rsidP="00A47D80">
            <w:pPr>
              <w:pStyle w:val="CellColumn"/>
            </w:pPr>
            <w:r>
              <w:t>broj</w:t>
            </w:r>
          </w:p>
        </w:tc>
        <w:tc>
          <w:tcPr>
            <w:tcW w:w="1300" w:type="dxa"/>
          </w:tcPr>
          <w:p w:rsidR="00AC0832" w:rsidRDefault="00AC0832" w:rsidP="00A47D80">
            <w:pPr>
              <w:pStyle w:val="CellColumn"/>
            </w:pPr>
            <w:r>
              <w:t>1.500</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1.700</w:t>
            </w:r>
          </w:p>
        </w:tc>
        <w:tc>
          <w:tcPr>
            <w:tcW w:w="1300" w:type="dxa"/>
          </w:tcPr>
          <w:p w:rsidR="00AC0832" w:rsidRDefault="00AC0832" w:rsidP="00A47D80">
            <w:pPr>
              <w:pStyle w:val="CellColumn"/>
            </w:pPr>
            <w:r>
              <w:t>1.727</w:t>
            </w:r>
          </w:p>
        </w:tc>
      </w:tr>
      <w:tr w:rsidR="00AC0832" w:rsidTr="00A47D80">
        <w:trPr>
          <w:jc w:val="center"/>
        </w:trPr>
        <w:tc>
          <w:tcPr>
            <w:tcW w:w="1300" w:type="dxa"/>
          </w:tcPr>
          <w:p w:rsidR="00AC0832" w:rsidRDefault="00AC0832" w:rsidP="00A47D80">
            <w:pPr>
              <w:pStyle w:val="CellColumn"/>
            </w:pPr>
            <w:r>
              <w:t>1.3.2.2. Iznos naknadno obračunatog carinskog duga</w:t>
            </w:r>
          </w:p>
        </w:tc>
        <w:tc>
          <w:tcPr>
            <w:tcW w:w="1300" w:type="dxa"/>
          </w:tcPr>
          <w:p w:rsidR="00AC0832" w:rsidRDefault="00AC0832" w:rsidP="00A47D80">
            <w:pPr>
              <w:pStyle w:val="CellColumn"/>
            </w:pPr>
            <w:r>
              <w:t>Povećanjem iznosa naknadno obračunatog carinskog duga osigurat će se veće ostvarivanje planiranih prihoda te porezna disciplina</w:t>
            </w:r>
          </w:p>
        </w:tc>
        <w:tc>
          <w:tcPr>
            <w:tcW w:w="1300" w:type="dxa"/>
          </w:tcPr>
          <w:p w:rsidR="00AC0832" w:rsidRDefault="00AC0832" w:rsidP="00A47D80">
            <w:pPr>
              <w:pStyle w:val="CellColumn"/>
            </w:pPr>
            <w:r>
              <w:t>KN</w:t>
            </w:r>
          </w:p>
        </w:tc>
        <w:tc>
          <w:tcPr>
            <w:tcW w:w="1300" w:type="dxa"/>
          </w:tcPr>
          <w:p w:rsidR="00AC0832" w:rsidRDefault="00AC0832" w:rsidP="00A47D80">
            <w:pPr>
              <w:pStyle w:val="CellColumn"/>
            </w:pPr>
            <w:r>
              <w:t>30.000.000</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40.000.000</w:t>
            </w:r>
          </w:p>
        </w:tc>
        <w:tc>
          <w:tcPr>
            <w:tcW w:w="1300" w:type="dxa"/>
          </w:tcPr>
          <w:p w:rsidR="00AC0832" w:rsidRDefault="00AC0832" w:rsidP="00A47D80">
            <w:pPr>
              <w:pStyle w:val="CellColumn"/>
            </w:pPr>
            <w:r>
              <w:t>76.972.655,73</w:t>
            </w:r>
          </w:p>
        </w:tc>
      </w:tr>
      <w:tr w:rsidR="00AC0832" w:rsidTr="00A47D80">
        <w:trPr>
          <w:jc w:val="center"/>
        </w:trPr>
        <w:tc>
          <w:tcPr>
            <w:tcW w:w="1300" w:type="dxa"/>
          </w:tcPr>
          <w:p w:rsidR="00AC0832" w:rsidRDefault="00AC0832" w:rsidP="00A47D80">
            <w:pPr>
              <w:pStyle w:val="CellColumn"/>
            </w:pPr>
            <w:r>
              <w:t>1.3.3.1. Broj odobrenih povlaštenih statusa</w:t>
            </w:r>
          </w:p>
        </w:tc>
        <w:tc>
          <w:tcPr>
            <w:tcW w:w="1300" w:type="dxa"/>
          </w:tcPr>
          <w:p w:rsidR="00AC0832" w:rsidRDefault="00AC0832" w:rsidP="00A47D80">
            <w:pPr>
              <w:pStyle w:val="CellColumn"/>
            </w:pPr>
            <w:r>
              <w:t>Povlašteni statusi podrazumijevaju statuse ovlaštenog pošiljatelja i primatelja, odobrenja za pojednostavljene postupke deklariranja robe na temelju trgovačkih isprava i knjigovodstvenih zapisa te status ovlaštenog izvoznika za podrijetlo</w:t>
            </w:r>
          </w:p>
        </w:tc>
        <w:tc>
          <w:tcPr>
            <w:tcW w:w="1300" w:type="dxa"/>
          </w:tcPr>
          <w:p w:rsidR="00AC0832" w:rsidRDefault="00AC0832" w:rsidP="00A47D80">
            <w:pPr>
              <w:pStyle w:val="CellColumn"/>
            </w:pPr>
            <w:r>
              <w:t>broj</w:t>
            </w:r>
          </w:p>
        </w:tc>
        <w:tc>
          <w:tcPr>
            <w:tcW w:w="1300" w:type="dxa"/>
          </w:tcPr>
          <w:p w:rsidR="00AC0832" w:rsidRDefault="00AC0832" w:rsidP="00A47D80">
            <w:pPr>
              <w:pStyle w:val="CellColumn"/>
            </w:pPr>
            <w:r>
              <w:t>1.000</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1.070</w:t>
            </w:r>
          </w:p>
        </w:tc>
        <w:tc>
          <w:tcPr>
            <w:tcW w:w="1300" w:type="dxa"/>
          </w:tcPr>
          <w:p w:rsidR="00AC0832" w:rsidRDefault="00AC0832" w:rsidP="00A47D80">
            <w:pPr>
              <w:pStyle w:val="CellColumn"/>
            </w:pPr>
            <w:r>
              <w:t>1.045</w:t>
            </w:r>
          </w:p>
        </w:tc>
      </w:tr>
      <w:tr w:rsidR="00AC0832" w:rsidTr="00A47D80">
        <w:trPr>
          <w:jc w:val="center"/>
        </w:trPr>
        <w:tc>
          <w:tcPr>
            <w:tcW w:w="1300" w:type="dxa"/>
          </w:tcPr>
          <w:p w:rsidR="00AC0832" w:rsidRDefault="00AC0832" w:rsidP="00A47D80">
            <w:pPr>
              <w:pStyle w:val="CellColumn"/>
            </w:pPr>
            <w:r>
              <w:t>1.3.3.2. Broj donesenih naputaka i uputa za postupanje</w:t>
            </w:r>
          </w:p>
        </w:tc>
        <w:tc>
          <w:tcPr>
            <w:tcW w:w="1300" w:type="dxa"/>
          </w:tcPr>
          <w:p w:rsidR="00AC0832" w:rsidRDefault="00AC0832" w:rsidP="00A47D80">
            <w:pPr>
              <w:pStyle w:val="CellColumn"/>
            </w:pPr>
            <w:r>
              <w:t>Naputcima i uputama stvara se jasno, uređeno i sigurno okruženje carinskog poslovanja za gospodarske subjekte</w:t>
            </w:r>
          </w:p>
        </w:tc>
        <w:tc>
          <w:tcPr>
            <w:tcW w:w="1300" w:type="dxa"/>
          </w:tcPr>
          <w:p w:rsidR="00AC0832" w:rsidRDefault="00AC0832" w:rsidP="00A47D80">
            <w:pPr>
              <w:pStyle w:val="CellColumn"/>
            </w:pPr>
            <w:r>
              <w:t>broj</w:t>
            </w:r>
          </w:p>
        </w:tc>
        <w:tc>
          <w:tcPr>
            <w:tcW w:w="1300" w:type="dxa"/>
          </w:tcPr>
          <w:p w:rsidR="00AC0832" w:rsidRDefault="00AC0832" w:rsidP="00A47D80">
            <w:pPr>
              <w:pStyle w:val="CellColumn"/>
            </w:pPr>
            <w:r>
              <w:t>8</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11</w:t>
            </w:r>
          </w:p>
        </w:tc>
        <w:tc>
          <w:tcPr>
            <w:tcW w:w="1300" w:type="dxa"/>
          </w:tcPr>
          <w:p w:rsidR="00AC0832" w:rsidRDefault="00AC0832" w:rsidP="00A47D80">
            <w:pPr>
              <w:pStyle w:val="CellColumn"/>
            </w:pPr>
            <w:r>
              <w:t>11</w:t>
            </w:r>
          </w:p>
        </w:tc>
      </w:tr>
      <w:tr w:rsidR="00AC0832" w:rsidTr="00A47D80">
        <w:trPr>
          <w:jc w:val="center"/>
        </w:trPr>
        <w:tc>
          <w:tcPr>
            <w:tcW w:w="1300" w:type="dxa"/>
          </w:tcPr>
          <w:p w:rsidR="00AC0832" w:rsidRDefault="00AC0832" w:rsidP="00A47D80">
            <w:pPr>
              <w:pStyle w:val="CellColumn"/>
            </w:pPr>
            <w:r>
              <w:t>1.3.4.1. Uspostavljeni i razvijeni specifični instituti i sustavi kompatibilni odgovarajućim EU sustavima</w:t>
            </w:r>
          </w:p>
        </w:tc>
        <w:tc>
          <w:tcPr>
            <w:tcW w:w="1300" w:type="dxa"/>
          </w:tcPr>
          <w:p w:rsidR="00AC0832" w:rsidRDefault="00AC0832" w:rsidP="00A47D80">
            <w:pPr>
              <w:pStyle w:val="CellColumn"/>
            </w:pPr>
            <w:r>
              <w:t>Priprema, uspostava i primjena Zajedničke carinske tarife; posebnih mjera agrarne, gospodarske  i trgovinske politike EU, uključujući uspostavu učinkovitog sustava izvoznih kontrola; sustava za integrirano upravljanje carinskom tarifom, te povlaštenog i nepovlaštenog podrijetla sukladno pravnoj stečevini EU</w:t>
            </w:r>
          </w:p>
        </w:tc>
        <w:tc>
          <w:tcPr>
            <w:tcW w:w="1300" w:type="dxa"/>
          </w:tcPr>
          <w:p w:rsidR="00AC0832" w:rsidRDefault="00AC0832" w:rsidP="00A47D80">
            <w:pPr>
              <w:pStyle w:val="CellColumn"/>
            </w:pPr>
            <w:r>
              <w:t>%</w:t>
            </w:r>
          </w:p>
        </w:tc>
        <w:tc>
          <w:tcPr>
            <w:tcW w:w="1300" w:type="dxa"/>
          </w:tcPr>
          <w:p w:rsidR="00AC0832" w:rsidRDefault="00AC0832" w:rsidP="00A47D80">
            <w:pPr>
              <w:pStyle w:val="CellColumn"/>
            </w:pPr>
            <w:r>
              <w:t>50</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75</w:t>
            </w:r>
          </w:p>
        </w:tc>
        <w:tc>
          <w:tcPr>
            <w:tcW w:w="1300" w:type="dxa"/>
          </w:tcPr>
          <w:p w:rsidR="00AC0832" w:rsidRDefault="00AC0832" w:rsidP="00A47D80">
            <w:pPr>
              <w:pStyle w:val="CellColumn"/>
            </w:pPr>
            <w:r>
              <w:t>75</w:t>
            </w:r>
          </w:p>
        </w:tc>
      </w:tr>
      <w:tr w:rsidR="00AC0832" w:rsidTr="00A47D80">
        <w:trPr>
          <w:jc w:val="center"/>
        </w:trPr>
        <w:tc>
          <w:tcPr>
            <w:tcW w:w="1300" w:type="dxa"/>
          </w:tcPr>
          <w:p w:rsidR="00AC0832" w:rsidRDefault="00AC0832" w:rsidP="00A47D80">
            <w:pPr>
              <w:pStyle w:val="CellColumn"/>
            </w:pPr>
            <w:r>
              <w:t>1.3.4.2.Pojednostavljene formalnosti u kretanju robe unutar zajedničkog tržišta Europske unije</w:t>
            </w:r>
          </w:p>
        </w:tc>
        <w:tc>
          <w:tcPr>
            <w:tcW w:w="1300" w:type="dxa"/>
          </w:tcPr>
          <w:p w:rsidR="00AC0832" w:rsidRDefault="00AC0832" w:rsidP="00A47D80">
            <w:pPr>
              <w:pStyle w:val="CellColumn"/>
            </w:pPr>
            <w:r>
              <w:t>Izmijenjene i prilagođene odredbe Zakona o posebnim porezima</w:t>
            </w:r>
          </w:p>
        </w:tc>
        <w:tc>
          <w:tcPr>
            <w:tcW w:w="1300" w:type="dxa"/>
          </w:tcPr>
          <w:p w:rsidR="00AC0832" w:rsidRDefault="00AC0832" w:rsidP="00A47D80">
            <w:pPr>
              <w:pStyle w:val="CellColumn"/>
            </w:pPr>
            <w:r>
              <w:t>%</w:t>
            </w:r>
          </w:p>
        </w:tc>
        <w:tc>
          <w:tcPr>
            <w:tcW w:w="1300" w:type="dxa"/>
          </w:tcPr>
          <w:p w:rsidR="00AC0832" w:rsidRDefault="00AC0832" w:rsidP="00A47D80">
            <w:pPr>
              <w:pStyle w:val="CellColumn"/>
            </w:pPr>
            <w:r>
              <w:t>60</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90</w:t>
            </w:r>
          </w:p>
        </w:tc>
        <w:tc>
          <w:tcPr>
            <w:tcW w:w="1300" w:type="dxa"/>
          </w:tcPr>
          <w:p w:rsidR="00AC0832" w:rsidRDefault="00AC0832" w:rsidP="00A47D80">
            <w:pPr>
              <w:pStyle w:val="CellColumn"/>
            </w:pPr>
            <w:r>
              <w:t>90</w:t>
            </w:r>
          </w:p>
        </w:tc>
      </w:tr>
      <w:tr w:rsidR="00AC0832" w:rsidTr="00A47D80">
        <w:trPr>
          <w:jc w:val="center"/>
        </w:trPr>
        <w:tc>
          <w:tcPr>
            <w:tcW w:w="1300" w:type="dxa"/>
          </w:tcPr>
          <w:p w:rsidR="00AC0832" w:rsidRDefault="00AC0832" w:rsidP="00A47D80">
            <w:pPr>
              <w:pStyle w:val="CellColumn"/>
            </w:pPr>
            <w:r>
              <w:t>1.3.4.3. Trošarinski zakonodavni okvir usklađen sa pravnom stečevinom EU</w:t>
            </w:r>
          </w:p>
        </w:tc>
        <w:tc>
          <w:tcPr>
            <w:tcW w:w="1300" w:type="dxa"/>
          </w:tcPr>
          <w:p w:rsidR="00AC0832" w:rsidRDefault="00AC0832" w:rsidP="00A47D80">
            <w:pPr>
              <w:pStyle w:val="CellColumn"/>
            </w:pPr>
            <w:r>
              <w:t>U trošarinskom zakonodavstvu izmijenjene i prilagođene odredbe implementiranjem preuzetih obveza iz Poglavlja 16. Oporezivanje</w:t>
            </w:r>
          </w:p>
        </w:tc>
        <w:tc>
          <w:tcPr>
            <w:tcW w:w="1300" w:type="dxa"/>
          </w:tcPr>
          <w:p w:rsidR="00AC0832" w:rsidRDefault="00AC0832" w:rsidP="00A47D80">
            <w:pPr>
              <w:pStyle w:val="CellColumn"/>
            </w:pPr>
            <w:r>
              <w:t>%</w:t>
            </w:r>
          </w:p>
        </w:tc>
        <w:tc>
          <w:tcPr>
            <w:tcW w:w="1300" w:type="dxa"/>
          </w:tcPr>
          <w:p w:rsidR="00AC0832" w:rsidRDefault="00AC0832" w:rsidP="00A47D80">
            <w:pPr>
              <w:pStyle w:val="CellColumn"/>
            </w:pPr>
            <w:r>
              <w:t>70</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90</w:t>
            </w:r>
          </w:p>
        </w:tc>
        <w:tc>
          <w:tcPr>
            <w:tcW w:w="1300" w:type="dxa"/>
          </w:tcPr>
          <w:p w:rsidR="00AC0832" w:rsidRDefault="00AC0832" w:rsidP="00A47D80">
            <w:pPr>
              <w:pStyle w:val="CellColumn"/>
            </w:pPr>
            <w:r>
              <w:t>90</w:t>
            </w:r>
          </w:p>
        </w:tc>
      </w:tr>
      <w:tr w:rsidR="00AC0832" w:rsidTr="00A47D80">
        <w:trPr>
          <w:jc w:val="center"/>
        </w:trPr>
        <w:tc>
          <w:tcPr>
            <w:tcW w:w="1300" w:type="dxa"/>
          </w:tcPr>
          <w:p w:rsidR="00AC0832" w:rsidRDefault="00AC0832" w:rsidP="00A47D80">
            <w:pPr>
              <w:pStyle w:val="CellColumn"/>
            </w:pPr>
            <w:r>
              <w:t>1.3.5.1. Razvijeni IT sustavi interoperabilnosti i interkonektivnosti</w:t>
            </w:r>
          </w:p>
        </w:tc>
        <w:tc>
          <w:tcPr>
            <w:tcW w:w="1300" w:type="dxa"/>
          </w:tcPr>
          <w:p w:rsidR="00AC0832" w:rsidRDefault="00AC0832" w:rsidP="00A47D80">
            <w:pPr>
              <w:pStyle w:val="CellColumn"/>
            </w:pPr>
            <w:r>
              <w:t>Razvojem IT sustava interoperabilnosti i interkonektivnosti ( NCTS, ECS,ITMS, EORI, AEO, ICS, CS/RD, CS/MIS, EMCS)  osigurat će se povezanost IT sustava Carinske uprave s IT sustavima zemalja članica EU i EK, omogućit provedbu carinskih postupaka i postup</w:t>
            </w:r>
          </w:p>
        </w:tc>
        <w:tc>
          <w:tcPr>
            <w:tcW w:w="1300" w:type="dxa"/>
          </w:tcPr>
          <w:p w:rsidR="00AC0832" w:rsidRDefault="00AC0832" w:rsidP="00A47D80">
            <w:pPr>
              <w:pStyle w:val="CellColumn"/>
            </w:pPr>
            <w:r>
              <w:t>%</w:t>
            </w:r>
          </w:p>
        </w:tc>
        <w:tc>
          <w:tcPr>
            <w:tcW w:w="1300" w:type="dxa"/>
          </w:tcPr>
          <w:p w:rsidR="00AC0832" w:rsidRDefault="00AC0832" w:rsidP="00A47D80">
            <w:pPr>
              <w:pStyle w:val="CellColumn"/>
            </w:pPr>
            <w:r>
              <w:t>60</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80</w:t>
            </w:r>
          </w:p>
        </w:tc>
        <w:tc>
          <w:tcPr>
            <w:tcW w:w="1300" w:type="dxa"/>
          </w:tcPr>
          <w:p w:rsidR="00AC0832" w:rsidRDefault="00AC0832" w:rsidP="00A47D80">
            <w:pPr>
              <w:pStyle w:val="CellColumn"/>
            </w:pPr>
            <w:r>
              <w:t>80</w:t>
            </w:r>
          </w:p>
        </w:tc>
      </w:tr>
      <w:tr w:rsidR="00AC0832" w:rsidTr="00A47D80">
        <w:trPr>
          <w:jc w:val="center"/>
        </w:trPr>
        <w:tc>
          <w:tcPr>
            <w:tcW w:w="1300" w:type="dxa"/>
          </w:tcPr>
          <w:p w:rsidR="00AC0832" w:rsidRDefault="00AC0832" w:rsidP="00A47D80">
            <w:pPr>
              <w:pStyle w:val="CellColumn"/>
            </w:pPr>
            <w:r>
              <w:t>1.3.5.2. Uspostavljena potrebna infrastruktura informacijsko-komunikacijske tehnologije (ICT)</w:t>
            </w:r>
          </w:p>
        </w:tc>
        <w:tc>
          <w:tcPr>
            <w:tcW w:w="1300" w:type="dxa"/>
          </w:tcPr>
          <w:p w:rsidR="00AC0832" w:rsidRDefault="00AC0832" w:rsidP="00A47D80">
            <w:pPr>
              <w:pStyle w:val="CellColumn"/>
            </w:pPr>
            <w:r>
              <w:t>Izgrađeni podsustavi komunikacijske mreže i data centara, korisnička infrastruktura na organizacijskim jedinicama Carinske uprave, u cilju osiguranja neprekidne dostupnosti usluga ICT sustava (mail, IP telefonija, dokumenti, poslovne aplikacije )</w:t>
            </w:r>
          </w:p>
        </w:tc>
        <w:tc>
          <w:tcPr>
            <w:tcW w:w="1300" w:type="dxa"/>
          </w:tcPr>
          <w:p w:rsidR="00AC0832" w:rsidRDefault="00AC0832" w:rsidP="00A47D80">
            <w:pPr>
              <w:pStyle w:val="CellColumn"/>
            </w:pPr>
            <w:r>
              <w:t>%</w:t>
            </w:r>
          </w:p>
        </w:tc>
        <w:tc>
          <w:tcPr>
            <w:tcW w:w="1300" w:type="dxa"/>
          </w:tcPr>
          <w:p w:rsidR="00AC0832" w:rsidRDefault="00AC0832" w:rsidP="00A47D80">
            <w:pPr>
              <w:pStyle w:val="CellColumn"/>
            </w:pPr>
            <w:r>
              <w:t>70</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90</w:t>
            </w:r>
          </w:p>
        </w:tc>
        <w:tc>
          <w:tcPr>
            <w:tcW w:w="1300" w:type="dxa"/>
          </w:tcPr>
          <w:p w:rsidR="00AC0832" w:rsidRDefault="00AC0832" w:rsidP="00A47D80">
            <w:pPr>
              <w:pStyle w:val="CellColumn"/>
            </w:pPr>
            <w:r>
              <w:t>90</w:t>
            </w:r>
          </w:p>
        </w:tc>
      </w:tr>
      <w:tr w:rsidR="00AC0832" w:rsidTr="00A47D80">
        <w:trPr>
          <w:jc w:val="center"/>
        </w:trPr>
        <w:tc>
          <w:tcPr>
            <w:tcW w:w="1300" w:type="dxa"/>
          </w:tcPr>
          <w:p w:rsidR="00AC0832" w:rsidRDefault="00AC0832" w:rsidP="00A47D80">
            <w:pPr>
              <w:pStyle w:val="CellColumn"/>
            </w:pPr>
            <w:r>
              <w:t>1.3.1.1. Broj provedenih ciljanih operativnih aktivnosti na cjelokupnom carinskom teritoriju</w:t>
            </w:r>
          </w:p>
        </w:tc>
        <w:tc>
          <w:tcPr>
            <w:tcW w:w="1300" w:type="dxa"/>
          </w:tcPr>
          <w:p w:rsidR="00AC0832" w:rsidRDefault="00AC0832" w:rsidP="00A47D80">
            <w:pPr>
              <w:pStyle w:val="CellColumn"/>
            </w:pPr>
            <w:r>
              <w:t>Broj provedenih operativnih akcija usmjerenih na suzbijanje krijumčarenja komercijalnih i visokorizičnih roba, te sprječavanje carinskih i trošarinskih prijevara i prijevara vezanih uz posebne poreze</w:t>
            </w:r>
          </w:p>
        </w:tc>
        <w:tc>
          <w:tcPr>
            <w:tcW w:w="1300" w:type="dxa"/>
          </w:tcPr>
          <w:p w:rsidR="00AC0832" w:rsidRDefault="00AC0832" w:rsidP="00A47D80">
            <w:pPr>
              <w:pStyle w:val="CellColumn"/>
            </w:pPr>
            <w:r>
              <w:t>broj</w:t>
            </w:r>
          </w:p>
        </w:tc>
        <w:tc>
          <w:tcPr>
            <w:tcW w:w="1300" w:type="dxa"/>
          </w:tcPr>
          <w:p w:rsidR="00AC0832" w:rsidRDefault="00AC0832" w:rsidP="00A47D80">
            <w:pPr>
              <w:pStyle w:val="CellColumn"/>
            </w:pPr>
            <w:r>
              <w:t>0</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50</w:t>
            </w:r>
          </w:p>
        </w:tc>
        <w:tc>
          <w:tcPr>
            <w:tcW w:w="1300" w:type="dxa"/>
          </w:tcPr>
          <w:p w:rsidR="00AC0832" w:rsidRDefault="00AC0832" w:rsidP="00A47D80">
            <w:pPr>
              <w:pStyle w:val="CellColumn"/>
            </w:pPr>
            <w:r>
              <w:t>277</w:t>
            </w:r>
          </w:p>
        </w:tc>
      </w:tr>
      <w:tr w:rsidR="00AC0832" w:rsidTr="00A47D80">
        <w:trPr>
          <w:jc w:val="center"/>
        </w:trPr>
        <w:tc>
          <w:tcPr>
            <w:tcW w:w="1300" w:type="dxa"/>
          </w:tcPr>
          <w:p w:rsidR="00AC0832" w:rsidRDefault="00AC0832" w:rsidP="00A47D80">
            <w:pPr>
              <w:pStyle w:val="CellColumn"/>
            </w:pPr>
            <w:r>
              <w:t>1.3.5.3. Uspostavljena informacijska sigurnost radi zaštite usluga i podataka ICT sustava</w:t>
            </w:r>
          </w:p>
        </w:tc>
        <w:tc>
          <w:tcPr>
            <w:tcW w:w="1300" w:type="dxa"/>
          </w:tcPr>
          <w:p w:rsidR="00AC0832" w:rsidRDefault="00AC0832" w:rsidP="00A47D80">
            <w:pPr>
              <w:pStyle w:val="CellColumn"/>
            </w:pPr>
            <w:r>
              <w:t>Nadzor i instalacija sigurnosnih nadogradnji instaliranog sistemskog softvera, instalacija i održavanje hardverske i softverske opreme za zaštitu sustava (antivirus, zaštita od neovlaštenog pristupa, nadzor i upravljanje prometom na mreži), upravljanje korisnicima ICT sustava, definiranje i primjena procedura i postupanja pri uporabi ICT sustava</w:t>
            </w:r>
          </w:p>
        </w:tc>
        <w:tc>
          <w:tcPr>
            <w:tcW w:w="1300" w:type="dxa"/>
          </w:tcPr>
          <w:p w:rsidR="00AC0832" w:rsidRDefault="00AC0832" w:rsidP="00A47D80">
            <w:pPr>
              <w:pStyle w:val="CellColumn"/>
            </w:pPr>
            <w:r>
              <w:t>%</w:t>
            </w:r>
          </w:p>
        </w:tc>
        <w:tc>
          <w:tcPr>
            <w:tcW w:w="1300" w:type="dxa"/>
          </w:tcPr>
          <w:p w:rsidR="00AC0832" w:rsidRDefault="00AC0832" w:rsidP="00A47D80">
            <w:pPr>
              <w:pStyle w:val="CellColumn"/>
            </w:pPr>
            <w:r>
              <w:t>70</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75</w:t>
            </w:r>
          </w:p>
        </w:tc>
        <w:tc>
          <w:tcPr>
            <w:tcW w:w="1300" w:type="dxa"/>
          </w:tcPr>
          <w:p w:rsidR="00AC0832" w:rsidRDefault="00AC0832" w:rsidP="00A47D80">
            <w:pPr>
              <w:pStyle w:val="CellColumn"/>
            </w:pPr>
            <w:r>
              <w:t>75</w:t>
            </w:r>
          </w:p>
        </w:tc>
      </w:tr>
    </w:tbl>
    <w:p w:rsidR="00AC0832" w:rsidRDefault="00AC0832" w:rsidP="00C63D4C">
      <w:pPr>
        <w:jc w:val="left"/>
      </w:pPr>
    </w:p>
    <w:p w:rsidR="00AC0832" w:rsidRDefault="00AC0832" w:rsidP="00C63D4C">
      <w:pPr>
        <w:pStyle w:val="Heading6"/>
      </w:pPr>
      <w:r>
        <w:t>A540000 ADMINISTRACIJA I UPRAVLJANJE CARINSKE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A540000-ADMINISTRACIJA I UPRAVLJANJE CARINSKE UPRAVE</w:t>
            </w:r>
          </w:p>
        </w:tc>
        <w:tc>
          <w:tcPr>
            <w:tcW w:w="2322" w:type="dxa"/>
          </w:tcPr>
          <w:p w:rsidR="00AC0832" w:rsidRDefault="00AC0832" w:rsidP="00A47D80">
            <w:pPr>
              <w:pStyle w:val="CellColumn"/>
            </w:pPr>
            <w:r>
              <w:t>444.607.577</w:t>
            </w:r>
          </w:p>
        </w:tc>
        <w:tc>
          <w:tcPr>
            <w:tcW w:w="2322" w:type="dxa"/>
          </w:tcPr>
          <w:p w:rsidR="00AC0832" w:rsidRDefault="00AC0832" w:rsidP="00A47D80">
            <w:pPr>
              <w:pStyle w:val="CellColumn"/>
            </w:pPr>
            <w:r>
              <w:t>441.303.449</w:t>
            </w:r>
          </w:p>
        </w:tc>
        <w:tc>
          <w:tcPr>
            <w:tcW w:w="2322" w:type="dxa"/>
          </w:tcPr>
          <w:p w:rsidR="00AC0832" w:rsidRDefault="00AC0832" w:rsidP="00A47D80">
            <w:pPr>
              <w:pStyle w:val="CellColumn"/>
            </w:pPr>
            <w:r>
              <w:t>99,3</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 xml:space="preserve">Carinska uprava zaštitu financijskih interesa u području carina, trošarina i poreza ostvaruje kroz osiguranje učinkovitog prikupljanja javnih prihoda iz nadležnosti Carinske uprave. Carinska uprava obavlja poslove praćenja naplate prihoda državnog proračuna po osnovi carine, posebnih poreza, trošarina, poreza na dodanu vrijednost i drugih propisanih javnih davanja koja su joj stavljena u nadležnost.  </w:t>
      </w:r>
    </w:p>
    <w:p w:rsidR="00AC0832" w:rsidRDefault="00AC0832" w:rsidP="00C63D4C">
      <w:pPr>
        <w:pStyle w:val="Normal6"/>
      </w:pPr>
      <w:r>
        <w:t xml:space="preserve">Uz navedene poslove, Carinska uprava provodi i poslove naknadne provjere obveznika carinskih, trošarinskih, poreznih i drugih davanja na carinskom području Republike Hrvatske. </w:t>
      </w:r>
    </w:p>
    <w:p w:rsidR="00AC0832" w:rsidRDefault="00AC0832" w:rsidP="00C63D4C">
      <w:pPr>
        <w:pStyle w:val="Normal6"/>
      </w:pPr>
      <w:r>
        <w:t xml:space="preserve">Od ukupnog broja naknadnih kontrola (1727) 845 ili 43 % ih je obavljeno temeljem Obavijesti o poreznom nadzoru i za njih je obavljen porezni nadzor u sjedištu tvrtke. Rezultat obavljenih nadzora je naknadni obračun carinskog duga u iznosu od 76.972.655,73 kn od čega na carinu  4.460.310,67 tj. 6 %, 22.938.356,36 kn na trošarinu i poseban porez tj. 29 %, kn 31.932.676,79 na PDV tj. 41 % i 17.641.311,91 kn na kamate tj. 24 %. Naplaćeno je 2.774.449,80 kn. U 411 slučaja tj. 24 % pokrenut je i prekršajni postupak. Razlika između obračunatih i naplaćenih obveza po obavljenim naknadnim kontrolama proizlazi iz razloga što su u nekim slučajevima postupanja po istima još uvijek u tijeku.  </w:t>
      </w:r>
    </w:p>
    <w:p w:rsidR="00AC0832" w:rsidRDefault="00AC0832" w:rsidP="00C63D4C">
      <w:pPr>
        <w:pStyle w:val="Normal6"/>
      </w:pPr>
      <w:r>
        <w:t xml:space="preserve">U pogledu poduzimanih nadzornih aktivnosti, tijekom 2012. godine na carinskom području Republike Hrvatske obavljeno je ukupno 882 provjera/inspekcijskih nadzora. Najveći broj (310 – 35,00 %) odnosi se na kontrolu trošarinske  robe. Što se tiče kontrole trošarinske robe, najveći broj odnosi se na kontrolu plovila i automobila - 229 ili 74%. </w:t>
      </w:r>
    </w:p>
    <w:p w:rsidR="00AC0832" w:rsidRDefault="00AC0832" w:rsidP="00C63D4C">
      <w:pPr>
        <w:pStyle w:val="Normal6"/>
      </w:pPr>
      <w:r>
        <w:t xml:space="preserve">U 2012. godini ukupan iznos izrečenih novčanih kazni s osnove počinjenih prekršaja je iznosio 14.252.950,00 kn.  </w:t>
      </w:r>
    </w:p>
    <w:p w:rsidR="00AC0832" w:rsidRDefault="00AC0832" w:rsidP="00C63D4C">
      <w:pPr>
        <w:pStyle w:val="Normal6"/>
      </w:pPr>
      <w:r>
        <w:t xml:space="preserve">Od navedenog iznosa, naviše se odnosilo na novčane kazne izrečene za počinjene prekršaje s osnova Carinskog zakona i to 7.820.100,00 kn ili 54,9 %.  </w:t>
      </w:r>
    </w:p>
    <w:p w:rsidR="00AC0832" w:rsidRDefault="00AC0832" w:rsidP="00C63D4C">
      <w:pPr>
        <w:pStyle w:val="Normal6"/>
      </w:pPr>
      <w:r>
        <w:t xml:space="preserve">Nadalje, iznos od 6.357.550,00 kn ili 44,61% čini iznos novčanih kazni izrečenih za prekršaje počinjene s osnova Zakona o trošarinama. </w:t>
      </w:r>
    </w:p>
    <w:p w:rsidR="00AC0832" w:rsidRDefault="00AC0832" w:rsidP="00C63D4C">
      <w:pPr>
        <w:pStyle w:val="Normal6"/>
      </w:pPr>
      <w:r>
        <w:t xml:space="preserve">U 2012. godini, na cjelokupnom području Republike Hrvatske podneseno je ukupno 65 kaznenih prijava nadležnim državnim odvjetništvima. Ukupno procijenjena nastala šteta od počinjenja svih kaznenih djela iznosi 1.201.818,61 kn. Od ukupnog broja kaznenih prijava za kazneno djelo iz članka 298. KZ - izbjegavanje carinskog nadzora - podneseno je ukupno 35 kaznenih prijava, a procijenjena šteta nastala počinjenjem ovih djela iznosila je 784.417,49 kn; za kazneno djelo iz članka 311. KZ – Krivotvorenje isprave - podnesena je ukupno 1 kaznena prijava, a procijenjena šteta nastala počinjenjem ovog kaznenog djela iznosila je 9.149,52 kn; za kazneno djelo iz članka 276. – Krivotvorenje - podnesena je ukupno 1 kaznena prijava, a procijenjena šteta nastala počinjenjem ovih kaznenih djela iznosila je 600,00 kn; za kazneno djelo iz članka 345. – Pronevjera - podnesena je ukupno 1 kaznena prijava, a procijenjena šteta nastala počinjenjem ovih kaznenih djela iznosila je 3.543,33 kn; za kazneno djelo iz članka 297. – Nedozvoljena trgovina - podnesene su ukupno 23 kaznene prijave, a procijenjena šteta nastala počinjenjem ovih kaznenih djela iznosila je 169.958,27 kn. Po osnovu članka 285. – Povreda prava industrijskog vlasništva i neovlaštena uporaba tuđe tvrtke – podnesene su ukupno 3 kaznene prijave, a procijenjena nastala šteta iznosila je 234.150,00 kn. Po osnovu članka 335. – Nedozvoljeno posjedovanje oružja i eksplozivnih tvari - podnesena je ukupno 1 kaznena prijava. </w:t>
      </w:r>
    </w:p>
    <w:p w:rsidR="00AC0832" w:rsidRDefault="00AC0832" w:rsidP="00C63D4C">
      <w:pPr>
        <w:pStyle w:val="Normal6"/>
      </w:pPr>
      <w:r>
        <w:t xml:space="preserve">Pojačani nadzor nenamjenske uporabe energenata u 2012. godini provodio se na cjelokupnom carinskom području Republike Hrvatske i to na carinskim ispostavama (robnim, graničnim), parkiralištima, mjestima zaustavljanja i prometnim pravcima, benzinskim postajama. Uzimani su uzorci pogonskog goriva iz radnih strojeva, vozila hrvatskih registarskih oznaka, te je kontrolirana evidencija o kupcima lož ulja EL i LS i eurodizel - dizelskog goriva obojanog plavom bojom, kakvu propisuje Zakon o trošarinama. U navedenom razdoblju obavljena je kontrola pogonskog goriva u 45.919 spremnika. Pri tome su nepravilnosti u vezi nenamjenskog korištenja pogonskog goriva utvrđene u 1.053 slučaja (2,3%). Obračunato je naknadno utvrđenog duga u iznosu od 13.337.338,00 kuna na ime trošarina na energente. U strukturi nepravilnosti po vrstama prijevoznih sredstava najviše su zastupljena osobna vozila (68 %), zatim teretna vozila (19 %) a ostala vozila, odnosno plovila te radni strojevi čine (13 %).  </w:t>
      </w:r>
    </w:p>
    <w:p w:rsidR="00AC0832" w:rsidRDefault="00AC0832" w:rsidP="00C63D4C">
      <w:pPr>
        <w:pStyle w:val="Normal6"/>
      </w:pPr>
      <w:r>
        <w:t xml:space="preserve">U 2012. godini na carinskom području Republike Hrvatske ukupno je privremeno oduzeto 4.081.240 komada različitih vrsta cigareta. U 2012. godini najviše zaplijenjenih cigareta je bilo na području Carinarnice Osijek (2.570.280 komada cigareta), Carinarnice Ploče (787.510 komada cigareta) i Carinarnice Zagreb (585.030 komada cigareta). U 2012. godini na carinskom području Republike Hrvatske od stranih vrsta cigareta najviše je bilo zaplijenjeno vrste MARLBORO (1.034.160 komada), dok je od domaćih vrsta najviše bilo zaplijenjeno cigareta vrste WALTER WOLF (246.900 komada). </w:t>
      </w:r>
    </w:p>
    <w:p w:rsidR="00AC0832" w:rsidRDefault="00AC0832" w:rsidP="00C63D4C">
      <w:pPr>
        <w:pStyle w:val="Normal6"/>
      </w:pPr>
      <w:r>
        <w:t xml:space="preserve">Nadalje, privremeno je oduzeto 2.247,59 kg duhana, od toga najviše na području Carinarnice Varaždin (1.011,59 kg), Carinarnice Zagreb (689,22 kg) i Carinarnice Osijek (328,82 kg).  </w:t>
      </w:r>
    </w:p>
    <w:p w:rsidR="00AC0832" w:rsidRDefault="00AC0832" w:rsidP="00C63D4C">
      <w:pPr>
        <w:pStyle w:val="Normal6"/>
      </w:pPr>
      <w:r>
        <w:t xml:space="preserve">Na carinskom području Republike Hrvatske tijekom 2012. godine zaplijenjeno je ukupno 643.809,15 grama droge i 19.490 komada lijekova koji sadrže droge i steroide. Od navedenog je: 24.819,00 grama droge tipa heroin, 597.732,30 grama droge tipa marihuana, 21.257,85 grama droge tipa hašiš, 10.594 komada lijekova koji sadrže narkotike i 8.896 komada i ampula steroida.       </w:t>
      </w:r>
    </w:p>
    <w:p w:rsidR="00AC0832" w:rsidRDefault="00AC0832" w:rsidP="00C63D4C">
      <w:pPr>
        <w:pStyle w:val="Normal6"/>
      </w:pPr>
      <w:r>
        <w:t xml:space="preserve">Nadalje, tijekom 2012. godine, evidentirano je 30 pokušaja krijumčarenja ugroženih vrsta divljih biljaka i životinja, tj. utvrđeno je 30 nepravilnosti u povredi odredaba CITES Konvencije kao i odredaba Zakona o zaštiti prirode, odnosno Pravilnika o prekograničnom prometu i trgovini zaštićenim vrstama. </w:t>
      </w:r>
    </w:p>
    <w:p w:rsidR="00AC0832" w:rsidRDefault="00AC0832" w:rsidP="00C63D4C">
      <w:pPr>
        <w:pStyle w:val="Normal6"/>
      </w:pPr>
      <w:r>
        <w:t xml:space="preserve">Također, otkrivene su 2 nepravilnosti vezane za prekogranični promet otpadom. </w:t>
      </w:r>
    </w:p>
    <w:p w:rsidR="00AC0832" w:rsidRDefault="00AC0832" w:rsidP="00C63D4C">
      <w:pPr>
        <w:pStyle w:val="Normal6"/>
      </w:pPr>
      <w:r>
        <w:t xml:space="preserve">U 2012. godini, ukupno je privremeno oduzeto nezakonito preko granice prenošene gotovine u protuvrijednosti od 830.710,01€. </w:t>
      </w:r>
    </w:p>
    <w:p w:rsidR="00AC0832" w:rsidRDefault="00AC0832" w:rsidP="00C63D4C">
      <w:pPr>
        <w:pStyle w:val="Normal6"/>
      </w:pPr>
      <w:r>
        <w:t xml:space="preserve">Također, otkriven je 1 pokušaj krijumčarenja robe za koju se sumnja da ima svojstvo kulturnog dobra. </w:t>
      </w:r>
    </w:p>
    <w:p w:rsidR="00AC0832" w:rsidRDefault="00AC0832" w:rsidP="00C63D4C">
      <w:pPr>
        <w:pStyle w:val="Normal6"/>
      </w:pPr>
      <w:r>
        <w:t xml:space="preserve">U 2012. godini carinski službenici otkrili su ukupno 49 pokušaja ilegalnog prijelaza preko državne granice, odnosno ukupno 215 osoba koje su na ilegalni način pokušale prijeći državnu granicu. </w:t>
      </w:r>
    </w:p>
    <w:p w:rsidR="00AC0832" w:rsidRDefault="00AC0832" w:rsidP="00C63D4C">
      <w:pPr>
        <w:pStyle w:val="Normal6"/>
      </w:pPr>
      <w:r>
        <w:t xml:space="preserve">Nadalje, na carinskom području Republike Hrvatske ukupno je privremeno oduzeto 13.005,96 litara alkohola i alkoholnih pića, te 1.410,85 litara vina, 3.177,35 kg svježeg mesa i 2.670,27 kg suhog mesa. </w:t>
      </w:r>
    </w:p>
    <w:p w:rsidR="00AC0832" w:rsidRDefault="00AC0832" w:rsidP="00C63D4C">
      <w:pPr>
        <w:pStyle w:val="Normal6"/>
      </w:pPr>
      <w:r>
        <w:t xml:space="preserve">Tijekom 2012. godine izvršenim kontrolama CEMT dozvola ukupno je otkrivena 239 nepravilnosti. Najviše otkrivenih nepravilnosti bilo je na području Carinarnice Zagreb (205 otkrivenih nepravilnosti), Carinarnice Varaždin (17 otkrivenih nepravilnosti), Carinarnice Split (11 otkrivenih nepravilnosti), Carinarnice Rijeka (2 otkrivene nepravilnosti) i Carinarnice Osijek (4 otkrivene nepravilnosti), dok na području ostalih carinarnica nije bilo otkrivenih nepravilnosti. </w:t>
      </w:r>
    </w:p>
    <w:p w:rsidR="00AC0832" w:rsidRDefault="00AC0832" w:rsidP="00C63D4C">
      <w:pPr>
        <w:pStyle w:val="Normal6"/>
      </w:pPr>
      <w:r>
        <w:t xml:space="preserve">U 2012. godini carinski službenici Carinske uprave u okviru međunarodne suradnje (SELEC Centar, OLAF, WCO, EUROPOL i sa carinskim administracijama drugih zemalja) sudjelovali su u provođenju i koordiniranju slijedećih međunarodnih carinskih operacija i projekata: </w:t>
      </w:r>
    </w:p>
    <w:p w:rsidR="00AC0832" w:rsidRDefault="00AC0832" w:rsidP="00C63D4C">
      <w:pPr>
        <w:pStyle w:val="Normal6"/>
      </w:pPr>
      <w:r>
        <w:t xml:space="preserve">DEMETER II je usmjerena na praćenje legalnih pošiljaka opasnog i neopasnog otpada te na otkrivanje ilegalnih pošiljaka opasnog otpada u pomorskom prometu, te je operativna faza provedena u razdoblju od 13. veljače do 11. ožujka 2012. godine. SHADOW V je usmjerena na sprječavanje krijumčarenja i nezakonite trgovine cigareta i sirovog duhana, odnosno materijala i strojeva za ilegalnu proizvodnju duhanskih proizvoda u cestovnom, zračnom i pomorskom prometu, te otkrivanje ilegalnih proizvodnih pogona i novih trendova krijumčarenja na području zemalja članica SELEC-a te je operativna faza provedena u razdoblju od 5. do 14. ožujka 2012. godine. Tijekom trajanja operativne faze otkriveno je 14 nepravilnosti te je ukupno zaplijenjeno 743,29 kg duhana, od toga 648,84 kg sirovog duhana i 94,45 kg duhana za pušenje, kao i 297.000 komada cigareta raznih vrsta. GREEN PANDORA je usmjerena prvenstveno na zaštitu okoliša i prirode, odnosno na suzbijanje krijumčarenja proizvoda što mogu imati negativni utjecaj na prirodu i okoliš, operativna faza provedena je u razdoblju od 26. ožujka do 6. travnja 2012. godine. LEASE CAR je usmjerena na suzbijanje krijumčarenja motornih vozila, posebice ukradenih motornih vozila a operativna faza je provedena u vremenskom razdoblju od 26. do 28. rujna 2012. godine. Tijekom operativne akcije provodile su se pojačane mjere nadzora i kontrole motornih vozila na graničnim prijelazima, pojačane kontrole auto-cesta, i pojačani nadzor pri redovnom postupku carinjenja. Tijekom trajanja operativne akcije, kontrolirano je ukupno 3.208 motorna vozila i  izdvojen 1 slučaj moguće nepravilnosti. PANGEA je usmjerena na sprječavanje nezakonitog prometa krivotvorenih lijekova u  poštanskom prometu, te je operativna faza provedena u vremenskom razdoblju od 20. do 27. rujna 2012. godine. Tijekom operativne akcije provodile su se pojačane mjere kontrole poštanskih pošiljki uključujući pismovne, preporučene i paketne pošiljke. U spomenutom razdoblju sudjelovale su carinarnice koje na prostoru svoje nadležnosti imaju poštu carinjenja ili neku od kurirskih službi. Ukupno je pregledano 5.282 poštanskih pošiljki, te je otkriveno 13 nepravilnosti. </w:t>
      </w:r>
    </w:p>
    <w:p w:rsidR="00AC0832" w:rsidRDefault="00AC0832" w:rsidP="00C63D4C">
      <w:pPr>
        <w:pStyle w:val="Normal6"/>
      </w:pPr>
      <w:r>
        <w:t xml:space="preserve">VICTORY je usmjerena na sprječavanje nezakonite trgovine robom za koju se sumnja da povređuje pravo intelektualnog vlasništva u pomorskom i zračnom prijevozu roba. Tijekom operativne akcije od 3. do 12. listopada 2012. godine  provodile su se selekcije i kontrole sumnjivih pošiljki u pomorskom prometu, odnosno u zračnim lukama te su se razmjenjivale konkretne informacije između sudionika Operacije.  Ukupno je provedeno 30 detaljnih pregleda, te su otkrivene 4 nepravilnosti, 3 u CI Luka Rijeka i 1 u CI Luka Ploče. </w:t>
      </w:r>
    </w:p>
    <w:p w:rsidR="00AC0832" w:rsidRDefault="00AC0832" w:rsidP="00C63D4C">
      <w:pPr>
        <w:pStyle w:val="Normal6"/>
      </w:pPr>
      <w:r>
        <w:t xml:space="preserve">ATHENA III je usmjerena na praćenje i prijavljivanje legalnih prijenosa gotovine i čekova, te sprječavanje krijumčarenja istih u zračnom i cestovnom prometu. Operativna faza provedena je u vremenskom razdoblju od 16. do 22. listopada 2012. godine. Tijekom operativne akcije provodile su se pojačane mjere praćenja i prijavljivanja legalnih prijenosa gotovine i čekova pri ulasku i izlasku fizičkih osoba u/iz zemalja članica Europske unije. Tijekom trajanja operativne akcije, utvrđene su 3 nepravilnosti, na području mjesne nadležnosti Carinarnice Zagreb, kojom prilikom je ukupno zaplijenjeno 146.930,99 EUR. </w:t>
      </w:r>
    </w:p>
    <w:p w:rsidR="00AC0832" w:rsidRDefault="00AC0832" w:rsidP="00C63D4C">
      <w:pPr>
        <w:pStyle w:val="Normal6"/>
      </w:pPr>
      <w:r>
        <w:t xml:space="preserve">HERMET je usmjerena na sprječavanje krijumčarenje droge tipa heroin i sintetičke droge tipa metamfetamin tzv. Balkanskom rutom, iz smjera zemalja jugozapadne Azije prema zemljama zapadne Europe, u cestovnom prometu, u osobnim i teretnim vozilima, te autobusima. Operativna faza provedena je u vremenskom razdoblju od 22. do 26. listopada 2012. godine. Tijekom trajanja operativne akcije, pregledano je ukupno 130 sumnjivih pošiljaka, i to 128 pošiljaka fizičkim pregledom i 2 pošiljke RTG pregledom. Na carinskom području Republike Hrvatske, za vrijeme trajanja operacije zaplijenjeno je 50,00 g sintetičkih droga, 2,80 g marihuane, 2,00 g sjemena kanabisa i 285,00 g lijekova koji sadrže narkotike. </w:t>
      </w:r>
    </w:p>
    <w:p w:rsidR="00AC0832" w:rsidRDefault="00AC0832" w:rsidP="00C63D4C">
      <w:pPr>
        <w:pStyle w:val="Normal6"/>
      </w:pPr>
      <w:r>
        <w:t xml:space="preserve">ORION je usmjerena na suzbijanje krijumčarenja zaštićenih vrsta ptica, posebice strogo zaštićenih i zaštićenih vrsta ptica pjevica i močvarica na području jugoistočne Europe </w:t>
      </w:r>
    </w:p>
    <w:p w:rsidR="00AC0832" w:rsidRDefault="00AC0832" w:rsidP="00C63D4C">
      <w:pPr>
        <w:pStyle w:val="Normal6"/>
      </w:pPr>
      <w:r>
        <w:t xml:space="preserve">Rezultati rada sustava za upravljanje rizicima se mjere kroz: razliku u obračunu carinskih davanja, broj distribucije JCD po razinama provjere, broj aktivnih profila te razliku u obračunu carinskih davanja i to na način da se utvrđuje razlika između carinskih davanja u početnoj fazi carinskog postupka, odnosno u trenutku prijavljivanja pošiljke za carinjenje i konačnog obračuna carinskih davanja. Obračunata carinska davanja nakon što su JCD prošle kroz sustav za upravljanje rizicima i provjeru kontrolora su za 0,17 %, odnosno 55.279.422,56 kuna veća od iznosa koji je prijavljen. Razlika u obračunu prijavljenih i stvarno obračunatih davanja kreće u rasponu tijekom dvanaest mjeseci 2012. godine od najviše 0,59 % u kolovozu do najmanje 0,04 % u lipnju, a ukupna razlika u obračunu na razini države iznosi 0,19 %. Iz navedenoga moguće je zaključiti da profili i kontrolori koji usmjeravaju pošiljke na žutu razinu provjere vrlo često iz opravdanih razloga usmjeravaju u provjeru dokumenata ili traženje dodatnih dokumenata obzirom da je ova vrsta kontrole najzastupljenija. </w:t>
      </w:r>
    </w:p>
    <w:p w:rsidR="00AC0832" w:rsidRDefault="00AC0832" w:rsidP="00C63D4C">
      <w:pPr>
        <w:pStyle w:val="Normal6"/>
      </w:pPr>
      <w:r>
        <w:t xml:space="preserve">Distribucija JCD po razinama provjere rezultat je rada sustava za upravljanje rizicima i intervencije kontrolora na carinskim ispostavama. Deklaracije su na razini države, sustavom za upravljanje rizicima raspoređene 68,22 % u zelenu rutu, 26,57 % u žutu rutu, te 5,21 % u crvenu rutu. Nadalje, temeljem zajedničke aktivnosti profila i kontrolora u zelenu rutu na razini države raspoređeno je ukupno  65,92 % deklaracija, u žutu rutu raspoređeno je 27,13 % deklaracija, dok je u crvenu rutu raspoređeno ukupno 6,96 % deklaracija.  </w:t>
      </w:r>
    </w:p>
    <w:p w:rsidR="00AC0832" w:rsidRDefault="00AC0832" w:rsidP="00C63D4C">
      <w:pPr>
        <w:pStyle w:val="Normal6"/>
      </w:pPr>
      <w:r>
        <w:t xml:space="preserve">Od početka rada sustava za upravljanje rizicima ukupno je izrađeno 319 profila, a na dan 4. siječnja 2013. godine bilo je aktivno ukupno 276 profila. Njihov broj tijekom godine varira ovisno o ciljevima i vrsti samih profila. </w:t>
      </w:r>
    </w:p>
    <w:p w:rsidR="00AC0832" w:rsidRDefault="00AC0832" w:rsidP="00C63D4C">
      <w:pPr>
        <w:pStyle w:val="Normal6"/>
      </w:pPr>
      <w:r>
        <w:t xml:space="preserve">Nadalje, od strane službenika Sektora za unutarnji nadzor i kontrolu tijekom 2012. godine proveden je ukupno 21 postupak unutarnjeg nadzora i kontrole,  7 postupaka unutarnjeg nadzora i kontrole carinarnica s ciljem otklanjanja nepravilnosti i ujednačavanja prakse rada, te od strane ustrojstvenih jedinica carinarnica 267 postupaka unutarnjeg nadzora i kontrole. Također, pokrenuto je niz aktivnosti u cilju suzbijanja korupcije, organiziranog kriminaliteta te provođenja antikorupcijskih mjera. </w:t>
      </w:r>
    </w:p>
    <w:p w:rsidR="00AC0832" w:rsidRDefault="00AC0832" w:rsidP="00C63D4C">
      <w:pPr>
        <w:pStyle w:val="Normal6"/>
      </w:pPr>
      <w:r>
        <w:t xml:space="preserve">Nastavljen je rad na području informacijske sigurnosti, te se sukladno tome u Ministarstvu financija sudjelovalo na radnim sastancima Ureda Vijeća za nacionalnu sigurnost na temu Nadzor mjera i standarda za informacijsku sigurnost. </w:t>
      </w:r>
    </w:p>
    <w:p w:rsidR="00AC0832" w:rsidRDefault="00AC0832" w:rsidP="00C63D4C">
      <w:pPr>
        <w:pStyle w:val="Normal6"/>
      </w:pPr>
      <w:r>
        <w:t xml:space="preserve">Nadalje, izvršeni su poslovi izrade stručnih podloga za donošenje niza propisa iz područja carina,   trošarina te posebnih poreza. Donijeti su brojni zakoni, pravilnici, uredbe, napuci, upute i mišljenja za provedbu propisa iz spomenutih područja.  </w:t>
      </w:r>
    </w:p>
    <w:p w:rsidR="00AC0832" w:rsidRDefault="00AC0832" w:rsidP="00C63D4C">
      <w:pPr>
        <w:pStyle w:val="Normal6"/>
      </w:pPr>
      <w:r>
        <w:t xml:space="preserve">Davana su pojašnjenja sukladno zahtjevima Europske komisije iz područja oporezivanja trošarinom.  Sustavno je praćena provedba hrvatskih propisa o oporezivanju trošarinskih proizvoda i proizvoda koji podliježu plaćanju posebnih poreza. Sustavno su praćeni trošarinski propisi Europske unije u svrhu usklađenja propisa hrvatskog trošarinskog sustava s propisima trošarinskog sustava EU. </w:t>
      </w:r>
    </w:p>
    <w:p w:rsidR="00AC0832" w:rsidRDefault="00AC0832" w:rsidP="00C63D4C">
      <w:pPr>
        <w:pStyle w:val="Normal6"/>
      </w:pPr>
      <w:r>
        <w:t xml:space="preserve">Sustavno je vršeno praćenje propisa Europske unije i zakonodavstva država članica koje osim harmoniziranih trošarina primjenjuju i EU ne harmonizirane  trošarine, u svrhu usklađivanja propisa hrvatskog zakonodavstva kojima se uređuje oporezivanje proizvoda posebnim porezima s EU ne harmoniziranim trošarinskim zakonodavstvom pojedinih država članica  EU. Vršeno je sustavno praćenje propisa Europske unije vezanih uz kretanje trošarinskih proizvoda i administrativnu suradnju. </w:t>
      </w:r>
    </w:p>
    <w:p w:rsidR="00AC0832" w:rsidRDefault="00AC0832" w:rsidP="00C63D4C">
      <w:pPr>
        <w:pStyle w:val="Normal6"/>
      </w:pPr>
      <w:r>
        <w:t xml:space="preserve">Nadalje, u svezi aktivnosti koje su provođene iz djelokruga rada Sektora za carinsku vrijednost, tarifu i podrijetlo, sudjelovalo se u radu: Odbora za carinsku vrijednost EK, Odbora za podrijetlo EK, PEM skupine,  različitih odbora iz područja carinske tarife, TARIC-a, tarifnih mjera, suspenzija i organizacije zajedničkog tržišta, Tehničkog odbora za carinsku vrijednost WCO, Pododbora CEFTE za carinska pitanja, Radionice o sintetskim drogama, Obuke za korištenje aplikacije EBTI 3 (Basic IT), Obuke za korištenje aplikacije ECICS 2, Radionice za tekstil i obuća, Radionice o ispitivanju autentičnosti hrane i sigurnoj konzumaciji, Sastanku projektne grupe za KN poglavlje 27. </w:t>
      </w:r>
    </w:p>
    <w:p w:rsidR="00AC0832" w:rsidRDefault="00AC0832" w:rsidP="00C63D4C">
      <w:pPr>
        <w:pStyle w:val="Normal6"/>
      </w:pPr>
      <w:r>
        <w:t xml:space="preserve">Dana 01.07.2012. godine uspostavljen je TARIC/kvota  centar.  </w:t>
      </w:r>
    </w:p>
    <w:p w:rsidR="00AC0832" w:rsidRDefault="00AC0832" w:rsidP="00C63D4C">
      <w:pPr>
        <w:pStyle w:val="Normal6"/>
      </w:pPr>
      <w:r>
        <w:t xml:space="preserve">Izvršeno je usklađivanje carinske tarife s izmjenama Kombinirane nomenklature i pripremljena Uredba o carinskoj tarifi za 2013 godinu. Tijekom 2012. godine izvršene su provjere vjerodostojnosti dokumentacije po zamolbama stranih administracija, kao i provjere u stranim administracijama po zamolbama carinarnica, Odjela ili MUP-a. </w:t>
      </w:r>
    </w:p>
    <w:p w:rsidR="00AC0832" w:rsidRDefault="00AC0832" w:rsidP="00C63D4C">
      <w:pPr>
        <w:pStyle w:val="Normal6"/>
      </w:pPr>
      <w:r>
        <w:t xml:space="preserve">Provođeno je usavršavanje baze znanja iz carinske tarife te unos novih dokumenata u aplikaciju za carinsku tarifu. U aplikaciju za carinsku tarifu uneseno je 56 uredbi EK, 18 odluka WCO-a, 42 tumačenja objavljenih u Carinskom vjesniku, sve vezano uz razvrstavanje u carinsku tarifu. </w:t>
      </w:r>
    </w:p>
    <w:p w:rsidR="00AC0832" w:rsidRDefault="00AC0832" w:rsidP="00C63D4C">
      <w:pPr>
        <w:pStyle w:val="Normal6"/>
      </w:pPr>
      <w:r>
        <w:t xml:space="preserve">Obavljeno je 2464 laboratorijskih analiza za potrebe carinske službe za uzorke uzete u postupku carinjenja, od toga je 2263 završenih analiza, 201 analiza je u tijeku. Na nadzor goriva odnosile su se 702 analize.  </w:t>
      </w:r>
    </w:p>
    <w:p w:rsidR="00AC0832" w:rsidRDefault="00AC0832" w:rsidP="00C63D4C">
      <w:pPr>
        <w:pStyle w:val="Normal6"/>
      </w:pPr>
      <w:r>
        <w:t xml:space="preserve">Vršilo se praćenje cijena putem raspoloživih izvora za određene vrste roba, te davanje informacija carinarnicama o prosječnim cijenama raznih roba na svjetskom tržištu - na dnevnoj bazi - ukupno cca 5000 kom (Odjel za CV SU 4000, regionalni odjeli Osijek i Split 1000). Temeljem istog naplaćeno je više 5.100.000,00 kn (od toga u Osijeku 650.000 kn (od 1.5.2012.) i Splitu 550.000 kn (od 20.10.2012.) kn uvoznih davanja. Koordiniran je rad carinarnica radi prikupljanja podataka, usuglašavani parametri za stvaranje baze podataka u okviru analize rizika (voće i povrće, cvijeće). Dostavljani su podaci o cijenama za burzovne artikle. Izdano 341 obvezujućih mišljenja o razvrstavanju robe u CT i 10 obvezujućih mišljenja o podrijetlu robe. Izdano 15 mišljenja o utvrđivanju carinske vrijednosti, više mišljenja iz područja carinske tarife, cca 2000 odgovora na upite putem telefona i e-maila. </w:t>
      </w:r>
    </w:p>
    <w:p w:rsidR="00AC0832" w:rsidRDefault="00AC0832" w:rsidP="00C63D4C">
      <w:pPr>
        <w:pStyle w:val="Normal6"/>
      </w:pPr>
      <w:r>
        <w:t xml:space="preserve">Kontinuirano se sudjelovalo u radu na Projektu Integracije informacijskog sustava za upravljanje financijama Državne riznice s Informacijskim sustavom za upravljanje financijama u Carinskoj upravi, te na projektu Centraliziranog obračuna plaća kao i na razvoju računovodstvenih procesa i nadogradnje računovodstvenih sustava Carinske uprave. </w:t>
      </w:r>
    </w:p>
    <w:p w:rsidR="00AC0832" w:rsidRDefault="00AC0832" w:rsidP="00C63D4C">
      <w:pPr>
        <w:pStyle w:val="Normal6"/>
      </w:pPr>
      <w:r>
        <w:t xml:space="preserve"> </w:t>
      </w:r>
    </w:p>
    <w:p w:rsidR="00AC0832" w:rsidRDefault="00AC0832" w:rsidP="00C63D4C">
      <w:pPr>
        <w:pStyle w:val="Normal6"/>
      </w:pPr>
      <w:r>
        <w:t xml:space="preserve">Državnim proračunom za aktivnost A540000 Administracija i upravljanje Carinske uprave u 2012. godini osigurana su sredstva u visini 444.607.577 kn. Ostvareni su rashodi u visini 441.303.449,38 kn, uz postotak izvršenja proračuna 99,26%. </w:t>
      </w:r>
    </w:p>
    <w:p w:rsidR="00AC0832" w:rsidRDefault="00AC0832" w:rsidP="00C63D4C">
      <w:pPr>
        <w:pStyle w:val="Normal6"/>
      </w:pPr>
      <w:r>
        <w:t xml:space="preserve">Najznačajnija stavka rashoda u ovoj aktivnosti odnosi se na rashode za zaposlene. Rashodi za zaposlene u 2012. godini planirani su u iznosu od 370.285.578,00 kuna, a ostvareni u iznosu od 369.190.430,00 kuna što iznosi 99,70% planiranih rashoda za zaposlene odnosno 86,80% ukupnog izvršenja unutar aktivnosti A540000 Administracija i upravljanje Carinske uprave za 2012. godinu.  </w:t>
      </w:r>
    </w:p>
    <w:p w:rsidR="00AC0832" w:rsidRDefault="00AC0832" w:rsidP="00C63D4C">
      <w:pPr>
        <w:pStyle w:val="Normal6"/>
      </w:pPr>
      <w:r>
        <w:t>Sredstvima utrošenim u 2012. godini Carinska uprava ostvarila je sve zadane ciljeve koji se odnose na navedenu aktivnost.</w:t>
      </w:r>
    </w:p>
    <w:p w:rsidR="00AC0832" w:rsidRDefault="00AC0832" w:rsidP="00C63D4C">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96"/>
        <w:gridCol w:w="1642"/>
        <w:gridCol w:w="879"/>
        <w:gridCol w:w="1120"/>
        <w:gridCol w:w="959"/>
        <w:gridCol w:w="1120"/>
        <w:gridCol w:w="1372"/>
      </w:tblGrid>
      <w:tr w:rsidR="00AC0832" w:rsidTr="00A47D80">
        <w:trPr>
          <w:jc w:val="center"/>
        </w:trPr>
        <w:tc>
          <w:tcPr>
            <w:tcW w:w="1300" w:type="dxa"/>
            <w:shd w:val="clear" w:color="auto" w:fill="B5C0D8"/>
          </w:tcPr>
          <w:p w:rsidR="00AC0832" w:rsidRPr="00392240" w:rsidRDefault="00AC0832" w:rsidP="00A47D80">
            <w:pPr>
              <w:rPr>
                <w:sz w:val="20"/>
                <w:lang w:eastAsia="hr-HR"/>
              </w:rPr>
            </w:pPr>
            <w:r w:rsidRPr="00392240">
              <w:rPr>
                <w:sz w:val="20"/>
                <w:lang w:eastAsia="hr-HR"/>
              </w:rPr>
              <w:t>Pokazatelj rezultata</w:t>
            </w:r>
          </w:p>
        </w:tc>
        <w:tc>
          <w:tcPr>
            <w:tcW w:w="1300" w:type="dxa"/>
            <w:shd w:val="clear" w:color="auto" w:fill="B5C0D8"/>
          </w:tcPr>
          <w:p w:rsidR="00AC0832" w:rsidRDefault="00AC0832" w:rsidP="00A47D80">
            <w:pPr>
              <w:pStyle w:val="CellHeader"/>
            </w:pPr>
            <w:r>
              <w:t>Definicija</w:t>
            </w:r>
          </w:p>
        </w:tc>
        <w:tc>
          <w:tcPr>
            <w:tcW w:w="1300" w:type="dxa"/>
            <w:shd w:val="clear" w:color="auto" w:fill="B5C0D8"/>
          </w:tcPr>
          <w:p w:rsidR="00AC0832" w:rsidRDefault="00AC0832" w:rsidP="00A47D80">
            <w:pPr>
              <w:pStyle w:val="CellHeader"/>
            </w:pPr>
            <w:r>
              <w:t>Jedinica</w:t>
            </w:r>
          </w:p>
        </w:tc>
        <w:tc>
          <w:tcPr>
            <w:tcW w:w="1300" w:type="dxa"/>
            <w:shd w:val="clear" w:color="auto" w:fill="B5C0D8"/>
          </w:tcPr>
          <w:p w:rsidR="00AC0832" w:rsidRDefault="00AC0832" w:rsidP="00A47D80">
            <w:pPr>
              <w:pStyle w:val="CellHeader"/>
            </w:pPr>
            <w:r>
              <w:t>Polazna vrijednost</w:t>
            </w:r>
          </w:p>
        </w:tc>
        <w:tc>
          <w:tcPr>
            <w:tcW w:w="1300" w:type="dxa"/>
            <w:shd w:val="clear" w:color="auto" w:fill="B5C0D8"/>
          </w:tcPr>
          <w:p w:rsidR="00AC0832" w:rsidRDefault="00AC0832" w:rsidP="00A47D80">
            <w:pPr>
              <w:pStyle w:val="CellHeader"/>
            </w:pPr>
            <w:r>
              <w:t>Izvor podataka</w:t>
            </w:r>
          </w:p>
        </w:tc>
        <w:tc>
          <w:tcPr>
            <w:tcW w:w="1300" w:type="dxa"/>
            <w:shd w:val="clear" w:color="auto" w:fill="B5C0D8"/>
          </w:tcPr>
          <w:p w:rsidR="00AC0832" w:rsidRDefault="00AC0832" w:rsidP="00A47D80">
            <w:pPr>
              <w:pStyle w:val="CellHeader"/>
            </w:pPr>
            <w:r>
              <w:t>Ciljana vrijednost (2012.)</w:t>
            </w:r>
          </w:p>
        </w:tc>
        <w:tc>
          <w:tcPr>
            <w:tcW w:w="1300" w:type="dxa"/>
            <w:shd w:val="clear" w:color="auto" w:fill="B5C0D8"/>
          </w:tcPr>
          <w:p w:rsidR="00AC0832" w:rsidRDefault="00AC0832" w:rsidP="00A47D80">
            <w:pPr>
              <w:pStyle w:val="CellHeader"/>
            </w:pPr>
            <w:r>
              <w:t>Ostvarena vrijednost (2012.)</w:t>
            </w:r>
          </w:p>
        </w:tc>
      </w:tr>
      <w:tr w:rsidR="00AC0832" w:rsidTr="00A47D80">
        <w:trPr>
          <w:jc w:val="center"/>
        </w:trPr>
        <w:tc>
          <w:tcPr>
            <w:tcW w:w="1300" w:type="dxa"/>
          </w:tcPr>
          <w:p w:rsidR="00AC0832" w:rsidRDefault="00AC0832" w:rsidP="00A47D80">
            <w:pPr>
              <w:pStyle w:val="CellColumn"/>
            </w:pPr>
            <w:r>
              <w:t>1.3.1.2. Broj i vrsta izrađenih profila za sustav upravljanja rizicima</w:t>
            </w:r>
          </w:p>
        </w:tc>
        <w:tc>
          <w:tcPr>
            <w:tcW w:w="1300" w:type="dxa"/>
          </w:tcPr>
          <w:p w:rsidR="00AC0832" w:rsidRDefault="00AC0832" w:rsidP="00A47D80">
            <w:pPr>
              <w:pStyle w:val="CellColumn"/>
            </w:pPr>
            <w:r>
              <w:t>Izrada učinkovitih profila rizika kao podloge za provjere (osoba, prijevoznih sredstava, robe i tvrtke)</w:t>
            </w:r>
          </w:p>
        </w:tc>
        <w:tc>
          <w:tcPr>
            <w:tcW w:w="1300" w:type="dxa"/>
          </w:tcPr>
          <w:p w:rsidR="00AC0832" w:rsidRDefault="00AC0832" w:rsidP="00A47D80">
            <w:pPr>
              <w:pStyle w:val="CellColumn"/>
            </w:pPr>
            <w:r>
              <w:t>broj</w:t>
            </w:r>
          </w:p>
        </w:tc>
        <w:tc>
          <w:tcPr>
            <w:tcW w:w="1300" w:type="dxa"/>
          </w:tcPr>
          <w:p w:rsidR="00AC0832" w:rsidRDefault="00AC0832" w:rsidP="00A47D80">
            <w:pPr>
              <w:pStyle w:val="CellColumn"/>
            </w:pPr>
            <w:r>
              <w:t>150</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250</w:t>
            </w:r>
          </w:p>
        </w:tc>
        <w:tc>
          <w:tcPr>
            <w:tcW w:w="1300" w:type="dxa"/>
          </w:tcPr>
          <w:p w:rsidR="00AC0832" w:rsidRDefault="00AC0832" w:rsidP="00A47D80">
            <w:pPr>
              <w:pStyle w:val="CellColumn"/>
            </w:pPr>
            <w:r>
              <w:t>276</w:t>
            </w:r>
          </w:p>
        </w:tc>
      </w:tr>
      <w:tr w:rsidR="00AC0832" w:rsidTr="00A47D80">
        <w:trPr>
          <w:jc w:val="center"/>
        </w:trPr>
        <w:tc>
          <w:tcPr>
            <w:tcW w:w="1300" w:type="dxa"/>
          </w:tcPr>
          <w:p w:rsidR="00AC0832" w:rsidRDefault="00AC0832" w:rsidP="00A47D80">
            <w:pPr>
              <w:pStyle w:val="CellColumn"/>
            </w:pPr>
            <w:r>
              <w:t>1.3.1.3. Rezultati proračunskih i neproračunskih profila koji su ugrađeni u sustav za upravljanje rizicima</w:t>
            </w:r>
          </w:p>
        </w:tc>
        <w:tc>
          <w:tcPr>
            <w:tcW w:w="1300" w:type="dxa"/>
          </w:tcPr>
          <w:p w:rsidR="00AC0832" w:rsidRDefault="00AC0832" w:rsidP="00A47D80">
            <w:pPr>
              <w:pStyle w:val="CellColumn"/>
            </w:pPr>
            <w:r>
              <w:t>Razlika između deklariranog i obračunatog carinskog duga i broj utvrđenih nepravilnosti iskazanih brojem pokrenutih prekršajnih postupaka</w:t>
            </w:r>
          </w:p>
        </w:tc>
        <w:tc>
          <w:tcPr>
            <w:tcW w:w="1300" w:type="dxa"/>
          </w:tcPr>
          <w:p w:rsidR="00AC0832" w:rsidRDefault="00AC0832" w:rsidP="00A47D80">
            <w:pPr>
              <w:pStyle w:val="CellColumn"/>
            </w:pPr>
            <w:r>
              <w:t>broj</w:t>
            </w:r>
          </w:p>
        </w:tc>
        <w:tc>
          <w:tcPr>
            <w:tcW w:w="1300" w:type="dxa"/>
          </w:tcPr>
          <w:p w:rsidR="00AC0832" w:rsidRDefault="00AC0832" w:rsidP="00A47D80">
            <w:pPr>
              <w:pStyle w:val="CellColumn"/>
            </w:pPr>
            <w:r>
              <w:t>0</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20</w:t>
            </w:r>
          </w:p>
        </w:tc>
        <w:tc>
          <w:tcPr>
            <w:tcW w:w="1300" w:type="dxa"/>
          </w:tcPr>
          <w:p w:rsidR="00AC0832" w:rsidRDefault="00AC0832" w:rsidP="00A47D80">
            <w:pPr>
              <w:pStyle w:val="CellColumn"/>
            </w:pPr>
            <w:r>
              <w:t>25</w:t>
            </w:r>
          </w:p>
        </w:tc>
      </w:tr>
      <w:tr w:rsidR="00AC0832" w:rsidTr="00A47D80">
        <w:trPr>
          <w:jc w:val="center"/>
        </w:trPr>
        <w:tc>
          <w:tcPr>
            <w:tcW w:w="1300" w:type="dxa"/>
          </w:tcPr>
          <w:p w:rsidR="00AC0832" w:rsidRDefault="00AC0832" w:rsidP="00A47D80">
            <w:pPr>
              <w:pStyle w:val="CellColumn"/>
            </w:pPr>
            <w:r>
              <w:t>1.3.2.1. Broj provedenih naknadnih provjera (nakon postupka carinjenja robe)</w:t>
            </w:r>
          </w:p>
        </w:tc>
        <w:tc>
          <w:tcPr>
            <w:tcW w:w="1300" w:type="dxa"/>
          </w:tcPr>
          <w:p w:rsidR="00AC0832" w:rsidRDefault="00AC0832" w:rsidP="00A47D80">
            <w:pPr>
              <w:pStyle w:val="CellColumn"/>
            </w:pPr>
            <w:r>
              <w:t>Povećanjem broja naknadnih kontrola osigurat će se zakonito postupanje sudionika u carinskim postupcima, smanjenje carinskih formalnosti i troškova postupka te rast prihoda proračuna</w:t>
            </w:r>
          </w:p>
        </w:tc>
        <w:tc>
          <w:tcPr>
            <w:tcW w:w="1300" w:type="dxa"/>
          </w:tcPr>
          <w:p w:rsidR="00AC0832" w:rsidRDefault="00AC0832" w:rsidP="00A47D80">
            <w:pPr>
              <w:pStyle w:val="CellColumn"/>
            </w:pPr>
            <w:r>
              <w:t>broj</w:t>
            </w:r>
          </w:p>
        </w:tc>
        <w:tc>
          <w:tcPr>
            <w:tcW w:w="1300" w:type="dxa"/>
          </w:tcPr>
          <w:p w:rsidR="00AC0832" w:rsidRDefault="00AC0832" w:rsidP="00A47D80">
            <w:pPr>
              <w:pStyle w:val="CellColumn"/>
            </w:pPr>
            <w:r>
              <w:t>1.500</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1.700</w:t>
            </w:r>
          </w:p>
        </w:tc>
        <w:tc>
          <w:tcPr>
            <w:tcW w:w="1300" w:type="dxa"/>
          </w:tcPr>
          <w:p w:rsidR="00AC0832" w:rsidRDefault="00AC0832" w:rsidP="00A47D80">
            <w:pPr>
              <w:pStyle w:val="CellColumn"/>
            </w:pPr>
            <w:r>
              <w:t>1.727</w:t>
            </w:r>
          </w:p>
        </w:tc>
      </w:tr>
      <w:tr w:rsidR="00AC0832" w:rsidTr="00A47D80">
        <w:trPr>
          <w:jc w:val="center"/>
        </w:trPr>
        <w:tc>
          <w:tcPr>
            <w:tcW w:w="1300" w:type="dxa"/>
          </w:tcPr>
          <w:p w:rsidR="00AC0832" w:rsidRDefault="00AC0832" w:rsidP="00A47D80">
            <w:pPr>
              <w:pStyle w:val="CellColumn"/>
            </w:pPr>
            <w:r>
              <w:t>1.3.2.2. Iznos naknadno obračunatog carinskog duga</w:t>
            </w:r>
          </w:p>
        </w:tc>
        <w:tc>
          <w:tcPr>
            <w:tcW w:w="1300" w:type="dxa"/>
          </w:tcPr>
          <w:p w:rsidR="00AC0832" w:rsidRDefault="00AC0832" w:rsidP="00A47D80">
            <w:pPr>
              <w:pStyle w:val="CellColumn"/>
            </w:pPr>
            <w:r>
              <w:t>Povećanjem iznosa naknadno obračunatog carinskog duga osigurat će se veće ostvarivanje planiranih prihoda te porezna disciplina</w:t>
            </w:r>
          </w:p>
        </w:tc>
        <w:tc>
          <w:tcPr>
            <w:tcW w:w="1300" w:type="dxa"/>
          </w:tcPr>
          <w:p w:rsidR="00AC0832" w:rsidRDefault="00AC0832" w:rsidP="00A47D80">
            <w:pPr>
              <w:pStyle w:val="CellColumn"/>
            </w:pPr>
            <w:r>
              <w:t>KN</w:t>
            </w:r>
          </w:p>
        </w:tc>
        <w:tc>
          <w:tcPr>
            <w:tcW w:w="1300" w:type="dxa"/>
          </w:tcPr>
          <w:p w:rsidR="00AC0832" w:rsidRDefault="00AC0832" w:rsidP="00A47D80">
            <w:pPr>
              <w:pStyle w:val="CellColumn"/>
            </w:pPr>
            <w:r>
              <w:t>30.000.000</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40.000.000</w:t>
            </w:r>
          </w:p>
        </w:tc>
        <w:tc>
          <w:tcPr>
            <w:tcW w:w="1300" w:type="dxa"/>
          </w:tcPr>
          <w:p w:rsidR="00AC0832" w:rsidRDefault="00AC0832" w:rsidP="00A47D80">
            <w:pPr>
              <w:pStyle w:val="CellColumn"/>
            </w:pPr>
            <w:r>
              <w:t>76.972.655,73</w:t>
            </w:r>
          </w:p>
        </w:tc>
      </w:tr>
      <w:tr w:rsidR="00AC0832" w:rsidTr="00A47D80">
        <w:trPr>
          <w:jc w:val="center"/>
        </w:trPr>
        <w:tc>
          <w:tcPr>
            <w:tcW w:w="1300" w:type="dxa"/>
          </w:tcPr>
          <w:p w:rsidR="00AC0832" w:rsidRDefault="00AC0832" w:rsidP="00A47D80">
            <w:pPr>
              <w:pStyle w:val="CellColumn"/>
            </w:pPr>
            <w:r>
              <w:t>1.3.3.1. Broj odobrenih povlaštenih statusa</w:t>
            </w:r>
          </w:p>
        </w:tc>
        <w:tc>
          <w:tcPr>
            <w:tcW w:w="1300" w:type="dxa"/>
          </w:tcPr>
          <w:p w:rsidR="00AC0832" w:rsidRDefault="00AC0832" w:rsidP="00A47D80">
            <w:pPr>
              <w:pStyle w:val="CellColumn"/>
            </w:pPr>
            <w:r>
              <w:t>Povlašteni statusi podrazumijevaju statuse ovlaštenog pošiljatelja i primatelja, odobrenja za pojednostavljene postupke deklariranja robe na temelju trgovačkih isprava i knjigovodstvenih zapisa te status ovlaštenog izvoznika za podrijetlo</w:t>
            </w:r>
          </w:p>
        </w:tc>
        <w:tc>
          <w:tcPr>
            <w:tcW w:w="1300" w:type="dxa"/>
          </w:tcPr>
          <w:p w:rsidR="00AC0832" w:rsidRDefault="00AC0832" w:rsidP="00A47D80">
            <w:pPr>
              <w:pStyle w:val="CellColumn"/>
            </w:pPr>
            <w:r>
              <w:t>broj</w:t>
            </w:r>
          </w:p>
        </w:tc>
        <w:tc>
          <w:tcPr>
            <w:tcW w:w="1300" w:type="dxa"/>
          </w:tcPr>
          <w:p w:rsidR="00AC0832" w:rsidRDefault="00AC0832" w:rsidP="00A47D80">
            <w:pPr>
              <w:pStyle w:val="CellColumn"/>
            </w:pPr>
            <w:r>
              <w:t>1.000</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1.070</w:t>
            </w:r>
          </w:p>
        </w:tc>
        <w:tc>
          <w:tcPr>
            <w:tcW w:w="1300" w:type="dxa"/>
          </w:tcPr>
          <w:p w:rsidR="00AC0832" w:rsidRDefault="00AC0832" w:rsidP="00A47D80">
            <w:pPr>
              <w:pStyle w:val="CellColumn"/>
            </w:pPr>
            <w:r>
              <w:t>1.045</w:t>
            </w:r>
          </w:p>
        </w:tc>
      </w:tr>
      <w:tr w:rsidR="00AC0832" w:rsidTr="00A47D80">
        <w:trPr>
          <w:jc w:val="center"/>
        </w:trPr>
        <w:tc>
          <w:tcPr>
            <w:tcW w:w="1300" w:type="dxa"/>
          </w:tcPr>
          <w:p w:rsidR="00AC0832" w:rsidRDefault="00AC0832" w:rsidP="00A47D80">
            <w:pPr>
              <w:pStyle w:val="CellColumn"/>
            </w:pPr>
            <w:r>
              <w:t>1.3.3.2. Broj donesenih naputaka i uputa za postupanje</w:t>
            </w:r>
          </w:p>
        </w:tc>
        <w:tc>
          <w:tcPr>
            <w:tcW w:w="1300" w:type="dxa"/>
          </w:tcPr>
          <w:p w:rsidR="00AC0832" w:rsidRDefault="00AC0832" w:rsidP="00A47D80">
            <w:pPr>
              <w:pStyle w:val="CellColumn"/>
            </w:pPr>
            <w:r>
              <w:t>Naputcima i uputama stvara se jasno, uređeno i sigurno okruženje carinskog poslovanja za gospodarske subjekte</w:t>
            </w:r>
          </w:p>
        </w:tc>
        <w:tc>
          <w:tcPr>
            <w:tcW w:w="1300" w:type="dxa"/>
          </w:tcPr>
          <w:p w:rsidR="00AC0832" w:rsidRDefault="00AC0832" w:rsidP="00A47D80">
            <w:pPr>
              <w:pStyle w:val="CellColumn"/>
            </w:pPr>
            <w:r>
              <w:t>broj</w:t>
            </w:r>
          </w:p>
        </w:tc>
        <w:tc>
          <w:tcPr>
            <w:tcW w:w="1300" w:type="dxa"/>
          </w:tcPr>
          <w:p w:rsidR="00AC0832" w:rsidRDefault="00AC0832" w:rsidP="00A47D80">
            <w:pPr>
              <w:pStyle w:val="CellColumn"/>
            </w:pPr>
            <w:r>
              <w:t>8</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11</w:t>
            </w:r>
          </w:p>
        </w:tc>
        <w:tc>
          <w:tcPr>
            <w:tcW w:w="1300" w:type="dxa"/>
          </w:tcPr>
          <w:p w:rsidR="00AC0832" w:rsidRDefault="00AC0832" w:rsidP="00A47D80">
            <w:pPr>
              <w:pStyle w:val="CellColumn"/>
            </w:pPr>
            <w:r>
              <w:t>11</w:t>
            </w:r>
          </w:p>
        </w:tc>
      </w:tr>
      <w:tr w:rsidR="00AC0832" w:rsidTr="00A47D80">
        <w:trPr>
          <w:jc w:val="center"/>
        </w:trPr>
        <w:tc>
          <w:tcPr>
            <w:tcW w:w="1300" w:type="dxa"/>
          </w:tcPr>
          <w:p w:rsidR="00AC0832" w:rsidRDefault="00AC0832" w:rsidP="00A47D80">
            <w:pPr>
              <w:pStyle w:val="CellColumn"/>
            </w:pPr>
            <w:r>
              <w:t>1.3.4.1. Uspostavljeni i razvijeni specifični instituti i sustavi kompatibilni odgovarajućim EU sustavima</w:t>
            </w:r>
          </w:p>
        </w:tc>
        <w:tc>
          <w:tcPr>
            <w:tcW w:w="1300" w:type="dxa"/>
          </w:tcPr>
          <w:p w:rsidR="00AC0832" w:rsidRDefault="00AC0832" w:rsidP="00A47D80">
            <w:pPr>
              <w:pStyle w:val="CellColumn"/>
            </w:pPr>
            <w:r>
              <w:t>Priprema, uspostava i primjena Zajedničke carinske tarife; posebnih mjera agrarne, gospodarske  i trgovinske politike EU, uključujući uspostavu učinkovitog sustava izvoznih kontrola; sustava za integrirano upravljanje carinskom tarifom, te povlaštenog i nepovlaštenog podrijetla sukladno pravnoj stečevini EU</w:t>
            </w:r>
          </w:p>
        </w:tc>
        <w:tc>
          <w:tcPr>
            <w:tcW w:w="1300" w:type="dxa"/>
          </w:tcPr>
          <w:p w:rsidR="00AC0832" w:rsidRDefault="00AC0832" w:rsidP="00A47D80">
            <w:pPr>
              <w:pStyle w:val="CellColumn"/>
            </w:pPr>
            <w:r>
              <w:t>%</w:t>
            </w:r>
          </w:p>
        </w:tc>
        <w:tc>
          <w:tcPr>
            <w:tcW w:w="1300" w:type="dxa"/>
          </w:tcPr>
          <w:p w:rsidR="00AC0832" w:rsidRDefault="00AC0832" w:rsidP="00A47D80">
            <w:pPr>
              <w:pStyle w:val="CellColumn"/>
            </w:pPr>
            <w:r>
              <w:t>50</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75</w:t>
            </w:r>
          </w:p>
        </w:tc>
        <w:tc>
          <w:tcPr>
            <w:tcW w:w="1300" w:type="dxa"/>
          </w:tcPr>
          <w:p w:rsidR="00AC0832" w:rsidRDefault="00AC0832" w:rsidP="00A47D80">
            <w:pPr>
              <w:pStyle w:val="CellColumn"/>
            </w:pPr>
            <w:r>
              <w:t>75</w:t>
            </w:r>
          </w:p>
        </w:tc>
      </w:tr>
      <w:tr w:rsidR="00AC0832" w:rsidTr="00A47D80">
        <w:trPr>
          <w:jc w:val="center"/>
        </w:trPr>
        <w:tc>
          <w:tcPr>
            <w:tcW w:w="1300" w:type="dxa"/>
          </w:tcPr>
          <w:p w:rsidR="00AC0832" w:rsidRDefault="00AC0832" w:rsidP="00A47D80">
            <w:pPr>
              <w:pStyle w:val="CellColumn"/>
            </w:pPr>
            <w:r>
              <w:t>1.3.4.2.Pojednostavljene formalnosti u kretanju robe unutar zajedničkog tržišta Europske unije</w:t>
            </w:r>
          </w:p>
        </w:tc>
        <w:tc>
          <w:tcPr>
            <w:tcW w:w="1300" w:type="dxa"/>
          </w:tcPr>
          <w:p w:rsidR="00AC0832" w:rsidRDefault="00AC0832" w:rsidP="00A47D80">
            <w:pPr>
              <w:pStyle w:val="CellColumn"/>
            </w:pPr>
            <w:r>
              <w:t>Izmijenjene i prilagođene odredbe Zakona o posebnim porezima</w:t>
            </w:r>
          </w:p>
        </w:tc>
        <w:tc>
          <w:tcPr>
            <w:tcW w:w="1300" w:type="dxa"/>
          </w:tcPr>
          <w:p w:rsidR="00AC0832" w:rsidRDefault="00AC0832" w:rsidP="00A47D80">
            <w:pPr>
              <w:pStyle w:val="CellColumn"/>
            </w:pPr>
            <w:r>
              <w:t>%</w:t>
            </w:r>
          </w:p>
        </w:tc>
        <w:tc>
          <w:tcPr>
            <w:tcW w:w="1300" w:type="dxa"/>
          </w:tcPr>
          <w:p w:rsidR="00AC0832" w:rsidRDefault="00AC0832" w:rsidP="00A47D80">
            <w:pPr>
              <w:pStyle w:val="CellColumn"/>
            </w:pPr>
            <w:r>
              <w:t>60</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90</w:t>
            </w:r>
          </w:p>
        </w:tc>
        <w:tc>
          <w:tcPr>
            <w:tcW w:w="1300" w:type="dxa"/>
          </w:tcPr>
          <w:p w:rsidR="00AC0832" w:rsidRDefault="00AC0832" w:rsidP="00A47D80">
            <w:pPr>
              <w:pStyle w:val="CellColumn"/>
            </w:pPr>
            <w:r>
              <w:t>90</w:t>
            </w:r>
          </w:p>
        </w:tc>
      </w:tr>
      <w:tr w:rsidR="00AC0832" w:rsidTr="00A47D80">
        <w:trPr>
          <w:jc w:val="center"/>
        </w:trPr>
        <w:tc>
          <w:tcPr>
            <w:tcW w:w="1300" w:type="dxa"/>
          </w:tcPr>
          <w:p w:rsidR="00AC0832" w:rsidRDefault="00AC0832" w:rsidP="00A47D80">
            <w:pPr>
              <w:pStyle w:val="CellColumn"/>
            </w:pPr>
            <w:r>
              <w:t>1.3.4.3. Trošarinski zakonodavni okvir usklađen sa pravnom stečevinom EU</w:t>
            </w:r>
          </w:p>
        </w:tc>
        <w:tc>
          <w:tcPr>
            <w:tcW w:w="1300" w:type="dxa"/>
          </w:tcPr>
          <w:p w:rsidR="00AC0832" w:rsidRDefault="00AC0832" w:rsidP="00A47D80">
            <w:pPr>
              <w:pStyle w:val="CellColumn"/>
            </w:pPr>
            <w:r>
              <w:t>U trošarinskom zakonodavstvu izmijenjene i prilagođene odredbe implementiranjem preuzetih obveza iz Poglavlja 16. Oporezivanje</w:t>
            </w:r>
          </w:p>
        </w:tc>
        <w:tc>
          <w:tcPr>
            <w:tcW w:w="1300" w:type="dxa"/>
          </w:tcPr>
          <w:p w:rsidR="00AC0832" w:rsidRDefault="00AC0832" w:rsidP="00A47D80">
            <w:pPr>
              <w:pStyle w:val="CellColumn"/>
            </w:pPr>
            <w:r>
              <w:t>%</w:t>
            </w:r>
          </w:p>
        </w:tc>
        <w:tc>
          <w:tcPr>
            <w:tcW w:w="1300" w:type="dxa"/>
          </w:tcPr>
          <w:p w:rsidR="00AC0832" w:rsidRDefault="00AC0832" w:rsidP="00A47D80">
            <w:pPr>
              <w:pStyle w:val="CellColumn"/>
            </w:pPr>
            <w:r>
              <w:t>70</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90</w:t>
            </w:r>
          </w:p>
        </w:tc>
        <w:tc>
          <w:tcPr>
            <w:tcW w:w="1300" w:type="dxa"/>
          </w:tcPr>
          <w:p w:rsidR="00AC0832" w:rsidRDefault="00AC0832" w:rsidP="00A47D80">
            <w:pPr>
              <w:pStyle w:val="CellColumn"/>
            </w:pPr>
            <w:r>
              <w:t>90</w:t>
            </w:r>
          </w:p>
        </w:tc>
      </w:tr>
    </w:tbl>
    <w:p w:rsidR="00AC0832" w:rsidRDefault="00AC0832" w:rsidP="00C63D4C">
      <w:pPr>
        <w:jc w:val="left"/>
      </w:pPr>
    </w:p>
    <w:p w:rsidR="00AC0832" w:rsidRDefault="00AC0832" w:rsidP="00C63D4C">
      <w:pPr>
        <w:jc w:val="left"/>
      </w:pPr>
    </w:p>
    <w:p w:rsidR="00AC0832" w:rsidRDefault="00AC0832" w:rsidP="00C63D4C">
      <w:pPr>
        <w:jc w:val="left"/>
      </w:pPr>
    </w:p>
    <w:p w:rsidR="00AC0832" w:rsidRDefault="00AC0832" w:rsidP="00C63D4C">
      <w:pPr>
        <w:pStyle w:val="Heading6"/>
      </w:pPr>
      <w:r>
        <w:t>A540005 ODRŽAVANJE INFORMACIJSKOG SUSTAVA CARINSKE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A540005-ODRŽAVANJE INFORMACIJSKOG SUSTAVA CARINSKE UPRAVE</w:t>
            </w:r>
          </w:p>
        </w:tc>
        <w:tc>
          <w:tcPr>
            <w:tcW w:w="2322" w:type="dxa"/>
          </w:tcPr>
          <w:p w:rsidR="00AC0832" w:rsidRDefault="00AC0832" w:rsidP="00A47D80">
            <w:pPr>
              <w:pStyle w:val="CellColumn"/>
            </w:pPr>
            <w:r>
              <w:t>125.788.901</w:t>
            </w:r>
          </w:p>
        </w:tc>
        <w:tc>
          <w:tcPr>
            <w:tcW w:w="2322" w:type="dxa"/>
          </w:tcPr>
          <w:p w:rsidR="00AC0832" w:rsidRDefault="00AC0832" w:rsidP="00A47D80">
            <w:pPr>
              <w:pStyle w:val="CellColumn"/>
            </w:pPr>
            <w:r>
              <w:t>125.203.862</w:t>
            </w:r>
          </w:p>
        </w:tc>
        <w:tc>
          <w:tcPr>
            <w:tcW w:w="2322" w:type="dxa"/>
          </w:tcPr>
          <w:p w:rsidR="00AC0832" w:rsidRDefault="00AC0832" w:rsidP="00A47D80">
            <w:pPr>
              <w:pStyle w:val="CellColumn"/>
            </w:pPr>
            <w:r>
              <w:t>99,5</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 xml:space="preserve">Carinska služba nužno slijedi sveopći trend uspostave e-okruženja kao bitne sastavnice procesa ukupne modernizacije carinskih sustava. Svrha uspostavljenih IT sustava je omogućavanje povećanja učinkovitosti carinskih kontrola i osiguranje nesmetanog tijeka podataka, čime se omogućuje učinkovitije i brže carinjenje, smanjuje administriranje, pridonosi borbi protiv prijevara, organiziranog kriminala i terorizma, korupciji, zaštiti fiskalnih interesa, prava intelektualnog vlasništva, zaštiti zdravlja i okoliša, većoj sigurnosti robe i međunarodne trgovine, uz istovremeno pojednostavljenje carinskih procedura te smanjenje troškova za carinu i gospodarstvenike. Nadalje, uzimajući u obzir  obveze koje za Carinsku upravu proizlaze u pretpristupnom razdoblju, Carinska uprava je u obvezi izvršiti uspostavu EU kompatibilnih sigurnih, integriranih, interoperabilnih i dostupnih elektronskih sustava za razmjenu podataka iz carinskih deklaracija, popratnih isprava i potvrda, kao i razmjenu ostalih značajnih podataka, i to sustava koji podržavaju provedbu provoznog postupka, sustava za uvoz i izvoz, koji su interoperabilni s provoznim sustavom i omogućavaju nesmetan tijek podataka iz jednoga sustava u drugi na području čitave Europske unije, sustava koji omogućava postupak odobravanja za ovlaštene gospodarske subjekte, uključujući postupak obavještavanja i savjetovanja, sustava identifikacije i registracije gospodarskih subjekata, koji je interoperabilan sa sustavom ovlaštenih gospodarskih subjekata i omogućava jedinstvenu registraciju za cjelokupno poslovanje s carinskim tijelima na cijelom području Europske unije, uzimajući u obzir postojeće zajedničke ili nacionalne sustave. </w:t>
      </w:r>
    </w:p>
    <w:p w:rsidR="00AC0832" w:rsidRDefault="00AC0832" w:rsidP="00C63D4C">
      <w:pPr>
        <w:pStyle w:val="Normal6"/>
      </w:pPr>
      <w:r>
        <w:t xml:space="preserve">U cilju iznijetog, tijekom 2012. godine nastavljene su aktivnosti vezane uz daljnji razvoj aplikacija: EMCS - Sustav kontrole kretanja trošarinskih proizvoda, ECS - Sustav kontrole izvoza, EOS – Sustav gospodarskih subjekata, ICS - Sustav kontrole uvoza, ITMS - Sustav za upravljanje integriranom tarifom Zajednice. Nacionalni projektni planovi za sve EU sustave poslani su u srpnju 2012. godine Europskoj komisiji, a u odnosu na planove testiranja sukladnosti sustava ITMS, EMCS, SEED, NCTS, ECS, EOS i ICS. </w:t>
      </w:r>
    </w:p>
    <w:p w:rsidR="00AC0832" w:rsidRDefault="00AC0832" w:rsidP="00C63D4C">
      <w:pPr>
        <w:pStyle w:val="Normal6"/>
      </w:pPr>
      <w:r>
        <w:t xml:space="preserve">Tijekom 2012. godine osigurano je sučelje za CS/RD za portalne aplikacije NCTS, ECS, ICS i EOS; EMCS i HRAIS. Ujedno je omogućen unos kroz COL listu na portalu šifarnika. MIS je nadograđen kroz portalne aplikacije, te je osigurano slanje statističkih podataka portalnih aplikacija. </w:t>
      </w:r>
    </w:p>
    <w:p w:rsidR="00AC0832" w:rsidRDefault="00AC0832" w:rsidP="00C63D4C">
      <w:pPr>
        <w:pStyle w:val="Normal6"/>
      </w:pPr>
      <w:r>
        <w:t xml:space="preserve">U odnosu na implementaciju EU sustava u ukupan Informacijski sustav kontinuirano su se provodile aktivnosti na projektu ZIISC - Zajednička infrastruktura IS Carinske uprave, a uključuju aktivnosti vezane uz implementaciju G2B servisa (koji obavlja elektroničku razmjenu dokumenata s gospodarstvenicima). Sučelje CCN/CSI - Zajednička komunikacijska mreža/zajedničko sistemsko sučelje nalazi se u produkcijskom radu i podrška je testiranju aplikacija. </w:t>
      </w:r>
    </w:p>
    <w:p w:rsidR="00AC0832" w:rsidRDefault="00AC0832" w:rsidP="00C63D4C">
      <w:pPr>
        <w:pStyle w:val="Normal6"/>
      </w:pPr>
      <w:r>
        <w:t xml:space="preserve">Dana 01.07.2012. godine Republika Hrvatska je pristupila Konvenciji o zajedničkom provoznom postupku, te je na taj način započela internacionalna primjena NCTS sustava, kojemu je ujedno prethodilo opsežno testiranje sukladnosti sustava. </w:t>
      </w:r>
    </w:p>
    <w:p w:rsidR="00AC0832" w:rsidRDefault="00AC0832" w:rsidP="00C63D4C">
      <w:pPr>
        <w:pStyle w:val="Normal6"/>
      </w:pPr>
      <w:r>
        <w:t xml:space="preserve">Nadalje, nastavljene su aktivnosti vezane uz daljnji razvoj aplikacije Intrastat - statističko izvješćivanje robne razmjene između država članica EU. Podrška prilikom instalacije Citrix Acess Gatewaya (CAG), koordinacija oko izdavanja ovlasti za korisnike, kreiranje korisničkih uputa, koordinacija i podrška u spajanju Državnog zavoda za statistiku. </w:t>
      </w:r>
    </w:p>
    <w:p w:rsidR="00AC0832" w:rsidRDefault="00AC0832" w:rsidP="00C63D4C">
      <w:pPr>
        <w:pStyle w:val="Normal6"/>
      </w:pPr>
      <w:r>
        <w:t xml:space="preserve">Također, nastavljene su aktivnosti vezane uz daljnji razvoj aplikacije A i B računa - aplikacija koja podržava sustav vlastitih sredstava Europske unije. Unutar Sustava za analizu rizika tijekom 2012. godine provodile su se aktivnosti daljnje nadogradnje sustava, a prvenstveno u odnosu na primjenu EU sustava: NCTS, te pripremu za povezivanje s ICS, ECS i HRAIS sustavima. </w:t>
      </w:r>
    </w:p>
    <w:p w:rsidR="00AC0832" w:rsidRDefault="00AC0832" w:rsidP="00C63D4C">
      <w:pPr>
        <w:pStyle w:val="Normal6"/>
      </w:pPr>
      <w:r>
        <w:t xml:space="preserve">Razvijana je i implementirana aplikacija Nabava roba i usluga, ista je funkcionalna u dijelu nabava roba.  </w:t>
      </w:r>
    </w:p>
    <w:p w:rsidR="00AC0832" w:rsidRDefault="00AC0832" w:rsidP="00C63D4C">
      <w:pPr>
        <w:pStyle w:val="Normal6"/>
      </w:pPr>
      <w:r>
        <w:t xml:space="preserve">Kontinuirano su se provodile aktivnosti vezane uz održavanje i daljnji razvoj Informacijskog sustava. Isto se je provodilo kako po pitanju aplikativnog dijela IS tako i telekomunikacijske infrastrukture, te sustava PC servera i radnih stanica. Provodile su se aktivnosti vezane uz implementaciju sustava FMIS – sustava za upravljanje financijama i povezivanje sa sustavom Državne riznice. </w:t>
      </w:r>
    </w:p>
    <w:p w:rsidR="00AC0832" w:rsidRDefault="00AC0832" w:rsidP="00C63D4C">
      <w:pPr>
        <w:pStyle w:val="Normal6"/>
      </w:pPr>
      <w:r>
        <w:t xml:space="preserve">Provodile su se aktivnosti vezane uz ZSIS provjeru ranjivosti kroz organizaciju i podršku provedbe provjere ranjivosti servisa Carinske uprave posluženih preko Interneta, evaluacija rezultata i podrška provedbe korekcija po utvrđenim primjedbama. </w:t>
      </w:r>
    </w:p>
    <w:p w:rsidR="00AC0832" w:rsidRDefault="00AC0832" w:rsidP="00C63D4C">
      <w:pPr>
        <w:pStyle w:val="Normal6"/>
      </w:pPr>
      <w:r>
        <w:t xml:space="preserve">U 2012. godini započele su aktivnosti na provedbi i implementaciji novog sustava za obradu uvoznih carinskih deklaracija - Nacionalni automatizirani uvozni sustav. </w:t>
      </w:r>
    </w:p>
    <w:p w:rsidR="00AC0832" w:rsidRDefault="00AC0832" w:rsidP="00C63D4C">
      <w:pPr>
        <w:pStyle w:val="Normal6"/>
      </w:pPr>
      <w:r>
        <w:t xml:space="preserve">U IV kvartalu 2012. godine projektni tim za implementaciju MVS sustava (Movement Verification System) - Sustav provjere kretanja trošarinskih proizvoda na koje je plaćena trošarina započeo je aktivnosti vezane uz instalaciju i implementaciju sustava. </w:t>
      </w:r>
    </w:p>
    <w:p w:rsidR="00AC0832" w:rsidRDefault="00AC0832" w:rsidP="00C63D4C">
      <w:pPr>
        <w:pStyle w:val="Normal6"/>
      </w:pPr>
      <w:r>
        <w:t xml:space="preserve">Pružena je podrška instalacije HŽ aplikacije, podešavanje Win VPN pristupa, konfiguracija aplikacije i instalacija na korisničko računalo za potrebe Help deska i CSPP. </w:t>
      </w:r>
    </w:p>
    <w:p w:rsidR="00AC0832" w:rsidRDefault="00AC0832" w:rsidP="00C63D4C">
      <w:pPr>
        <w:pStyle w:val="Normal6"/>
      </w:pPr>
      <w:r>
        <w:t xml:space="preserve">Sa srpnjem 2012. godine provedene su aktivnosti vezane uz novo ustrojstvo Carinske uprave. Slijedom istoga provedene su modifikacije kroz aplikacije Informacijskog sustava CU: carinski prekršaji, carinski laboratorij, evidencija oduzete robe, posebni porezi/ZOT, alkoholne markice, duhanske markice, markice za kavu, SEED, revidirana su sva Odobrenja i prema potrebi ažurirana, bankovne garancije, naplata i knjigovodstvo, pisarnica, kadrovska aplikacija. Provedena je prilagodba aplikacije troškova prijevoza, obračun plaća. Tehničke organizacijske promjene koje su slijedile novo ustrojstvo: obzirom na mrežnu komunikacijsku infrastrukturu ISCU proveden je prijenos podataka putem metro i metro SLA linka,  ISDN linkova ili PRA linkova za potrebe IP telefonije te konfiguracija mrežne opreme. Provedeno je popisivanje, preseljenje, instalacija i konfiguriranje računalne opreme. </w:t>
      </w:r>
    </w:p>
    <w:p w:rsidR="00AC0832" w:rsidRDefault="00AC0832" w:rsidP="00C63D4C">
      <w:pPr>
        <w:pStyle w:val="Normal6"/>
      </w:pPr>
      <w:r>
        <w:t xml:space="preserve">Tijekom 2012. kontinuirano su se izrađivala i dostavljala izvješća za vanjske i unutarnje podnositelje zahtjeva, prema unaprijed dogovorenim i ad hoc zahtjevima. Također,  izradila su se i dostavila DG Taxudu kvartalna izvješća, te su uvedeni novi indikatori mjerenja koji će se primjenjivati sa 2013. godinom. </w:t>
      </w:r>
    </w:p>
    <w:p w:rsidR="00AC0832" w:rsidRDefault="00AC0832" w:rsidP="00C63D4C">
      <w:pPr>
        <w:pStyle w:val="Normal6"/>
      </w:pPr>
      <w:r>
        <w:t xml:space="preserve">Državnim proračunom za aktivnost A540005 Modernizacija i opemanje Crinske uprave u 2012. godini planirana su financijska sredstva u visini 125.788.901,00 kn. Ostvareni su rashodi u visini 125.203.862,43 kn, uz postotak izvršenja proračuna 99,53%. </w:t>
      </w:r>
    </w:p>
    <w:p w:rsidR="00AC0832" w:rsidRDefault="00AC0832" w:rsidP="00C63D4C">
      <w:pPr>
        <w:pStyle w:val="Normal6"/>
      </w:pPr>
      <w:r>
        <w:t xml:space="preserve">Rashodi za računalne usluge obuhvaćaju ugovorne obveze za održavanje i unapređenje informacijskog sustava Carinske uprave. Isti su planirani u iznosu 86.585.491,00 kuna te iznose 68,83% ukupnih planiranih rashoda za navedenu aktivnost. </w:t>
      </w:r>
    </w:p>
    <w:p w:rsidR="00AC0832" w:rsidRDefault="00AC0832" w:rsidP="00C63D4C">
      <w:pPr>
        <w:pStyle w:val="Normal6"/>
      </w:pPr>
      <w:r>
        <w:t>Sredstvima utrošenim u 2012. godini Carinska uprava ostvarila je sve zadane ciljeve koji se odnose na navedenu aktivnost.</w:t>
      </w:r>
    </w:p>
    <w:p w:rsidR="00AC0832" w:rsidRDefault="00AC0832" w:rsidP="00C63D4C">
      <w:pPr>
        <w:pStyle w:val="Heading8"/>
        <w:jc w:val="left"/>
      </w:pPr>
    </w:p>
    <w:p w:rsidR="00AC0832" w:rsidRDefault="00AC0832" w:rsidP="00C63D4C">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62"/>
        <w:gridCol w:w="1762"/>
        <w:gridCol w:w="1090"/>
        <w:gridCol w:w="1163"/>
        <w:gridCol w:w="1144"/>
        <w:gridCol w:w="1163"/>
        <w:gridCol w:w="1204"/>
      </w:tblGrid>
      <w:tr w:rsidR="00AC0832" w:rsidTr="00A47D80">
        <w:trPr>
          <w:jc w:val="center"/>
        </w:trPr>
        <w:tc>
          <w:tcPr>
            <w:tcW w:w="1300" w:type="dxa"/>
            <w:shd w:val="clear" w:color="auto" w:fill="B5C0D8"/>
          </w:tcPr>
          <w:p w:rsidR="00AC0832" w:rsidRPr="00392240" w:rsidRDefault="00AC0832" w:rsidP="00A47D80">
            <w:pPr>
              <w:rPr>
                <w:sz w:val="20"/>
                <w:lang w:eastAsia="hr-HR"/>
              </w:rPr>
            </w:pPr>
            <w:r w:rsidRPr="00392240">
              <w:rPr>
                <w:sz w:val="20"/>
                <w:lang w:eastAsia="hr-HR"/>
              </w:rPr>
              <w:t>Pokazatelj rezultata</w:t>
            </w:r>
          </w:p>
        </w:tc>
        <w:tc>
          <w:tcPr>
            <w:tcW w:w="1300" w:type="dxa"/>
            <w:shd w:val="clear" w:color="auto" w:fill="B5C0D8"/>
          </w:tcPr>
          <w:p w:rsidR="00AC0832" w:rsidRDefault="00AC0832" w:rsidP="00A47D80">
            <w:pPr>
              <w:pStyle w:val="CellHeader"/>
            </w:pPr>
            <w:r>
              <w:t>Definicija</w:t>
            </w:r>
          </w:p>
        </w:tc>
        <w:tc>
          <w:tcPr>
            <w:tcW w:w="1300" w:type="dxa"/>
            <w:shd w:val="clear" w:color="auto" w:fill="B5C0D8"/>
          </w:tcPr>
          <w:p w:rsidR="00AC0832" w:rsidRDefault="00AC0832" w:rsidP="00A47D80">
            <w:pPr>
              <w:pStyle w:val="CellHeader"/>
            </w:pPr>
            <w:r>
              <w:t>Jedinica</w:t>
            </w:r>
          </w:p>
        </w:tc>
        <w:tc>
          <w:tcPr>
            <w:tcW w:w="1300" w:type="dxa"/>
            <w:shd w:val="clear" w:color="auto" w:fill="B5C0D8"/>
          </w:tcPr>
          <w:p w:rsidR="00AC0832" w:rsidRDefault="00AC0832" w:rsidP="00A47D80">
            <w:pPr>
              <w:pStyle w:val="CellHeader"/>
            </w:pPr>
            <w:r>
              <w:t>Polazna vrijednost</w:t>
            </w:r>
          </w:p>
        </w:tc>
        <w:tc>
          <w:tcPr>
            <w:tcW w:w="1300" w:type="dxa"/>
            <w:shd w:val="clear" w:color="auto" w:fill="B5C0D8"/>
          </w:tcPr>
          <w:p w:rsidR="00AC0832" w:rsidRDefault="00AC0832" w:rsidP="00A47D80">
            <w:pPr>
              <w:pStyle w:val="CellHeader"/>
            </w:pPr>
            <w:r>
              <w:t>Izvor podataka</w:t>
            </w:r>
          </w:p>
        </w:tc>
        <w:tc>
          <w:tcPr>
            <w:tcW w:w="1300" w:type="dxa"/>
            <w:shd w:val="clear" w:color="auto" w:fill="B5C0D8"/>
          </w:tcPr>
          <w:p w:rsidR="00AC0832" w:rsidRDefault="00AC0832" w:rsidP="00A47D80">
            <w:pPr>
              <w:pStyle w:val="CellHeader"/>
            </w:pPr>
            <w:r>
              <w:t>Ciljana vrijednost (2012.)</w:t>
            </w:r>
          </w:p>
        </w:tc>
        <w:tc>
          <w:tcPr>
            <w:tcW w:w="1300" w:type="dxa"/>
            <w:shd w:val="clear" w:color="auto" w:fill="B5C0D8"/>
          </w:tcPr>
          <w:p w:rsidR="00AC0832" w:rsidRDefault="00AC0832" w:rsidP="00A47D80">
            <w:pPr>
              <w:pStyle w:val="CellHeader"/>
            </w:pPr>
            <w:r>
              <w:t>Ostvarena vrijednost (2012.)</w:t>
            </w:r>
          </w:p>
        </w:tc>
      </w:tr>
      <w:tr w:rsidR="00AC0832" w:rsidTr="00A47D80">
        <w:trPr>
          <w:jc w:val="center"/>
        </w:trPr>
        <w:tc>
          <w:tcPr>
            <w:tcW w:w="1300" w:type="dxa"/>
          </w:tcPr>
          <w:p w:rsidR="00AC0832" w:rsidRDefault="00AC0832" w:rsidP="00A47D80">
            <w:pPr>
              <w:pStyle w:val="CellColumn"/>
            </w:pPr>
            <w:r>
              <w:t>1.3.5.1. Razvijeni IT sustavi interoperabilnosti i interkonektivnosti</w:t>
            </w:r>
          </w:p>
        </w:tc>
        <w:tc>
          <w:tcPr>
            <w:tcW w:w="1300" w:type="dxa"/>
          </w:tcPr>
          <w:p w:rsidR="00AC0832" w:rsidRDefault="00AC0832" w:rsidP="00A47D80">
            <w:pPr>
              <w:pStyle w:val="CellColumn"/>
            </w:pPr>
            <w:r>
              <w:t>Razvojem IT sustava interoperabilnosti i interkonektivnosti ( NCTS, ECS,ITMS, EORI, AEO, ICS, CS/RD, CS/MIS, EMCS)  osigurat će se povezanost IT sustava Carinske uprave s IT sustavima zemalja članica EU i EK, omogućit provedbu carinskih postupaka i postup</w:t>
            </w:r>
          </w:p>
        </w:tc>
        <w:tc>
          <w:tcPr>
            <w:tcW w:w="1300" w:type="dxa"/>
          </w:tcPr>
          <w:p w:rsidR="00AC0832" w:rsidRDefault="00AC0832" w:rsidP="00A47D80">
            <w:pPr>
              <w:pStyle w:val="CellColumn"/>
            </w:pPr>
            <w:r>
              <w:t>%</w:t>
            </w:r>
          </w:p>
        </w:tc>
        <w:tc>
          <w:tcPr>
            <w:tcW w:w="1300" w:type="dxa"/>
          </w:tcPr>
          <w:p w:rsidR="00AC0832" w:rsidRDefault="00AC0832" w:rsidP="00A47D80">
            <w:pPr>
              <w:pStyle w:val="CellColumn"/>
            </w:pPr>
            <w:r>
              <w:t>60</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80</w:t>
            </w:r>
          </w:p>
        </w:tc>
        <w:tc>
          <w:tcPr>
            <w:tcW w:w="1300" w:type="dxa"/>
          </w:tcPr>
          <w:p w:rsidR="00AC0832" w:rsidRDefault="00AC0832" w:rsidP="00A47D80">
            <w:pPr>
              <w:pStyle w:val="CellColumn"/>
            </w:pPr>
            <w:r>
              <w:t>80</w:t>
            </w:r>
          </w:p>
        </w:tc>
      </w:tr>
      <w:tr w:rsidR="00AC0832" w:rsidTr="00A47D80">
        <w:trPr>
          <w:jc w:val="center"/>
        </w:trPr>
        <w:tc>
          <w:tcPr>
            <w:tcW w:w="1300" w:type="dxa"/>
          </w:tcPr>
          <w:p w:rsidR="00AC0832" w:rsidRDefault="00AC0832" w:rsidP="00A47D80">
            <w:pPr>
              <w:pStyle w:val="CellColumn"/>
            </w:pPr>
            <w:r>
              <w:t>1.3.5.2. Uspostavljena potrebna infrastruktura informacijsko-komunikacijske tehnologije (ICT)</w:t>
            </w:r>
          </w:p>
        </w:tc>
        <w:tc>
          <w:tcPr>
            <w:tcW w:w="1300" w:type="dxa"/>
          </w:tcPr>
          <w:p w:rsidR="00AC0832" w:rsidRDefault="00AC0832" w:rsidP="00A47D80">
            <w:pPr>
              <w:pStyle w:val="CellColumn"/>
            </w:pPr>
            <w:r>
              <w:t>Izgrađeni podsustavi komunikacijske mreže i data centara, korisnička infrastruktura na organizacijskim jedinicama Carinske uprave, u cilju osiguranja neprekidne dostupnosti usluga ICT sustava (mail, IP telefonija, dokumenti, poslovne aplikacije )</w:t>
            </w:r>
          </w:p>
        </w:tc>
        <w:tc>
          <w:tcPr>
            <w:tcW w:w="1300" w:type="dxa"/>
          </w:tcPr>
          <w:p w:rsidR="00AC0832" w:rsidRDefault="00AC0832" w:rsidP="00A47D80">
            <w:pPr>
              <w:pStyle w:val="CellColumn"/>
            </w:pPr>
            <w:r>
              <w:t>%</w:t>
            </w:r>
          </w:p>
        </w:tc>
        <w:tc>
          <w:tcPr>
            <w:tcW w:w="1300" w:type="dxa"/>
          </w:tcPr>
          <w:p w:rsidR="00AC0832" w:rsidRDefault="00AC0832" w:rsidP="00A47D80">
            <w:pPr>
              <w:pStyle w:val="CellColumn"/>
            </w:pPr>
            <w:r>
              <w:t>70</w:t>
            </w:r>
          </w:p>
        </w:tc>
        <w:tc>
          <w:tcPr>
            <w:tcW w:w="1300" w:type="dxa"/>
          </w:tcPr>
          <w:p w:rsidR="00AC0832" w:rsidRDefault="00AC0832" w:rsidP="00A47D80">
            <w:pPr>
              <w:pStyle w:val="CellColumn"/>
            </w:pPr>
            <w:r>
              <w:t>MF -CU</w:t>
            </w:r>
          </w:p>
        </w:tc>
        <w:tc>
          <w:tcPr>
            <w:tcW w:w="1300" w:type="dxa"/>
          </w:tcPr>
          <w:p w:rsidR="00AC0832" w:rsidRDefault="00AC0832" w:rsidP="00A47D80">
            <w:pPr>
              <w:pStyle w:val="CellColumn"/>
            </w:pPr>
            <w:r>
              <w:t>90</w:t>
            </w:r>
          </w:p>
        </w:tc>
        <w:tc>
          <w:tcPr>
            <w:tcW w:w="1300" w:type="dxa"/>
          </w:tcPr>
          <w:p w:rsidR="00AC0832" w:rsidRDefault="00AC0832" w:rsidP="00A47D80">
            <w:pPr>
              <w:pStyle w:val="CellColumn"/>
            </w:pPr>
            <w:r>
              <w:t>90</w:t>
            </w:r>
          </w:p>
        </w:tc>
      </w:tr>
      <w:tr w:rsidR="00AC0832" w:rsidTr="00A47D80">
        <w:trPr>
          <w:jc w:val="center"/>
        </w:trPr>
        <w:tc>
          <w:tcPr>
            <w:tcW w:w="1300" w:type="dxa"/>
          </w:tcPr>
          <w:p w:rsidR="00AC0832" w:rsidRDefault="00AC0832" w:rsidP="00A47D80">
            <w:pPr>
              <w:pStyle w:val="CellColumn"/>
            </w:pPr>
            <w:r>
              <w:t>1.3.5.3. Uspostavljena informacijska sigurnost radi zaštite usluga i podataka ICT sustava</w:t>
            </w:r>
          </w:p>
        </w:tc>
        <w:tc>
          <w:tcPr>
            <w:tcW w:w="1300" w:type="dxa"/>
          </w:tcPr>
          <w:p w:rsidR="00AC0832" w:rsidRDefault="00AC0832" w:rsidP="00A47D80">
            <w:pPr>
              <w:pStyle w:val="CellColumn"/>
            </w:pPr>
            <w:r>
              <w:t>Nadzor i instalacija sigurnosnih nadogradnji instaliranog sistemskog softvera, instalacija i održavanje hardverske i softverske  opreme za zaštitu od neovlaštenog pristupa, nadzor i upravljanje prometom na mreži), upravljanje korisnicima ICT sustava, definiranje i primjena procedura i postupanja pri uporabi ICT sustava</w:t>
            </w:r>
          </w:p>
        </w:tc>
        <w:tc>
          <w:tcPr>
            <w:tcW w:w="1300" w:type="dxa"/>
          </w:tcPr>
          <w:p w:rsidR="00AC0832" w:rsidRDefault="00AC0832" w:rsidP="00A47D80">
            <w:pPr>
              <w:pStyle w:val="CellColumn"/>
            </w:pPr>
            <w:r>
              <w:t>%</w:t>
            </w:r>
          </w:p>
        </w:tc>
        <w:tc>
          <w:tcPr>
            <w:tcW w:w="1300" w:type="dxa"/>
          </w:tcPr>
          <w:p w:rsidR="00AC0832" w:rsidRDefault="00AC0832" w:rsidP="00A47D80">
            <w:pPr>
              <w:pStyle w:val="CellColumn"/>
            </w:pPr>
            <w:r>
              <w:t>70</w:t>
            </w:r>
          </w:p>
        </w:tc>
        <w:tc>
          <w:tcPr>
            <w:tcW w:w="1300" w:type="dxa"/>
          </w:tcPr>
          <w:p w:rsidR="00AC0832" w:rsidRDefault="00AC0832" w:rsidP="00A47D80">
            <w:pPr>
              <w:pStyle w:val="CellColumn"/>
            </w:pPr>
            <w:r>
              <w:t>MF - CU</w:t>
            </w:r>
          </w:p>
        </w:tc>
        <w:tc>
          <w:tcPr>
            <w:tcW w:w="1300" w:type="dxa"/>
          </w:tcPr>
          <w:p w:rsidR="00AC0832" w:rsidRDefault="00AC0832" w:rsidP="00A47D80">
            <w:pPr>
              <w:pStyle w:val="CellColumn"/>
            </w:pPr>
            <w:r>
              <w:t>75</w:t>
            </w:r>
          </w:p>
        </w:tc>
        <w:tc>
          <w:tcPr>
            <w:tcW w:w="1300" w:type="dxa"/>
          </w:tcPr>
          <w:p w:rsidR="00AC0832" w:rsidRDefault="00AC0832" w:rsidP="00A47D80">
            <w:pPr>
              <w:pStyle w:val="CellColumn"/>
            </w:pPr>
            <w:r>
              <w:t>75</w:t>
            </w:r>
          </w:p>
        </w:tc>
      </w:tr>
    </w:tbl>
    <w:p w:rsidR="00AC0832" w:rsidRDefault="00AC0832" w:rsidP="00C63D4C">
      <w:pPr>
        <w:jc w:val="left"/>
      </w:pPr>
    </w:p>
    <w:p w:rsidR="00AC0832" w:rsidRDefault="00AC0832" w:rsidP="00C63D4C">
      <w:pPr>
        <w:pStyle w:val="Heading6"/>
      </w:pPr>
      <w:r>
        <w:t>A540020 IPA 2010 - SUDJELOVANJE U PROGRAMU ZAJEDNICE CUSTOMS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A540020-IPA 2010 - SUDJELOVANJE U PROGRAMU ZAJEDNICE CUSTOMS 2013</w:t>
            </w:r>
          </w:p>
        </w:tc>
        <w:tc>
          <w:tcPr>
            <w:tcW w:w="2322" w:type="dxa"/>
          </w:tcPr>
          <w:p w:rsidR="00AC0832" w:rsidRDefault="00AC0832" w:rsidP="00A47D80">
            <w:pPr>
              <w:pStyle w:val="CellColumn"/>
            </w:pPr>
            <w:r>
              <w:t>20.000</w:t>
            </w:r>
          </w:p>
        </w:tc>
        <w:tc>
          <w:tcPr>
            <w:tcW w:w="2322" w:type="dxa"/>
          </w:tcPr>
          <w:p w:rsidR="00AC0832" w:rsidRDefault="00AC0832" w:rsidP="00A47D80">
            <w:pPr>
              <w:pStyle w:val="CellColumn"/>
            </w:pPr>
            <w:r>
              <w:t>844.501</w:t>
            </w:r>
          </w:p>
        </w:tc>
        <w:tc>
          <w:tcPr>
            <w:tcW w:w="2322" w:type="dxa"/>
          </w:tcPr>
          <w:p w:rsidR="00AC0832" w:rsidRDefault="00AC0832" w:rsidP="00A47D80">
            <w:pPr>
              <w:pStyle w:val="CellColumn"/>
            </w:pPr>
            <w:r>
              <w:t>4222,5</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 xml:space="preserve">Sukladno dodatku I. Memoranduma o razumijevanju između Republike Hrvatske i Europske komisije Republika Hrvatska sudjeluje u Programu Zajednice Customs 2007, koji je stupio na snagu 03. siječnja 2007 (NN MU br. 11/2006), a koji se primjenjuje i na Program Customs 2013.   </w:t>
      </w:r>
    </w:p>
    <w:p w:rsidR="00AC0832" w:rsidRDefault="00AC0832" w:rsidP="00C63D4C">
      <w:pPr>
        <w:pStyle w:val="Normal6"/>
      </w:pPr>
      <w:r>
        <w:t>Sredstva su planirana u iznosu 20.000,00 kn dok je izvršenje plana u iznosu 844.500,95 kn ili 4222,50%. Izvršenje je veće u odnosu na planirana sredstva temeljem ostvarenih rashoda za službena putovanja, sukladno sa odredbom članka 50. Zakona o proračunu (NN, br. 87/08) prema kojoj se uplaćene i prenesene, a manje planirane pomoći, donacije, prihodi za posebne namjene i namjenski primici od zaduživanja mogu izvršavati iznad iznosa utvrđenih u državnom proračunu, a do visine uplaćenih, odnosno prenesenih sredstava.</w:t>
      </w:r>
    </w:p>
    <w:p w:rsidR="00AC0832" w:rsidRDefault="00AC0832" w:rsidP="00C63D4C">
      <w:pPr>
        <w:pStyle w:val="Heading6"/>
      </w:pPr>
      <w:r>
        <w:t>A540024 IPA I 2008 JAČANJE KAPACITETA CARINSKE UPRAVE U BORBI PROTIV KORUPCIJE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A540024-IPA I 2008 JAČANJE KAPACITETA CARINSKE UPRAVE U BORBI PROTIV KORUPCIJE</w:t>
            </w:r>
          </w:p>
        </w:tc>
        <w:tc>
          <w:tcPr>
            <w:tcW w:w="2322" w:type="dxa"/>
          </w:tcPr>
          <w:p w:rsidR="00AC0832" w:rsidRDefault="00AC0832" w:rsidP="00A47D80">
            <w:pPr>
              <w:pStyle w:val="CellColumn"/>
            </w:pPr>
            <w:r>
              <w:t>403.787</w:t>
            </w:r>
          </w:p>
        </w:tc>
        <w:tc>
          <w:tcPr>
            <w:tcW w:w="2322" w:type="dxa"/>
          </w:tcPr>
          <w:p w:rsidR="00AC0832" w:rsidRDefault="00AC0832" w:rsidP="00A47D80">
            <w:pPr>
              <w:pStyle w:val="CellColumn"/>
            </w:pPr>
            <w:r>
              <w:t>00</w:t>
            </w:r>
          </w:p>
        </w:tc>
        <w:tc>
          <w:tcPr>
            <w:tcW w:w="2322" w:type="dxa"/>
          </w:tcPr>
          <w:p w:rsidR="00AC0832" w:rsidRDefault="00AC0832" w:rsidP="00A47D80">
            <w:pPr>
              <w:pStyle w:val="CellColumn"/>
            </w:pPr>
            <w:r>
              <w:t>0,0</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 xml:space="preserve">Projekti u sklopu programa IPA 2008 provode se sukladno Zakonu o potvrđivanju Sporazuma o financiranju između Vlade Republike Hrvatske i Komisije Europskih zajednica u vezi s Nacionalnim programom za Hrvatsku u okviru programa IPA – komponenta Pomoć u tranziciji i jačanje institucija za 2008. godinu (NN MU 7/09).  Svrha projekta IPA 2008 „Jačanje interne kontrole u CU radi borbe protiv korupcije (twinning)“ je pružiti pomoć CU u poduzetim naporima  da u potpunosti primjeni svoj Antikorupcijski program kroz prilagodbu sustava prevencije korupcije sukladno EU standardima. </w:t>
      </w:r>
    </w:p>
    <w:p w:rsidR="00AC0832" w:rsidRDefault="00AC0832" w:rsidP="00C63D4C">
      <w:pPr>
        <w:pStyle w:val="Normal6"/>
      </w:pPr>
      <w:r>
        <w:t xml:space="preserve">Sredstva su planirana u iznosu 403.787,00 kn dok izvršenje iznosi 0,00 kn. Sredstva su planirana za rashode za intelektualne usluge. </w:t>
      </w:r>
    </w:p>
    <w:p w:rsidR="00AC0832" w:rsidRDefault="00AC0832" w:rsidP="00C63D4C">
      <w:pPr>
        <w:pStyle w:val="Normal6"/>
      </w:pPr>
      <w:r>
        <w:t>Unatoč tome što je implementacija završila, plaćanja nisu izvršena u 2012. godini jer završni izvještaj nije bio odobren tijekom 2012. godine već početkom 2013. godine nakon čega je pokrenuta proceduru za završno plaćanje.</w:t>
      </w:r>
    </w:p>
    <w:p w:rsidR="00AC0832" w:rsidRDefault="00AC0832" w:rsidP="00C63D4C">
      <w:pPr>
        <w:pStyle w:val="Heading6"/>
      </w:pPr>
      <w:r>
        <w:t>A540025 IPA I 2009 HARMONIZACIJA CARINSKOG SUSTAVA UPRAVLJANJA RIZICIMA S NAJBOLJOM PRAKSOM I STANDARDIMA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A540025-IPA I 2009 HARMONIZACIJA CARINSKOG SUSTAVA UPRAVLJANJA RIZICIMA S NAJBOLJOM PRAKSOM I STANDARDIMA EU</w:t>
            </w:r>
          </w:p>
        </w:tc>
        <w:tc>
          <w:tcPr>
            <w:tcW w:w="2322" w:type="dxa"/>
          </w:tcPr>
          <w:p w:rsidR="00AC0832" w:rsidRDefault="00AC0832" w:rsidP="00A47D80">
            <w:pPr>
              <w:pStyle w:val="CellColumn"/>
            </w:pPr>
            <w:r>
              <w:t>434.160</w:t>
            </w:r>
          </w:p>
        </w:tc>
        <w:tc>
          <w:tcPr>
            <w:tcW w:w="2322" w:type="dxa"/>
          </w:tcPr>
          <w:p w:rsidR="00AC0832" w:rsidRDefault="00AC0832" w:rsidP="00A47D80">
            <w:pPr>
              <w:pStyle w:val="CellColumn"/>
            </w:pPr>
            <w:r>
              <w:t>284.397</w:t>
            </w:r>
          </w:p>
        </w:tc>
        <w:tc>
          <w:tcPr>
            <w:tcW w:w="2322" w:type="dxa"/>
          </w:tcPr>
          <w:p w:rsidR="00AC0832" w:rsidRDefault="00AC0832" w:rsidP="00A47D80">
            <w:pPr>
              <w:pStyle w:val="CellColumn"/>
            </w:pPr>
            <w:r>
              <w:t>65,5</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 xml:space="preserve">Projekti u sklopu programa IPA 2009 provode se sukladno Zakon o potvrđivanju Sporazuma o financiranju između Vlade Republike Hrvatske i Europske komisije u vezi s Nacionalnim programom za Hrvatsku u okviru programa IPA – komponenta Pomoć u tranziciji i jačanje institucija za 2009. godinu (NN MU 5/2010).  Svrha projekta IPA 2009 je pružiti potporu CU u jačanju sustava upravljanja rizikom kao sredstvom za bolji nadzor nad provedbom propisa, učinkovitiju alokaciju resursa i prikupljanje prihoda te jačanje suradnje između carine i gospodarstva. </w:t>
      </w:r>
    </w:p>
    <w:p w:rsidR="00AC0832" w:rsidRDefault="00AC0832" w:rsidP="00C63D4C">
      <w:pPr>
        <w:pStyle w:val="Normal6"/>
      </w:pPr>
      <w:r>
        <w:t>Sredstva su planirana u iznosu 434.160,00 kn dok izvršenje plana iznosi 284.396,81 kn odnosno 65,51%, a odnosi se na rashode za intelektualne usluge. Iznos izvršenja manji je nego što su planirana sredstva zbog umanjenja iznosa plaćanja. Naime, ugovoreni iznos je maksimalni koji se može isplatiti. Unutar ugovorenog iznosa može doći do ušteda, primjerice iz razloga što neke aktivnosti tijekom projekta traju kraće, ostvare se uštede u cijeni avionskih letova te drugih  razloga. Iz navedenog razloga za twinning/twinning light projekt po završetku implementacije sredstva nisu utrošena u cijelosti.</w:t>
      </w:r>
    </w:p>
    <w:p w:rsidR="00AC0832" w:rsidRDefault="00AC0832" w:rsidP="00C63D4C">
      <w:pPr>
        <w:pStyle w:val="Heading6"/>
      </w:pPr>
    </w:p>
    <w:p w:rsidR="00AC0832" w:rsidRDefault="00AC0832" w:rsidP="00C63D4C">
      <w:pPr>
        <w:pStyle w:val="Heading6"/>
      </w:pPr>
    </w:p>
    <w:p w:rsidR="00AC0832" w:rsidRDefault="00AC0832" w:rsidP="00C63D4C">
      <w:pPr>
        <w:pStyle w:val="Heading6"/>
      </w:pPr>
      <w:r>
        <w:t>A540029 IPA 2011 - SUDJELOVANJE U PROGRAMU ZAJEDNICE CUSTOMS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A540029-IPA 2011 - SUDJELOVANJE U PROGRAMU ZAJEDNICE CUSTOMS 2013</w:t>
            </w:r>
          </w:p>
        </w:tc>
        <w:tc>
          <w:tcPr>
            <w:tcW w:w="2322" w:type="dxa"/>
          </w:tcPr>
          <w:p w:rsidR="00AC0832" w:rsidRDefault="00AC0832" w:rsidP="00A47D80">
            <w:pPr>
              <w:pStyle w:val="CellColumn"/>
            </w:pPr>
            <w:r>
              <w:t>1.071.000</w:t>
            </w:r>
          </w:p>
        </w:tc>
        <w:tc>
          <w:tcPr>
            <w:tcW w:w="2322" w:type="dxa"/>
          </w:tcPr>
          <w:p w:rsidR="00AC0832" w:rsidRDefault="00AC0832" w:rsidP="00A47D80">
            <w:pPr>
              <w:pStyle w:val="CellColumn"/>
            </w:pPr>
            <w:r>
              <w:t>602.172</w:t>
            </w:r>
          </w:p>
        </w:tc>
        <w:tc>
          <w:tcPr>
            <w:tcW w:w="2322" w:type="dxa"/>
          </w:tcPr>
          <w:p w:rsidR="00AC0832" w:rsidRDefault="00AC0832" w:rsidP="00A47D80">
            <w:pPr>
              <w:pStyle w:val="CellColumn"/>
            </w:pPr>
            <w:r>
              <w:t>56,2</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 xml:space="preserve">Sukladno dodatku I. Memoranduma o razumijevanju između Republike Hrvatske i Europske komisije u pogledu sudjelovanja Republike Hrvatske u Programu Zajednice Customs 2007, koji je stupio na snagu 03. siječnja 2007. (NN MU br. 11/2006), a koji se promjenjuje i na Program Customs 2013,  određen je financijski doprinos Republike Hrvatske koji se uplaćuje u opći proračun Europske unije kako bi se sudjelovalo u programu. </w:t>
      </w:r>
    </w:p>
    <w:p w:rsidR="00AC0832" w:rsidRDefault="00AC0832" w:rsidP="00C63D4C">
      <w:pPr>
        <w:pStyle w:val="Normal6"/>
      </w:pPr>
      <w:r>
        <w:t>Sredstva su planirana u iznosu 1.071.000,00 kn dok je izvršenje plana u iznosu 602.172,32 kn ili 56,23%. Ostvareni rashodi odnose se na uplaćen financijski doprinos Republike Hrvatske u opći proračun Europske unije.</w:t>
      </w:r>
    </w:p>
    <w:p w:rsidR="00AC0832" w:rsidRDefault="00AC0832" w:rsidP="00C63D4C">
      <w:pPr>
        <w:pStyle w:val="Heading6"/>
      </w:pPr>
      <w:r>
        <w:t>K310009 MODERNIZACIJA I OPREMANJE CARINSKE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K310009-MODERNIZACIJA I OPREMANJE CARINSKE UPRAVE</w:t>
            </w:r>
          </w:p>
        </w:tc>
        <w:tc>
          <w:tcPr>
            <w:tcW w:w="2322" w:type="dxa"/>
          </w:tcPr>
          <w:p w:rsidR="00AC0832" w:rsidRDefault="00AC0832" w:rsidP="00A47D80">
            <w:pPr>
              <w:pStyle w:val="CellColumn"/>
            </w:pPr>
            <w:r>
              <w:t>1.809.000</w:t>
            </w:r>
          </w:p>
        </w:tc>
        <w:tc>
          <w:tcPr>
            <w:tcW w:w="2322" w:type="dxa"/>
          </w:tcPr>
          <w:p w:rsidR="00AC0832" w:rsidRDefault="00AC0832" w:rsidP="00A47D80">
            <w:pPr>
              <w:pStyle w:val="CellColumn"/>
            </w:pPr>
            <w:r>
              <w:t>1.675.478</w:t>
            </w:r>
          </w:p>
        </w:tc>
        <w:tc>
          <w:tcPr>
            <w:tcW w:w="2322" w:type="dxa"/>
          </w:tcPr>
          <w:p w:rsidR="00AC0832" w:rsidRDefault="00AC0832" w:rsidP="00A47D80">
            <w:pPr>
              <w:pStyle w:val="CellColumn"/>
            </w:pPr>
            <w:r>
              <w:t>92,6</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 xml:space="preserve">U sklopu ukupne modernizacije Carinske uprave kontinuirano se poduzimaju aktivnosti u svrhu jačanja vlastitih administrativnih i operativnih kapaciteta.  </w:t>
      </w:r>
    </w:p>
    <w:p w:rsidR="00AC0832" w:rsidRDefault="00AC0832" w:rsidP="00C63D4C">
      <w:pPr>
        <w:pStyle w:val="Normal6"/>
      </w:pPr>
      <w:r>
        <w:t xml:space="preserve">Sustav zaštite i sigurnosti tržišta i društva uključuje suzbijanje krijumčarenja roba i ljudi, sprječavanje carinskih i trošarinskih prijevara, kao i prijevara povezanih uz posebne poreze, te obavljanje nadzora i kontrole uvoza, izvoza i provoza robe za koje su propisane posebne mjere u svrhu zaštite sigurnosti, zdravlja i života ljudi, životinja i bilja, kulturne baštine, nacionalnog blaga, intelektualnog vlasništva te drugih pravom zaštićenih vrijednosti.   </w:t>
      </w:r>
    </w:p>
    <w:p w:rsidR="00AC0832" w:rsidRDefault="00AC0832" w:rsidP="00C63D4C">
      <w:pPr>
        <w:pStyle w:val="Normal6"/>
      </w:pPr>
      <w:r>
        <w:t xml:space="preserve">U cilju provedbe navedenog ovlaštenim carinskim službenicima u svome radu neophodna je za korištenje suvremena tehnička oprema za rad kao što su terenska vozila, rendgen uređaji,  endoskopi, testeri za droge, identifikatori izotopa, detektori opasnih tvari, portal monitori. Suvremena tehnička oprema važan je preduvjet za brže i efikasnije otkrivanje raznih tehnika i metoda krijumčarenja kao i veliko olakšanje u provedbi kvalitetnog nadzora. </w:t>
      </w:r>
    </w:p>
    <w:p w:rsidR="00AC0832" w:rsidRDefault="00AC0832" w:rsidP="00C63D4C">
      <w:pPr>
        <w:pStyle w:val="Normal6"/>
      </w:pPr>
      <w:r>
        <w:t xml:space="preserve">Tijekom 2012. godine, dane su suglasnosti iz područja izgradnje, rekonstrukcije i održavanja carinskih objekata i drugih nekretnina u kojima Ministarstvo financija, Carinska uprava ima interes, sukladno članku 3. Zakona o carinskoj službi, kako slijedi: Carinarnica Zadar, trajektni terminal Gaženica, centralna zgrada terminala, Zračna luka Zadar, dogradnja građevine, II faza; Carinarnica Ploče, granični prijelaz Metković sa spojem na državnu cestu D 62, ulazni terminal Luke Ploče; Carinarnica Rijeka, kontejnerski terminal Brajdica, II faza; Carinarnica Šibenik, dogradnja gata Vrulje u Luci Šibenik. Isto tako, obavljene su potrebne radnje vezane za uvođenje POS uređaja za naplatu mandatnih kazni na graničnim prijelazima putem platnih kartica. </w:t>
      </w:r>
    </w:p>
    <w:p w:rsidR="00AC0832" w:rsidRDefault="00AC0832" w:rsidP="00C63D4C">
      <w:pPr>
        <w:pStyle w:val="Normal6"/>
      </w:pPr>
      <w:r>
        <w:t xml:space="preserve">Nadalje, u okviru Programa Vlade RH za učinkovito gospodarenje energijom „Dovesti svoju kuću u red“, tijekom 2012. godine Carinska uprava provela je niz aktivnosti: održane su radionice u suradnji s UNDP-om „Zelenog ureda“ za djelatnike Carinarnice Dubrovnik, Pula, Osijek, Virovitica i Rijeka (ukupno 792 polaznika), praćena je potrošnja energenata i vode, kontinuiranim unosom podataka o potrošnji, čime je aplikacija ISGE-a ušla u redovnu primjenu, izvršen je energetski pregled i izdan energetski certifikat za zgradu Carinarnice Zadar, izvršen je energetski pregled zgrade Carinarnice Rijeka, dostavljen je popis zgrada predloženih za energetsku obnovu Centru za praćenje poslovanja energetskog sektora i investicija. </w:t>
      </w:r>
    </w:p>
    <w:p w:rsidR="00AC0832" w:rsidRDefault="00AC0832" w:rsidP="00C63D4C">
      <w:pPr>
        <w:pStyle w:val="Normal6"/>
      </w:pPr>
      <w:r>
        <w:t xml:space="preserve">Obavljani su poslovi vezani za operativnu tehniku, u sklopu kojih su izvršene slijedeće aktivnosti: skrb o pravovremenosti upućivanja na servisiranje dodijeljene opreme, sukladno obvezama u svezi održivosti projekta IPA 2007, nabava dijelova koji su vitalni za funkcioniranje opreme (generator za rendgen uređaj), nabave vatrenog oružja i municije za potrebe OMJ Sektora za nadzor, obavljani su poslovi u svezi s  ugovaranjem usluga održavanja opreme za potrebe opreme kojom raspolaže OMJ Sektora za nadzor.     </w:t>
      </w:r>
    </w:p>
    <w:p w:rsidR="00AC0832" w:rsidRDefault="00AC0832" w:rsidP="00C63D4C">
      <w:pPr>
        <w:pStyle w:val="Normal6"/>
      </w:pPr>
      <w:r>
        <w:t xml:space="preserve">Nastavljena je provedba daljnjeg jačanja i opremanja carinskog laboratorija u svrhu provođenja analiza za potrebe carinske službe kroz nabavu potrebne laboratorijske opreme, instrumenata te uređaja. Tijekom 2012. godine nabavljeni su slijedeći laboratorijski instrumenti, uređaji i oprema: pumpa za laboratorijsku suđericu, vortex laboratorijska tresilica, vortex mješalica, polarimetar, digestor, uređaj za parnu destilaciju, uređaj za otpornu vakumsku pumpu, UV –lampa, afrometar, chiller i dr.   </w:t>
      </w:r>
    </w:p>
    <w:p w:rsidR="00AC0832" w:rsidRDefault="00AC0832" w:rsidP="00C63D4C">
      <w:pPr>
        <w:pStyle w:val="Normal6"/>
      </w:pPr>
      <w:r>
        <w:t xml:space="preserve">Sredstva za navedeni kapitalni projekt planirana su u iznosu 1.809.000,00 kn dok izvršenje plana iznosi 1.675.477,86 kn odnosno izvršenje je 92,62%.  </w:t>
      </w:r>
    </w:p>
    <w:p w:rsidR="00AC0832" w:rsidRDefault="00AC0832" w:rsidP="00C63D4C">
      <w:pPr>
        <w:pStyle w:val="Normal6"/>
      </w:pPr>
      <w:r>
        <w:t>Sredstvima utrošenim u 2012. godini Carinska uprava ostvarila je sve zadane ciljeve koji se odnose na navedenu aktivnost.</w:t>
      </w:r>
    </w:p>
    <w:p w:rsidR="00AC0832" w:rsidRDefault="00AC0832" w:rsidP="00C63D4C">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9"/>
        <w:gridCol w:w="1406"/>
        <w:gridCol w:w="1300"/>
        <w:gridCol w:w="1300"/>
        <w:gridCol w:w="1300"/>
        <w:gridCol w:w="1300"/>
        <w:gridCol w:w="1300"/>
      </w:tblGrid>
      <w:tr w:rsidR="00AC0832" w:rsidTr="00A47D80">
        <w:trPr>
          <w:jc w:val="center"/>
        </w:trPr>
        <w:tc>
          <w:tcPr>
            <w:tcW w:w="1300" w:type="dxa"/>
            <w:shd w:val="clear" w:color="auto" w:fill="B5C0D8"/>
          </w:tcPr>
          <w:p w:rsidR="00AC0832" w:rsidRPr="00392240" w:rsidRDefault="00AC0832" w:rsidP="00A47D80">
            <w:pPr>
              <w:rPr>
                <w:sz w:val="20"/>
                <w:lang w:eastAsia="hr-HR"/>
              </w:rPr>
            </w:pPr>
            <w:r w:rsidRPr="00392240">
              <w:rPr>
                <w:sz w:val="20"/>
                <w:lang w:eastAsia="hr-HR"/>
              </w:rPr>
              <w:t>Pokazatelj rezultata</w:t>
            </w:r>
          </w:p>
        </w:tc>
        <w:tc>
          <w:tcPr>
            <w:tcW w:w="1300" w:type="dxa"/>
            <w:shd w:val="clear" w:color="auto" w:fill="B5C0D8"/>
          </w:tcPr>
          <w:p w:rsidR="00AC0832" w:rsidRDefault="00AC0832" w:rsidP="00A47D80">
            <w:pPr>
              <w:pStyle w:val="CellHeader"/>
            </w:pPr>
            <w:r>
              <w:t>Definicija</w:t>
            </w:r>
          </w:p>
        </w:tc>
        <w:tc>
          <w:tcPr>
            <w:tcW w:w="1300" w:type="dxa"/>
            <w:shd w:val="clear" w:color="auto" w:fill="B5C0D8"/>
          </w:tcPr>
          <w:p w:rsidR="00AC0832" w:rsidRDefault="00AC0832" w:rsidP="00A47D80">
            <w:pPr>
              <w:pStyle w:val="CellHeader"/>
            </w:pPr>
            <w:r>
              <w:t>Jedinica</w:t>
            </w:r>
          </w:p>
        </w:tc>
        <w:tc>
          <w:tcPr>
            <w:tcW w:w="1300" w:type="dxa"/>
            <w:shd w:val="clear" w:color="auto" w:fill="B5C0D8"/>
          </w:tcPr>
          <w:p w:rsidR="00AC0832" w:rsidRDefault="00AC0832" w:rsidP="00A47D80">
            <w:pPr>
              <w:pStyle w:val="CellHeader"/>
            </w:pPr>
            <w:r>
              <w:t>Polazna vrijednost</w:t>
            </w:r>
          </w:p>
        </w:tc>
        <w:tc>
          <w:tcPr>
            <w:tcW w:w="1300" w:type="dxa"/>
            <w:shd w:val="clear" w:color="auto" w:fill="B5C0D8"/>
          </w:tcPr>
          <w:p w:rsidR="00AC0832" w:rsidRDefault="00AC0832" w:rsidP="00A47D80">
            <w:pPr>
              <w:pStyle w:val="CellHeader"/>
            </w:pPr>
            <w:r>
              <w:t>Izvor podataka</w:t>
            </w:r>
          </w:p>
        </w:tc>
        <w:tc>
          <w:tcPr>
            <w:tcW w:w="1300" w:type="dxa"/>
            <w:shd w:val="clear" w:color="auto" w:fill="B5C0D8"/>
          </w:tcPr>
          <w:p w:rsidR="00AC0832" w:rsidRDefault="00AC0832" w:rsidP="00A47D80">
            <w:pPr>
              <w:pStyle w:val="CellHeader"/>
            </w:pPr>
            <w:r>
              <w:t>Ciljana vrijednost (2012.)</w:t>
            </w:r>
          </w:p>
        </w:tc>
        <w:tc>
          <w:tcPr>
            <w:tcW w:w="1300" w:type="dxa"/>
            <w:shd w:val="clear" w:color="auto" w:fill="B5C0D8"/>
          </w:tcPr>
          <w:p w:rsidR="00AC0832" w:rsidRDefault="00AC0832" w:rsidP="00A47D80">
            <w:pPr>
              <w:pStyle w:val="CellHeader"/>
            </w:pPr>
            <w:r>
              <w:t>Ostvarena vrijednost (2012.)</w:t>
            </w:r>
          </w:p>
        </w:tc>
      </w:tr>
      <w:tr w:rsidR="00AC0832" w:rsidTr="00A47D80">
        <w:trPr>
          <w:jc w:val="center"/>
        </w:trPr>
        <w:tc>
          <w:tcPr>
            <w:tcW w:w="1300" w:type="dxa"/>
          </w:tcPr>
          <w:p w:rsidR="00AC0832" w:rsidRDefault="00AC0832" w:rsidP="00A47D80">
            <w:pPr>
              <w:pStyle w:val="CellColumn"/>
            </w:pPr>
            <w:r>
              <w:t>1.3.1.1. Broj provedenih ciljanih operativnih aktivnosti na cjelokupnom carinskom teritoriju</w:t>
            </w:r>
          </w:p>
        </w:tc>
        <w:tc>
          <w:tcPr>
            <w:tcW w:w="1300" w:type="dxa"/>
          </w:tcPr>
          <w:p w:rsidR="00AC0832" w:rsidRDefault="00AC0832" w:rsidP="00A47D80">
            <w:pPr>
              <w:pStyle w:val="CellColumn"/>
            </w:pPr>
            <w:r>
              <w:t>Broj provedenih operativnih akcija usmjerenih na suzbijanje krijumčarenja komercijalnih i visokorizičnih roba, te sprječavanje carinskih i trošarinskih prijevara i prijevara vezanih uz posebne poreze</w:t>
            </w:r>
          </w:p>
        </w:tc>
        <w:tc>
          <w:tcPr>
            <w:tcW w:w="1300" w:type="dxa"/>
          </w:tcPr>
          <w:p w:rsidR="00AC0832" w:rsidRDefault="00AC0832" w:rsidP="00A47D80">
            <w:pPr>
              <w:pStyle w:val="CellColumn"/>
            </w:pPr>
            <w:r>
              <w:t>broj</w:t>
            </w:r>
          </w:p>
        </w:tc>
        <w:tc>
          <w:tcPr>
            <w:tcW w:w="1300" w:type="dxa"/>
          </w:tcPr>
          <w:p w:rsidR="00AC0832" w:rsidRDefault="00AC0832" w:rsidP="00A47D80">
            <w:pPr>
              <w:pStyle w:val="CellColumn"/>
            </w:pPr>
            <w:r>
              <w:t>0</w:t>
            </w:r>
          </w:p>
        </w:tc>
        <w:tc>
          <w:tcPr>
            <w:tcW w:w="1300" w:type="dxa"/>
          </w:tcPr>
          <w:p w:rsidR="00AC0832" w:rsidRDefault="00AC0832" w:rsidP="00A47D80">
            <w:pPr>
              <w:pStyle w:val="CellColumn"/>
            </w:pPr>
            <w:r>
              <w:t>MF CU</w:t>
            </w:r>
          </w:p>
        </w:tc>
        <w:tc>
          <w:tcPr>
            <w:tcW w:w="1300" w:type="dxa"/>
          </w:tcPr>
          <w:p w:rsidR="00AC0832" w:rsidRDefault="00AC0832" w:rsidP="00A47D80">
            <w:pPr>
              <w:pStyle w:val="CellColumn"/>
            </w:pPr>
            <w:r>
              <w:t>50</w:t>
            </w:r>
          </w:p>
        </w:tc>
        <w:tc>
          <w:tcPr>
            <w:tcW w:w="1300" w:type="dxa"/>
          </w:tcPr>
          <w:p w:rsidR="00AC0832" w:rsidRDefault="00AC0832" w:rsidP="00A47D80">
            <w:pPr>
              <w:pStyle w:val="CellColumn"/>
            </w:pPr>
            <w:r>
              <w:t>277</w:t>
            </w:r>
          </w:p>
        </w:tc>
      </w:tr>
    </w:tbl>
    <w:p w:rsidR="00AC0832" w:rsidRDefault="00AC0832" w:rsidP="00C63D4C">
      <w:pPr>
        <w:jc w:val="left"/>
      </w:pPr>
    </w:p>
    <w:p w:rsidR="00AC0832" w:rsidRDefault="00AC0832" w:rsidP="00C63D4C">
      <w:pPr>
        <w:pStyle w:val="Heading6"/>
      </w:pPr>
      <w:r>
        <w:t>K540026 IPA I 2007 RAZVOJ SUSTAVA CARINSKIH LABORATORIJA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K540026-IPA I 2007 RAZVOJ SUSTAVA CARINSKIH LABORATORIJA</w:t>
            </w:r>
          </w:p>
        </w:tc>
        <w:tc>
          <w:tcPr>
            <w:tcW w:w="2322" w:type="dxa"/>
          </w:tcPr>
          <w:p w:rsidR="00AC0832" w:rsidRDefault="00AC0832" w:rsidP="00A47D80">
            <w:pPr>
              <w:pStyle w:val="CellColumn"/>
            </w:pPr>
            <w:r>
              <w:t>3.274.597</w:t>
            </w:r>
          </w:p>
        </w:tc>
        <w:tc>
          <w:tcPr>
            <w:tcW w:w="2322" w:type="dxa"/>
          </w:tcPr>
          <w:p w:rsidR="00AC0832" w:rsidRDefault="00AC0832" w:rsidP="00A47D80">
            <w:pPr>
              <w:pStyle w:val="CellColumn"/>
            </w:pPr>
            <w:r>
              <w:t>2.046.930</w:t>
            </w:r>
          </w:p>
        </w:tc>
        <w:tc>
          <w:tcPr>
            <w:tcW w:w="2322" w:type="dxa"/>
          </w:tcPr>
          <w:p w:rsidR="00AC0832" w:rsidRDefault="00AC0832" w:rsidP="00A47D80">
            <w:pPr>
              <w:pStyle w:val="CellColumn"/>
            </w:pPr>
            <w:r>
              <w:t>62,5</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 xml:space="preserve">Projekti u sklopu programa IPA 2007 provode se sukladno Zakonu o potvrđivanju Sporazuma o financiranju između Vlade Republike Hrvatske i Komisije Europskih zajednica u svezi s Nacionalnim programom za Hrvatsku u okviru programa IPA – komponenta Pomoć u tranziciji i jačanje institucija za 2007. godinu (NN MU br. 3/2009).   </w:t>
      </w:r>
    </w:p>
    <w:p w:rsidR="00AC0832" w:rsidRDefault="00AC0832" w:rsidP="00C63D4C">
      <w:pPr>
        <w:pStyle w:val="Normal6"/>
      </w:pPr>
      <w:r>
        <w:t xml:space="preserve">Svrha projekta IPA 2007 „Razvoj carinskog laboratorija“ je da doprinese većem ubiranju carinskih prihoda kroz utvrđivanje prirode, svojstava, tarifnog broja i vrijednosti robe te zašiti društva tako što će pružiti potporu sprječavanju nezakonite trgovine robom.  </w:t>
      </w:r>
    </w:p>
    <w:p w:rsidR="00AC0832" w:rsidRDefault="00AC0832" w:rsidP="00C63D4C">
      <w:pPr>
        <w:pStyle w:val="Normal6"/>
      </w:pPr>
      <w:r>
        <w:t xml:space="preserve">Nabava opreme za laboratorij realizirana je tijekom 2012. godine  kroz ugovore o nabavi opreme, te je izvršena  isporuka i testiranje uređaja.  </w:t>
      </w:r>
    </w:p>
    <w:p w:rsidR="00AC0832" w:rsidRDefault="00AC0832" w:rsidP="00C63D4C">
      <w:pPr>
        <w:pStyle w:val="Normal6"/>
      </w:pPr>
      <w:r>
        <w:t>Sredstva su planirana u iznosu 3.274.597,00 kn dok je izvršenje plana u iznosu 2.046.929,95 kn odnosno 62,51%. Po jednom ugovoru o nabavi opreme utvrđen  je iznos penala radi neizvršavanja obveza sukladno ugovoru temeljem kojeg je umanjen iznos za završno plaćanje.</w:t>
      </w:r>
    </w:p>
    <w:p w:rsidR="00AC0832" w:rsidRDefault="00AC0832" w:rsidP="00C63D4C">
      <w:pPr>
        <w:pStyle w:val="Heading6"/>
      </w:pPr>
      <w:r>
        <w:t>K540027 IPA I 2007 OPREMANJE JEDINICA ZA BORBU PROTIV KRIJUMČARENJA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K540027-IPA I 2007 OPREMANJE JEDINICA ZA BORBU PROTIV KRIJUMČARENJA</w:t>
            </w:r>
          </w:p>
        </w:tc>
        <w:tc>
          <w:tcPr>
            <w:tcW w:w="2322" w:type="dxa"/>
          </w:tcPr>
          <w:p w:rsidR="00AC0832" w:rsidRDefault="00AC0832" w:rsidP="00A47D80">
            <w:pPr>
              <w:pStyle w:val="CellColumn"/>
            </w:pPr>
            <w:r>
              <w:t>9.091.093</w:t>
            </w:r>
          </w:p>
        </w:tc>
        <w:tc>
          <w:tcPr>
            <w:tcW w:w="2322" w:type="dxa"/>
          </w:tcPr>
          <w:p w:rsidR="00AC0832" w:rsidRDefault="00AC0832" w:rsidP="00A47D80">
            <w:pPr>
              <w:pStyle w:val="CellColumn"/>
            </w:pPr>
            <w:r>
              <w:t>6.121.611</w:t>
            </w:r>
          </w:p>
        </w:tc>
        <w:tc>
          <w:tcPr>
            <w:tcW w:w="2322" w:type="dxa"/>
          </w:tcPr>
          <w:p w:rsidR="00AC0832" w:rsidRDefault="00AC0832" w:rsidP="00A47D80">
            <w:pPr>
              <w:pStyle w:val="CellColumn"/>
            </w:pPr>
            <w:r>
              <w:t>67,3</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 xml:space="preserve">Projekti u sklopu programa IPA 2007 provode se sukladno Zakonu o potvrđivanju Sporazuma o financiranju između Vlade Republike Hrvatske i Komisije Europskih zajednica u svezi s Nacionalnim programom za Hrvatsku u okviru programa IPA – komponenta Pomoć u tranziciji i jačanje institucija za 2007. godinu, (NN MU br. 3/2009).  Svrha projekta „IPA 2007 Nabavka opreme za potrebe suzbijanja krijumčarenja“ je  jačanje carinskih kontrola i nadzora na cijelom carinskom teritoriju RH kako bi se spriječilo i otkrilo kršenje carinskih i trošarinskih propisa te olakšala provedba prekršajnih i kaznenih postupaka. </w:t>
      </w:r>
    </w:p>
    <w:p w:rsidR="00AC0832" w:rsidRDefault="00AC0832" w:rsidP="00C63D4C">
      <w:pPr>
        <w:pStyle w:val="Normal6"/>
      </w:pPr>
      <w:r>
        <w:t xml:space="preserve">U 2012. godini u sklopu Projekta Carinskoj upravi je izvršena isporuka 2 plovila za more, te 2 čamca za rijeke.   </w:t>
      </w:r>
    </w:p>
    <w:p w:rsidR="00AC0832" w:rsidRDefault="00AC0832" w:rsidP="00C63D4C">
      <w:pPr>
        <w:pStyle w:val="Normal6"/>
      </w:pPr>
      <w:r>
        <w:t>Sredstva su planirana u iznosu 9.091.093,00 kn dok je izvršenje plana u iznosu 6.121.610,87 kn odnosno 67,34%. Izvršenje je manje od plana iz razloga što su kod tri ugovora o nabavi opreme utvrđeni iznosi penala za kašnjenje u dostavi opreme, na temelju kojih su umanjeni iznosi  završnih plaćanja.</w:t>
      </w:r>
    </w:p>
    <w:p w:rsidR="00AC0832" w:rsidRDefault="00AC0832" w:rsidP="00C63D4C">
      <w:pPr>
        <w:pStyle w:val="Heading2"/>
      </w:pPr>
      <w:r>
        <w:t>02515 Porezna uprava</w:t>
      </w:r>
    </w:p>
    <w:p w:rsidR="00AC0832" w:rsidRDefault="00AC0832" w:rsidP="00C63D4C">
      <w:pPr>
        <w:pStyle w:val="Heading4"/>
      </w:pPr>
      <w:r>
        <w:t>Uvod</w:t>
      </w:r>
    </w:p>
    <w:p w:rsidR="00AC0832" w:rsidRDefault="00AC0832" w:rsidP="00C63D4C">
      <w:pPr>
        <w:pStyle w:val="Normal3"/>
      </w:pPr>
      <w:r>
        <w:t>Porezna uprava, upravna organizacija u sastavu Ministarstva financija svoje djelovanje obavlja u okviru programa Izvršna uprava i administracija. Njena je temeljna zadaća primjena poreznih propisa i propisa o plaćanju obveznih doprinosa. Za funkcioniranje Porezne uprave ukupno je planirano 885.257.214, a izvršeno 855.630.445 što je doprinijelo nesmetanoj realizaciji zadanih ciljeva za 2012 godinu. Program Izvršna uprava i administracija izvršen je u 96,65% iznosa u odnosu na plan što je omogućilo korištenje prihoda za posebne namjene- izvor 43, mogućnost izvršenja u visini uplaćenog, a iznad planiranog iznosa. U okviru programa, aktivnost A541000 Izvršna uprava i administracija zastupljena je s 91,79% u ukupnom planu, a izvršena u odnosu na plan s 99,82%.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02515-Porezna uprava</w:t>
            </w:r>
          </w:p>
        </w:tc>
        <w:tc>
          <w:tcPr>
            <w:tcW w:w="2322" w:type="dxa"/>
          </w:tcPr>
          <w:p w:rsidR="00AC0832" w:rsidRDefault="00AC0832" w:rsidP="00A47D80">
            <w:pPr>
              <w:pStyle w:val="CellColumn"/>
            </w:pPr>
            <w:r>
              <w:t>885.257.214</w:t>
            </w:r>
          </w:p>
        </w:tc>
        <w:tc>
          <w:tcPr>
            <w:tcW w:w="2322" w:type="dxa"/>
          </w:tcPr>
          <w:p w:rsidR="00AC0832" w:rsidRDefault="00AC0832" w:rsidP="00A47D80">
            <w:pPr>
              <w:pStyle w:val="CellColumn"/>
            </w:pPr>
            <w:r>
              <w:t>855.630.445</w:t>
            </w:r>
          </w:p>
        </w:tc>
        <w:tc>
          <w:tcPr>
            <w:tcW w:w="2322" w:type="dxa"/>
          </w:tcPr>
          <w:p w:rsidR="00AC0832" w:rsidRDefault="00AC0832" w:rsidP="00A47D80">
            <w:pPr>
              <w:pStyle w:val="CellColumn"/>
            </w:pPr>
            <w:r>
              <w:t>96,7</w:t>
            </w:r>
          </w:p>
        </w:tc>
      </w:tr>
      <w:tr w:rsidR="00AC0832" w:rsidTr="00A47D80">
        <w:trPr>
          <w:jc w:val="center"/>
        </w:trPr>
        <w:tc>
          <w:tcPr>
            <w:tcW w:w="2322" w:type="dxa"/>
          </w:tcPr>
          <w:p w:rsidR="00AC0832" w:rsidRDefault="00AC0832" w:rsidP="00A47D80">
            <w:pPr>
              <w:pStyle w:val="CellColumnSmall"/>
            </w:pPr>
            <w:r>
              <w:t>2207-DJELATNOST CARINSKOG I POREZNOG SUSTAVA</w:t>
            </w:r>
          </w:p>
        </w:tc>
        <w:tc>
          <w:tcPr>
            <w:tcW w:w="2322" w:type="dxa"/>
          </w:tcPr>
          <w:p w:rsidR="00AC0832" w:rsidRDefault="00AC0832" w:rsidP="00A47D80">
            <w:pPr>
              <w:pStyle w:val="CellColumnSmall"/>
            </w:pPr>
            <w:r>
              <w:t>885.257.214</w:t>
            </w:r>
          </w:p>
        </w:tc>
        <w:tc>
          <w:tcPr>
            <w:tcW w:w="2322" w:type="dxa"/>
          </w:tcPr>
          <w:p w:rsidR="00AC0832" w:rsidRDefault="00AC0832" w:rsidP="00A47D80">
            <w:pPr>
              <w:pStyle w:val="CellColumnSmall"/>
            </w:pPr>
            <w:r>
              <w:t>855.630.445</w:t>
            </w:r>
          </w:p>
        </w:tc>
        <w:tc>
          <w:tcPr>
            <w:tcW w:w="2322" w:type="dxa"/>
          </w:tcPr>
          <w:p w:rsidR="00AC0832" w:rsidRDefault="00AC0832" w:rsidP="00A47D80">
            <w:pPr>
              <w:pStyle w:val="CellColumnSmall"/>
            </w:pPr>
            <w:r>
              <w:t>96,7</w:t>
            </w:r>
          </w:p>
        </w:tc>
      </w:tr>
    </w:tbl>
    <w:p w:rsidR="00AC0832" w:rsidRDefault="00AC0832" w:rsidP="00C63D4C">
      <w:pPr>
        <w:jc w:val="left"/>
      </w:pPr>
    </w:p>
    <w:p w:rsidR="00AC0832" w:rsidRDefault="00AC0832" w:rsidP="00C63D4C">
      <w:pPr>
        <w:pStyle w:val="Heading4"/>
      </w:pPr>
      <w:r>
        <w:t>OBRAZLOŽENJE PROGRAMA</w:t>
      </w:r>
    </w:p>
    <w:p w:rsidR="00AC0832" w:rsidRDefault="00AC0832" w:rsidP="00C63D4C">
      <w:pPr>
        <w:pStyle w:val="Heading5"/>
      </w:pPr>
      <w:r>
        <w:t>2207 DJELATNOST CARINSKOG I POREZNOG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2207-DJELATNOST CARINSKOG I POREZNOG SUSTAVA</w:t>
            </w:r>
          </w:p>
        </w:tc>
        <w:tc>
          <w:tcPr>
            <w:tcW w:w="2322" w:type="dxa"/>
          </w:tcPr>
          <w:p w:rsidR="00AC0832" w:rsidRDefault="00AC0832" w:rsidP="00A47D80">
            <w:pPr>
              <w:pStyle w:val="CellColumn"/>
            </w:pPr>
            <w:r>
              <w:t>885.257.214</w:t>
            </w:r>
          </w:p>
        </w:tc>
        <w:tc>
          <w:tcPr>
            <w:tcW w:w="2322" w:type="dxa"/>
          </w:tcPr>
          <w:p w:rsidR="00AC0832" w:rsidRDefault="00AC0832" w:rsidP="00A47D80">
            <w:pPr>
              <w:pStyle w:val="CellColumn"/>
            </w:pPr>
            <w:r>
              <w:t>855.630.445</w:t>
            </w:r>
          </w:p>
        </w:tc>
        <w:tc>
          <w:tcPr>
            <w:tcW w:w="2322" w:type="dxa"/>
          </w:tcPr>
          <w:p w:rsidR="00AC0832" w:rsidRDefault="00AC0832" w:rsidP="00A47D80">
            <w:pPr>
              <w:pStyle w:val="CellColumn"/>
            </w:pPr>
            <w:r>
              <w:t>96,7</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Primjena poreznih propisa i propisa o plaćanju obveznih doprinosa u svrhu podmirenja javnih troškova u skladu s gospodarskim mogućnostima RH na načelima jednakosti i pravednosti.</w:t>
      </w:r>
    </w:p>
    <w:p w:rsidR="00AC0832" w:rsidRDefault="00AC0832" w:rsidP="00C63D4C">
      <w:pPr>
        <w:pStyle w:val="Heading6"/>
      </w:pPr>
      <w:r>
        <w:t>Zakonske i druge pravne osnove</w:t>
      </w:r>
    </w:p>
    <w:p w:rsidR="00AC0832" w:rsidRDefault="00AC0832" w:rsidP="00C63D4C">
      <w:pPr>
        <w:pStyle w:val="Normal5"/>
      </w:pPr>
      <w:r>
        <w:t xml:space="preserve">Zakon o ustrojstvu i djelokrugu ministarstava i drugih državnih organizacija </w:t>
      </w:r>
    </w:p>
    <w:p w:rsidR="00AC0832" w:rsidRDefault="00AC0832" w:rsidP="00C63D4C">
      <w:pPr>
        <w:pStyle w:val="Normal5"/>
      </w:pPr>
      <w:r>
        <w:t xml:space="preserve">Zakon o proračunu </w:t>
      </w:r>
    </w:p>
    <w:p w:rsidR="00AC0832" w:rsidRDefault="00AC0832" w:rsidP="00C63D4C">
      <w:pPr>
        <w:pStyle w:val="Normal5"/>
      </w:pPr>
      <w:r>
        <w:t xml:space="preserve">Zakon o Poreznoj upravi </w:t>
      </w:r>
    </w:p>
    <w:p w:rsidR="00AC0832" w:rsidRDefault="00AC0832" w:rsidP="00C63D4C">
      <w:pPr>
        <w:pStyle w:val="Normal5"/>
      </w:pPr>
      <w:r>
        <w:t>Zakon o osobnom identifikacijskom broju</w:t>
      </w:r>
    </w:p>
    <w:p w:rsidR="00AC0832" w:rsidRDefault="00AC0832" w:rsidP="00C63D4C">
      <w:pPr>
        <w:pStyle w:val="Heading7"/>
      </w:pPr>
      <w:r>
        <w:t>Cilj 1. Učinkovita i efikasna naplata poreznih prihoda</w:t>
      </w:r>
    </w:p>
    <w:p w:rsidR="00AC0832" w:rsidRDefault="00AC0832" w:rsidP="00C63D4C">
      <w:pPr>
        <w:pStyle w:val="Heading8"/>
        <w:jc w:val="left"/>
      </w:pPr>
      <w:r>
        <w:t>Opis provedbe cilja programa</w:t>
      </w:r>
    </w:p>
    <w:p w:rsidR="00AC0832" w:rsidRDefault="00AC0832" w:rsidP="00C63D4C">
      <w:pPr>
        <w:pStyle w:val="Normal6"/>
      </w:pPr>
      <w:r>
        <w:t>Učinkovita i efikasna naplata poreznih prihoda podržana dobrom informatičkom opremom i sigurnim software-ima kao i učinkovitom službom nadzora.</w:t>
      </w:r>
    </w:p>
    <w:p w:rsidR="00AC0832" w:rsidRDefault="00AC0832" w:rsidP="00C63D4C">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4"/>
        <w:gridCol w:w="1281"/>
        <w:gridCol w:w="905"/>
        <w:gridCol w:w="1260"/>
        <w:gridCol w:w="988"/>
        <w:gridCol w:w="1260"/>
        <w:gridCol w:w="1260"/>
      </w:tblGrid>
      <w:tr w:rsidR="00AC0832" w:rsidTr="00A47D80">
        <w:trPr>
          <w:jc w:val="center"/>
        </w:trPr>
        <w:tc>
          <w:tcPr>
            <w:tcW w:w="1300" w:type="dxa"/>
            <w:shd w:val="clear" w:color="auto" w:fill="B5C0D8"/>
          </w:tcPr>
          <w:p w:rsidR="00AC0832" w:rsidRPr="00392240" w:rsidRDefault="00AC0832" w:rsidP="00A47D80">
            <w:pPr>
              <w:rPr>
                <w:sz w:val="20"/>
                <w:lang w:eastAsia="hr-HR"/>
              </w:rPr>
            </w:pPr>
            <w:r w:rsidRPr="00392240">
              <w:rPr>
                <w:sz w:val="20"/>
                <w:lang w:eastAsia="hr-HR"/>
              </w:rPr>
              <w:t>Pokazatelj učinka</w:t>
            </w:r>
          </w:p>
        </w:tc>
        <w:tc>
          <w:tcPr>
            <w:tcW w:w="1300" w:type="dxa"/>
            <w:shd w:val="clear" w:color="auto" w:fill="B5C0D8"/>
          </w:tcPr>
          <w:p w:rsidR="00AC0832" w:rsidRDefault="00AC0832" w:rsidP="00A47D80">
            <w:pPr>
              <w:pStyle w:val="CellHeader"/>
            </w:pPr>
            <w:r>
              <w:t>Definicija</w:t>
            </w:r>
          </w:p>
        </w:tc>
        <w:tc>
          <w:tcPr>
            <w:tcW w:w="1300" w:type="dxa"/>
            <w:shd w:val="clear" w:color="auto" w:fill="B5C0D8"/>
          </w:tcPr>
          <w:p w:rsidR="00AC0832" w:rsidRDefault="00AC0832" w:rsidP="00A47D80">
            <w:pPr>
              <w:pStyle w:val="CellHeader"/>
            </w:pPr>
            <w:r>
              <w:t>Jedinica</w:t>
            </w:r>
          </w:p>
        </w:tc>
        <w:tc>
          <w:tcPr>
            <w:tcW w:w="1300" w:type="dxa"/>
            <w:shd w:val="clear" w:color="auto" w:fill="B5C0D8"/>
          </w:tcPr>
          <w:p w:rsidR="00AC0832" w:rsidRDefault="00AC0832" w:rsidP="00A47D80">
            <w:pPr>
              <w:pStyle w:val="CellHeader"/>
            </w:pPr>
            <w:r>
              <w:t>Polazna vrijednost</w:t>
            </w:r>
          </w:p>
        </w:tc>
        <w:tc>
          <w:tcPr>
            <w:tcW w:w="1300" w:type="dxa"/>
            <w:shd w:val="clear" w:color="auto" w:fill="B5C0D8"/>
          </w:tcPr>
          <w:p w:rsidR="00AC0832" w:rsidRDefault="00AC0832" w:rsidP="00A47D80">
            <w:pPr>
              <w:pStyle w:val="CellHeader"/>
            </w:pPr>
            <w:r>
              <w:t>Izvor podataka</w:t>
            </w:r>
          </w:p>
        </w:tc>
        <w:tc>
          <w:tcPr>
            <w:tcW w:w="1300" w:type="dxa"/>
            <w:shd w:val="clear" w:color="auto" w:fill="B5C0D8"/>
          </w:tcPr>
          <w:p w:rsidR="00AC0832" w:rsidRDefault="00AC0832" w:rsidP="00A47D80">
            <w:pPr>
              <w:pStyle w:val="CellHeader"/>
            </w:pPr>
            <w:r>
              <w:t>Ciljana vrijednost (2012.)</w:t>
            </w:r>
          </w:p>
        </w:tc>
        <w:tc>
          <w:tcPr>
            <w:tcW w:w="1300" w:type="dxa"/>
            <w:shd w:val="clear" w:color="auto" w:fill="B5C0D8"/>
          </w:tcPr>
          <w:p w:rsidR="00AC0832" w:rsidRDefault="00AC0832" w:rsidP="00A47D80">
            <w:pPr>
              <w:pStyle w:val="CellHeader"/>
            </w:pPr>
            <w:r>
              <w:t>Ostvarena vrijednost (2012.)</w:t>
            </w:r>
          </w:p>
        </w:tc>
      </w:tr>
      <w:tr w:rsidR="00AC0832" w:rsidTr="00A47D80">
        <w:trPr>
          <w:jc w:val="center"/>
        </w:trPr>
        <w:tc>
          <w:tcPr>
            <w:tcW w:w="1300" w:type="dxa"/>
          </w:tcPr>
          <w:p w:rsidR="00AC0832" w:rsidRDefault="00AC0832" w:rsidP="00A47D80">
            <w:pPr>
              <w:pStyle w:val="CellColumn"/>
            </w:pPr>
            <w:r>
              <w:t>Podmirenostevidentiranih obveza evidentiranih obveza</w:t>
            </w:r>
          </w:p>
        </w:tc>
        <w:tc>
          <w:tcPr>
            <w:tcW w:w="1300" w:type="dxa"/>
          </w:tcPr>
          <w:p w:rsidR="00AC0832" w:rsidRDefault="00AC0832" w:rsidP="00A47D80">
            <w:pPr>
              <w:pStyle w:val="CellColumn"/>
            </w:pPr>
            <w:r>
              <w:t>Podmirenost evidentiranih obveza</w:t>
            </w:r>
          </w:p>
        </w:tc>
        <w:tc>
          <w:tcPr>
            <w:tcW w:w="1300" w:type="dxa"/>
          </w:tcPr>
          <w:p w:rsidR="00AC0832" w:rsidRPr="00392240" w:rsidRDefault="00AC0832" w:rsidP="00A47D80">
            <w:pPr>
              <w:jc w:val="left"/>
              <w:rPr>
                <w:sz w:val="20"/>
                <w:lang w:eastAsia="hr-HR"/>
              </w:rPr>
            </w:pPr>
          </w:p>
        </w:tc>
        <w:tc>
          <w:tcPr>
            <w:tcW w:w="1300" w:type="dxa"/>
          </w:tcPr>
          <w:p w:rsidR="00AC0832" w:rsidRDefault="00AC0832" w:rsidP="00A47D80">
            <w:pPr>
              <w:pStyle w:val="CellColumn"/>
            </w:pPr>
            <w:r>
              <w:t>885.257.214</w:t>
            </w:r>
          </w:p>
        </w:tc>
        <w:tc>
          <w:tcPr>
            <w:tcW w:w="1300" w:type="dxa"/>
          </w:tcPr>
          <w:p w:rsidR="00AC0832" w:rsidRDefault="00AC0832" w:rsidP="00A47D80">
            <w:pPr>
              <w:pStyle w:val="CellColumn"/>
            </w:pPr>
            <w:r>
              <w:t>Porezna uprava</w:t>
            </w:r>
          </w:p>
        </w:tc>
        <w:tc>
          <w:tcPr>
            <w:tcW w:w="1300" w:type="dxa"/>
          </w:tcPr>
          <w:p w:rsidR="00AC0832" w:rsidRDefault="00AC0832" w:rsidP="00A47D80">
            <w:pPr>
              <w:pStyle w:val="CellColumn"/>
            </w:pPr>
            <w:r>
              <w:t>885.257.214</w:t>
            </w:r>
          </w:p>
        </w:tc>
        <w:tc>
          <w:tcPr>
            <w:tcW w:w="1300" w:type="dxa"/>
          </w:tcPr>
          <w:p w:rsidR="00AC0832" w:rsidRDefault="00AC0832" w:rsidP="00A47D80">
            <w:pPr>
              <w:pStyle w:val="CellColumn"/>
            </w:pPr>
            <w:r>
              <w:t>885.630.445</w:t>
            </w:r>
          </w:p>
        </w:tc>
      </w:tr>
    </w:tbl>
    <w:p w:rsidR="00AC0832" w:rsidRDefault="00AC0832" w:rsidP="00C63D4C">
      <w:pPr>
        <w:jc w:val="left"/>
      </w:pPr>
    </w:p>
    <w:p w:rsidR="00AC0832" w:rsidRDefault="00AC0832" w:rsidP="00C63D4C">
      <w:pPr>
        <w:pStyle w:val="Heading6"/>
      </w:pPr>
      <w:r>
        <w:t>A541000 ADMINISTRACIJA I UPRAVLJANJE POREZNE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A541000-ADMINISTRACIJA I UPRAVLJANJE POREZNE UPRAVE</w:t>
            </w:r>
          </w:p>
        </w:tc>
        <w:tc>
          <w:tcPr>
            <w:tcW w:w="2322" w:type="dxa"/>
          </w:tcPr>
          <w:p w:rsidR="00AC0832" w:rsidRDefault="00AC0832" w:rsidP="00A47D80">
            <w:pPr>
              <w:pStyle w:val="CellColumn"/>
            </w:pPr>
            <w:r>
              <w:t>812.566.014</w:t>
            </w:r>
          </w:p>
        </w:tc>
        <w:tc>
          <w:tcPr>
            <w:tcW w:w="2322" w:type="dxa"/>
          </w:tcPr>
          <w:p w:rsidR="00AC0832" w:rsidRDefault="00AC0832" w:rsidP="00A47D80">
            <w:pPr>
              <w:pStyle w:val="CellColumn"/>
            </w:pPr>
            <w:r>
              <w:t>810.458.419</w:t>
            </w:r>
          </w:p>
        </w:tc>
        <w:tc>
          <w:tcPr>
            <w:tcW w:w="2322" w:type="dxa"/>
          </w:tcPr>
          <w:p w:rsidR="00AC0832" w:rsidRDefault="00AC0832" w:rsidP="00A47D80">
            <w:pPr>
              <w:pStyle w:val="CellColumn"/>
            </w:pPr>
            <w:r>
              <w:t>99,7</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Planirani zadaci - rashodi za zaposlene i materijalni rashodi, osnovni su preduvjet uspješnog i učinkovitog rada djelatnika iz djelokruga utvrđenog zakonom.Isti su realno planirani i realno ugovoreni. To je ključna aktivnost u okviru programa i učešćem najveća u ukupnom proračunu Porezne uprave i sudjeluje s cca 99%.Porezna uprava upošljava 4500 ljudi čiji djelokrug rada je obiman:zaprimanje poreznih prijava, evidentiranje poreznih obveza , naplata i povrat poreza , utvrđivanje pravilnosti poreznih prijava, provođenje inspekcijskog nadzora, provođenje ovrhi, vođenje prvostupanjskog prekršajnog postupka, davanje mišljenja o primjeni propisa, međunarodna pomoć u poreznim stvarima, izgradnja i korištenje poreznog informacijskog sustava, davanje odobrenja i nadzor nad priređivanjem igara na sreću, izdavanje odobrenja i markica za pojedine proizvode, nadzor obračunavanja, naplata, i ovrha obveznih doprinosa i drugi poslovi radi unapređenja poreznog sustava i učinkovitijeg ubiranja poreza i obveznih doprinosa.</w:t>
      </w:r>
    </w:p>
    <w:p w:rsidR="00AC0832" w:rsidRDefault="00AC0832" w:rsidP="00C63D4C">
      <w:pPr>
        <w:pStyle w:val="Heading6"/>
      </w:pPr>
      <w:r>
        <w:t>K270143 OBJEKTI ZA POTREBE POREZNE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K270143-OBJEKTI ZA POTREBE POREZNE UPRAVE</w:t>
            </w:r>
          </w:p>
        </w:tc>
        <w:tc>
          <w:tcPr>
            <w:tcW w:w="2322" w:type="dxa"/>
          </w:tcPr>
          <w:p w:rsidR="00AC0832" w:rsidRDefault="00AC0832" w:rsidP="00A47D80">
            <w:pPr>
              <w:pStyle w:val="CellColumn"/>
            </w:pPr>
            <w:r>
              <w:t>12.000.000</w:t>
            </w:r>
          </w:p>
        </w:tc>
        <w:tc>
          <w:tcPr>
            <w:tcW w:w="2322" w:type="dxa"/>
          </w:tcPr>
          <w:p w:rsidR="00AC0832" w:rsidRDefault="00AC0832" w:rsidP="00A47D80">
            <w:pPr>
              <w:pStyle w:val="CellColumn"/>
            </w:pPr>
            <w:r>
              <w:t>10.180.343</w:t>
            </w:r>
          </w:p>
        </w:tc>
        <w:tc>
          <w:tcPr>
            <w:tcW w:w="2322" w:type="dxa"/>
          </w:tcPr>
          <w:p w:rsidR="00AC0832" w:rsidRDefault="00AC0832" w:rsidP="00A47D80">
            <w:pPr>
              <w:pStyle w:val="CellColumn"/>
            </w:pPr>
            <w:r>
              <w:t>84,8</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Cilj ove aktivnosti je osiguranje dobrih i funkcionalnih uvjeta rada.</w:t>
      </w:r>
    </w:p>
    <w:p w:rsidR="00AC0832" w:rsidRDefault="00AC0832" w:rsidP="00C63D4C">
      <w:pPr>
        <w:pStyle w:val="Heading6"/>
      </w:pPr>
      <w:r>
        <w:t>K270160 INFORMATIZACIJA POREZNE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K270160-INFORMATIZACIJA POREZNE UPRAVE</w:t>
            </w:r>
          </w:p>
        </w:tc>
        <w:tc>
          <w:tcPr>
            <w:tcW w:w="2322" w:type="dxa"/>
          </w:tcPr>
          <w:p w:rsidR="00AC0832" w:rsidRDefault="00AC0832" w:rsidP="00A47D80">
            <w:pPr>
              <w:pStyle w:val="CellColumn"/>
            </w:pPr>
            <w:r>
              <w:t>11.400.000</w:t>
            </w:r>
          </w:p>
        </w:tc>
        <w:tc>
          <w:tcPr>
            <w:tcW w:w="2322" w:type="dxa"/>
          </w:tcPr>
          <w:p w:rsidR="00AC0832" w:rsidRDefault="00AC0832" w:rsidP="00A47D80">
            <w:pPr>
              <w:pStyle w:val="CellColumn"/>
            </w:pPr>
            <w:r>
              <w:t>3.382.777</w:t>
            </w:r>
          </w:p>
        </w:tc>
        <w:tc>
          <w:tcPr>
            <w:tcW w:w="2322" w:type="dxa"/>
          </w:tcPr>
          <w:p w:rsidR="00AC0832" w:rsidRDefault="00AC0832" w:rsidP="00A47D80">
            <w:pPr>
              <w:pStyle w:val="CellColumn"/>
            </w:pPr>
            <w:r>
              <w:t>29,7</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Cilj ove aktivnosti je osiguranje dobre informatičke opreme i sigurnih software-a .</w:t>
      </w:r>
    </w:p>
    <w:p w:rsidR="00AC0832" w:rsidRDefault="00AC0832" w:rsidP="00C63D4C">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A47D80">
        <w:trPr>
          <w:jc w:val="center"/>
        </w:trPr>
        <w:tc>
          <w:tcPr>
            <w:tcW w:w="1300" w:type="dxa"/>
            <w:shd w:val="clear" w:color="auto" w:fill="B5C0D8"/>
          </w:tcPr>
          <w:p w:rsidR="00AC0832" w:rsidRPr="00392240" w:rsidRDefault="00AC0832" w:rsidP="00A47D80">
            <w:pPr>
              <w:rPr>
                <w:sz w:val="20"/>
                <w:lang w:eastAsia="hr-HR"/>
              </w:rPr>
            </w:pPr>
            <w:r w:rsidRPr="00392240">
              <w:rPr>
                <w:sz w:val="20"/>
                <w:lang w:eastAsia="hr-HR"/>
              </w:rPr>
              <w:t>Pokazatelj rezultata</w:t>
            </w:r>
          </w:p>
        </w:tc>
        <w:tc>
          <w:tcPr>
            <w:tcW w:w="1300" w:type="dxa"/>
            <w:shd w:val="clear" w:color="auto" w:fill="B5C0D8"/>
          </w:tcPr>
          <w:p w:rsidR="00AC0832" w:rsidRDefault="00AC0832" w:rsidP="00A47D80">
            <w:pPr>
              <w:pStyle w:val="CellHeader"/>
            </w:pPr>
            <w:r>
              <w:t>Definicija</w:t>
            </w:r>
          </w:p>
        </w:tc>
        <w:tc>
          <w:tcPr>
            <w:tcW w:w="1300" w:type="dxa"/>
            <w:shd w:val="clear" w:color="auto" w:fill="B5C0D8"/>
          </w:tcPr>
          <w:p w:rsidR="00AC0832" w:rsidRDefault="00AC0832" w:rsidP="00A47D80">
            <w:pPr>
              <w:pStyle w:val="CellHeader"/>
            </w:pPr>
            <w:r>
              <w:t>Jedinica</w:t>
            </w:r>
          </w:p>
        </w:tc>
        <w:tc>
          <w:tcPr>
            <w:tcW w:w="1300" w:type="dxa"/>
            <w:shd w:val="clear" w:color="auto" w:fill="B5C0D8"/>
          </w:tcPr>
          <w:p w:rsidR="00AC0832" w:rsidRDefault="00AC0832" w:rsidP="00A47D80">
            <w:pPr>
              <w:pStyle w:val="CellHeader"/>
            </w:pPr>
            <w:r>
              <w:t>Polazna vrijednost</w:t>
            </w:r>
          </w:p>
        </w:tc>
        <w:tc>
          <w:tcPr>
            <w:tcW w:w="1300" w:type="dxa"/>
            <w:shd w:val="clear" w:color="auto" w:fill="B5C0D8"/>
          </w:tcPr>
          <w:p w:rsidR="00AC0832" w:rsidRDefault="00AC0832" w:rsidP="00A47D80">
            <w:pPr>
              <w:pStyle w:val="CellHeader"/>
            </w:pPr>
            <w:r>
              <w:t>Izvor podataka</w:t>
            </w:r>
          </w:p>
        </w:tc>
        <w:tc>
          <w:tcPr>
            <w:tcW w:w="1300" w:type="dxa"/>
            <w:shd w:val="clear" w:color="auto" w:fill="B5C0D8"/>
          </w:tcPr>
          <w:p w:rsidR="00AC0832" w:rsidRDefault="00AC0832" w:rsidP="00A47D80">
            <w:pPr>
              <w:pStyle w:val="CellHeader"/>
            </w:pPr>
            <w:r>
              <w:t>Ciljana vrijednost (2012.)</w:t>
            </w:r>
          </w:p>
        </w:tc>
        <w:tc>
          <w:tcPr>
            <w:tcW w:w="1300" w:type="dxa"/>
            <w:shd w:val="clear" w:color="auto" w:fill="B5C0D8"/>
          </w:tcPr>
          <w:p w:rsidR="00AC0832" w:rsidRDefault="00AC0832" w:rsidP="00A47D80">
            <w:pPr>
              <w:pStyle w:val="CellHeader"/>
            </w:pPr>
            <w:r>
              <w:t>Ostvarena vrijednost (2012.)</w:t>
            </w:r>
          </w:p>
        </w:tc>
      </w:tr>
      <w:tr w:rsidR="00AC0832" w:rsidTr="00A47D80">
        <w:trPr>
          <w:jc w:val="center"/>
        </w:trPr>
        <w:tc>
          <w:tcPr>
            <w:tcW w:w="1300" w:type="dxa"/>
          </w:tcPr>
          <w:p w:rsidR="00AC0832" w:rsidRDefault="00AC0832" w:rsidP="00A47D80">
            <w:pPr>
              <w:pStyle w:val="CellColumn"/>
            </w:pPr>
            <w:r>
              <w:t>Broj PC-a i korištenje licenci i računalnih programa</w:t>
            </w:r>
          </w:p>
        </w:tc>
        <w:tc>
          <w:tcPr>
            <w:tcW w:w="1300" w:type="dxa"/>
          </w:tcPr>
          <w:p w:rsidR="00AC0832" w:rsidRDefault="00AC0832" w:rsidP="00A47D80">
            <w:pPr>
              <w:pStyle w:val="CellColumn"/>
            </w:pPr>
            <w:r>
              <w:t>Broj PC-a po uposlenom djelatniku</w:t>
            </w:r>
          </w:p>
        </w:tc>
        <w:tc>
          <w:tcPr>
            <w:tcW w:w="1300" w:type="dxa"/>
          </w:tcPr>
          <w:p w:rsidR="00AC0832" w:rsidRDefault="00AC0832" w:rsidP="00A47D80">
            <w:pPr>
              <w:pStyle w:val="CellColumn"/>
            </w:pPr>
            <w:r>
              <w:t>kom</w:t>
            </w:r>
          </w:p>
        </w:tc>
        <w:tc>
          <w:tcPr>
            <w:tcW w:w="1300" w:type="dxa"/>
          </w:tcPr>
          <w:p w:rsidR="00AC0832" w:rsidRDefault="00AC0832" w:rsidP="00A47D80">
            <w:pPr>
              <w:pStyle w:val="CellColumn"/>
            </w:pPr>
            <w:r>
              <w:t>11.400.000</w:t>
            </w:r>
          </w:p>
        </w:tc>
        <w:tc>
          <w:tcPr>
            <w:tcW w:w="1300" w:type="dxa"/>
          </w:tcPr>
          <w:p w:rsidR="00AC0832" w:rsidRDefault="00AC0832" w:rsidP="00A47D80">
            <w:pPr>
              <w:pStyle w:val="CellColumn"/>
            </w:pPr>
            <w:r>
              <w:t>Proračun 2012.g.</w:t>
            </w:r>
          </w:p>
        </w:tc>
        <w:tc>
          <w:tcPr>
            <w:tcW w:w="1300" w:type="dxa"/>
          </w:tcPr>
          <w:p w:rsidR="00AC0832" w:rsidRDefault="00AC0832" w:rsidP="00A47D80">
            <w:pPr>
              <w:pStyle w:val="CellColumn"/>
            </w:pPr>
            <w:r>
              <w:t>11.400.000</w:t>
            </w:r>
          </w:p>
        </w:tc>
        <w:tc>
          <w:tcPr>
            <w:tcW w:w="1300" w:type="dxa"/>
          </w:tcPr>
          <w:p w:rsidR="00AC0832" w:rsidRDefault="00AC0832" w:rsidP="00A47D80">
            <w:pPr>
              <w:pStyle w:val="CellColumn"/>
            </w:pPr>
            <w:r>
              <w:t>3.382.778</w:t>
            </w:r>
          </w:p>
        </w:tc>
      </w:tr>
    </w:tbl>
    <w:p w:rsidR="00AC0832" w:rsidRDefault="00AC0832" w:rsidP="00C63D4C">
      <w:pPr>
        <w:jc w:val="left"/>
      </w:pPr>
    </w:p>
    <w:p w:rsidR="00AC0832" w:rsidRDefault="00AC0832" w:rsidP="00C63D4C">
      <w:pPr>
        <w:pStyle w:val="Heading6"/>
      </w:pPr>
      <w:r>
        <w:t>K541025 MODERNIZACIJA POREZNE UPRAVE - (ZAJAM IBRD I UČEŠĆE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K541025-MODERNIZACIJA POREZNE UPRAVE - (ZAJAM IBRD I UČEŠĆE RH)</w:t>
            </w:r>
          </w:p>
        </w:tc>
        <w:tc>
          <w:tcPr>
            <w:tcW w:w="2322" w:type="dxa"/>
          </w:tcPr>
          <w:p w:rsidR="00AC0832" w:rsidRDefault="00AC0832" w:rsidP="00A47D80">
            <w:pPr>
              <w:pStyle w:val="CellColumn"/>
            </w:pPr>
            <w:r>
              <w:t>16.400.000</w:t>
            </w:r>
          </w:p>
        </w:tc>
        <w:tc>
          <w:tcPr>
            <w:tcW w:w="2322" w:type="dxa"/>
          </w:tcPr>
          <w:p w:rsidR="00AC0832" w:rsidRDefault="00AC0832" w:rsidP="00A47D80">
            <w:pPr>
              <w:pStyle w:val="CellColumn"/>
            </w:pPr>
            <w:r>
              <w:t>5.477.955</w:t>
            </w:r>
          </w:p>
        </w:tc>
        <w:tc>
          <w:tcPr>
            <w:tcW w:w="2322" w:type="dxa"/>
          </w:tcPr>
          <w:p w:rsidR="00AC0832" w:rsidRDefault="00AC0832" w:rsidP="00A47D80">
            <w:pPr>
              <w:pStyle w:val="CellColumn"/>
            </w:pPr>
            <w:r>
              <w:t>33,4</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 xml:space="preserve">Aktivnost Modernizacija Porezne uprave - Zajam IBRD izvršen je u 33,40% iznosa u odnosu na plan. </w:t>
      </w:r>
    </w:p>
    <w:p w:rsidR="00AC0832" w:rsidRDefault="00AC0832" w:rsidP="00C63D4C">
      <w:pPr>
        <w:pStyle w:val="Heading6"/>
      </w:pPr>
      <w:r>
        <w:t>T541031 IPA I 2010 TAIB JAČANJE ADMINISTRATIVNOG I INSTITUCIONALNOG KAPACITETA HRVATSKE POREZNE UPRAVE U PODRUČJU PRIMJENE PDV-a NA ZAJEDNIČKOM TRŽIŠTU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T541031-IPA I 2010 TAIB JAČANJE ADMINISTRATIVNOG I INSTITUCIONALNOG KAPACITETA HRVATSKE POREZNE UPRAVE U PODRUČJU PRIMJENE PDV-a NA ZAJEDNIČKOM TRŽIŠTU EU</w:t>
            </w:r>
          </w:p>
        </w:tc>
        <w:tc>
          <w:tcPr>
            <w:tcW w:w="2322" w:type="dxa"/>
          </w:tcPr>
          <w:p w:rsidR="00AC0832" w:rsidRDefault="00AC0832" w:rsidP="00A47D80">
            <w:pPr>
              <w:pStyle w:val="CellColumn"/>
            </w:pPr>
            <w:r>
              <w:t>4.799.900</w:t>
            </w:r>
          </w:p>
        </w:tc>
        <w:tc>
          <w:tcPr>
            <w:tcW w:w="2322" w:type="dxa"/>
          </w:tcPr>
          <w:p w:rsidR="00AC0832" w:rsidRDefault="00AC0832" w:rsidP="00A47D80">
            <w:pPr>
              <w:pStyle w:val="CellColumn"/>
            </w:pPr>
            <w:r>
              <w:t>1.506.202</w:t>
            </w:r>
          </w:p>
        </w:tc>
        <w:tc>
          <w:tcPr>
            <w:tcW w:w="2322" w:type="dxa"/>
          </w:tcPr>
          <w:p w:rsidR="00AC0832" w:rsidRDefault="00AC0832" w:rsidP="00A47D80">
            <w:pPr>
              <w:pStyle w:val="CellColumn"/>
            </w:pPr>
            <w:r>
              <w:t>31,4</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Planirana aktivnost izvršena je u 31,39% plana sukladno izmijenjenim ugovorenim obvezama.</w:t>
      </w:r>
    </w:p>
    <w:p w:rsidR="00AC0832" w:rsidRDefault="00AC0832" w:rsidP="00C63D4C">
      <w:pPr>
        <w:pStyle w:val="Heading2"/>
      </w:pPr>
      <w:r>
        <w:t>02520 Financijska policija</w:t>
      </w:r>
    </w:p>
    <w:p w:rsidR="00AC0832" w:rsidRDefault="00AC0832" w:rsidP="00C63D4C">
      <w:pPr>
        <w:pStyle w:val="Heading4"/>
      </w:pPr>
      <w:r>
        <w:t>Uvod</w:t>
      </w:r>
    </w:p>
    <w:p w:rsidR="00AC0832" w:rsidRDefault="00AC0832" w:rsidP="00C63D4C">
      <w:pPr>
        <w:pStyle w:val="Normal3"/>
      </w:pPr>
      <w:r>
        <w:t>Obavljanje poslova financijskog nadzora zakonitosti, pravilnosti i pravodobnosti obračuna. prijava i uplata proračunskih prihoda i naknada propisanih posebnim zakonom, a sve u svrhu snaženja financijske discipline proračunskih obveznika. Posebni zadaci su nadziranje proizvodnje i prometa naftnih derivata, duhanskih proizvoda, piva, alkohola, kave i bezalkoholnih pića u cilju utvrđivanja pravilnosti obračuna i pravodobnosti uplate posebnog poreza, izvršavanje obveze obračuna i uplate doprinosa za obvezna osiguranja, te izvršavanje obveza prema proračunu preuzetih koncesijskim ugovorom ili ugovorom o zakupu.</w:t>
      </w:r>
      <w:r w:rsidRPr="006610CD">
        <w:t xml:space="preserve"> </w:t>
      </w:r>
      <w:r>
        <w:t>Zakonom o prestanku važenja Zakona o Financijskoj policiji Financijska policija prestala je s radom 8. ožujka 2012.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02520-Financijska policija</w:t>
            </w:r>
          </w:p>
        </w:tc>
        <w:tc>
          <w:tcPr>
            <w:tcW w:w="2322" w:type="dxa"/>
          </w:tcPr>
          <w:p w:rsidR="00AC0832" w:rsidRDefault="00AC0832" w:rsidP="00A47D80">
            <w:pPr>
              <w:pStyle w:val="CellColumn"/>
            </w:pPr>
            <w:r>
              <w:t>7.933.850</w:t>
            </w:r>
          </w:p>
        </w:tc>
        <w:tc>
          <w:tcPr>
            <w:tcW w:w="2322" w:type="dxa"/>
          </w:tcPr>
          <w:p w:rsidR="00AC0832" w:rsidRDefault="00AC0832" w:rsidP="00A47D80">
            <w:pPr>
              <w:pStyle w:val="CellColumn"/>
            </w:pPr>
            <w:r>
              <w:t>7.760.655</w:t>
            </w:r>
          </w:p>
        </w:tc>
        <w:tc>
          <w:tcPr>
            <w:tcW w:w="2322" w:type="dxa"/>
          </w:tcPr>
          <w:p w:rsidR="00AC0832" w:rsidRDefault="00AC0832" w:rsidP="00A47D80">
            <w:pPr>
              <w:pStyle w:val="CellColumn"/>
            </w:pPr>
            <w:r>
              <w:t>97,8</w:t>
            </w:r>
          </w:p>
        </w:tc>
      </w:tr>
      <w:tr w:rsidR="00AC0832" w:rsidTr="00A47D80">
        <w:trPr>
          <w:jc w:val="center"/>
        </w:trPr>
        <w:tc>
          <w:tcPr>
            <w:tcW w:w="2322" w:type="dxa"/>
          </w:tcPr>
          <w:p w:rsidR="00AC0832" w:rsidRDefault="00AC0832" w:rsidP="00A47D80">
            <w:pPr>
              <w:pStyle w:val="CellColumnSmall"/>
            </w:pPr>
            <w:r>
              <w:t>2207-DJELATNOST CARINSKOG I POREZNOG SUSTAVA</w:t>
            </w:r>
          </w:p>
        </w:tc>
        <w:tc>
          <w:tcPr>
            <w:tcW w:w="2322" w:type="dxa"/>
          </w:tcPr>
          <w:p w:rsidR="00AC0832" w:rsidRDefault="00AC0832" w:rsidP="00A47D80">
            <w:pPr>
              <w:pStyle w:val="CellColumnSmall"/>
            </w:pPr>
            <w:r>
              <w:t>7.933.850</w:t>
            </w:r>
          </w:p>
        </w:tc>
        <w:tc>
          <w:tcPr>
            <w:tcW w:w="2322" w:type="dxa"/>
          </w:tcPr>
          <w:p w:rsidR="00AC0832" w:rsidRDefault="00AC0832" w:rsidP="00A47D80">
            <w:pPr>
              <w:pStyle w:val="CellColumnSmall"/>
            </w:pPr>
            <w:r>
              <w:t>7.760.655</w:t>
            </w:r>
          </w:p>
        </w:tc>
        <w:tc>
          <w:tcPr>
            <w:tcW w:w="2322" w:type="dxa"/>
          </w:tcPr>
          <w:p w:rsidR="00AC0832" w:rsidRDefault="00AC0832" w:rsidP="00A47D80">
            <w:pPr>
              <w:pStyle w:val="CellColumnSmall"/>
            </w:pPr>
            <w:r>
              <w:t>97,8</w:t>
            </w:r>
          </w:p>
        </w:tc>
      </w:tr>
    </w:tbl>
    <w:p w:rsidR="00AC0832" w:rsidRDefault="00AC0832" w:rsidP="00C63D4C">
      <w:pPr>
        <w:jc w:val="left"/>
      </w:pPr>
    </w:p>
    <w:p w:rsidR="00AC0832" w:rsidRDefault="00AC0832" w:rsidP="00C63D4C">
      <w:pPr>
        <w:pStyle w:val="Heading4"/>
      </w:pPr>
      <w:r>
        <w:t>OBRAZLOŽENJE PROGRAMA</w:t>
      </w:r>
    </w:p>
    <w:p w:rsidR="00AC0832" w:rsidRDefault="00AC0832" w:rsidP="00C63D4C">
      <w:pPr>
        <w:pStyle w:val="Heading5"/>
      </w:pPr>
      <w:r>
        <w:t>2207 DJELATNOST CARINSKOG I POREZNOG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2207-DJELATNOST CARINSKOG I POREZNOG SUSTAVA</w:t>
            </w:r>
          </w:p>
        </w:tc>
        <w:tc>
          <w:tcPr>
            <w:tcW w:w="2322" w:type="dxa"/>
          </w:tcPr>
          <w:p w:rsidR="00AC0832" w:rsidRDefault="00AC0832" w:rsidP="00A47D80">
            <w:pPr>
              <w:pStyle w:val="CellColumn"/>
            </w:pPr>
            <w:r>
              <w:t>7.933.850</w:t>
            </w:r>
          </w:p>
        </w:tc>
        <w:tc>
          <w:tcPr>
            <w:tcW w:w="2322" w:type="dxa"/>
          </w:tcPr>
          <w:p w:rsidR="00AC0832" w:rsidRDefault="00AC0832" w:rsidP="00A47D80">
            <w:pPr>
              <w:pStyle w:val="CellColumn"/>
            </w:pPr>
            <w:r>
              <w:t>7.760.655</w:t>
            </w:r>
          </w:p>
        </w:tc>
        <w:tc>
          <w:tcPr>
            <w:tcW w:w="2322" w:type="dxa"/>
          </w:tcPr>
          <w:p w:rsidR="00AC0832" w:rsidRDefault="00AC0832" w:rsidP="00A47D80">
            <w:pPr>
              <w:pStyle w:val="CellColumn"/>
            </w:pPr>
            <w:r>
              <w:t>97,8</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Glavna zadaća i cilj programa je učinkovita i efikasna naplata poreznih prihoda. Program predstavlja kontinuirano praćenje naplate obveza poreznih obveznika i kontinuiranu izradu plana akcija, kontrola i nadzora istih kao i njihova stalna provedba. Snaženje financijske discipline, suzbijanje neslužbenog gospodarstva i spriječavanje izbjegavanja plaćanja proračunskih obveza u cilju ostvarivanja proračunskih prihoda.</w:t>
      </w:r>
    </w:p>
    <w:p w:rsidR="00AC0832" w:rsidRDefault="00AC0832" w:rsidP="00C63D4C">
      <w:pPr>
        <w:pStyle w:val="Heading6"/>
      </w:pPr>
      <w:r>
        <w:t>Zakonske i druge pravne osnove</w:t>
      </w:r>
    </w:p>
    <w:p w:rsidR="00AC0832" w:rsidRDefault="00AC0832" w:rsidP="00C63D4C">
      <w:pPr>
        <w:pStyle w:val="Normal5"/>
      </w:pPr>
      <w:r>
        <w:t xml:space="preserve">Zakon o ustrojstvu i djelokrugu rada ministarstava i drugih državnih organizacija </w:t>
      </w:r>
    </w:p>
    <w:p w:rsidR="00AC0832" w:rsidRDefault="00AC0832" w:rsidP="00C63D4C">
      <w:pPr>
        <w:pStyle w:val="Normal5"/>
      </w:pPr>
      <w:r>
        <w:t xml:space="preserve">Zakon o proračunu </w:t>
      </w:r>
    </w:p>
    <w:p w:rsidR="00AC0832" w:rsidRDefault="00AC0832" w:rsidP="00C63D4C">
      <w:pPr>
        <w:pStyle w:val="Normal5"/>
      </w:pPr>
      <w:r>
        <w:t>Zakon o Financijskoj policiji</w:t>
      </w:r>
    </w:p>
    <w:p w:rsidR="00AC0832" w:rsidRDefault="00AC0832" w:rsidP="00C63D4C">
      <w:pPr>
        <w:pStyle w:val="Heading7"/>
      </w:pPr>
      <w:r>
        <w:t>Cilj 1. Uredna naplata javnih prihoda</w:t>
      </w:r>
    </w:p>
    <w:p w:rsidR="00AC0832" w:rsidRDefault="00AC0832" w:rsidP="00C63D4C">
      <w:pPr>
        <w:pStyle w:val="Heading8"/>
        <w:jc w:val="left"/>
      </w:pPr>
      <w:r>
        <w:t>Opis provedbe cilja programa</w:t>
      </w:r>
    </w:p>
    <w:p w:rsidR="00AC0832" w:rsidRDefault="00AC0832" w:rsidP="00C63D4C">
      <w:pPr>
        <w:pStyle w:val="Normal6"/>
      </w:pPr>
      <w:r>
        <w:t>U ostvarivanju cilja naglasak je na nadziranju proizvodnje i prometa naftnih derivata, duhanskih proizvoda, piva ,alkohola, kave i bezalkoholnih pića u svrhu  utvrđivanja pravilnosti obračuna i pravodobnosti uplate posebnog poreza te izvršavanje obveza prema proračunu preuzetih koncesijskim ugovorom ili ugovorom o zakupu.</w:t>
      </w:r>
    </w:p>
    <w:p w:rsidR="00AC0832" w:rsidRDefault="00AC0832" w:rsidP="00C63D4C">
      <w:pPr>
        <w:jc w:val="left"/>
      </w:pPr>
    </w:p>
    <w:p w:rsidR="00AC0832" w:rsidRDefault="00AC0832" w:rsidP="00C63D4C">
      <w:pPr>
        <w:pStyle w:val="Heading2"/>
      </w:pPr>
      <w:r>
        <w:t>02540 Agencija za reviziju sustava provedbe programa Europske unije</w:t>
      </w:r>
    </w:p>
    <w:p w:rsidR="00AC0832" w:rsidRDefault="00AC0832" w:rsidP="00C63D4C">
      <w:pPr>
        <w:pStyle w:val="Heading4"/>
      </w:pPr>
      <w:r>
        <w:t>Uvod</w:t>
      </w:r>
    </w:p>
    <w:p w:rsidR="00AC0832" w:rsidRDefault="00AC0832" w:rsidP="00C63D4C">
      <w:pPr>
        <w:pStyle w:val="Normal3"/>
      </w:pPr>
      <w:r>
        <w:t xml:space="preserve">Uredbom Vlade Republike Hrvatske od 20. lipnja 2008. osnovana je Agencija za reviziju sustava provedbe programa Europske unije (dalje u tekstu: Agencija). Osnivač Agencije je Republika Hrvatska, a osnivačka prava i dužnosti u ime osnivača obavlja Ministarstvo financija. Agencija je osnovana kao javna ustanova, a djelatnost joj je revizija i ovjeravanje usklađenosti provedbe programa Europske unije u kojima su upravljanje i odgovornost preneseni na Republiku Hrvatsku. </w:t>
      </w:r>
    </w:p>
    <w:p w:rsidR="00AC0832" w:rsidRDefault="00AC0832" w:rsidP="00C63D4C">
      <w:pPr>
        <w:pStyle w:val="Normal3"/>
      </w:pPr>
      <w:r>
        <w:t xml:space="preserve"> </w:t>
      </w:r>
    </w:p>
    <w:p w:rsidR="00AC0832" w:rsidRDefault="00AC0832" w:rsidP="00C63D4C">
      <w:pPr>
        <w:pStyle w:val="Normal3"/>
      </w:pPr>
      <w:r>
        <w:t xml:space="preserve">Ukupni prihodi Agencije za 2012. planirani su u iznosu od 12.230.000,00 kn. Prihodi su planirani iz tri izvora: </w:t>
      </w:r>
    </w:p>
    <w:p w:rsidR="00AC0832" w:rsidRDefault="00AC0832" w:rsidP="00C63D4C">
      <w:pPr>
        <w:pStyle w:val="Normal3"/>
      </w:pPr>
      <w:r>
        <w:t xml:space="preserve">-izvor 11 – opći prihodi i primici u iznosu od  8.540.000,00 kn </w:t>
      </w:r>
    </w:p>
    <w:p w:rsidR="00AC0832" w:rsidRDefault="00AC0832" w:rsidP="00C63D4C">
      <w:pPr>
        <w:pStyle w:val="Normal3"/>
      </w:pPr>
      <w:r>
        <w:t xml:space="preserve">-izvor 12 – sredstva učešća za pomoći u iznosu  450.000,00 kn </w:t>
      </w:r>
    </w:p>
    <w:p w:rsidR="00AC0832" w:rsidRDefault="00AC0832" w:rsidP="00C63D4C">
      <w:pPr>
        <w:pStyle w:val="Normal3"/>
      </w:pPr>
      <w:r>
        <w:t xml:space="preserve">-izvor 51 – pomoći EU u iznosu od 3.240.000,00 kn </w:t>
      </w:r>
    </w:p>
    <w:p w:rsidR="00AC0832" w:rsidRDefault="00AC0832" w:rsidP="00C63D4C">
      <w:pPr>
        <w:pStyle w:val="Normal3"/>
      </w:pPr>
      <w:r>
        <w:t xml:space="preserve"> </w:t>
      </w:r>
    </w:p>
    <w:p w:rsidR="00AC0832" w:rsidRDefault="00AC0832" w:rsidP="00C63D4C">
      <w:pPr>
        <w:pStyle w:val="Normal3"/>
      </w:pPr>
      <w:r>
        <w:t xml:space="preserve">Izvor 12 i 51 odnosi se na planirana sredstva za twinning projekt IPA 2009. </w:t>
      </w:r>
    </w:p>
    <w:p w:rsidR="00AC0832" w:rsidRDefault="00AC0832" w:rsidP="00C63D4C">
      <w:pPr>
        <w:pStyle w:val="Normal3"/>
      </w:pPr>
      <w:r>
        <w:t xml:space="preserve"> </w:t>
      </w:r>
    </w:p>
    <w:p w:rsidR="00AC0832" w:rsidRDefault="00AC0832" w:rsidP="00C63D4C">
      <w:pPr>
        <w:pStyle w:val="Normal3"/>
      </w:pPr>
      <w:r>
        <w:t>Ukupni rashodi izvršeni su u iznosu od 11.620.377,00 kn, odnosno 95 % od planiranih, a odnose se na rashode poslovanja u iznosu 11.512.705,00 kn i rashode za nabavu nefinancijske imovine u iznosu 107.672,00 kn.</w:t>
      </w:r>
    </w:p>
    <w:p w:rsidR="00AC0832" w:rsidRDefault="00AC0832" w:rsidP="00C63D4C">
      <w:pPr>
        <w:pStyle w:val="Normal3"/>
      </w:pPr>
    </w:p>
    <w:p w:rsidR="00AC0832" w:rsidRDefault="00AC0832" w:rsidP="00C63D4C">
      <w:pPr>
        <w:pStyle w:val="Normal3"/>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02540-Agencija za reviziju sustava provedbe programa Europske unije</w:t>
            </w:r>
          </w:p>
        </w:tc>
        <w:tc>
          <w:tcPr>
            <w:tcW w:w="2322" w:type="dxa"/>
          </w:tcPr>
          <w:p w:rsidR="00AC0832" w:rsidRDefault="00AC0832" w:rsidP="00A47D80">
            <w:pPr>
              <w:pStyle w:val="CellColumn"/>
            </w:pPr>
            <w:r>
              <w:t>12.230.000</w:t>
            </w:r>
          </w:p>
        </w:tc>
        <w:tc>
          <w:tcPr>
            <w:tcW w:w="2322" w:type="dxa"/>
          </w:tcPr>
          <w:p w:rsidR="00AC0832" w:rsidRDefault="00AC0832" w:rsidP="00A47D80">
            <w:pPr>
              <w:pStyle w:val="CellColumn"/>
            </w:pPr>
            <w:r>
              <w:t>11.620.377</w:t>
            </w:r>
          </w:p>
        </w:tc>
        <w:tc>
          <w:tcPr>
            <w:tcW w:w="2322" w:type="dxa"/>
          </w:tcPr>
          <w:p w:rsidR="00AC0832" w:rsidRDefault="00AC0832" w:rsidP="00A47D80">
            <w:pPr>
              <w:pStyle w:val="CellColumn"/>
            </w:pPr>
            <w:r>
              <w:t>95,0</w:t>
            </w:r>
          </w:p>
        </w:tc>
      </w:tr>
      <w:tr w:rsidR="00AC0832" w:rsidTr="00A47D80">
        <w:trPr>
          <w:jc w:val="center"/>
        </w:trPr>
        <w:tc>
          <w:tcPr>
            <w:tcW w:w="2322" w:type="dxa"/>
          </w:tcPr>
          <w:p w:rsidR="00AC0832" w:rsidRDefault="00AC0832" w:rsidP="00A47D80">
            <w:pPr>
              <w:pStyle w:val="CellColumnSmall"/>
            </w:pPr>
            <w:r>
              <w:t>2206-UPRAVLJANJE PRETPRISTUPNIM FONDOVIMA</w:t>
            </w:r>
          </w:p>
        </w:tc>
        <w:tc>
          <w:tcPr>
            <w:tcW w:w="2322" w:type="dxa"/>
          </w:tcPr>
          <w:p w:rsidR="00AC0832" w:rsidRDefault="00AC0832" w:rsidP="00A47D80">
            <w:pPr>
              <w:pStyle w:val="CellColumnSmall"/>
            </w:pPr>
            <w:r>
              <w:t>12.230.000</w:t>
            </w:r>
          </w:p>
        </w:tc>
        <w:tc>
          <w:tcPr>
            <w:tcW w:w="2322" w:type="dxa"/>
          </w:tcPr>
          <w:p w:rsidR="00AC0832" w:rsidRDefault="00AC0832" w:rsidP="00A47D80">
            <w:pPr>
              <w:pStyle w:val="CellColumnSmall"/>
            </w:pPr>
            <w:r>
              <w:t>11.620.377</w:t>
            </w:r>
          </w:p>
        </w:tc>
        <w:tc>
          <w:tcPr>
            <w:tcW w:w="2322" w:type="dxa"/>
          </w:tcPr>
          <w:p w:rsidR="00AC0832" w:rsidRDefault="00AC0832" w:rsidP="00A47D80">
            <w:pPr>
              <w:pStyle w:val="CellColumnSmall"/>
            </w:pPr>
            <w:r>
              <w:t>95,0</w:t>
            </w:r>
          </w:p>
        </w:tc>
      </w:tr>
    </w:tbl>
    <w:p w:rsidR="00AC0832" w:rsidRDefault="00AC0832" w:rsidP="00C63D4C">
      <w:pPr>
        <w:jc w:val="left"/>
      </w:pPr>
    </w:p>
    <w:p w:rsidR="00AC0832" w:rsidRDefault="00AC0832" w:rsidP="00C63D4C">
      <w:pPr>
        <w:pStyle w:val="Heading4"/>
      </w:pPr>
      <w:r>
        <w:t>OBRAZLOŽENJE PROGRAMA</w:t>
      </w:r>
    </w:p>
    <w:p w:rsidR="00AC0832" w:rsidRDefault="00AC0832" w:rsidP="00C63D4C">
      <w:pPr>
        <w:pStyle w:val="Heading5"/>
      </w:pPr>
      <w:r>
        <w:t>2206 UPRAVLJANJE PRETPRISTUPNIM FONDOVIMA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2206-UPRAVLJANJE PRETPRISTUPNIM FONDOVIMA</w:t>
            </w:r>
          </w:p>
        </w:tc>
        <w:tc>
          <w:tcPr>
            <w:tcW w:w="2322" w:type="dxa"/>
          </w:tcPr>
          <w:p w:rsidR="00AC0832" w:rsidRDefault="00AC0832" w:rsidP="00A47D80">
            <w:pPr>
              <w:pStyle w:val="CellColumn"/>
            </w:pPr>
            <w:r>
              <w:t>12.230.000</w:t>
            </w:r>
          </w:p>
        </w:tc>
        <w:tc>
          <w:tcPr>
            <w:tcW w:w="2322" w:type="dxa"/>
          </w:tcPr>
          <w:p w:rsidR="00AC0832" w:rsidRDefault="00AC0832" w:rsidP="00A47D80">
            <w:pPr>
              <w:pStyle w:val="CellColumn"/>
            </w:pPr>
            <w:r>
              <w:t>11.620.377</w:t>
            </w:r>
          </w:p>
        </w:tc>
        <w:tc>
          <w:tcPr>
            <w:tcW w:w="2322" w:type="dxa"/>
          </w:tcPr>
          <w:p w:rsidR="00AC0832" w:rsidRDefault="00AC0832" w:rsidP="00A47D80">
            <w:pPr>
              <w:pStyle w:val="CellColumn"/>
            </w:pPr>
            <w:r>
              <w:t>95,0</w:t>
            </w:r>
          </w:p>
        </w:tc>
      </w:tr>
    </w:tbl>
    <w:p w:rsidR="00AC0832" w:rsidRDefault="00AC0832" w:rsidP="00C63D4C">
      <w:pPr>
        <w:jc w:val="left"/>
      </w:pPr>
    </w:p>
    <w:p w:rsidR="00AC0832" w:rsidRDefault="00AC0832" w:rsidP="00C63D4C">
      <w:pPr>
        <w:pStyle w:val="Heading6"/>
      </w:pPr>
      <w:r>
        <w:t>Opis programa</w:t>
      </w:r>
    </w:p>
    <w:p w:rsidR="00AC0832" w:rsidRDefault="00AC0832" w:rsidP="00C63D4C">
      <w:pPr>
        <w:pStyle w:val="Normal5"/>
      </w:pPr>
      <w:r>
        <w:t xml:space="preserve">U sustavu upravljanja pretpristupnim fondovima EU velik značaj pridaje se reviziji, kako vanjskoj tako i unutarnjoj. </w:t>
      </w:r>
    </w:p>
    <w:p w:rsidR="00AC0832" w:rsidRDefault="00AC0832" w:rsidP="00C63D4C">
      <w:pPr>
        <w:pStyle w:val="Normal5"/>
      </w:pPr>
      <w:r>
        <w:t xml:space="preserve"> </w:t>
      </w:r>
    </w:p>
    <w:p w:rsidR="00AC0832" w:rsidRDefault="00AC0832" w:rsidP="00C63D4C">
      <w:pPr>
        <w:pStyle w:val="Normal5"/>
      </w:pPr>
      <w:r>
        <w:t xml:space="preserve">Uloga i značaj revizije proizlaze iz potrebe stalnog praćenja i procjene učinkovitosti sustava upravljanja, odnosno adekvatnosti i funkcionalnosti uspostavljenih kontrolnih mehanizama, ukazivanja na slabosti i poteškoće koje mogu nastati u sustavu te davanja preporuka za poboljšanje poslovanja. </w:t>
      </w:r>
    </w:p>
    <w:p w:rsidR="00AC0832" w:rsidRDefault="00AC0832" w:rsidP="00C63D4C">
      <w:pPr>
        <w:pStyle w:val="Normal5"/>
      </w:pPr>
      <w:r>
        <w:t xml:space="preserve"> </w:t>
      </w:r>
    </w:p>
    <w:p w:rsidR="00AC0832" w:rsidRDefault="00AC0832" w:rsidP="00C63D4C">
      <w:pPr>
        <w:pStyle w:val="Normal5"/>
      </w:pPr>
      <w:r>
        <w:t xml:space="preserve">Stoga se ciljevi revizije u znatnoj mjeri isprepliću, jer i unutarnja i vanjska revizija imaju za cilj dati neovisno stručno mišljenje o sustavu i procesima te preporuke i savjete za njihovo poboljšanje i postizanje što veće učinkovitosti. </w:t>
      </w:r>
    </w:p>
    <w:p w:rsidR="00AC0832" w:rsidRDefault="00AC0832" w:rsidP="00C63D4C">
      <w:pPr>
        <w:pStyle w:val="Normal5"/>
      </w:pPr>
      <w:r>
        <w:t xml:space="preserve"> </w:t>
      </w:r>
    </w:p>
    <w:p w:rsidR="00AC0832" w:rsidRDefault="00AC0832" w:rsidP="00C63D4C">
      <w:pPr>
        <w:pStyle w:val="Normal5"/>
      </w:pPr>
      <w:r>
        <w:t>Vanjska revizija je neovisno tijelo, uspostavljeno izvan sustava upravljanja i kontrola, u funkciji neovisne, vanjske procjene sustava u svim tijelima zaduženim za provedu programa EU. Agencija podnosi Godišnje izvješće o obavljenim revizijama Europskoj komisiji, Nacionalnom dužnosniku za ovjeravanje i Dužnosniku nadležnom za akreditaciju.</w:t>
      </w:r>
    </w:p>
    <w:p w:rsidR="00AC0832" w:rsidRDefault="00AC0832" w:rsidP="00C63D4C">
      <w:pPr>
        <w:pStyle w:val="Heading6"/>
      </w:pPr>
      <w:r>
        <w:t>Zakonske i druge pravne osnove</w:t>
      </w:r>
    </w:p>
    <w:p w:rsidR="00AC0832" w:rsidRDefault="00AC0832" w:rsidP="00C63D4C">
      <w:pPr>
        <w:pStyle w:val="Normal5"/>
      </w:pPr>
      <w:r>
        <w:t xml:space="preserve">Regulatorni okvir unutar kojeg se odvija provedba programa EU sastoji se od strateških i pravnih dokumenata, koji s jedne strane definiraju prioritete i iznose sredstava, a s druge strane pravila provođenja i provedbene sustave. </w:t>
      </w:r>
    </w:p>
    <w:p w:rsidR="00AC0832" w:rsidRDefault="00AC0832" w:rsidP="00C63D4C">
      <w:pPr>
        <w:pStyle w:val="Normal5"/>
      </w:pPr>
      <w:r>
        <w:t xml:space="preserve"> </w:t>
      </w:r>
    </w:p>
    <w:p w:rsidR="00AC0832" w:rsidRDefault="00AC0832" w:rsidP="00C63D4C">
      <w:pPr>
        <w:pStyle w:val="Normal5"/>
      </w:pPr>
    </w:p>
    <w:p w:rsidR="00AC0832" w:rsidRDefault="00AC0832" w:rsidP="00C63D4C">
      <w:pPr>
        <w:pStyle w:val="Normal5"/>
      </w:pPr>
      <w:r>
        <w:t>a)</w:t>
      </w:r>
      <w:r>
        <w:tab/>
        <w:t xml:space="preserve">Strateški dokumenti </w:t>
      </w:r>
    </w:p>
    <w:p w:rsidR="00AC0832" w:rsidRDefault="00AC0832" w:rsidP="00C63D4C">
      <w:pPr>
        <w:pStyle w:val="Normal5"/>
      </w:pPr>
      <w:r>
        <w:t xml:space="preserve">-Strategija Europske komisije za proširenje </w:t>
      </w:r>
    </w:p>
    <w:p w:rsidR="00AC0832" w:rsidRDefault="00AC0832" w:rsidP="00C63D4C">
      <w:pPr>
        <w:pStyle w:val="Normal5"/>
      </w:pPr>
      <w:r>
        <w:t xml:space="preserve">-Nacionalni program Republike Hrvatske za pridruživanje EU  </w:t>
      </w:r>
    </w:p>
    <w:p w:rsidR="00AC0832" w:rsidRDefault="00AC0832" w:rsidP="00C63D4C">
      <w:pPr>
        <w:pStyle w:val="Normal5"/>
      </w:pPr>
      <w:r>
        <w:t xml:space="preserve">-Sporazum o stabilizaciji i pridruživanju i Pristupno partnerstvo  </w:t>
      </w:r>
    </w:p>
    <w:p w:rsidR="00AC0832" w:rsidRDefault="00AC0832" w:rsidP="00C63D4C">
      <w:pPr>
        <w:pStyle w:val="Normal5"/>
      </w:pPr>
      <w:r>
        <w:t xml:space="preserve">-Strateški okvir Vlade RH za razvoj 2006. – 2013.  </w:t>
      </w:r>
    </w:p>
    <w:p w:rsidR="00AC0832" w:rsidRDefault="00AC0832" w:rsidP="00C63D4C">
      <w:pPr>
        <w:pStyle w:val="Normal5"/>
      </w:pPr>
      <w:r>
        <w:t xml:space="preserve">-Višegodišnji IPA indikativni financijski okvir  </w:t>
      </w:r>
    </w:p>
    <w:p w:rsidR="00AC0832" w:rsidRDefault="00AC0832" w:rsidP="00C63D4C">
      <w:pPr>
        <w:pStyle w:val="Normal5"/>
      </w:pPr>
      <w:r>
        <w:t xml:space="preserve">-Višegodišnji IPA indikativni planski dokument    </w:t>
      </w:r>
    </w:p>
    <w:p w:rsidR="00AC0832" w:rsidRDefault="00AC0832" w:rsidP="00C63D4C">
      <w:pPr>
        <w:pStyle w:val="Normal5"/>
      </w:pPr>
      <w:r>
        <w:t xml:space="preserve"> </w:t>
      </w:r>
    </w:p>
    <w:p w:rsidR="00AC0832" w:rsidRDefault="00AC0832" w:rsidP="00C63D4C">
      <w:pPr>
        <w:pStyle w:val="Normal5"/>
      </w:pPr>
      <w:r>
        <w:t>b)</w:t>
      </w:r>
      <w:r>
        <w:tab/>
        <w:t xml:space="preserve">Pravna osnova za  uspostavu i provedbu sustava </w:t>
      </w:r>
    </w:p>
    <w:p w:rsidR="00AC0832" w:rsidRDefault="00AC0832" w:rsidP="00C63D4C">
      <w:pPr>
        <w:pStyle w:val="Normal5"/>
      </w:pPr>
      <w:r>
        <w:t xml:space="preserve">-Uredba Vijeća (EZ) 1085/2006 od 17. srpnja 2006. godine kojom se uspostavlja  </w:t>
      </w:r>
    </w:p>
    <w:p w:rsidR="00AC0832" w:rsidRDefault="00AC0832" w:rsidP="00C63D4C">
      <w:pPr>
        <w:pStyle w:val="Normal5"/>
      </w:pPr>
      <w:r>
        <w:t xml:space="preserve"> Instrument pretpristupne pomoći (IPA) </w:t>
      </w:r>
    </w:p>
    <w:p w:rsidR="00AC0832" w:rsidRDefault="00AC0832" w:rsidP="00C63D4C">
      <w:pPr>
        <w:pStyle w:val="Normal5"/>
      </w:pPr>
      <w:r>
        <w:t xml:space="preserve">-Uredba komisije (EZ) 718/2007 od 12. lipnja 2007. godine o provedbi Uredbe Vijeća   </w:t>
      </w:r>
    </w:p>
    <w:p w:rsidR="00AC0832" w:rsidRDefault="00AC0832" w:rsidP="00C63D4C">
      <w:pPr>
        <w:pStyle w:val="Normal5"/>
      </w:pPr>
      <w:r>
        <w:t xml:space="preserve"> EZ 1085/2006 kojom se uspostavlja Instrument pretpristupne pomoći (IPA) </w:t>
      </w:r>
    </w:p>
    <w:p w:rsidR="00AC0832" w:rsidRDefault="00AC0832" w:rsidP="00C63D4C">
      <w:pPr>
        <w:pStyle w:val="Normal5"/>
      </w:pPr>
      <w:r>
        <w:t xml:space="preserve">-Okvirni sporazum između Vlade Republike Hrvatske i Europske komisije o  </w:t>
      </w:r>
    </w:p>
    <w:p w:rsidR="00AC0832" w:rsidRDefault="00AC0832" w:rsidP="00C63D4C">
      <w:pPr>
        <w:pStyle w:val="Normal5"/>
      </w:pPr>
      <w:r>
        <w:t xml:space="preserve"> pravilima suradnje za financijsku pomoć Europske komisije Republici Hrvatskoj, u  </w:t>
      </w:r>
    </w:p>
    <w:p w:rsidR="00AC0832" w:rsidRDefault="00AC0832" w:rsidP="00C63D4C">
      <w:pPr>
        <w:pStyle w:val="Normal5"/>
      </w:pPr>
      <w:r>
        <w:t xml:space="preserve"> okviru provedbe pomoći po instrumentu pretpristupne pomoći (IPA) - NN  </w:t>
      </w:r>
    </w:p>
    <w:p w:rsidR="00AC0832" w:rsidRDefault="00AC0832" w:rsidP="00C63D4C">
      <w:pPr>
        <w:pStyle w:val="Normal5"/>
      </w:pPr>
      <w:r>
        <w:t xml:space="preserve"> međunarodni dio 10/07 </w:t>
      </w:r>
    </w:p>
    <w:p w:rsidR="00AC0832" w:rsidRDefault="00AC0832" w:rsidP="00C63D4C">
      <w:pPr>
        <w:pStyle w:val="Normal5"/>
      </w:pPr>
      <w:r>
        <w:t xml:space="preserve"> -Sporazumi o financiranju između Europske komisije i Republike Hrvatske za  </w:t>
      </w:r>
    </w:p>
    <w:p w:rsidR="00AC0832" w:rsidRDefault="00AC0832" w:rsidP="00C63D4C">
      <w:pPr>
        <w:pStyle w:val="Normal5"/>
      </w:pPr>
      <w:r>
        <w:t xml:space="preserve">  komponentu III programa IPA - NN međunarodni ugovori 8/08 </w:t>
      </w:r>
    </w:p>
    <w:p w:rsidR="00AC0832" w:rsidRDefault="00AC0832" w:rsidP="00C63D4C">
      <w:pPr>
        <w:pStyle w:val="Normal5"/>
      </w:pPr>
      <w:r>
        <w:t xml:space="preserve">-Sektorski sporazum između Europske komisije i Republike Hrvatske  </w:t>
      </w:r>
    </w:p>
    <w:p w:rsidR="00AC0832" w:rsidRDefault="00AC0832" w:rsidP="00C63D4C">
      <w:pPr>
        <w:pStyle w:val="Normal5"/>
      </w:pPr>
      <w:r>
        <w:t xml:space="preserve">-Zakon o sustavu unutarnjih financijskih kontrola u javnom sektoru  - NN 141/06 </w:t>
      </w:r>
    </w:p>
    <w:p w:rsidR="00AC0832" w:rsidRDefault="00AC0832" w:rsidP="00C63D4C">
      <w:pPr>
        <w:pStyle w:val="Normal5"/>
      </w:pPr>
      <w:r>
        <w:t xml:space="preserve">-Zakon o uspostavi institucionalnog okvira za korištenje strukturnih instrumenata  </w:t>
      </w:r>
    </w:p>
    <w:p w:rsidR="00AC0832" w:rsidRDefault="00AC0832" w:rsidP="00C63D4C">
      <w:pPr>
        <w:pStyle w:val="Normal5"/>
      </w:pPr>
      <w:r>
        <w:t xml:space="preserve"> Europske unije u Republici Hrvatskoj (NN 78/2012.) </w:t>
      </w:r>
    </w:p>
    <w:p w:rsidR="00AC0832" w:rsidRDefault="00AC0832" w:rsidP="00C63D4C">
      <w:pPr>
        <w:pStyle w:val="Normal5"/>
      </w:pPr>
      <w:r>
        <w:t xml:space="preserve">-Uredba o tijelima u sustavu upravljanja i kontrole korištenja strukturnih instrumenata  </w:t>
      </w:r>
    </w:p>
    <w:p w:rsidR="00AC0832" w:rsidRDefault="00AC0832" w:rsidP="00C63D4C">
      <w:pPr>
        <w:pStyle w:val="Normal5"/>
      </w:pPr>
      <w:r>
        <w:t xml:space="preserve"> Europske unije u Republici Hrvatskoj (NN 97/2012.)</w:t>
      </w:r>
    </w:p>
    <w:p w:rsidR="00AC0832" w:rsidRDefault="00AC0832" w:rsidP="00C63D4C">
      <w:pPr>
        <w:pStyle w:val="Heading7"/>
      </w:pPr>
      <w:r>
        <w:t>Cilj 1. Povećati djelotvornost i učinkovitost svih subjekata uključenih u upravljanje pretpristupnim fondovima</w:t>
      </w:r>
    </w:p>
    <w:p w:rsidR="00AC0832" w:rsidRDefault="00AC0832" w:rsidP="00C63D4C">
      <w:pPr>
        <w:pStyle w:val="Heading8"/>
        <w:jc w:val="left"/>
      </w:pPr>
      <w:r>
        <w:t>Opis provedbe cilja programa</w:t>
      </w:r>
    </w:p>
    <w:p w:rsidR="00AC0832" w:rsidRDefault="00AC0832" w:rsidP="00C63D4C">
      <w:pPr>
        <w:pStyle w:val="Normal6"/>
      </w:pPr>
      <w:r>
        <w:t xml:space="preserve">Glavni cilj Agencije je povećati djelotvornost i učinkovitost svih subjekata uključenih u upravljanje pretpristupnim fondovima, a također u skoroj budućnosti strukturnim i kohezijskim fondovima u Republici Hrvatskoj, pružajući odgovarajuća jamstva za ovjeravanje učinkovitog funkcioniranja sustava upravljanja i kontrola, a u skladu s načelom dobrog financijskog upravljanja. </w:t>
      </w:r>
    </w:p>
    <w:p w:rsidR="00AC0832" w:rsidRDefault="00AC0832" w:rsidP="00C63D4C">
      <w:pPr>
        <w:pStyle w:val="Normal6"/>
      </w:pPr>
      <w:r>
        <w:t xml:space="preserve"> </w:t>
      </w:r>
    </w:p>
    <w:p w:rsidR="00AC0832" w:rsidRDefault="00AC0832" w:rsidP="00C63D4C">
      <w:pPr>
        <w:pStyle w:val="Normal6"/>
      </w:pPr>
      <w:r>
        <w:t>Navedeni cilj Agencije je u bliskoj povezanosti s nekoliko općih ciljeva Vlade Republike Hrvatske, jer se između ostalog uspostavljanjem odgovarajućeg sustava upravljanja i kontrola povećava iskoristivost pretpristupnih sredstava i njihovo učinkovito korištenje, što svakako utječe na makroekonomsku i gospodarsku stabilnost. Također, pravovremenim i pravilnim korištenjem sredstava iz predpristupnih programa omogućava se stvaranje optimalnog ozračja za razvoj konkurentnog gospodarstva, ravnomjernog regionalnog razvoja, te svakako stvaranje konkurentnog poljoprivredno-prehrambenog i ribarskog sektora. Sve zajedno utjecati će na daljnje jačanje međunarodnog položaja Republike Hrvatske.</w:t>
      </w:r>
    </w:p>
    <w:p w:rsidR="00AC0832" w:rsidRDefault="00AC0832" w:rsidP="00C63D4C">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3"/>
        <w:gridCol w:w="1483"/>
        <w:gridCol w:w="1162"/>
        <w:gridCol w:w="1205"/>
        <w:gridCol w:w="1517"/>
        <w:gridCol w:w="1205"/>
        <w:gridCol w:w="1233"/>
      </w:tblGrid>
      <w:tr w:rsidR="00AC0832" w:rsidTr="00A47D80">
        <w:trPr>
          <w:jc w:val="center"/>
        </w:trPr>
        <w:tc>
          <w:tcPr>
            <w:tcW w:w="1300" w:type="dxa"/>
            <w:shd w:val="clear" w:color="auto" w:fill="B5C0D8"/>
          </w:tcPr>
          <w:p w:rsidR="00AC0832" w:rsidRPr="00392240" w:rsidRDefault="00AC0832" w:rsidP="00A47D80">
            <w:pPr>
              <w:rPr>
                <w:sz w:val="20"/>
                <w:lang w:eastAsia="hr-HR"/>
              </w:rPr>
            </w:pPr>
            <w:r w:rsidRPr="00392240">
              <w:rPr>
                <w:sz w:val="20"/>
                <w:lang w:eastAsia="hr-HR"/>
              </w:rPr>
              <w:t>Pokazatelj učinka</w:t>
            </w:r>
          </w:p>
        </w:tc>
        <w:tc>
          <w:tcPr>
            <w:tcW w:w="1300" w:type="dxa"/>
            <w:shd w:val="clear" w:color="auto" w:fill="B5C0D8"/>
          </w:tcPr>
          <w:p w:rsidR="00AC0832" w:rsidRDefault="00AC0832" w:rsidP="00A47D80">
            <w:pPr>
              <w:pStyle w:val="CellHeader"/>
            </w:pPr>
            <w:r>
              <w:t>Definicija</w:t>
            </w:r>
          </w:p>
        </w:tc>
        <w:tc>
          <w:tcPr>
            <w:tcW w:w="1300" w:type="dxa"/>
            <w:shd w:val="clear" w:color="auto" w:fill="B5C0D8"/>
          </w:tcPr>
          <w:p w:rsidR="00AC0832" w:rsidRDefault="00AC0832" w:rsidP="00A47D80">
            <w:pPr>
              <w:pStyle w:val="CellHeader"/>
            </w:pPr>
            <w:r>
              <w:t>Jedinica</w:t>
            </w:r>
          </w:p>
        </w:tc>
        <w:tc>
          <w:tcPr>
            <w:tcW w:w="1300" w:type="dxa"/>
            <w:shd w:val="clear" w:color="auto" w:fill="B5C0D8"/>
          </w:tcPr>
          <w:p w:rsidR="00AC0832" w:rsidRDefault="00AC0832" w:rsidP="00A47D80">
            <w:pPr>
              <w:pStyle w:val="CellHeader"/>
            </w:pPr>
            <w:r>
              <w:t>Polazna vrijednost</w:t>
            </w:r>
          </w:p>
        </w:tc>
        <w:tc>
          <w:tcPr>
            <w:tcW w:w="1300" w:type="dxa"/>
            <w:shd w:val="clear" w:color="auto" w:fill="B5C0D8"/>
          </w:tcPr>
          <w:p w:rsidR="00AC0832" w:rsidRDefault="00AC0832" w:rsidP="00A47D80">
            <w:pPr>
              <w:pStyle w:val="CellHeader"/>
            </w:pPr>
            <w:r>
              <w:t>Izvor podataka</w:t>
            </w:r>
          </w:p>
        </w:tc>
        <w:tc>
          <w:tcPr>
            <w:tcW w:w="1300" w:type="dxa"/>
            <w:shd w:val="clear" w:color="auto" w:fill="B5C0D8"/>
          </w:tcPr>
          <w:p w:rsidR="00AC0832" w:rsidRDefault="00AC0832" w:rsidP="00A47D80">
            <w:pPr>
              <w:pStyle w:val="CellHeader"/>
            </w:pPr>
            <w:r>
              <w:t>Ciljana vrijednost (2012.)</w:t>
            </w:r>
          </w:p>
        </w:tc>
        <w:tc>
          <w:tcPr>
            <w:tcW w:w="1300" w:type="dxa"/>
            <w:shd w:val="clear" w:color="auto" w:fill="B5C0D8"/>
          </w:tcPr>
          <w:p w:rsidR="00AC0832" w:rsidRDefault="00AC0832" w:rsidP="00A47D80">
            <w:pPr>
              <w:pStyle w:val="CellHeader"/>
            </w:pPr>
            <w:r>
              <w:t>Ostvarena vrijednost (2012.)</w:t>
            </w:r>
          </w:p>
        </w:tc>
      </w:tr>
      <w:tr w:rsidR="00AC0832" w:rsidTr="00A47D80">
        <w:trPr>
          <w:jc w:val="center"/>
        </w:trPr>
        <w:tc>
          <w:tcPr>
            <w:tcW w:w="1300" w:type="dxa"/>
          </w:tcPr>
          <w:p w:rsidR="00AC0832" w:rsidRDefault="00AC0832" w:rsidP="00A47D80">
            <w:pPr>
              <w:pStyle w:val="CellColumn"/>
            </w:pPr>
            <w:r>
              <w:t>postotak obavljenih revizija u toku jedne godine u odnosu na planirane revizije u toj godini</w:t>
            </w:r>
          </w:p>
        </w:tc>
        <w:tc>
          <w:tcPr>
            <w:tcW w:w="1300" w:type="dxa"/>
          </w:tcPr>
          <w:p w:rsidR="00AC0832" w:rsidRDefault="00AC0832" w:rsidP="00A47D80">
            <w:pPr>
              <w:pStyle w:val="CellColumn"/>
            </w:pPr>
            <w:r>
              <w:t>postotak obavljenih revizija u toku jedne godine u odnosu na planirane revizije u toj godini</w:t>
            </w:r>
          </w:p>
        </w:tc>
        <w:tc>
          <w:tcPr>
            <w:tcW w:w="1300" w:type="dxa"/>
          </w:tcPr>
          <w:p w:rsidR="00AC0832" w:rsidRDefault="00AC0832" w:rsidP="00A47D80">
            <w:pPr>
              <w:pStyle w:val="CellColumn"/>
            </w:pPr>
            <w:r>
              <w:t>postotak</w:t>
            </w:r>
          </w:p>
        </w:tc>
        <w:tc>
          <w:tcPr>
            <w:tcW w:w="1300" w:type="dxa"/>
          </w:tcPr>
          <w:p w:rsidR="00AC0832" w:rsidRDefault="00AC0832" w:rsidP="00A47D80">
            <w:pPr>
              <w:pStyle w:val="CellColumn"/>
            </w:pPr>
            <w:r>
              <w:t>100%</w:t>
            </w:r>
          </w:p>
        </w:tc>
        <w:tc>
          <w:tcPr>
            <w:tcW w:w="1300" w:type="dxa"/>
          </w:tcPr>
          <w:p w:rsidR="00AC0832" w:rsidRDefault="00AC0832" w:rsidP="00A47D80">
            <w:pPr>
              <w:pStyle w:val="CellColumn"/>
            </w:pPr>
            <w:r>
              <w:t>godišnji planovi revizija</w:t>
            </w:r>
          </w:p>
        </w:tc>
        <w:tc>
          <w:tcPr>
            <w:tcW w:w="1300" w:type="dxa"/>
          </w:tcPr>
          <w:p w:rsidR="00AC0832" w:rsidRDefault="00AC0832" w:rsidP="00A47D80">
            <w:pPr>
              <w:pStyle w:val="CellColumn"/>
            </w:pPr>
            <w:r>
              <w:t>100%</w:t>
            </w:r>
          </w:p>
        </w:tc>
        <w:tc>
          <w:tcPr>
            <w:tcW w:w="1300" w:type="dxa"/>
          </w:tcPr>
          <w:p w:rsidR="00AC0832" w:rsidRDefault="00AC0832" w:rsidP="00A47D80">
            <w:pPr>
              <w:pStyle w:val="CellColumn"/>
            </w:pPr>
            <w:r>
              <w:t>100%</w:t>
            </w:r>
          </w:p>
        </w:tc>
      </w:tr>
      <w:tr w:rsidR="00AC0832" w:rsidTr="00A47D80">
        <w:trPr>
          <w:jc w:val="center"/>
        </w:trPr>
        <w:tc>
          <w:tcPr>
            <w:tcW w:w="1300" w:type="dxa"/>
          </w:tcPr>
          <w:p w:rsidR="00AC0832" w:rsidRDefault="00AC0832" w:rsidP="00A47D80">
            <w:pPr>
              <w:pStyle w:val="CellColumn"/>
            </w:pPr>
            <w:r>
              <w:t>postotak zaposlenih revizora u odnosu na sistematizirani broj revizora</w:t>
            </w:r>
          </w:p>
        </w:tc>
        <w:tc>
          <w:tcPr>
            <w:tcW w:w="1300" w:type="dxa"/>
          </w:tcPr>
          <w:p w:rsidR="00AC0832" w:rsidRDefault="00AC0832" w:rsidP="00A47D80">
            <w:pPr>
              <w:pStyle w:val="CellColumn"/>
            </w:pPr>
            <w:r>
              <w:t>postotak zaposlenih revizora u odnosu na sistematizirani broj revizora</w:t>
            </w:r>
          </w:p>
        </w:tc>
        <w:tc>
          <w:tcPr>
            <w:tcW w:w="1300" w:type="dxa"/>
          </w:tcPr>
          <w:p w:rsidR="00AC0832" w:rsidRDefault="00AC0832" w:rsidP="00A47D80">
            <w:pPr>
              <w:pStyle w:val="CellColumn"/>
            </w:pPr>
            <w:r>
              <w:t>postotak</w:t>
            </w:r>
          </w:p>
        </w:tc>
        <w:tc>
          <w:tcPr>
            <w:tcW w:w="1300" w:type="dxa"/>
          </w:tcPr>
          <w:p w:rsidR="00AC0832" w:rsidRDefault="00AC0832" w:rsidP="00A47D80">
            <w:pPr>
              <w:pStyle w:val="CellColumn"/>
            </w:pPr>
            <w:r>
              <w:t>87%</w:t>
            </w:r>
          </w:p>
        </w:tc>
        <w:tc>
          <w:tcPr>
            <w:tcW w:w="1300" w:type="dxa"/>
          </w:tcPr>
          <w:p w:rsidR="00AC0832" w:rsidRDefault="00AC0832" w:rsidP="00A47D80">
            <w:pPr>
              <w:pStyle w:val="CellColumn"/>
            </w:pPr>
            <w:r>
              <w:t>sistematizacija radnih mjesta</w:t>
            </w:r>
          </w:p>
        </w:tc>
        <w:tc>
          <w:tcPr>
            <w:tcW w:w="1300" w:type="dxa"/>
          </w:tcPr>
          <w:p w:rsidR="00AC0832" w:rsidRDefault="00AC0832" w:rsidP="00A47D80">
            <w:pPr>
              <w:pStyle w:val="CellColumn"/>
            </w:pPr>
            <w:r>
              <w:t>87%</w:t>
            </w:r>
          </w:p>
        </w:tc>
        <w:tc>
          <w:tcPr>
            <w:tcW w:w="1300" w:type="dxa"/>
          </w:tcPr>
          <w:p w:rsidR="00AC0832" w:rsidRDefault="00AC0832" w:rsidP="00A47D80">
            <w:pPr>
              <w:pStyle w:val="CellColumn"/>
            </w:pPr>
            <w:r>
              <w:t>87%</w:t>
            </w:r>
          </w:p>
        </w:tc>
      </w:tr>
    </w:tbl>
    <w:p w:rsidR="00AC0832" w:rsidRDefault="00AC0832" w:rsidP="00C63D4C">
      <w:pPr>
        <w:jc w:val="left"/>
      </w:pPr>
    </w:p>
    <w:p w:rsidR="00AC0832" w:rsidRDefault="00AC0832" w:rsidP="00C63D4C">
      <w:pPr>
        <w:pStyle w:val="Heading6"/>
      </w:pPr>
      <w:r>
        <w:t>A829002 ADMINISTRACIJA I UPRAVLJANJE AGENCIJE ZA REVIZIJU SUSTAVA PROVEDBE PROGRAMA EUROPSKE UNIJE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A47D80">
        <w:trPr>
          <w:jc w:val="center"/>
        </w:trPr>
        <w:tc>
          <w:tcPr>
            <w:tcW w:w="2322" w:type="dxa"/>
            <w:shd w:val="clear" w:color="auto" w:fill="B5C0D8"/>
          </w:tcPr>
          <w:p w:rsidR="00AC0832" w:rsidRDefault="00AC0832" w:rsidP="00A47D80">
            <w:pPr>
              <w:pStyle w:val="CellHeader"/>
            </w:pPr>
            <w:r>
              <w:t>Naziv aktivnosti</w:t>
            </w:r>
          </w:p>
        </w:tc>
        <w:tc>
          <w:tcPr>
            <w:tcW w:w="2322" w:type="dxa"/>
            <w:shd w:val="clear" w:color="auto" w:fill="B5C0D8"/>
          </w:tcPr>
          <w:p w:rsidR="00AC0832" w:rsidRDefault="00AC0832" w:rsidP="00A47D80">
            <w:pPr>
              <w:pStyle w:val="CellHeader"/>
            </w:pPr>
            <w:r>
              <w:t>Plan 2012. (kn)</w:t>
            </w:r>
          </w:p>
        </w:tc>
        <w:tc>
          <w:tcPr>
            <w:tcW w:w="2322" w:type="dxa"/>
            <w:shd w:val="clear" w:color="auto" w:fill="B5C0D8"/>
          </w:tcPr>
          <w:p w:rsidR="00AC0832" w:rsidRDefault="00AC0832" w:rsidP="00A47D80">
            <w:pPr>
              <w:pStyle w:val="CellHeader"/>
            </w:pPr>
            <w:r>
              <w:t>Izvršenje 2012. (kn)</w:t>
            </w:r>
          </w:p>
        </w:tc>
        <w:tc>
          <w:tcPr>
            <w:tcW w:w="2322" w:type="dxa"/>
            <w:shd w:val="clear" w:color="auto" w:fill="B5C0D8"/>
          </w:tcPr>
          <w:p w:rsidR="00AC0832" w:rsidRDefault="00AC0832" w:rsidP="00A47D80">
            <w:pPr>
              <w:pStyle w:val="CellHeader"/>
            </w:pPr>
            <w:r>
              <w:t>Indeks izvršenje/plan</w:t>
            </w:r>
          </w:p>
        </w:tc>
      </w:tr>
      <w:tr w:rsidR="00AC0832" w:rsidTr="00A47D80">
        <w:trPr>
          <w:jc w:val="center"/>
        </w:trPr>
        <w:tc>
          <w:tcPr>
            <w:tcW w:w="2322" w:type="dxa"/>
          </w:tcPr>
          <w:p w:rsidR="00AC0832" w:rsidRDefault="00AC0832" w:rsidP="00A47D80">
            <w:pPr>
              <w:pStyle w:val="CellColumn"/>
            </w:pPr>
            <w:r>
              <w:t>A829002-ADMINISTRACIJA I UPRAVLJANJE AGENCIJE ZA REVIZIJU SUSTAVA PROVEDBE PROGRAMA EUROPSKE UNIJE</w:t>
            </w:r>
          </w:p>
        </w:tc>
        <w:tc>
          <w:tcPr>
            <w:tcW w:w="2322" w:type="dxa"/>
          </w:tcPr>
          <w:p w:rsidR="00AC0832" w:rsidRDefault="00AC0832" w:rsidP="00A47D80">
            <w:pPr>
              <w:pStyle w:val="CellColumn"/>
            </w:pPr>
            <w:r>
              <w:t>8.370.000</w:t>
            </w:r>
          </w:p>
        </w:tc>
        <w:tc>
          <w:tcPr>
            <w:tcW w:w="2322" w:type="dxa"/>
          </w:tcPr>
          <w:p w:rsidR="00AC0832" w:rsidRDefault="00AC0832" w:rsidP="00A47D80">
            <w:pPr>
              <w:pStyle w:val="CellColumn"/>
            </w:pPr>
            <w:r>
              <w:t>7.908.036</w:t>
            </w:r>
          </w:p>
        </w:tc>
        <w:tc>
          <w:tcPr>
            <w:tcW w:w="2322" w:type="dxa"/>
          </w:tcPr>
          <w:p w:rsidR="00AC0832" w:rsidRDefault="00AC0832" w:rsidP="00A47D80">
            <w:pPr>
              <w:pStyle w:val="CellColumn"/>
            </w:pPr>
            <w:r>
              <w:t>94,5</w:t>
            </w:r>
          </w:p>
        </w:tc>
      </w:tr>
    </w:tbl>
    <w:p w:rsidR="00AC0832" w:rsidRDefault="00AC0832" w:rsidP="00C63D4C">
      <w:pPr>
        <w:jc w:val="left"/>
      </w:pPr>
    </w:p>
    <w:p w:rsidR="00AC0832" w:rsidRDefault="00AC0832" w:rsidP="00C63D4C">
      <w:pPr>
        <w:pStyle w:val="Heading8"/>
        <w:jc w:val="left"/>
      </w:pPr>
      <w:r>
        <w:t>Opis provedbe aktivnosti / projekta</w:t>
      </w:r>
    </w:p>
    <w:p w:rsidR="00AC0832" w:rsidRDefault="00AC0832" w:rsidP="00C63D4C">
      <w:pPr>
        <w:pStyle w:val="Normal6"/>
      </w:pPr>
      <w:r>
        <w:t xml:space="preserve">Djelatnost Agencije je revizija i ovjeravanje usklađenosti provedbe programa Europske unije u kojima su upravljanje i odgovornost preneseni na Republiku Hrvatsku s ciljevima, zadacima i postupcima utvrđenim međunarodno preuzetim obvezama Republike Hrvatske. Zadaća revizora je utvrditi pouzdanost sustava unutarnjih kontrola.  </w:t>
      </w:r>
    </w:p>
    <w:p w:rsidR="00AC0832" w:rsidRDefault="00AC0832" w:rsidP="00C63D4C">
      <w:pPr>
        <w:pStyle w:val="Normal6"/>
      </w:pPr>
      <w:r>
        <w:t xml:space="preserve"> </w:t>
      </w:r>
    </w:p>
    <w:p w:rsidR="00AC0832" w:rsidRDefault="00AC0832" w:rsidP="00C63D4C">
      <w:pPr>
        <w:pStyle w:val="Normal6"/>
      </w:pPr>
      <w:r>
        <w:t xml:space="preserve">Agencija je mlada institucija koja je u četiri godine od 7 zaposlenika narasla na 36 zaposlenika od čega su 32 revizora. Od 36 zaposlenika 34 ih je visoke stručne spreme, od kojih je 4 magistra, te 2 zaposlenika srednje stručne spreme.  </w:t>
      </w:r>
    </w:p>
    <w:p w:rsidR="00AC0832" w:rsidRDefault="00AC0832" w:rsidP="00C63D4C">
      <w:pPr>
        <w:pStyle w:val="Normal6"/>
      </w:pPr>
      <w:r>
        <w:t xml:space="preserve">Iz navedenog proizlazi da su najvažniji element Agencije ljudski potencijali te je nužno osigurati pravovremeno zapošljavanje kvalitetnih kadrova i zadržavanje postojećih. </w:t>
      </w:r>
    </w:p>
    <w:p w:rsidR="00AC0832" w:rsidRDefault="00AC0832" w:rsidP="00C63D4C">
      <w:pPr>
        <w:pStyle w:val="Normal6"/>
      </w:pPr>
      <w:r>
        <w:t xml:space="preserve"> </w:t>
      </w:r>
    </w:p>
    <w:p w:rsidR="00AC0832" w:rsidRDefault="00AC0832" w:rsidP="00C63D4C">
      <w:pPr>
        <w:pStyle w:val="Normal6"/>
      </w:pPr>
      <w:r>
        <w:t>Potrebno je napomenuti da je Agencija tijekom 2012. u potpunosti ispunila zadaće koje su joj određene IPA regulativom, to jest izdala je godišnje revizijsko izvješće i godišnje revizijsko mišljenje za svih pet komponenti IPA programa. Također izradila je i godišnje revizijsko izvješće za SAPARD program. Navedena izvješća utemeljena su na većem broju revizija koje su obavljene u skladu s usvojenom metodologijom rada i međunarodnim revizijskim standardima.</w:t>
      </w:r>
    </w:p>
    <w:p w:rsidR="00AC0832" w:rsidRDefault="00AC0832" w:rsidP="00C63D4C">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3"/>
        <w:gridCol w:w="1476"/>
        <w:gridCol w:w="969"/>
        <w:gridCol w:w="1068"/>
        <w:gridCol w:w="1510"/>
        <w:gridCol w:w="1068"/>
        <w:gridCol w:w="1134"/>
      </w:tblGrid>
      <w:tr w:rsidR="00AC0832" w:rsidTr="00A47D80">
        <w:trPr>
          <w:jc w:val="center"/>
        </w:trPr>
        <w:tc>
          <w:tcPr>
            <w:tcW w:w="1300" w:type="dxa"/>
            <w:shd w:val="clear" w:color="auto" w:fill="B5C0D8"/>
          </w:tcPr>
          <w:p w:rsidR="00AC0832" w:rsidRPr="00392240" w:rsidRDefault="00AC0832" w:rsidP="00A47D80">
            <w:pPr>
              <w:rPr>
                <w:sz w:val="20"/>
                <w:lang w:eastAsia="hr-HR"/>
              </w:rPr>
            </w:pPr>
            <w:r w:rsidRPr="00392240">
              <w:rPr>
                <w:sz w:val="20"/>
                <w:lang w:eastAsia="hr-HR"/>
              </w:rPr>
              <w:t>Pokazatelj rezultata</w:t>
            </w:r>
          </w:p>
        </w:tc>
        <w:tc>
          <w:tcPr>
            <w:tcW w:w="1300" w:type="dxa"/>
            <w:shd w:val="clear" w:color="auto" w:fill="B5C0D8"/>
          </w:tcPr>
          <w:p w:rsidR="00AC0832" w:rsidRDefault="00AC0832" w:rsidP="00A47D80">
            <w:pPr>
              <w:pStyle w:val="CellHeader"/>
            </w:pPr>
            <w:r>
              <w:t>Definicija</w:t>
            </w:r>
          </w:p>
        </w:tc>
        <w:tc>
          <w:tcPr>
            <w:tcW w:w="1300" w:type="dxa"/>
            <w:shd w:val="clear" w:color="auto" w:fill="B5C0D8"/>
          </w:tcPr>
          <w:p w:rsidR="00AC0832" w:rsidRDefault="00AC0832" w:rsidP="00A47D80">
            <w:pPr>
              <w:pStyle w:val="CellHeader"/>
            </w:pPr>
            <w:r>
              <w:t>Jedinica</w:t>
            </w:r>
          </w:p>
        </w:tc>
        <w:tc>
          <w:tcPr>
            <w:tcW w:w="1300" w:type="dxa"/>
            <w:shd w:val="clear" w:color="auto" w:fill="B5C0D8"/>
          </w:tcPr>
          <w:p w:rsidR="00AC0832" w:rsidRDefault="00AC0832" w:rsidP="00A47D80">
            <w:pPr>
              <w:pStyle w:val="CellHeader"/>
            </w:pPr>
            <w:r>
              <w:t>Polazna vrijednost</w:t>
            </w:r>
          </w:p>
        </w:tc>
        <w:tc>
          <w:tcPr>
            <w:tcW w:w="1300" w:type="dxa"/>
            <w:shd w:val="clear" w:color="auto" w:fill="B5C0D8"/>
          </w:tcPr>
          <w:p w:rsidR="00AC0832" w:rsidRDefault="00AC0832" w:rsidP="00A47D80">
            <w:pPr>
              <w:pStyle w:val="CellHeader"/>
            </w:pPr>
            <w:r>
              <w:t>Izvor podataka</w:t>
            </w:r>
          </w:p>
        </w:tc>
        <w:tc>
          <w:tcPr>
            <w:tcW w:w="1300" w:type="dxa"/>
            <w:shd w:val="clear" w:color="auto" w:fill="B5C0D8"/>
          </w:tcPr>
          <w:p w:rsidR="00AC0832" w:rsidRDefault="00AC0832" w:rsidP="00A47D80">
            <w:pPr>
              <w:pStyle w:val="CellHeader"/>
            </w:pPr>
            <w:r>
              <w:t>Ciljana vrijednost (2012.)</w:t>
            </w:r>
          </w:p>
        </w:tc>
        <w:tc>
          <w:tcPr>
            <w:tcW w:w="1300" w:type="dxa"/>
            <w:shd w:val="clear" w:color="auto" w:fill="B5C0D8"/>
          </w:tcPr>
          <w:p w:rsidR="00AC0832" w:rsidRDefault="00AC0832" w:rsidP="00A47D80">
            <w:pPr>
              <w:pStyle w:val="CellHeader"/>
            </w:pPr>
            <w:r>
              <w:t>Ostvarena vrijednost (2012.)</w:t>
            </w:r>
          </w:p>
        </w:tc>
      </w:tr>
      <w:tr w:rsidR="00AC0832" w:rsidTr="00A47D80">
        <w:trPr>
          <w:jc w:val="center"/>
        </w:trPr>
        <w:tc>
          <w:tcPr>
            <w:tcW w:w="1300" w:type="dxa"/>
          </w:tcPr>
          <w:p w:rsidR="00AC0832" w:rsidRDefault="00AC0832" w:rsidP="00A47D80">
            <w:pPr>
              <w:pStyle w:val="CellColumn"/>
            </w:pPr>
            <w:r>
              <w:t>Postotak sastavljenih dokumenata(planovi, izvješća, mišljenja) prema pravnoj regulativi i dostavljenih korisnicima u planiranim rokovima</w:t>
            </w:r>
          </w:p>
        </w:tc>
        <w:tc>
          <w:tcPr>
            <w:tcW w:w="1300" w:type="dxa"/>
          </w:tcPr>
          <w:p w:rsidR="00AC0832" w:rsidRDefault="00AC0832" w:rsidP="00A47D80">
            <w:pPr>
              <w:pStyle w:val="CellColumn"/>
            </w:pPr>
            <w:r>
              <w:t>postotak sastavljanja dokumenata (planovi, izvješća, mišljenja) prema pravnoj regulativi i dostavljenih korisnicima u planiranim rokovima</w:t>
            </w:r>
          </w:p>
        </w:tc>
        <w:tc>
          <w:tcPr>
            <w:tcW w:w="1300" w:type="dxa"/>
          </w:tcPr>
          <w:p w:rsidR="00AC0832" w:rsidRDefault="00AC0832" w:rsidP="00A47D80">
            <w:pPr>
              <w:pStyle w:val="CellColumn"/>
            </w:pPr>
            <w:r>
              <w:t>postotak</w:t>
            </w:r>
          </w:p>
        </w:tc>
        <w:tc>
          <w:tcPr>
            <w:tcW w:w="1300" w:type="dxa"/>
          </w:tcPr>
          <w:p w:rsidR="00AC0832" w:rsidRDefault="00AC0832" w:rsidP="00A47D80">
            <w:pPr>
              <w:pStyle w:val="CellColumn"/>
            </w:pPr>
            <w:r>
              <w:t>100%</w:t>
            </w:r>
          </w:p>
        </w:tc>
        <w:tc>
          <w:tcPr>
            <w:tcW w:w="1300" w:type="dxa"/>
          </w:tcPr>
          <w:p w:rsidR="00AC0832" w:rsidRDefault="00AC0832" w:rsidP="00A47D80">
            <w:pPr>
              <w:pStyle w:val="CellColumn"/>
            </w:pPr>
            <w:r>
              <w:t>godišnji planovi revizija</w:t>
            </w:r>
          </w:p>
        </w:tc>
        <w:tc>
          <w:tcPr>
            <w:tcW w:w="1300" w:type="dxa"/>
          </w:tcPr>
          <w:p w:rsidR="00AC0832" w:rsidRDefault="00AC0832" w:rsidP="00A47D80">
            <w:pPr>
              <w:pStyle w:val="CellColumn"/>
            </w:pPr>
            <w:r>
              <w:t>100%</w:t>
            </w:r>
          </w:p>
        </w:tc>
        <w:tc>
          <w:tcPr>
            <w:tcW w:w="1300" w:type="dxa"/>
          </w:tcPr>
          <w:p w:rsidR="00AC0832" w:rsidRDefault="00AC0832" w:rsidP="00A47D80">
            <w:pPr>
              <w:pStyle w:val="CellColumn"/>
            </w:pPr>
            <w:r>
              <w:t>100%</w:t>
            </w:r>
          </w:p>
        </w:tc>
      </w:tr>
      <w:tr w:rsidR="00AC0832" w:rsidTr="00A47D80">
        <w:trPr>
          <w:jc w:val="center"/>
        </w:trPr>
        <w:tc>
          <w:tcPr>
            <w:tcW w:w="1300" w:type="dxa"/>
          </w:tcPr>
          <w:p w:rsidR="00AC0832" w:rsidRDefault="00AC0832" w:rsidP="00A47D80">
            <w:pPr>
              <w:pStyle w:val="CellColumn"/>
            </w:pPr>
            <w:r>
              <w:t>Postotak obavljenih revizija u toku jedne godine u odnosu na planirane revizije u toj godini</w:t>
            </w:r>
          </w:p>
        </w:tc>
        <w:tc>
          <w:tcPr>
            <w:tcW w:w="1300" w:type="dxa"/>
          </w:tcPr>
          <w:p w:rsidR="00AC0832" w:rsidRDefault="00AC0832" w:rsidP="00A47D80">
            <w:pPr>
              <w:pStyle w:val="CellColumn"/>
            </w:pPr>
            <w:r>
              <w:t>postotak obavljenih revizija u toku jedne godine u odnosu na planirane revizije u toj godini</w:t>
            </w:r>
          </w:p>
        </w:tc>
        <w:tc>
          <w:tcPr>
            <w:tcW w:w="1300" w:type="dxa"/>
          </w:tcPr>
          <w:p w:rsidR="00AC0832" w:rsidRDefault="00AC0832" w:rsidP="00A47D80">
            <w:pPr>
              <w:pStyle w:val="CellColumn"/>
            </w:pPr>
            <w:r>
              <w:t>postotak</w:t>
            </w:r>
          </w:p>
        </w:tc>
        <w:tc>
          <w:tcPr>
            <w:tcW w:w="1300" w:type="dxa"/>
          </w:tcPr>
          <w:p w:rsidR="00AC0832" w:rsidRDefault="00AC0832" w:rsidP="00A47D80">
            <w:pPr>
              <w:pStyle w:val="CellColumn"/>
            </w:pPr>
            <w:r>
              <w:t>100%</w:t>
            </w:r>
          </w:p>
        </w:tc>
        <w:tc>
          <w:tcPr>
            <w:tcW w:w="1300" w:type="dxa"/>
          </w:tcPr>
          <w:p w:rsidR="00AC0832" w:rsidRDefault="00AC0832" w:rsidP="00A47D80">
            <w:pPr>
              <w:pStyle w:val="CellColumn"/>
            </w:pPr>
            <w:r>
              <w:t>godišnji planovi revizija</w:t>
            </w:r>
          </w:p>
        </w:tc>
        <w:tc>
          <w:tcPr>
            <w:tcW w:w="1300" w:type="dxa"/>
          </w:tcPr>
          <w:p w:rsidR="00AC0832" w:rsidRDefault="00AC0832" w:rsidP="00A47D80">
            <w:pPr>
              <w:pStyle w:val="CellColumn"/>
            </w:pPr>
            <w:r>
              <w:t>100%</w:t>
            </w:r>
          </w:p>
        </w:tc>
        <w:tc>
          <w:tcPr>
            <w:tcW w:w="1300" w:type="dxa"/>
          </w:tcPr>
          <w:p w:rsidR="00AC0832" w:rsidRDefault="00AC0832" w:rsidP="00A47D80">
            <w:pPr>
              <w:pStyle w:val="CellColumn"/>
            </w:pPr>
            <w:r>
              <w:t>100%</w:t>
            </w:r>
          </w:p>
        </w:tc>
      </w:tr>
      <w:tr w:rsidR="00AC0832" w:rsidTr="00A47D80">
        <w:trPr>
          <w:jc w:val="center"/>
        </w:trPr>
        <w:tc>
          <w:tcPr>
            <w:tcW w:w="1300" w:type="dxa"/>
          </w:tcPr>
          <w:p w:rsidR="00AC0832" w:rsidRDefault="00AC0832" w:rsidP="00A47D80">
            <w:pPr>
              <w:pStyle w:val="CellColumn"/>
            </w:pPr>
            <w:r>
              <w:t>Postotak zaposlenih revizora u odnosu na sistematizirani broj revizora</w:t>
            </w:r>
          </w:p>
        </w:tc>
        <w:tc>
          <w:tcPr>
            <w:tcW w:w="1300" w:type="dxa"/>
          </w:tcPr>
          <w:p w:rsidR="00AC0832" w:rsidRDefault="00AC0832" w:rsidP="00A47D80">
            <w:pPr>
              <w:pStyle w:val="CellColumn"/>
            </w:pPr>
            <w:r>
              <w:t>postotak zaposlenih revizora u odnosu na sistematizirani broj revizora</w:t>
            </w:r>
          </w:p>
        </w:tc>
        <w:tc>
          <w:tcPr>
            <w:tcW w:w="1300" w:type="dxa"/>
          </w:tcPr>
          <w:p w:rsidR="00AC0832" w:rsidRDefault="00AC0832" w:rsidP="00A47D80">
            <w:pPr>
              <w:pStyle w:val="CellColumn"/>
            </w:pPr>
            <w:r>
              <w:t>postotak</w:t>
            </w:r>
          </w:p>
        </w:tc>
        <w:tc>
          <w:tcPr>
            <w:tcW w:w="1300" w:type="dxa"/>
          </w:tcPr>
          <w:p w:rsidR="00AC0832" w:rsidRDefault="00AC0832" w:rsidP="00A47D80">
            <w:pPr>
              <w:pStyle w:val="CellColumn"/>
            </w:pPr>
            <w:r>
              <w:t>87%</w:t>
            </w:r>
          </w:p>
        </w:tc>
        <w:tc>
          <w:tcPr>
            <w:tcW w:w="1300" w:type="dxa"/>
          </w:tcPr>
          <w:p w:rsidR="00AC0832" w:rsidRDefault="00AC0832" w:rsidP="00A47D80">
            <w:pPr>
              <w:pStyle w:val="CellColumn"/>
            </w:pPr>
            <w:r>
              <w:t>sistematizacija radnih mjesta</w:t>
            </w:r>
          </w:p>
        </w:tc>
        <w:tc>
          <w:tcPr>
            <w:tcW w:w="1300" w:type="dxa"/>
          </w:tcPr>
          <w:p w:rsidR="00AC0832" w:rsidRDefault="00AC0832" w:rsidP="00A47D80">
            <w:pPr>
              <w:pStyle w:val="CellColumn"/>
            </w:pPr>
            <w:r>
              <w:t>87%</w:t>
            </w:r>
          </w:p>
        </w:tc>
        <w:tc>
          <w:tcPr>
            <w:tcW w:w="1300" w:type="dxa"/>
          </w:tcPr>
          <w:p w:rsidR="00AC0832" w:rsidRDefault="00AC0832" w:rsidP="00A47D80">
            <w:pPr>
              <w:pStyle w:val="CellColumn"/>
            </w:pPr>
            <w:r>
              <w:t>87%</w:t>
            </w:r>
          </w:p>
        </w:tc>
      </w:tr>
    </w:tbl>
    <w:p w:rsidR="00AC0832" w:rsidRDefault="00AC0832" w:rsidP="00C63D4C">
      <w:pPr>
        <w:jc w:val="left"/>
      </w:pPr>
    </w:p>
    <w:p w:rsidR="00AC0832" w:rsidRDefault="00AC0832" w:rsidP="00C63D4C">
      <w:pPr>
        <w:pStyle w:val="Heading1"/>
        <w:ind w:left="0" w:firstLine="0"/>
      </w:pPr>
      <w:r>
        <w:t>026 DRŽAVNI URED ZA TRGOVINSKU POLITIKU</w:t>
      </w:r>
    </w:p>
    <w:p w:rsidR="00AC0832" w:rsidRDefault="00AC0832">
      <w:pPr>
        <w:pStyle w:val="Heading4"/>
      </w:pPr>
      <w:r>
        <w:t>Uvod</w:t>
      </w:r>
    </w:p>
    <w:p w:rsidR="00AC0832" w:rsidRDefault="00AC0832">
      <w:pPr>
        <w:pStyle w:val="Normal3"/>
      </w:pPr>
      <w:r>
        <w:t xml:space="preserve">Državni ured za trgovinsku politiku obavlja upravne i stručne poslove koji se odnose na trgovinsku politiku, posebice na sudjelovanje i zastupanje hrvatskih interesa u tijelima Europske unije u procesu usvajanja zajedničke trgovinske politike i trgovinskih mjera u području trgovine robom i uslugama; usklađivanje aktivnosti u vezi sa članstvom Republike Hrvatske u Svjetskoj trgovinskoj organizaciji i sudjelovanje u multilateralnim trgovinskim pregovorima u okviru ove organizacije; provođenje mjera trgovinske politike; odnose s međunarodnim multilateralnim gospodarskim organizacijama te gospodarskim agencijama UN-a; vođenje pregovora o ugovorima o poticanju i zaštiti ulaganja i bilateralnih sporazuma o gospodarskoj suradnji. </w:t>
      </w:r>
    </w:p>
    <w:p w:rsidR="00AC0832" w:rsidRDefault="00AC0832">
      <w:pPr>
        <w:pStyle w:val="Normal3"/>
      </w:pPr>
      <w:r>
        <w:t xml:space="preserve">Državni ured obavlja poslove koji se odnose na sudjelovanje Republike Hrvatske u radu tijela Europske unije u područjima iz njegove nadležnosti. </w:t>
      </w:r>
    </w:p>
    <w:p w:rsidR="00AC0832" w:rsidRDefault="00AC0832">
      <w:pPr>
        <w:pStyle w:val="Normal3"/>
      </w:pPr>
      <w:r>
        <w:t xml:space="preserve">Državni ured obavlja i druge poslove koji su mu stavljeni u nadležnost posebnim zakonom. </w:t>
      </w:r>
    </w:p>
    <w:p w:rsidR="00AC0832" w:rsidRDefault="00AC0832">
      <w:pPr>
        <w:pStyle w:val="Normal3"/>
      </w:pPr>
      <w:r>
        <w:t>Tijela koja obuhvaća Razdjel su: 02605 Državni ured za trgovinsku politiku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02605-Državni ured za trgovinsku politiku</w:t>
            </w:r>
          </w:p>
        </w:tc>
        <w:tc>
          <w:tcPr>
            <w:tcW w:w="2322" w:type="dxa"/>
          </w:tcPr>
          <w:p w:rsidR="00AC0832" w:rsidRDefault="00AC0832">
            <w:pPr>
              <w:pStyle w:val="CellColumn"/>
            </w:pPr>
            <w:r>
              <w:t>8.630.400</w:t>
            </w:r>
          </w:p>
        </w:tc>
        <w:tc>
          <w:tcPr>
            <w:tcW w:w="2322" w:type="dxa"/>
          </w:tcPr>
          <w:p w:rsidR="00AC0832" w:rsidRDefault="00AC0832">
            <w:pPr>
              <w:pStyle w:val="CellColumn"/>
            </w:pPr>
            <w:r>
              <w:t>7.312.021</w:t>
            </w:r>
          </w:p>
        </w:tc>
        <w:tc>
          <w:tcPr>
            <w:tcW w:w="2322" w:type="dxa"/>
          </w:tcPr>
          <w:p w:rsidR="00AC0832" w:rsidRDefault="00AC0832">
            <w:pPr>
              <w:pStyle w:val="CellColumn"/>
            </w:pPr>
            <w:r>
              <w:t>84,7</w:t>
            </w:r>
          </w:p>
        </w:tc>
      </w:tr>
      <w:tr w:rsidR="00AC0832" w:rsidTr="00BE20ED">
        <w:trPr>
          <w:jc w:val="center"/>
        </w:trPr>
        <w:tc>
          <w:tcPr>
            <w:tcW w:w="2322" w:type="dxa"/>
            <w:shd w:val="clear" w:color="auto" w:fill="B5C0D8"/>
          </w:tcPr>
          <w:p w:rsidR="00AC0832" w:rsidRDefault="00AC0832">
            <w:pPr>
              <w:pStyle w:val="CellColumn"/>
            </w:pPr>
            <w:r>
              <w:t>Ukupno 026-DRŽAVNI URED ZA TRGOVINSKU POLITIKU</w:t>
            </w:r>
          </w:p>
        </w:tc>
        <w:tc>
          <w:tcPr>
            <w:tcW w:w="2322" w:type="dxa"/>
            <w:shd w:val="clear" w:color="auto" w:fill="B5C0D8"/>
          </w:tcPr>
          <w:p w:rsidR="00AC0832" w:rsidRDefault="00AC0832">
            <w:pPr>
              <w:pStyle w:val="CellColumn"/>
            </w:pPr>
            <w:r>
              <w:t>8.630.400</w:t>
            </w:r>
          </w:p>
        </w:tc>
        <w:tc>
          <w:tcPr>
            <w:tcW w:w="2322" w:type="dxa"/>
            <w:shd w:val="clear" w:color="auto" w:fill="B5C0D8"/>
          </w:tcPr>
          <w:p w:rsidR="00AC0832" w:rsidRDefault="00AC0832">
            <w:pPr>
              <w:pStyle w:val="CellColumn"/>
            </w:pPr>
            <w:r>
              <w:t>7.312.021</w:t>
            </w:r>
          </w:p>
        </w:tc>
        <w:tc>
          <w:tcPr>
            <w:tcW w:w="2322" w:type="dxa"/>
            <w:shd w:val="clear" w:color="auto" w:fill="B5C0D8"/>
          </w:tcPr>
          <w:p w:rsidR="00AC0832" w:rsidRDefault="00AC0832">
            <w:pPr>
              <w:pStyle w:val="CellColumn"/>
            </w:pPr>
            <w:r>
              <w:t>84,7</w:t>
            </w:r>
          </w:p>
        </w:tc>
      </w:tr>
    </w:tbl>
    <w:p w:rsidR="00AC0832" w:rsidRDefault="00AC0832">
      <w:pPr>
        <w:jc w:val="left"/>
      </w:pPr>
    </w:p>
    <w:p w:rsidR="00AC0832" w:rsidRDefault="00AC0832">
      <w:pPr>
        <w:pStyle w:val="Heading2"/>
      </w:pPr>
      <w:r>
        <w:t>02605 Državni ured za trgovinsku politiku</w:t>
      </w:r>
    </w:p>
    <w:p w:rsidR="00AC0832" w:rsidRDefault="00AC0832">
      <w:pPr>
        <w:pStyle w:val="Heading4"/>
      </w:pPr>
      <w:r>
        <w:t>Uvod</w:t>
      </w:r>
    </w:p>
    <w:p w:rsidR="00AC0832" w:rsidRDefault="00AC0832">
      <w:pPr>
        <w:pStyle w:val="Normal3"/>
      </w:pPr>
      <w:r>
        <w:t xml:space="preserve">Državni ured za trgovinsku politiku obavlja upravne i stručne poslove koji se odnose na trgovinsku politiku, posebice na sudjelovanje i zastupanje hrvatskih interesa u tijelima Europske unije u procesu usvajanja zajedničke trgovinske politike i trgovinskih mjera u području trgovine robom i uslugama; usklađivanje aktivnosti u vezi sa članstvom Republike Hrvatske u Svjetskoj trgovinskoj organizaciji i sudjelovanje u multilateralnim trgovinskim pregovorima u okviru ove organizacije; provođenje mjera trgovinske politike; odnose s međunarodnim multilateralnim gospodarskim organizacijama te gospodarskim agencijama UN-a; vođenje pregovora o ugovorima o poticanju i zaštiti ulaganja i bilateralnih sporazuma o gospodarskoj suradnji. </w:t>
      </w:r>
    </w:p>
    <w:p w:rsidR="00AC0832" w:rsidRDefault="00AC0832">
      <w:pPr>
        <w:pStyle w:val="Normal3"/>
      </w:pPr>
      <w:r>
        <w:t xml:space="preserve">Državni ured obavlja poslove koji se odnose na sudjelovanje Republike Hrvatske u radu tijela Europske unije u područjima iz njegove nadležnosti. </w:t>
      </w:r>
    </w:p>
    <w:p w:rsidR="00AC0832" w:rsidRDefault="00AC0832">
      <w:pPr>
        <w:pStyle w:val="Normal3"/>
      </w:pPr>
      <w:r>
        <w:t xml:space="preserve">Državni ured obavlja i druge poslove koji su mu stavljeni u nadležnost posebnim zakonom. </w:t>
      </w:r>
    </w:p>
    <w:p w:rsidR="00AC0832" w:rsidRDefault="00AC0832">
      <w:pPr>
        <w:pStyle w:val="Normal3"/>
      </w:pPr>
      <w:r>
        <w:t>Tijela koja obuhvaća Razdjel su: 02605 Državni ured za trgovinsku politiku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02605-Državni ured za trgovinsku politiku</w:t>
            </w:r>
          </w:p>
        </w:tc>
        <w:tc>
          <w:tcPr>
            <w:tcW w:w="2322" w:type="dxa"/>
          </w:tcPr>
          <w:p w:rsidR="00AC0832" w:rsidRDefault="00AC0832">
            <w:pPr>
              <w:pStyle w:val="CellColumn"/>
            </w:pPr>
            <w:r>
              <w:t>8.630.400</w:t>
            </w:r>
          </w:p>
        </w:tc>
        <w:tc>
          <w:tcPr>
            <w:tcW w:w="2322" w:type="dxa"/>
          </w:tcPr>
          <w:p w:rsidR="00AC0832" w:rsidRDefault="00AC0832">
            <w:pPr>
              <w:pStyle w:val="CellColumn"/>
            </w:pPr>
            <w:r>
              <w:t>7.312.021</w:t>
            </w:r>
          </w:p>
        </w:tc>
        <w:tc>
          <w:tcPr>
            <w:tcW w:w="2322" w:type="dxa"/>
          </w:tcPr>
          <w:p w:rsidR="00AC0832" w:rsidRDefault="00AC0832">
            <w:pPr>
              <w:pStyle w:val="CellColumn"/>
            </w:pPr>
            <w:r>
              <w:t>84,7</w:t>
            </w:r>
          </w:p>
        </w:tc>
      </w:tr>
      <w:tr w:rsidR="00AC0832" w:rsidTr="00BE20ED">
        <w:trPr>
          <w:jc w:val="center"/>
        </w:trPr>
        <w:tc>
          <w:tcPr>
            <w:tcW w:w="2322" w:type="dxa"/>
          </w:tcPr>
          <w:p w:rsidR="00AC0832" w:rsidRDefault="00AC0832">
            <w:pPr>
              <w:pStyle w:val="CellColumnSmall"/>
            </w:pPr>
            <w:r>
              <w:t>3214-TRGOVINSKA POLITIKA</w:t>
            </w:r>
          </w:p>
        </w:tc>
        <w:tc>
          <w:tcPr>
            <w:tcW w:w="2322" w:type="dxa"/>
          </w:tcPr>
          <w:p w:rsidR="00AC0832" w:rsidRDefault="00AC0832">
            <w:pPr>
              <w:pStyle w:val="CellColumnSmall"/>
            </w:pPr>
            <w:r>
              <w:t>8.630.400</w:t>
            </w:r>
          </w:p>
        </w:tc>
        <w:tc>
          <w:tcPr>
            <w:tcW w:w="2322" w:type="dxa"/>
          </w:tcPr>
          <w:p w:rsidR="00AC0832" w:rsidRDefault="00AC0832">
            <w:pPr>
              <w:pStyle w:val="CellColumnSmall"/>
            </w:pPr>
            <w:r>
              <w:t>7.312.021</w:t>
            </w:r>
          </w:p>
        </w:tc>
        <w:tc>
          <w:tcPr>
            <w:tcW w:w="2322" w:type="dxa"/>
          </w:tcPr>
          <w:p w:rsidR="00AC0832" w:rsidRDefault="00AC0832">
            <w:pPr>
              <w:pStyle w:val="CellColumnSmall"/>
            </w:pPr>
            <w:r>
              <w:t>84,7</w:t>
            </w:r>
          </w:p>
        </w:tc>
      </w:tr>
    </w:tbl>
    <w:p w:rsidR="00AC0832" w:rsidRDefault="00AC0832">
      <w:pPr>
        <w:jc w:val="left"/>
      </w:pPr>
    </w:p>
    <w:p w:rsidR="00AC0832" w:rsidRDefault="00AC0832">
      <w:pPr>
        <w:pStyle w:val="Heading4"/>
      </w:pPr>
      <w:r>
        <w:t>OBRAZLOŽENJE PROGRAMA</w:t>
      </w:r>
    </w:p>
    <w:p w:rsidR="00AC0832" w:rsidRDefault="00AC0832">
      <w:pPr>
        <w:pStyle w:val="Heading5"/>
      </w:pPr>
      <w:r>
        <w:t>3214 TRGOVINSKA POLITIKA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3214-TRGOVINSKA POLITIKA</w:t>
            </w:r>
          </w:p>
        </w:tc>
        <w:tc>
          <w:tcPr>
            <w:tcW w:w="2322" w:type="dxa"/>
          </w:tcPr>
          <w:p w:rsidR="00AC0832" w:rsidRDefault="00AC0832">
            <w:pPr>
              <w:pStyle w:val="CellColumn"/>
            </w:pPr>
            <w:r>
              <w:t>8.630.400</w:t>
            </w:r>
          </w:p>
        </w:tc>
        <w:tc>
          <w:tcPr>
            <w:tcW w:w="2322" w:type="dxa"/>
          </w:tcPr>
          <w:p w:rsidR="00AC0832" w:rsidRDefault="00AC0832">
            <w:pPr>
              <w:pStyle w:val="CellColumn"/>
            </w:pPr>
            <w:r>
              <w:t>7.312.021</w:t>
            </w:r>
          </w:p>
        </w:tc>
        <w:tc>
          <w:tcPr>
            <w:tcW w:w="2322" w:type="dxa"/>
          </w:tcPr>
          <w:p w:rsidR="00AC0832" w:rsidRDefault="00AC0832">
            <w:pPr>
              <w:pStyle w:val="CellColumn"/>
            </w:pPr>
            <w:r>
              <w:t>84,7</w:t>
            </w:r>
          </w:p>
        </w:tc>
      </w:tr>
    </w:tbl>
    <w:p w:rsidR="00AC0832" w:rsidRDefault="00AC0832">
      <w:pPr>
        <w:jc w:val="left"/>
      </w:pPr>
    </w:p>
    <w:p w:rsidR="00AC0832" w:rsidRDefault="00AC0832">
      <w:pPr>
        <w:pStyle w:val="Heading6"/>
      </w:pPr>
      <w:r>
        <w:t>Opis programa</w:t>
      </w:r>
    </w:p>
    <w:p w:rsidR="00AC0832" w:rsidRDefault="00AC0832">
      <w:pPr>
        <w:pStyle w:val="Normal5"/>
      </w:pPr>
      <w:r>
        <w:t>Državni ured za trgovinsku politiku (DUTP) predlaže, provodi i nadzire provedbu mjera trgovinske politike u skladu s gospodarskom politikom Vlade Republike Hrvatske i u suradnji s drugim tijelima državne uprave, agencijama i poslovnom zajednicom; priprema prijedloge i stručne podloge, iz svoje nadležnosti, za utvrđivanje i provedbu gospodarske politike s inozemstvom; priprema prijedloge propisa iz nadležnosti Državnog ureda; promiče i štiti trgovinske interese Republike Hrvatske u odnosima s drugim državama i međunarodnim organizacijama; predlaže i prati usklađivanje zakonodavstva na području trgovinske politike sa zakonodavstvom Europske unije; u suradnji sa nadležnim tijelima državne uprave sudjeluje u koordinaciji pripreme nacionalnih stajališta i usklađivanja aktivnosti koje se odnose na sudjelovanje i zastupanje hrvatskih interesa u tijelima Europske unije u procesu usvajanja zajedničke trgovinske politike i trgovinskih mjera;  provodi i koordinira s drugim tijelima državne uprave aktivnosti u vezi sa članstvom Republike Hrvatske u Svjetskoj trgovinskoj organizaciji (WTO) te sudjelovanjem u multilateralnim trgovinskim pregovorima u okviru te organizacije; priprema i provodi aktivnosti vezane uz odnose s drugim međunarodnim multilateralnim gospodarskim organizacijama, posebice s Organizacijom za gospodarsku suradnju i razvoj (OECD) te gospodarskim agencijama UN-a, u područjima iz nadležnosti Državnog ureda; koordinira sustav nadzora izvoza robe s dvojnom namjenom; u suradnji s nadležnim tijelima državne uprave sudjeluje u pripremi nacionalnih stajališta i ispunjavanju obveza vezano uz članstvo u međunarodnim režimima i aranžmanima; izrađuje izvješća, mišljenja i preglede iz područja trgovinske politike i gospodarskih odnosa s inozemstvom koji služe kao podloga za strateške dokumente Vlade Republike Hrvatske i prilagodbu postojećega zakonskog okvira; sudjeluje u pripremi i provedbi programa i projekata financiranih od strane Europske unije te kroz druge oblike međunarodne pomoći, iz područja nadležnosti Državnog ureda.</w:t>
      </w:r>
    </w:p>
    <w:p w:rsidR="00AC0832" w:rsidRDefault="00AC0832">
      <w:pPr>
        <w:pStyle w:val="Heading6"/>
      </w:pPr>
      <w:r>
        <w:t>Zakonske i druge pravne osnove</w:t>
      </w:r>
    </w:p>
    <w:p w:rsidR="00AC0832" w:rsidRDefault="00AC0832">
      <w:pPr>
        <w:pStyle w:val="Normal5"/>
      </w:pPr>
      <w:r>
        <w:t>Zakon o ustrojstvu i djelokrugu ministarstava i drugih središnjih tijela državne uprave (N.N.150/11).</w:t>
      </w:r>
    </w:p>
    <w:p w:rsidR="00AC0832" w:rsidRDefault="00AC0832" w:rsidP="00A1146D">
      <w:pPr>
        <w:pStyle w:val="Heading7"/>
      </w:pPr>
      <w:r>
        <w:t xml:space="preserve">Cilj 1. Promicanje i zaštita hrvatskih trgovinskih interesa u međunarodnim organizacijama i tijelima Europske unije </w:t>
      </w:r>
    </w:p>
    <w:p w:rsidR="00AC0832" w:rsidRDefault="00AC0832">
      <w:pPr>
        <w:pStyle w:val="Heading7"/>
      </w:pPr>
      <w:r>
        <w:t>Cilj 2. Jačanje konkurentnosti hrvatskog gospodarstva kroz provedbu mjera trgovinske politike</w:t>
      </w:r>
    </w:p>
    <w:p w:rsidR="00AC0832" w:rsidRDefault="00AC0832">
      <w:pPr>
        <w:pStyle w:val="Heading7"/>
      </w:pPr>
      <w:r>
        <w:t>Cilj 3. Zastupanje interesa hrvatskog gospodarstva u tijelima Europske unije i međunarodnim organizacijama</w:t>
      </w:r>
    </w:p>
    <w:p w:rsidR="00AC0832" w:rsidRDefault="00AC0832">
      <w:pPr>
        <w:pStyle w:val="Heading7"/>
      </w:pPr>
      <w:r>
        <w:t>Cilj 4. Promicanje gospodarskih interesa u inozemstvu</w:t>
      </w:r>
    </w:p>
    <w:p w:rsidR="00AC0832" w:rsidRDefault="00AC0832">
      <w:pPr>
        <w:pStyle w:val="Heading7"/>
      </w:pPr>
      <w:r>
        <w:t>Cilj 5. Suradnja s poslovnom zajednicom</w:t>
      </w:r>
    </w:p>
    <w:p w:rsidR="00AC0832" w:rsidRDefault="00AC0832">
      <w:pPr>
        <w:pStyle w:val="Heading7"/>
      </w:pPr>
      <w:r>
        <w:t>Cilj 6. Jačanje administrativnih kapaciteta</w:t>
      </w: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4"/>
        <w:gridCol w:w="1551"/>
        <w:gridCol w:w="1174"/>
        <w:gridCol w:w="1190"/>
        <w:gridCol w:w="1175"/>
        <w:gridCol w:w="1191"/>
        <w:gridCol w:w="122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Provedba mjera trgovinske politike (do ulaska u EU) uključujući carinsku tarifu i zaštitne mjere</w:t>
            </w:r>
          </w:p>
        </w:tc>
        <w:tc>
          <w:tcPr>
            <w:tcW w:w="1300" w:type="dxa"/>
          </w:tcPr>
          <w:p w:rsidR="00AC0832" w:rsidRDefault="00AC0832">
            <w:pPr>
              <w:pStyle w:val="CellColumn"/>
            </w:pPr>
            <w:r>
              <w:t xml:space="preserve">Zaštita i zastupanje interesa hrvatskog </w:t>
            </w:r>
          </w:p>
          <w:p w:rsidR="00AC0832" w:rsidRDefault="00AC0832">
            <w:pPr>
              <w:pStyle w:val="CellColumn"/>
            </w:pPr>
            <w:r>
              <w:t>gospodarstva</w:t>
            </w:r>
          </w:p>
        </w:tc>
        <w:tc>
          <w:tcPr>
            <w:tcW w:w="1300" w:type="dxa"/>
          </w:tcPr>
          <w:p w:rsidR="00AC0832" w:rsidRDefault="00AC0832">
            <w:pPr>
              <w:pStyle w:val="CellColumn"/>
            </w:pPr>
            <w:r>
              <w:t>%</w:t>
            </w:r>
          </w:p>
        </w:tc>
        <w:tc>
          <w:tcPr>
            <w:tcW w:w="1300" w:type="dxa"/>
          </w:tcPr>
          <w:p w:rsidR="00AC0832" w:rsidRDefault="00AC0832">
            <w:pPr>
              <w:pStyle w:val="CellColumn"/>
            </w:pPr>
            <w:r>
              <w:t>75</w:t>
            </w:r>
          </w:p>
        </w:tc>
        <w:tc>
          <w:tcPr>
            <w:tcW w:w="1300" w:type="dxa"/>
          </w:tcPr>
          <w:p w:rsidR="00AC0832" w:rsidRDefault="00AC0832">
            <w:pPr>
              <w:pStyle w:val="CellColumn"/>
            </w:pPr>
            <w:r>
              <w:t>DUTP</w:t>
            </w:r>
          </w:p>
        </w:tc>
        <w:tc>
          <w:tcPr>
            <w:tcW w:w="1300" w:type="dxa"/>
          </w:tcPr>
          <w:p w:rsidR="00AC0832" w:rsidRDefault="00AC0832">
            <w:pPr>
              <w:pStyle w:val="CellColumn"/>
            </w:pPr>
            <w:r>
              <w:t>100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 xml:space="preserve">Uklanjanje trgovinskih </w:t>
            </w:r>
          </w:p>
          <w:p w:rsidR="00AC0832" w:rsidRDefault="00AC0832">
            <w:pPr>
              <w:pStyle w:val="CellColumn"/>
            </w:pPr>
            <w:r>
              <w:t>prepreka</w:t>
            </w:r>
          </w:p>
        </w:tc>
        <w:tc>
          <w:tcPr>
            <w:tcW w:w="1300" w:type="dxa"/>
          </w:tcPr>
          <w:p w:rsidR="00AC0832" w:rsidRDefault="00AC0832">
            <w:pPr>
              <w:pStyle w:val="CellColumn"/>
            </w:pPr>
            <w:r>
              <w:t xml:space="preserve">Koordinacija s tijelima DU i poslovnom </w:t>
            </w:r>
          </w:p>
          <w:p w:rsidR="00AC0832" w:rsidRDefault="00AC0832">
            <w:pPr>
              <w:pStyle w:val="CellColumn"/>
            </w:pPr>
            <w:r>
              <w:t>zajednicom te poduzimanje aktivnosti s ciljem uklanjanja trgovinskih prepreka i osiguranje usklađenosti trgovinskih partnera s međunarodnim obvezama</w:t>
            </w:r>
          </w:p>
        </w:tc>
        <w:tc>
          <w:tcPr>
            <w:tcW w:w="1300" w:type="dxa"/>
          </w:tcPr>
          <w:p w:rsidR="00AC0832" w:rsidRDefault="00AC0832">
            <w:pPr>
              <w:pStyle w:val="CellColumn"/>
            </w:pPr>
            <w:r>
              <w:t>%</w:t>
            </w:r>
          </w:p>
        </w:tc>
        <w:tc>
          <w:tcPr>
            <w:tcW w:w="1300" w:type="dxa"/>
          </w:tcPr>
          <w:p w:rsidR="00AC0832" w:rsidRDefault="00AC0832">
            <w:pPr>
              <w:pStyle w:val="CellColumn"/>
            </w:pPr>
            <w:r>
              <w:t>50</w:t>
            </w:r>
          </w:p>
        </w:tc>
        <w:tc>
          <w:tcPr>
            <w:tcW w:w="1300" w:type="dxa"/>
          </w:tcPr>
          <w:p w:rsidR="00AC0832" w:rsidRDefault="00AC0832">
            <w:pPr>
              <w:pStyle w:val="CellColumn"/>
            </w:pPr>
            <w:r>
              <w:t>DUTP</w:t>
            </w:r>
          </w:p>
        </w:tc>
        <w:tc>
          <w:tcPr>
            <w:tcW w:w="1300" w:type="dxa"/>
          </w:tcPr>
          <w:p w:rsidR="00AC0832" w:rsidRDefault="00AC0832">
            <w:pPr>
              <w:pStyle w:val="CellColumn"/>
            </w:pPr>
            <w:r>
              <w:t>75</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Priprema za TDU i gospodarstvenike</w:t>
            </w:r>
          </w:p>
        </w:tc>
        <w:tc>
          <w:tcPr>
            <w:tcW w:w="1300" w:type="dxa"/>
          </w:tcPr>
          <w:p w:rsidR="00AC0832" w:rsidRDefault="00AC0832">
            <w:pPr>
              <w:pStyle w:val="CellColumn"/>
            </w:pPr>
            <w:r>
              <w:t>Održavanje seminara o preuzimanju pravne stečevine; provedbi Opće sheme preferencijala i sektorskih politika</w:t>
            </w:r>
          </w:p>
        </w:tc>
        <w:tc>
          <w:tcPr>
            <w:tcW w:w="1300" w:type="dxa"/>
          </w:tcPr>
          <w:p w:rsidR="00AC0832" w:rsidRDefault="00AC0832">
            <w:pPr>
              <w:pStyle w:val="CellColumn"/>
            </w:pPr>
            <w:r>
              <w:t>Broj seminara</w:t>
            </w:r>
          </w:p>
        </w:tc>
        <w:tc>
          <w:tcPr>
            <w:tcW w:w="1300" w:type="dxa"/>
          </w:tcPr>
          <w:p w:rsidR="00AC0832" w:rsidRDefault="00AC0832">
            <w:pPr>
              <w:pStyle w:val="CellColumn"/>
            </w:pPr>
            <w:r>
              <w:t>0</w:t>
            </w:r>
          </w:p>
        </w:tc>
        <w:tc>
          <w:tcPr>
            <w:tcW w:w="1300" w:type="dxa"/>
          </w:tcPr>
          <w:p w:rsidR="00AC0832" w:rsidRDefault="00AC0832">
            <w:pPr>
              <w:pStyle w:val="CellColumn"/>
            </w:pPr>
            <w:r>
              <w:t>DUTP</w:t>
            </w:r>
          </w:p>
        </w:tc>
        <w:tc>
          <w:tcPr>
            <w:tcW w:w="1300" w:type="dxa"/>
          </w:tcPr>
          <w:p w:rsidR="00AC0832" w:rsidRDefault="00AC0832">
            <w:pPr>
              <w:pStyle w:val="CellColumn"/>
            </w:pPr>
            <w:r>
              <w:t>5</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 xml:space="preserve">Usklađenost propisa o </w:t>
            </w:r>
          </w:p>
          <w:p w:rsidR="00AC0832" w:rsidRDefault="00AC0832">
            <w:pPr>
              <w:pStyle w:val="CellColumn"/>
            </w:pPr>
            <w:r>
              <w:t xml:space="preserve">nadzoru robe s dvojnom </w:t>
            </w:r>
          </w:p>
          <w:p w:rsidR="00AC0832" w:rsidRDefault="00AC0832">
            <w:pPr>
              <w:pStyle w:val="CellColumn"/>
            </w:pPr>
            <w:r>
              <w:t>namjenom</w:t>
            </w:r>
          </w:p>
        </w:tc>
        <w:tc>
          <w:tcPr>
            <w:tcW w:w="1300" w:type="dxa"/>
          </w:tcPr>
          <w:p w:rsidR="00AC0832" w:rsidRDefault="00AC0832">
            <w:pPr>
              <w:pStyle w:val="CellColumn"/>
            </w:pPr>
            <w:r>
              <w:t>Propisi o nadzoru robe s dvojnom namjenom usklađuju se s propisima EU o nadzoru robe s dvojnom namjenom</w:t>
            </w:r>
          </w:p>
        </w:tc>
        <w:tc>
          <w:tcPr>
            <w:tcW w:w="1300" w:type="dxa"/>
          </w:tcPr>
          <w:p w:rsidR="00AC0832" w:rsidRDefault="00AC0832">
            <w:pPr>
              <w:pStyle w:val="CellColumn"/>
            </w:pPr>
            <w:r>
              <w:t>%</w:t>
            </w:r>
          </w:p>
        </w:tc>
        <w:tc>
          <w:tcPr>
            <w:tcW w:w="1300" w:type="dxa"/>
          </w:tcPr>
          <w:p w:rsidR="00AC0832" w:rsidRDefault="00AC0832">
            <w:pPr>
              <w:pStyle w:val="CellColumn"/>
            </w:pPr>
            <w:r>
              <w:t>90%</w:t>
            </w:r>
          </w:p>
        </w:tc>
        <w:tc>
          <w:tcPr>
            <w:tcW w:w="1300" w:type="dxa"/>
          </w:tcPr>
          <w:p w:rsidR="00AC0832" w:rsidRDefault="00AC0832">
            <w:pPr>
              <w:pStyle w:val="CellColumn"/>
            </w:pPr>
            <w:r>
              <w:t>DUTP</w:t>
            </w:r>
          </w:p>
        </w:tc>
        <w:tc>
          <w:tcPr>
            <w:tcW w:w="1300" w:type="dxa"/>
          </w:tcPr>
          <w:p w:rsidR="00AC0832" w:rsidRDefault="00AC0832">
            <w:pPr>
              <w:pStyle w:val="CellColumn"/>
            </w:pPr>
            <w:r>
              <w:t>90%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 xml:space="preserve">Jačanje učinkovitosti </w:t>
            </w:r>
          </w:p>
          <w:p w:rsidR="00AC0832" w:rsidRDefault="00AC0832">
            <w:pPr>
              <w:pStyle w:val="CellColumn"/>
            </w:pPr>
            <w:r>
              <w:t xml:space="preserve">nadležnih nacionalnih tijela </w:t>
            </w:r>
          </w:p>
          <w:p w:rsidR="00AC0832" w:rsidRDefault="00AC0832">
            <w:pPr>
              <w:pStyle w:val="CellColumn"/>
            </w:pPr>
            <w:r>
              <w:t xml:space="preserve">uključenih u nadzor robe s </w:t>
            </w:r>
          </w:p>
          <w:p w:rsidR="00AC0832" w:rsidRDefault="00AC0832">
            <w:pPr>
              <w:pStyle w:val="CellColumn"/>
            </w:pPr>
            <w:r>
              <w:t>dvojnom namjenom</w:t>
            </w:r>
          </w:p>
        </w:tc>
        <w:tc>
          <w:tcPr>
            <w:tcW w:w="1300" w:type="dxa"/>
          </w:tcPr>
          <w:p w:rsidR="00AC0832" w:rsidRDefault="00AC0832">
            <w:pPr>
              <w:pStyle w:val="CellColumn"/>
            </w:pPr>
            <w:r>
              <w:t>Održavanje seminara za tijela DU vezano uz nadzor robe s dvojnom namjenom</w:t>
            </w:r>
          </w:p>
        </w:tc>
        <w:tc>
          <w:tcPr>
            <w:tcW w:w="1300" w:type="dxa"/>
          </w:tcPr>
          <w:p w:rsidR="00AC0832" w:rsidRDefault="00AC0832">
            <w:pPr>
              <w:pStyle w:val="CellColumn"/>
            </w:pPr>
            <w:r>
              <w:t>Broj</w:t>
            </w:r>
          </w:p>
        </w:tc>
        <w:tc>
          <w:tcPr>
            <w:tcW w:w="1300" w:type="dxa"/>
          </w:tcPr>
          <w:p w:rsidR="00AC0832" w:rsidRDefault="00AC0832">
            <w:pPr>
              <w:pStyle w:val="CellColumn"/>
            </w:pPr>
            <w:r>
              <w:t>1</w:t>
            </w:r>
          </w:p>
        </w:tc>
        <w:tc>
          <w:tcPr>
            <w:tcW w:w="1300" w:type="dxa"/>
          </w:tcPr>
          <w:p w:rsidR="00AC0832" w:rsidRDefault="00AC0832">
            <w:pPr>
              <w:pStyle w:val="CellColumn"/>
            </w:pPr>
            <w:r>
              <w:t>DUTP</w:t>
            </w:r>
          </w:p>
        </w:tc>
        <w:tc>
          <w:tcPr>
            <w:tcW w:w="1300" w:type="dxa"/>
          </w:tcPr>
          <w:p w:rsidR="00AC0832" w:rsidRDefault="00AC0832">
            <w:pPr>
              <w:pStyle w:val="CellColumn"/>
            </w:pPr>
            <w:r>
              <w:t>2</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 xml:space="preserve">Izdavanje dozvola za izvoz </w:t>
            </w:r>
          </w:p>
          <w:p w:rsidR="00AC0832" w:rsidRDefault="00AC0832">
            <w:pPr>
              <w:pStyle w:val="CellColumn"/>
            </w:pPr>
            <w:r>
              <w:t>robe s dvojnom namjenom</w:t>
            </w:r>
          </w:p>
        </w:tc>
        <w:tc>
          <w:tcPr>
            <w:tcW w:w="1300" w:type="dxa"/>
          </w:tcPr>
          <w:p w:rsidR="00AC0832" w:rsidRDefault="00AC0832">
            <w:pPr>
              <w:pStyle w:val="CellColumn"/>
            </w:pPr>
            <w:r>
              <w:t>Na prijedlog povjerenstva DUTP izdaje dozvole za izvoz robe s dvojnom namjenom</w:t>
            </w:r>
          </w:p>
        </w:tc>
        <w:tc>
          <w:tcPr>
            <w:tcW w:w="1300" w:type="dxa"/>
          </w:tcPr>
          <w:p w:rsidR="00AC0832" w:rsidRDefault="00AC0832">
            <w:pPr>
              <w:pStyle w:val="CellColumn"/>
            </w:pPr>
            <w:r>
              <w:t>Broj</w:t>
            </w:r>
          </w:p>
        </w:tc>
        <w:tc>
          <w:tcPr>
            <w:tcW w:w="1300" w:type="dxa"/>
          </w:tcPr>
          <w:p w:rsidR="00AC0832" w:rsidRDefault="00AC0832">
            <w:pPr>
              <w:pStyle w:val="CellColumn"/>
            </w:pPr>
            <w:r>
              <w:t>100</w:t>
            </w:r>
          </w:p>
        </w:tc>
        <w:tc>
          <w:tcPr>
            <w:tcW w:w="1300" w:type="dxa"/>
          </w:tcPr>
          <w:p w:rsidR="00AC0832" w:rsidRDefault="00AC0832">
            <w:pPr>
              <w:pStyle w:val="CellColumn"/>
            </w:pPr>
            <w:r>
              <w:t>DUTP</w:t>
            </w:r>
          </w:p>
        </w:tc>
        <w:tc>
          <w:tcPr>
            <w:tcW w:w="1300" w:type="dxa"/>
          </w:tcPr>
          <w:p w:rsidR="00AC0832" w:rsidRDefault="00AC0832">
            <w:pPr>
              <w:pStyle w:val="CellColumn"/>
            </w:pPr>
            <w:r>
              <w:t>150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 xml:space="preserve">Izdavanje certifikata tvrtkama </w:t>
            </w:r>
          </w:p>
          <w:p w:rsidR="00AC0832" w:rsidRDefault="00AC0832">
            <w:pPr>
              <w:pStyle w:val="CellColumn"/>
            </w:pPr>
            <w:r>
              <w:t xml:space="preserve">s implementiranim sustavom </w:t>
            </w:r>
          </w:p>
          <w:p w:rsidR="00AC0832" w:rsidRDefault="00AC0832">
            <w:pPr>
              <w:pStyle w:val="CellColumn"/>
            </w:pPr>
            <w:r>
              <w:t>PUU-a</w:t>
            </w:r>
          </w:p>
        </w:tc>
        <w:tc>
          <w:tcPr>
            <w:tcW w:w="1300" w:type="dxa"/>
          </w:tcPr>
          <w:p w:rsidR="00AC0832" w:rsidRDefault="00AC0832">
            <w:pPr>
              <w:pStyle w:val="CellColumn"/>
            </w:pPr>
            <w:r>
              <w:t>PUU je obvezan za dobivanje određenih povlaštenih dozvola za robu s dvojnom namjenom, naročito nakon pristupanja Republike Hrvatske Europskoj uniji</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DUTP</w:t>
            </w:r>
          </w:p>
        </w:tc>
        <w:tc>
          <w:tcPr>
            <w:tcW w:w="1300" w:type="dxa"/>
          </w:tcPr>
          <w:p w:rsidR="00AC0832" w:rsidRDefault="00AC0832">
            <w:pPr>
              <w:pStyle w:val="CellColumn"/>
            </w:pPr>
            <w:r>
              <w:t>10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 xml:space="preserve">Nadzor od strane DUTP i </w:t>
            </w:r>
          </w:p>
          <w:p w:rsidR="00AC0832" w:rsidRDefault="00AC0832">
            <w:pPr>
              <w:pStyle w:val="CellColumn"/>
            </w:pPr>
            <w:r>
              <w:t xml:space="preserve">povjerenstva u tvrtkama </w:t>
            </w:r>
          </w:p>
          <w:p w:rsidR="00AC0832" w:rsidRDefault="00AC0832">
            <w:pPr>
              <w:pStyle w:val="CellColumn"/>
            </w:pPr>
            <w:r>
              <w:t xml:space="preserve">vezano uz poštivanje propisa </w:t>
            </w:r>
          </w:p>
          <w:p w:rsidR="00AC0832" w:rsidRDefault="00AC0832">
            <w:pPr>
              <w:pStyle w:val="CellColumn"/>
            </w:pPr>
            <w:r>
              <w:t>i implementaciju PUU</w:t>
            </w:r>
          </w:p>
        </w:tc>
        <w:tc>
          <w:tcPr>
            <w:tcW w:w="1300" w:type="dxa"/>
          </w:tcPr>
          <w:p w:rsidR="00AC0832" w:rsidRDefault="00AC0832">
            <w:pPr>
              <w:pStyle w:val="CellColumn"/>
            </w:pPr>
            <w:r>
              <w:t>Temeljem Zakona o izvozu robe s dvojnom namjenom DUTP i Povjerenstvo obavljaju nadzor nad provedbom Zakona</w:t>
            </w:r>
          </w:p>
        </w:tc>
        <w:tc>
          <w:tcPr>
            <w:tcW w:w="1300" w:type="dxa"/>
          </w:tcPr>
          <w:p w:rsidR="00AC0832" w:rsidRDefault="00AC0832">
            <w:pPr>
              <w:pStyle w:val="CellColumn"/>
            </w:pPr>
            <w:r>
              <w:t>Broj</w:t>
            </w:r>
          </w:p>
        </w:tc>
        <w:tc>
          <w:tcPr>
            <w:tcW w:w="1300" w:type="dxa"/>
          </w:tcPr>
          <w:p w:rsidR="00AC0832" w:rsidRDefault="00AC0832">
            <w:pPr>
              <w:pStyle w:val="CellColumn"/>
            </w:pPr>
            <w:r>
              <w:t>2</w:t>
            </w:r>
          </w:p>
        </w:tc>
        <w:tc>
          <w:tcPr>
            <w:tcW w:w="1300" w:type="dxa"/>
          </w:tcPr>
          <w:p w:rsidR="00AC0832" w:rsidRDefault="00AC0832">
            <w:pPr>
              <w:pStyle w:val="CellColumn"/>
            </w:pPr>
            <w:r>
              <w:t>DUTP</w:t>
            </w:r>
          </w:p>
        </w:tc>
        <w:tc>
          <w:tcPr>
            <w:tcW w:w="1300" w:type="dxa"/>
          </w:tcPr>
          <w:p w:rsidR="00AC0832" w:rsidRDefault="00AC0832">
            <w:pPr>
              <w:pStyle w:val="CellColumn"/>
            </w:pPr>
            <w:r>
              <w:t>10</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A853001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A853001-ADMINISTRACIJA I UPRAVLJANJE</w:t>
            </w:r>
          </w:p>
        </w:tc>
        <w:tc>
          <w:tcPr>
            <w:tcW w:w="2322" w:type="dxa"/>
          </w:tcPr>
          <w:p w:rsidR="00AC0832" w:rsidRDefault="00AC0832">
            <w:pPr>
              <w:pStyle w:val="CellColumn"/>
            </w:pPr>
            <w:r>
              <w:t>7.941.000</w:t>
            </w:r>
          </w:p>
        </w:tc>
        <w:tc>
          <w:tcPr>
            <w:tcW w:w="2322" w:type="dxa"/>
          </w:tcPr>
          <w:p w:rsidR="00AC0832" w:rsidRDefault="00AC0832">
            <w:pPr>
              <w:pStyle w:val="CellColumn"/>
            </w:pPr>
            <w:r>
              <w:t>6.873.803</w:t>
            </w:r>
          </w:p>
        </w:tc>
        <w:tc>
          <w:tcPr>
            <w:tcW w:w="2322" w:type="dxa"/>
          </w:tcPr>
          <w:p w:rsidR="00AC0832" w:rsidRDefault="00AC0832">
            <w:pPr>
              <w:pStyle w:val="CellColumn"/>
            </w:pPr>
            <w:r>
              <w:t>86,6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cilju promicanja i zaštite hrvatskih trgovinskih interesa u tijelima Europske unije znatan dio troškova odnosio se na sudjelovanje na sastancima radnih tijela Vijeća Europske unije, te na stručnim sastancima kojima predsjedava Europska komisija. Nakon dobivanja statusa države pristupnice Europskoj uniji Republika Hrvatska je pozvana za sudjelovanje, u statusu aktivnog promatrača, na sastancima u Vijeću i Europskoj komisiji u cilju pripreme za aktivno zastupanje hrvatskih interesa u procesu usvajanja mjera iz Zajedničke trgovinske politike. U cilju izrade nacionalnih propisa kojima se omogućuje direktna primjena uredbi Europske unije iz područja Zajedničke trgovinske politike, na marginama sastanaka u Vijeću EU i u Europskoj komisiji, održani su i brojni bilateralni sastanci i tehničke konzultacije sa stručnjacima Europske komisije i država članica. Troškove putovanja na sastanke u Vijeću pokrivao je DUTP, dok je Europska komisija naknadno pokrivala troškove prijevoza na dio sastanaka u Europskoj komisiji. </w:t>
      </w:r>
    </w:p>
    <w:p w:rsidR="00AC0832" w:rsidRDefault="00AC0832">
      <w:pPr>
        <w:pStyle w:val="Normal6"/>
      </w:pPr>
      <w:r>
        <w:t xml:space="preserve"> </w:t>
      </w:r>
    </w:p>
    <w:p w:rsidR="00AC0832" w:rsidRDefault="00AC0832">
      <w:pPr>
        <w:pStyle w:val="Normal6"/>
      </w:pPr>
      <w:r>
        <w:t xml:space="preserve">U cilju jačanja konkurentnosti hrvatskog gospodarstva dio troškova odnosio se na najam dvorana za održavanje seminara za hrvatske gospodarstvenike i tijela državne uprave. DUTP je organizirao seminare u cilju bolje pripreme sudjelovanja hrvatskih tvrtki na unutarnjem tržištu EU, odnosno u cilju pripreme tijela državne uprave za zastupanje hrvatskih interesa na sastancima u tijelima EU. Povećanje svijesti o novostima i pravilima europskih propisa hrvatskim će gospodarstvenicima povećati konkurentnost.  </w:t>
      </w:r>
    </w:p>
    <w:p w:rsidR="00AC0832" w:rsidRDefault="00AC0832">
      <w:pPr>
        <w:pStyle w:val="Normal6"/>
      </w:pPr>
      <w:r>
        <w:t xml:space="preserve"> </w:t>
      </w:r>
    </w:p>
    <w:p w:rsidR="00AC0832" w:rsidRDefault="00AC0832">
      <w:pPr>
        <w:pStyle w:val="Normal6"/>
      </w:pPr>
      <w:r>
        <w:t xml:space="preserve">U cilju suradnje s poslovnom zajednicom DUTP je organizirao konferenciju „Hrvatska i trgovinska politika Europske unije - izazovi i mogućnosti“ Cilj konferencije bio je zainteresiranu poslovnu javnost upoznati s novostima u trgovinskim odnosima koje donosi pristupanje Republike Hrvatske Europskoj uniji te o ključnim promjenama koje donosi primjena Zajedničke trgovinske politike. Osim troškova najma dvorane i prijevoda veći dio troškova odnosio se na promidžbene i informativne materijale za sudionike konferencije. </w:t>
      </w:r>
    </w:p>
    <w:p w:rsidR="00AC0832" w:rsidRDefault="00AC0832">
      <w:pPr>
        <w:pStyle w:val="Normal6"/>
      </w:pPr>
      <w:r>
        <w:t xml:space="preserve"> </w:t>
      </w:r>
    </w:p>
    <w:p w:rsidR="00AC0832" w:rsidRDefault="00AC0832">
      <w:pPr>
        <w:pStyle w:val="Normal6"/>
      </w:pPr>
      <w:r>
        <w:t xml:space="preserve">U cilju promicanja gospodarskih interesa u inozemstvu dio sredstava potrošen je na plaćanje članarine koje RH plaća kao stranka Srednjoeuropskog ugovora o slobodnoj trgovini CEFTA 2006. Državni ured, kao nadležno tijelo za provedbu CEFTA 2006, isplatio je financijski doprinos za razdoblje od 1. rujna 2012. do 30. lipnja 2013., odnosno do pristupanja RH EU. </w:t>
      </w:r>
    </w:p>
    <w:p w:rsidR="00AC0832" w:rsidRDefault="00AC0832">
      <w:pPr>
        <w:pStyle w:val="Normal6"/>
      </w:pPr>
      <w:r>
        <w:t xml:space="preserve"> </w:t>
      </w:r>
    </w:p>
    <w:p w:rsidR="00AC0832" w:rsidRDefault="00AC0832">
      <w:pPr>
        <w:pStyle w:val="Normal6"/>
      </w:pPr>
      <w:r>
        <w:t xml:space="preserve">U cilju promicanja i zaštite hrvatskih trgovinskih interesa u međunarodnim organizacijama dio troškova odnosio se na sudjelovanje u radu radnih tijela Svjetske trgovinske organizacije (WTO-a), međunarodnih režima i aranžmana vezano uz kontrolu izvoza robe koja se može koristiti za proizvodnju oružja za masovnu uništenje te Procesa Kimberley koji uređuje međunarodnu trgovinu neobrađenim dijamantima. Aktivno sudjelovanje u radu WTO-a i međunarodnih režima te pripreme stajališta RH, međunarodna je obveza koja proizlazi iz članstva u toj međunarodnoj organizaciji, odnosno međunarodnim režimima. RH je aktivnim sudjelovanjem u radu radnih tijela Svjetske trgovinske organizacije  (WTO)-a), radnih skupina za pristupanje novih članica u WTO-u odnosno izvršavanju prava koje proizlaze iz članstva u ovoj međunarodnoj organizaciji, potvrdila  se kao aktivna članica multilateralnog trgovinskog sustava.  </w:t>
      </w:r>
    </w:p>
    <w:p w:rsidR="00AC0832" w:rsidRDefault="00AC0832">
      <w:pPr>
        <w:pStyle w:val="Normal6"/>
      </w:pPr>
      <w:r>
        <w:t xml:space="preserve"> </w:t>
      </w:r>
    </w:p>
    <w:p w:rsidR="00AC0832" w:rsidRDefault="00AC0832">
      <w:pPr>
        <w:pStyle w:val="Normal6"/>
      </w:pPr>
      <w:r>
        <w:t xml:space="preserve">U cilju promicanja hrvatskih interesa u inozemstvu značajnu ulogu ima jačanje bilateralnih gospodarskih odnosa. DUTP je kroz bilateralnu gospodarsku suradnju promicao nastup hrvatskih gospodarstvenika na stranim tržištima te poduzeo aktivnosti za povećanje vanjsko trgovinske razmjene RH s inozemstvom. Dio troškova odnosio se na intenziviranje bilateralnih kontakata kroz  održavanje bilateralnih odbora/komisija kao i kroz druge načine bilateralne suradnje (održani su mješoviti odbori sa Slovenijom, Austrijom i Ukrajinom). Nastavio je s sklapanjem dvostranih ugovora o gospodarskoj suradnji i ugovora o poticanju i uzajamnoj zaštiti ulaganja, usklađenih s pravnom stečevinom, s ciljem stvaranja uvjeta za povećanje stranih ulaganja u RH, kao i hrvatskih ulaganja u inozemstvo. </w:t>
      </w:r>
    </w:p>
    <w:p w:rsidR="00AC0832" w:rsidRDefault="00AC0832">
      <w:pPr>
        <w:pStyle w:val="Normal6"/>
      </w:pPr>
      <w:r>
        <w:t xml:space="preserve"> </w:t>
      </w:r>
    </w:p>
    <w:p w:rsidR="00AC0832" w:rsidRDefault="00AC0832">
      <w:pPr>
        <w:pStyle w:val="Normal6"/>
      </w:pPr>
      <w:r>
        <w:t xml:space="preserve">U cilju jačanja konkurentnosti hrvatskog gospodarstva DUTP je izradio web stranicu o kontroli izvoza, koja pomaže hrvatskim izvoznicima poštivanje nacionalnih i međunarodnih propisa o izvoznoj kontroli. Dio troškova odnosi se na održavanje web stranice o kontroli izvoza, te na održavanje internetskog alata „Program unutarnje usklađenosti“ koji se nalazi na web stranici kontrola izvoza. Program služi hrvatskim izvoznicima kao osnovni okvir za usklađivanje s hrvatskim i međunarodnim zahtjevima nadzora izvoza strateške robe.   </w:t>
      </w:r>
    </w:p>
    <w:p w:rsidR="00AC0832" w:rsidRDefault="00AC0832">
      <w:pPr>
        <w:pStyle w:val="Normal6"/>
      </w:pPr>
      <w:r>
        <w:t xml:space="preserve"> </w:t>
      </w:r>
    </w:p>
    <w:p w:rsidR="00AC0832" w:rsidRDefault="00AC0832">
      <w:pPr>
        <w:pStyle w:val="Normal6"/>
      </w:pPr>
      <w:r>
        <w:t xml:space="preserve">U cilju daljnjeg jačanja administrativnih kapaciteta predstavnici DUTP-a sudjelovali su na seminarima u organizaciji EU i Svjetske trgovinske organizacije. S obzirom da su troškove uglavnom pokrivali EU i Svjetska trgovinska organizacija DUTP pokrivao je troškove dnevnica.     </w:t>
      </w:r>
    </w:p>
    <w:p w:rsidR="00AC0832" w:rsidRDefault="00AC0832">
      <w:pPr>
        <w:pStyle w:val="Normal6"/>
      </w:pPr>
      <w:r>
        <w:t xml:space="preserve"> </w:t>
      </w:r>
    </w:p>
    <w:p w:rsidR="00AC0832" w:rsidRDefault="00AC0832">
      <w:pPr>
        <w:pStyle w:val="Normal6"/>
      </w:pPr>
      <w:r>
        <w:t>Dio sredstava utrošen je na usluge tekućeg i investicijskog održavanja poslovnih prostorija, opreme i uređaja koji se koriste u Državnom uredu za trgovinsku politiku, te na najam i zakup službenog vozila, najam jednogodišnjih programskih  licenci, najam stana u Bruxellesu za djelatnicu Državnog ureda na mandatu u Misiji RH pri Europskoj uniji.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5"/>
        <w:gridCol w:w="1243"/>
        <w:gridCol w:w="1245"/>
        <w:gridCol w:w="1252"/>
        <w:gridCol w:w="1245"/>
        <w:gridCol w:w="1252"/>
        <w:gridCol w:w="126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Provedba mjera trgovinske politike  (do ulaska u EU) uključujući carinsku tarifu i zaštitne mjere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75</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100</w:t>
            </w:r>
          </w:p>
        </w:tc>
        <w:tc>
          <w:tcPr>
            <w:tcW w:w="1300" w:type="dxa"/>
          </w:tcPr>
          <w:p w:rsidR="00AC0832" w:rsidRDefault="00AC0832">
            <w:pPr>
              <w:pStyle w:val="CellColumn"/>
            </w:pPr>
            <w:r>
              <w:t>100</w:t>
            </w:r>
          </w:p>
        </w:tc>
      </w:tr>
      <w:tr w:rsidR="00AC0832" w:rsidTr="00BE20ED">
        <w:trPr>
          <w:jc w:val="center"/>
        </w:trPr>
        <w:tc>
          <w:tcPr>
            <w:tcW w:w="1300" w:type="dxa"/>
          </w:tcPr>
          <w:p w:rsidR="00AC0832" w:rsidRDefault="00AC0832">
            <w:pPr>
              <w:pStyle w:val="CellColumn"/>
            </w:pPr>
            <w:r>
              <w:t>Uklanjanje trgovinskih prepreka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50</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75</w:t>
            </w:r>
          </w:p>
        </w:tc>
        <w:tc>
          <w:tcPr>
            <w:tcW w:w="1300" w:type="dxa"/>
          </w:tcPr>
          <w:p w:rsidR="00AC0832" w:rsidRDefault="00AC0832">
            <w:pPr>
              <w:pStyle w:val="CellColumn"/>
            </w:pPr>
            <w:r>
              <w:t>75</w:t>
            </w:r>
          </w:p>
        </w:tc>
      </w:tr>
      <w:tr w:rsidR="00AC0832" w:rsidTr="00BE20ED">
        <w:trPr>
          <w:jc w:val="center"/>
        </w:trPr>
        <w:tc>
          <w:tcPr>
            <w:tcW w:w="1300" w:type="dxa"/>
          </w:tcPr>
          <w:p w:rsidR="00AC0832" w:rsidRDefault="00AC0832">
            <w:pPr>
              <w:pStyle w:val="CellColumn"/>
            </w:pPr>
            <w:r>
              <w:t>Priprema za TDU i gospodarstvenike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 seminara</w:t>
            </w:r>
          </w:p>
        </w:tc>
        <w:tc>
          <w:tcPr>
            <w:tcW w:w="1300" w:type="dxa"/>
          </w:tcPr>
          <w:p w:rsidR="00AC0832" w:rsidRDefault="00AC0832">
            <w:pPr>
              <w:pStyle w:val="CellColumn"/>
            </w:pPr>
            <w:r>
              <w:t>0</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5</w:t>
            </w:r>
          </w:p>
        </w:tc>
        <w:tc>
          <w:tcPr>
            <w:tcW w:w="1300" w:type="dxa"/>
          </w:tcPr>
          <w:p w:rsidR="00AC0832" w:rsidRDefault="00AC0832">
            <w:pPr>
              <w:pStyle w:val="CellColumn"/>
            </w:pPr>
            <w:r>
              <w:t>5</w:t>
            </w:r>
          </w:p>
        </w:tc>
      </w:tr>
      <w:tr w:rsidR="00AC0832" w:rsidTr="00BE20ED">
        <w:trPr>
          <w:jc w:val="center"/>
        </w:trPr>
        <w:tc>
          <w:tcPr>
            <w:tcW w:w="1300" w:type="dxa"/>
          </w:tcPr>
          <w:p w:rsidR="00AC0832" w:rsidRDefault="00AC0832">
            <w:pPr>
              <w:pStyle w:val="CellColumn"/>
            </w:pPr>
            <w:r>
              <w:t>Usklađenost propisa o nadzoru robe s dvojnom namjenom</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90</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90</w:t>
            </w:r>
          </w:p>
        </w:tc>
        <w:tc>
          <w:tcPr>
            <w:tcW w:w="1300" w:type="dxa"/>
          </w:tcPr>
          <w:p w:rsidR="00AC0832" w:rsidRDefault="00AC0832">
            <w:pPr>
              <w:pStyle w:val="CellColumn"/>
            </w:pPr>
            <w:r>
              <w:t>90</w:t>
            </w:r>
          </w:p>
        </w:tc>
      </w:tr>
      <w:tr w:rsidR="00AC0832" w:rsidTr="00BE20ED">
        <w:trPr>
          <w:jc w:val="center"/>
        </w:trPr>
        <w:tc>
          <w:tcPr>
            <w:tcW w:w="1300" w:type="dxa"/>
          </w:tcPr>
          <w:p w:rsidR="00AC0832" w:rsidRDefault="00AC0832">
            <w:pPr>
              <w:pStyle w:val="CellColumn"/>
            </w:pPr>
            <w:r>
              <w:t>Jačanje učinkovitosti nadležnih nacionalnih tijela uključenih u nadzor robe s dvojnom namjenom</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1</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2</w:t>
            </w:r>
          </w:p>
        </w:tc>
        <w:tc>
          <w:tcPr>
            <w:tcW w:w="1300" w:type="dxa"/>
          </w:tcPr>
          <w:p w:rsidR="00AC0832" w:rsidRDefault="00AC0832">
            <w:pPr>
              <w:pStyle w:val="CellColumn"/>
            </w:pPr>
            <w:r>
              <w:t>2</w:t>
            </w:r>
          </w:p>
        </w:tc>
      </w:tr>
      <w:tr w:rsidR="00AC0832" w:rsidTr="00BE20ED">
        <w:trPr>
          <w:jc w:val="center"/>
        </w:trPr>
        <w:tc>
          <w:tcPr>
            <w:tcW w:w="1300" w:type="dxa"/>
          </w:tcPr>
          <w:p w:rsidR="00AC0832" w:rsidRDefault="00AC0832">
            <w:pPr>
              <w:pStyle w:val="CellColumn"/>
            </w:pPr>
            <w:r>
              <w:t>Izdavanje dozvola za izvoz robe s dvojnom namjenom</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100</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150</w:t>
            </w:r>
          </w:p>
        </w:tc>
        <w:tc>
          <w:tcPr>
            <w:tcW w:w="1300" w:type="dxa"/>
          </w:tcPr>
          <w:p w:rsidR="00AC0832" w:rsidRDefault="00AC0832">
            <w:pPr>
              <w:pStyle w:val="CellColumn"/>
            </w:pPr>
            <w:r>
              <w:t>150</w:t>
            </w:r>
          </w:p>
        </w:tc>
      </w:tr>
      <w:tr w:rsidR="00AC0832" w:rsidTr="00BE20ED">
        <w:trPr>
          <w:jc w:val="center"/>
        </w:trPr>
        <w:tc>
          <w:tcPr>
            <w:tcW w:w="1300" w:type="dxa"/>
          </w:tcPr>
          <w:p w:rsidR="00AC0832" w:rsidRDefault="00AC0832">
            <w:pPr>
              <w:pStyle w:val="CellColumn"/>
            </w:pPr>
            <w:r>
              <w:t>Izdavanje certifikata tvrtkama s implementiranim sustavom PUU-a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10</w:t>
            </w:r>
          </w:p>
        </w:tc>
        <w:tc>
          <w:tcPr>
            <w:tcW w:w="1300" w:type="dxa"/>
          </w:tcPr>
          <w:p w:rsidR="00AC0832" w:rsidRDefault="00AC0832">
            <w:pPr>
              <w:pStyle w:val="CellColumn"/>
            </w:pPr>
            <w:r>
              <w:t>10</w:t>
            </w:r>
          </w:p>
        </w:tc>
      </w:tr>
      <w:tr w:rsidR="00AC0832" w:rsidTr="00BE20ED">
        <w:trPr>
          <w:jc w:val="center"/>
        </w:trPr>
        <w:tc>
          <w:tcPr>
            <w:tcW w:w="1300" w:type="dxa"/>
          </w:tcPr>
          <w:p w:rsidR="00AC0832" w:rsidRDefault="00AC0832">
            <w:pPr>
              <w:pStyle w:val="CellColumn"/>
            </w:pPr>
            <w:r>
              <w:t>Nadzor od strane DUTP-a i povjerenstva u tvrtkama vezano uz poštivanje propisa i implementaciju PUU</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2</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10</w:t>
            </w:r>
          </w:p>
        </w:tc>
        <w:tc>
          <w:tcPr>
            <w:tcW w:w="1300" w:type="dxa"/>
          </w:tcPr>
          <w:p w:rsidR="00AC0832" w:rsidRDefault="00AC0832">
            <w:pPr>
              <w:pStyle w:val="CellColumn"/>
            </w:pPr>
            <w:r>
              <w:t>10</w:t>
            </w:r>
          </w:p>
        </w:tc>
      </w:tr>
    </w:tbl>
    <w:p w:rsidR="00AC0832" w:rsidRDefault="00AC0832">
      <w:pPr>
        <w:jc w:val="left"/>
      </w:pPr>
    </w:p>
    <w:p w:rsidR="00AC0832" w:rsidRDefault="00AC0832">
      <w:pPr>
        <w:pStyle w:val="Heading6"/>
      </w:pPr>
      <w:r>
        <w:t>A853002 OPREMANJE I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A853002-OPREMANJE I INFORMATIZACIJA</w:t>
            </w:r>
          </w:p>
        </w:tc>
        <w:tc>
          <w:tcPr>
            <w:tcW w:w="2322" w:type="dxa"/>
          </w:tcPr>
          <w:p w:rsidR="00AC0832" w:rsidRDefault="00AC0832">
            <w:pPr>
              <w:pStyle w:val="CellColumn"/>
            </w:pPr>
            <w:r>
              <w:t>689.400</w:t>
            </w:r>
          </w:p>
        </w:tc>
        <w:tc>
          <w:tcPr>
            <w:tcW w:w="2322" w:type="dxa"/>
          </w:tcPr>
          <w:p w:rsidR="00AC0832" w:rsidRDefault="00AC0832">
            <w:pPr>
              <w:pStyle w:val="CellColumn"/>
            </w:pPr>
            <w:r>
              <w:t>438.218</w:t>
            </w:r>
          </w:p>
        </w:tc>
        <w:tc>
          <w:tcPr>
            <w:tcW w:w="2322" w:type="dxa"/>
          </w:tcPr>
          <w:p w:rsidR="00AC0832" w:rsidRDefault="00AC0832">
            <w:pPr>
              <w:pStyle w:val="CellColumn"/>
            </w:pPr>
            <w:r>
              <w:t>63,6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Obzirom da je Državni ured za trgovinsku politiku novoosnovano tijelo državne uprave, veći dio sredstava utrošen je na nabavu računalne opreme i namještaja. </w:t>
      </w:r>
    </w:p>
    <w:p w:rsidR="00AC0832" w:rsidRDefault="00AC0832">
      <w:pPr>
        <w:pStyle w:val="Normal6"/>
      </w:pPr>
      <w:r>
        <w:t>Ostala sredstva, utrošena su  na nabavu raznih licenci i aplikacija neophodnih za rad i funkcioniranje te sigurnosnu zaštitu opreme u Državnom uredu za trgovinsku politiku.</w:t>
      </w:r>
    </w:p>
    <w:p w:rsidR="00AC0832" w:rsidRDefault="00AC0832">
      <w:pPr>
        <w:pStyle w:val="Heading1"/>
      </w:pPr>
      <w:r>
        <w:t>028 DRŽAVNI URED ZA SREDIŠNJU JAVNU NABAVU</w:t>
      </w:r>
    </w:p>
    <w:p w:rsidR="00AC0832" w:rsidRDefault="00AC0832">
      <w:pPr>
        <w:pStyle w:val="Heading4"/>
      </w:pPr>
      <w:r>
        <w:t>Uvod</w:t>
      </w:r>
    </w:p>
    <w:p w:rsidR="00AC0832" w:rsidRDefault="00AC0832">
      <w:pPr>
        <w:pStyle w:val="Normal3"/>
      </w:pPr>
      <w:r>
        <w:t>Vlada Republike Hrvatske je na sjednici održanoj 22. prosinca 2011. godine donijela Zakon o ustrojstvu i djelokrugu ministarstva i drugih središnjih tijela državne uprave te, kasnije, Izmjene i dopune tog Zakona („Narodne novine“, broj 150/11 i 22/12), kojima se osniva Državni ured za središnju javnu nabavu (dalje u tekstu: Državni ured) te propisuju njegove nadležnosti.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02805-Državni ured za središnju javnu nabavu</w:t>
            </w:r>
          </w:p>
        </w:tc>
        <w:tc>
          <w:tcPr>
            <w:tcW w:w="2322" w:type="dxa"/>
          </w:tcPr>
          <w:p w:rsidR="00AC0832" w:rsidRDefault="00AC0832">
            <w:pPr>
              <w:pStyle w:val="CellColumn"/>
            </w:pPr>
            <w:r>
              <w:t>4.570.000</w:t>
            </w:r>
          </w:p>
        </w:tc>
        <w:tc>
          <w:tcPr>
            <w:tcW w:w="2322" w:type="dxa"/>
          </w:tcPr>
          <w:p w:rsidR="00AC0832" w:rsidRDefault="00AC0832">
            <w:pPr>
              <w:pStyle w:val="CellColumn"/>
            </w:pPr>
            <w:r>
              <w:t>3.548.736</w:t>
            </w:r>
          </w:p>
        </w:tc>
        <w:tc>
          <w:tcPr>
            <w:tcW w:w="2322" w:type="dxa"/>
          </w:tcPr>
          <w:p w:rsidR="00AC0832" w:rsidRDefault="00AC0832">
            <w:pPr>
              <w:pStyle w:val="CellColumn"/>
            </w:pPr>
            <w:r>
              <w:t>77,7</w:t>
            </w:r>
          </w:p>
        </w:tc>
      </w:tr>
      <w:tr w:rsidR="00AC0832" w:rsidTr="00BE20ED">
        <w:trPr>
          <w:jc w:val="center"/>
        </w:trPr>
        <w:tc>
          <w:tcPr>
            <w:tcW w:w="2322" w:type="dxa"/>
            <w:shd w:val="clear" w:color="auto" w:fill="B5C0D8"/>
          </w:tcPr>
          <w:p w:rsidR="00AC0832" w:rsidRDefault="00AC0832">
            <w:pPr>
              <w:pStyle w:val="CellColumn"/>
            </w:pPr>
            <w:r>
              <w:t>Ukupno 028-DRŽAVNI URED ZA SREDIŠNJU JAVNU NABAVU</w:t>
            </w:r>
          </w:p>
        </w:tc>
        <w:tc>
          <w:tcPr>
            <w:tcW w:w="2322" w:type="dxa"/>
            <w:shd w:val="clear" w:color="auto" w:fill="B5C0D8"/>
          </w:tcPr>
          <w:p w:rsidR="00AC0832" w:rsidRDefault="00AC0832">
            <w:pPr>
              <w:pStyle w:val="CellColumn"/>
            </w:pPr>
            <w:r>
              <w:t>4.570.000</w:t>
            </w:r>
          </w:p>
        </w:tc>
        <w:tc>
          <w:tcPr>
            <w:tcW w:w="2322" w:type="dxa"/>
            <w:shd w:val="clear" w:color="auto" w:fill="B5C0D8"/>
          </w:tcPr>
          <w:p w:rsidR="00AC0832" w:rsidRDefault="00AC0832">
            <w:pPr>
              <w:pStyle w:val="CellColumn"/>
            </w:pPr>
            <w:r>
              <w:t>3.548.736</w:t>
            </w:r>
          </w:p>
        </w:tc>
        <w:tc>
          <w:tcPr>
            <w:tcW w:w="2322" w:type="dxa"/>
            <w:shd w:val="clear" w:color="auto" w:fill="B5C0D8"/>
          </w:tcPr>
          <w:p w:rsidR="00AC0832" w:rsidRDefault="00AC0832">
            <w:pPr>
              <w:pStyle w:val="CellColumn"/>
            </w:pPr>
            <w:r>
              <w:t>77,7</w:t>
            </w:r>
          </w:p>
        </w:tc>
      </w:tr>
    </w:tbl>
    <w:p w:rsidR="00AC0832" w:rsidRDefault="00AC0832">
      <w:pPr>
        <w:jc w:val="left"/>
      </w:pPr>
    </w:p>
    <w:p w:rsidR="00AC0832" w:rsidRDefault="00AC0832">
      <w:pPr>
        <w:pStyle w:val="Heading2"/>
      </w:pPr>
      <w:r>
        <w:t>02805 Državni ured za središnju javnu nabavu</w:t>
      </w:r>
    </w:p>
    <w:p w:rsidR="00AC0832" w:rsidRDefault="00AC0832">
      <w:pPr>
        <w:pStyle w:val="Heading4"/>
      </w:pPr>
      <w:r>
        <w:t>Uvod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02805-Državni ured za središnju javnu nabavu</w:t>
            </w:r>
          </w:p>
        </w:tc>
        <w:tc>
          <w:tcPr>
            <w:tcW w:w="2322" w:type="dxa"/>
          </w:tcPr>
          <w:p w:rsidR="00AC0832" w:rsidRDefault="00AC0832">
            <w:pPr>
              <w:pStyle w:val="CellColumn"/>
            </w:pPr>
            <w:r>
              <w:t>4.570.000</w:t>
            </w:r>
          </w:p>
        </w:tc>
        <w:tc>
          <w:tcPr>
            <w:tcW w:w="2322" w:type="dxa"/>
          </w:tcPr>
          <w:p w:rsidR="00AC0832" w:rsidRDefault="00AC0832">
            <w:pPr>
              <w:pStyle w:val="CellColumn"/>
            </w:pPr>
            <w:r>
              <w:t>3.548.736</w:t>
            </w:r>
          </w:p>
        </w:tc>
        <w:tc>
          <w:tcPr>
            <w:tcW w:w="2322" w:type="dxa"/>
          </w:tcPr>
          <w:p w:rsidR="00AC0832" w:rsidRDefault="00AC0832">
            <w:pPr>
              <w:pStyle w:val="CellColumn"/>
            </w:pPr>
            <w:r>
              <w:t>77,7</w:t>
            </w:r>
          </w:p>
        </w:tc>
      </w:tr>
      <w:tr w:rsidR="00AC0832" w:rsidTr="00BE20ED">
        <w:trPr>
          <w:jc w:val="center"/>
        </w:trPr>
        <w:tc>
          <w:tcPr>
            <w:tcW w:w="2322" w:type="dxa"/>
          </w:tcPr>
          <w:p w:rsidR="00AC0832" w:rsidRDefault="00AC0832">
            <w:pPr>
              <w:pStyle w:val="CellColumnSmall"/>
            </w:pPr>
            <w:r>
              <w:t>2411-SREDIŠNJA JAVNA NABAVA</w:t>
            </w:r>
          </w:p>
        </w:tc>
        <w:tc>
          <w:tcPr>
            <w:tcW w:w="2322" w:type="dxa"/>
          </w:tcPr>
          <w:p w:rsidR="00AC0832" w:rsidRDefault="00AC0832">
            <w:pPr>
              <w:pStyle w:val="CellColumnSmall"/>
            </w:pPr>
            <w:r>
              <w:t>4.570.000</w:t>
            </w:r>
          </w:p>
        </w:tc>
        <w:tc>
          <w:tcPr>
            <w:tcW w:w="2322" w:type="dxa"/>
          </w:tcPr>
          <w:p w:rsidR="00AC0832" w:rsidRDefault="00AC0832">
            <w:pPr>
              <w:pStyle w:val="CellColumnSmall"/>
            </w:pPr>
            <w:r>
              <w:t>3.548.736</w:t>
            </w:r>
          </w:p>
        </w:tc>
        <w:tc>
          <w:tcPr>
            <w:tcW w:w="2322" w:type="dxa"/>
          </w:tcPr>
          <w:p w:rsidR="00AC0832" w:rsidRDefault="00AC0832">
            <w:pPr>
              <w:pStyle w:val="CellColumnSmall"/>
            </w:pPr>
            <w:r>
              <w:t>77,7</w:t>
            </w:r>
          </w:p>
        </w:tc>
      </w:tr>
    </w:tbl>
    <w:p w:rsidR="00AC0832" w:rsidRDefault="00AC0832">
      <w:pPr>
        <w:jc w:val="left"/>
      </w:pPr>
    </w:p>
    <w:p w:rsidR="00AC0832" w:rsidRDefault="00AC0832">
      <w:pPr>
        <w:pStyle w:val="Heading4"/>
      </w:pPr>
      <w:r>
        <w:t>OBRAZLOŽENJE PROGRAMA</w:t>
      </w:r>
    </w:p>
    <w:p w:rsidR="00AC0832" w:rsidRDefault="00AC0832">
      <w:pPr>
        <w:pStyle w:val="Heading5"/>
      </w:pPr>
      <w:r>
        <w:t>2411 SREDIŠNJA JAVNA NABAVA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2411-SREDIŠNJA JAVNA NABAVA</w:t>
            </w:r>
          </w:p>
        </w:tc>
        <w:tc>
          <w:tcPr>
            <w:tcW w:w="2322" w:type="dxa"/>
          </w:tcPr>
          <w:p w:rsidR="00AC0832" w:rsidRDefault="00AC0832">
            <w:pPr>
              <w:pStyle w:val="CellColumn"/>
            </w:pPr>
            <w:r>
              <w:t>4.570.000</w:t>
            </w:r>
          </w:p>
        </w:tc>
        <w:tc>
          <w:tcPr>
            <w:tcW w:w="2322" w:type="dxa"/>
          </w:tcPr>
          <w:p w:rsidR="00AC0832" w:rsidRDefault="00AC0832">
            <w:pPr>
              <w:pStyle w:val="CellColumn"/>
            </w:pPr>
            <w:r>
              <w:t>3.548.736</w:t>
            </w:r>
          </w:p>
        </w:tc>
        <w:tc>
          <w:tcPr>
            <w:tcW w:w="2322" w:type="dxa"/>
          </w:tcPr>
          <w:p w:rsidR="00AC0832" w:rsidRDefault="00AC0832">
            <w:pPr>
              <w:pStyle w:val="CellColumn"/>
            </w:pPr>
            <w:r>
              <w:t>77,7</w:t>
            </w:r>
          </w:p>
        </w:tc>
      </w:tr>
    </w:tbl>
    <w:p w:rsidR="00AC0832" w:rsidRDefault="00AC0832">
      <w:pPr>
        <w:jc w:val="left"/>
      </w:pPr>
    </w:p>
    <w:p w:rsidR="00AC0832" w:rsidRDefault="00AC0832">
      <w:pPr>
        <w:pStyle w:val="Heading6"/>
      </w:pPr>
      <w:r>
        <w:t>Opis programa</w:t>
      </w:r>
    </w:p>
    <w:p w:rsidR="00AC0832" w:rsidRDefault="00AC0832">
      <w:pPr>
        <w:pStyle w:val="Normal5"/>
      </w:pPr>
      <w:r>
        <w:t xml:space="preserve">Državni ured za središnju javnu nabavu je središnje tijelo državne uprave koje obavlja poslove središnje javne nabave za središnja tijela državne uprave, uz odgovornost prema poreznim obveznicima, državnom proračunu, obveznicima središnje nabave te svim gospodarskim subjektima uključenim u javno-nabavno okruženje u cilju ostvarivanja ušteda u javnoj potrošnji, vodeći računa o optimalnom odnosu između kvalitete i cijene nabavljenih roba, radova i usluga, uvažavanju ekoloških i socijalno prihvatljivih načela, održive nabave te poticanju malog i srednjeg poduzetništva. </w:t>
      </w:r>
    </w:p>
    <w:p w:rsidR="00AC0832" w:rsidRDefault="00AC0832">
      <w:pPr>
        <w:pStyle w:val="Normal5"/>
      </w:pPr>
      <w:r>
        <w:t xml:space="preserve"> </w:t>
      </w:r>
    </w:p>
    <w:p w:rsidR="00AC0832" w:rsidRDefault="00AC0832">
      <w:pPr>
        <w:pStyle w:val="Normal5"/>
      </w:pPr>
      <w:r>
        <w:t>Državni ured je, kao sljednik Ureda za središnju javnu nabavu Vlade Republike Hrvatske, preuzeo financijska sredstava, prava i obveza te državne službenike tog Ureda. Uredba o unutarnjem ustrojstvu Državnog ureda za središnju javnu nabavu donesena je u ožujku 2012. godine te je objavljena u „Narodnim novinama“, broj 31/12.</w:t>
      </w:r>
    </w:p>
    <w:p w:rsidR="00AC0832" w:rsidRDefault="00AC0832">
      <w:pPr>
        <w:pStyle w:val="Heading6"/>
      </w:pPr>
      <w:r>
        <w:t>Zakonske i druge pravne osnove</w:t>
      </w:r>
    </w:p>
    <w:p w:rsidR="00AC0832" w:rsidRDefault="00AC0832">
      <w:pPr>
        <w:pStyle w:val="Normal5"/>
      </w:pPr>
      <w:r>
        <w:t xml:space="preserve">Strategijom Državnog ureda za razdoblje 2012.-2014. osigurava se kontinuitet provedbe strateških ciljeva utvrđenih Strateškim planom razdjela Vlade Republike za razdoblje 2011.-2013., kada je Ured za središnju javnu nabavu, kao prednik ovog Državnog ureda, sudjelovao u izradi Strateškog plana razdjela Vlade Republike Hrvatske. Budući da je riječ o dugoročnim prioritetima Vlade, osnovni cilj, a to je razvoj učinkovitog sustava središnje javne nabave, nije se mijenjao u odnosu na prethodno razdoblje. Državni ured osnovan je temeljem Zakona o ustrojstvu i djelokrugu ministarstva i drugih središnjih tijela državne uprave („Narodne novine“, broj 150/2011 i 22/12), a u ožujku 2012. godine donesena je i Uredba o unutarnjem ustrojstvu Državnog ureda („Narodne novine“, broj 31/12).  </w:t>
      </w:r>
    </w:p>
    <w:p w:rsidR="00AC0832" w:rsidRDefault="00AC0832">
      <w:pPr>
        <w:pStyle w:val="Normal5"/>
      </w:pPr>
      <w:r>
        <w:t xml:space="preserve"> </w:t>
      </w:r>
    </w:p>
    <w:p w:rsidR="00AC0832" w:rsidRDefault="00AC0832">
      <w:pPr>
        <w:pStyle w:val="Normal5"/>
      </w:pPr>
      <w:r>
        <w:t>Državni ured je naručitelj koji za obveznike središnje javne nabave (Ured predsjednika Republike Hrvatske, Hrvatski sabor, Vladu Republike Hrvatske, urede i stručne službe Vlade Republike Hrvatske, središnja tijela državne uprave) nabavlja robe, radove i usluge po nabavnim kategorijama koje određuje Vlada Republike Hrvatske odlukom o nabavnim kategorijama, na prijedlog Državnog ureda. Vlada Republike Hrvatske je na svojoj sjednici 14. lipnja 2012. godine donijela Odluku o nabavnim kategorijama, koja je objavljena u „Narodnim novinama“, broj 67/12.</w:t>
      </w:r>
    </w:p>
    <w:p w:rsidR="00AC0832" w:rsidRDefault="00AC0832">
      <w:pPr>
        <w:pStyle w:val="Heading7"/>
      </w:pPr>
      <w:r>
        <w:t xml:space="preserve">Cilj 1. Daljnji razvoj suvremene nabavne funkcije na razini središnjih tijela državne uprave </w:t>
      </w:r>
    </w:p>
    <w:p w:rsidR="00AC0832" w:rsidRDefault="00AC0832">
      <w:pPr>
        <w:pStyle w:val="Heading8"/>
        <w:jc w:val="left"/>
      </w:pPr>
      <w:r>
        <w:t>Opis provedbe cilja programa</w:t>
      </w:r>
    </w:p>
    <w:p w:rsidR="00AC0832" w:rsidRDefault="00AC0832">
      <w:pPr>
        <w:pStyle w:val="Normal6"/>
      </w:pPr>
      <w:r>
        <w:t>Organizacijska raznolikost provođenja postupaka javne nabave te pomanjkanje kontrole trošenja proračunskog novca kod obveznika primjene Zakona o javnoj nabavi uvjetovali su nužnost uređivanja sustava središnje nabave na nacionalnoj razini, kako bi se na jednom mjestu nastavio razvoj suvremene nabavne funkcije za središnja tijela državne uprave, kako je i započeto 2010. godine. Tijekom 2012. godine Ured je nastavio s provođenjem postupaka javne nabave, u cilju postizanja ušteda, međutim, zbog preustroja državne uprave nisu provedene nabave u nabavnim kategorijama „Usluge telefonije u nepokretnim mrežama“ i „Uredski namještaj“, gdje su bile očekivane najveće uštede.</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4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Postizanje direktnih ušteda kroz smanjenje ugovorenih jediničnih cijena te postizanje indirektnih ušteda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mil kn</w:t>
            </w:r>
          </w:p>
        </w:tc>
        <w:tc>
          <w:tcPr>
            <w:tcW w:w="1300" w:type="dxa"/>
          </w:tcPr>
          <w:p w:rsidR="00AC0832" w:rsidRDefault="00AC0832">
            <w:pPr>
              <w:pStyle w:val="CellColumn"/>
            </w:pPr>
            <w:r>
              <w:t>72</w:t>
            </w:r>
          </w:p>
        </w:tc>
        <w:tc>
          <w:tcPr>
            <w:tcW w:w="1300" w:type="dxa"/>
          </w:tcPr>
          <w:p w:rsidR="00AC0832" w:rsidRDefault="00AC0832">
            <w:pPr>
              <w:pStyle w:val="CellColumn"/>
            </w:pPr>
            <w:r>
              <w:t>okvirni sporazumi sklopljeni između Državnog ureda i odabranih ponuditelja te ugovori pojedinačnih naručitelja</w:t>
            </w:r>
          </w:p>
        </w:tc>
        <w:tc>
          <w:tcPr>
            <w:tcW w:w="1300" w:type="dxa"/>
          </w:tcPr>
          <w:p w:rsidR="00AC0832" w:rsidRDefault="00AC0832">
            <w:pPr>
              <w:pStyle w:val="CellColumn"/>
            </w:pPr>
            <w:r>
              <w:t>170-180</w:t>
            </w:r>
          </w:p>
        </w:tc>
        <w:tc>
          <w:tcPr>
            <w:tcW w:w="1300" w:type="dxa"/>
          </w:tcPr>
          <w:p w:rsidR="00AC0832" w:rsidRDefault="00AC0832">
            <w:pPr>
              <w:pStyle w:val="CellColumn"/>
            </w:pPr>
            <w:r>
              <w:t>152</w:t>
            </w:r>
          </w:p>
        </w:tc>
      </w:tr>
    </w:tbl>
    <w:p w:rsidR="00AC0832" w:rsidRDefault="00AC0832">
      <w:pPr>
        <w:jc w:val="left"/>
      </w:pPr>
    </w:p>
    <w:p w:rsidR="00AC0832" w:rsidRDefault="00AC0832">
      <w:pPr>
        <w:pStyle w:val="Heading6"/>
      </w:pPr>
      <w:r>
        <w:t>A857001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A857001-ADMINISTRACIJA I UPRAVLJANJE</w:t>
            </w:r>
          </w:p>
        </w:tc>
        <w:tc>
          <w:tcPr>
            <w:tcW w:w="2322" w:type="dxa"/>
          </w:tcPr>
          <w:p w:rsidR="00AC0832" w:rsidRDefault="00AC0832">
            <w:pPr>
              <w:pStyle w:val="CellColumn"/>
            </w:pPr>
            <w:r>
              <w:t>4.370.000</w:t>
            </w:r>
          </w:p>
        </w:tc>
        <w:tc>
          <w:tcPr>
            <w:tcW w:w="2322" w:type="dxa"/>
          </w:tcPr>
          <w:p w:rsidR="00AC0832" w:rsidRDefault="00AC0832">
            <w:pPr>
              <w:pStyle w:val="CellColumn"/>
            </w:pPr>
            <w:r>
              <w:t>3.464.997</w:t>
            </w:r>
          </w:p>
        </w:tc>
        <w:tc>
          <w:tcPr>
            <w:tcW w:w="2322" w:type="dxa"/>
          </w:tcPr>
          <w:p w:rsidR="00AC0832" w:rsidRDefault="00AC0832">
            <w:pPr>
              <w:pStyle w:val="CellColumn"/>
            </w:pPr>
            <w:r>
              <w:t>79,3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okviru aktivnosti A857001 financijski plan za 2012. godinu izvršen je djelomično zbog toga što su se u Uredu tijekom 2012. godine još uvijek popunjavala sistematizirana radna mjesta. Financijskim planom predviđeni broj od 18 službenika popunjavan je tijekom godine postupno, do tog broja, i to institutom premještaja iz drugih tijela državne uprave. Iako postignuta, dinamika popunjavanja nije zadovoljavajuća – zbog financijskih ograničenja.  Predviđeni rashodi za pojedine usluge, primjerice intelektualne usluge za izradu kataloga za nabavnu kategoriju „uredski namještaj“ (suradnja sa Šumarskim fakultetom) započeti u 2011. godini, iz objektivnih razloga nisu tad realizirani, već u 2012. godini. U 2012. godini realizirana je i suradnja s Prometnim fakultetom Sveučilišta u Zagrebu za potrebe provođenja nabavne kategorije auto-guma.  </w:t>
      </w:r>
    </w:p>
    <w:p w:rsidR="00AC0832" w:rsidRDefault="00AC0832">
      <w:pPr>
        <w:pStyle w:val="Normal6"/>
      </w:pPr>
      <w:r>
        <w:t xml:space="preserve"> </w:t>
      </w:r>
    </w:p>
    <w:p w:rsidR="00AC0832" w:rsidRDefault="00AC0832">
      <w:pPr>
        <w:pStyle w:val="Normal6"/>
      </w:pPr>
      <w:r>
        <w:t xml:space="preserve">Državni ured za središnju javnu nabavu je, u cijelosti ili kroz potkategoriju. tijekom 2012. godine od 17 nabavnih kategorija određenih Odlukom o nabavnih kategorijama, kao i prethodno važećom Odlukom, postupak javne nabave proveo, odnosno završio u 5 nabavnih kategorija za koje su sklopljeni okvirni sporazumi, dok je u jednom (1) postupku nabave („Usluge analize postojećeg stanja te razvoja strategije i provedbenog koncepta poboljšanja efikasnosti upravljanja u određenim tijelima i trgovačkim društvima“tj. tzv. „clean start“) zaključen ugovor (Vlada Republike Hrvatske s odabranim ponuditeljima). </w:t>
      </w:r>
    </w:p>
    <w:p w:rsidR="00AC0832" w:rsidRDefault="00AC0832">
      <w:pPr>
        <w:pStyle w:val="Normal6"/>
      </w:pPr>
      <w:r>
        <w:t xml:space="preserve">U 2012. godini postupci su započeti i za druge 3 nabavne kategorije, koji su još uvijek u tijeku. </w:t>
      </w:r>
    </w:p>
    <w:p w:rsidR="00AC0832" w:rsidRDefault="00AC0832">
      <w:pPr>
        <w:pStyle w:val="Normal6"/>
      </w:pPr>
      <w:r>
        <w:t xml:space="preserve"> </w:t>
      </w:r>
    </w:p>
    <w:p w:rsidR="00AC0832" w:rsidRDefault="00AC0832">
      <w:pPr>
        <w:pStyle w:val="Normal6"/>
      </w:pPr>
      <w:r>
        <w:t>Od osnivanja Državnog ureda, odnosno ranijeg Ureda za središnju javnu nabavu Vlade Republike Hrvatske do 31. prosinca 2012. godine sklopljeno je ukupno 76 okvirnih sporazuma i 11 ugovora u vrijednosti 1.542.026.415,38 kn. Pritom su postignute uštede u iznosu od cca 150 mil. kn.</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6"/>
        <w:gridCol w:w="1297"/>
        <w:gridCol w:w="1296"/>
        <w:gridCol w:w="1297"/>
        <w:gridCol w:w="1297"/>
        <w:gridCol w:w="1297"/>
        <w:gridCol w:w="129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Doneseni katalozi, odluke, naputci i sl. od strane tehničkih nositelja za pojedine nabavne kategorije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Ured</w:t>
            </w:r>
          </w:p>
        </w:tc>
        <w:tc>
          <w:tcPr>
            <w:tcW w:w="1300" w:type="dxa"/>
          </w:tcPr>
          <w:p w:rsidR="00AC0832" w:rsidRDefault="00AC0832">
            <w:pPr>
              <w:pStyle w:val="CellColumn"/>
            </w:pPr>
            <w:r>
              <w:t>5</w:t>
            </w:r>
          </w:p>
        </w:tc>
        <w:tc>
          <w:tcPr>
            <w:tcW w:w="1300" w:type="dxa"/>
          </w:tcPr>
          <w:p w:rsidR="00AC0832" w:rsidRDefault="00AC0832">
            <w:pPr>
              <w:pStyle w:val="CellColumn"/>
            </w:pPr>
            <w:r>
              <w:t>3</w:t>
            </w:r>
          </w:p>
        </w:tc>
      </w:tr>
      <w:tr w:rsidR="00AC0832" w:rsidTr="00BE20ED">
        <w:trPr>
          <w:jc w:val="center"/>
        </w:trPr>
        <w:tc>
          <w:tcPr>
            <w:tcW w:w="1300" w:type="dxa"/>
          </w:tcPr>
          <w:p w:rsidR="00AC0832" w:rsidRDefault="00AC0832">
            <w:pPr>
              <w:pStyle w:val="CellColumn"/>
            </w:pPr>
            <w:r>
              <w:t>Dostupnost dokumentacije i izvadaka nacrta dokumentacije na internetskoj stranici Ureda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8</w:t>
            </w:r>
          </w:p>
        </w:tc>
        <w:tc>
          <w:tcPr>
            <w:tcW w:w="1300" w:type="dxa"/>
          </w:tcPr>
          <w:p w:rsidR="00AC0832" w:rsidRDefault="00AC0832">
            <w:pPr>
              <w:pStyle w:val="CellColumn"/>
            </w:pPr>
            <w:r>
              <w:t>Ured</w:t>
            </w:r>
          </w:p>
        </w:tc>
        <w:tc>
          <w:tcPr>
            <w:tcW w:w="1300" w:type="dxa"/>
          </w:tcPr>
          <w:p w:rsidR="00AC0832" w:rsidRDefault="00AC0832">
            <w:pPr>
              <w:pStyle w:val="CellColumn"/>
            </w:pPr>
            <w:r>
              <w:t>30</w:t>
            </w:r>
          </w:p>
        </w:tc>
        <w:tc>
          <w:tcPr>
            <w:tcW w:w="1300" w:type="dxa"/>
          </w:tcPr>
          <w:p w:rsidR="00AC0832" w:rsidRDefault="00AC0832">
            <w:pPr>
              <w:pStyle w:val="CellColumn"/>
            </w:pPr>
            <w:r>
              <w:t>39</w:t>
            </w:r>
          </w:p>
        </w:tc>
      </w:tr>
      <w:tr w:rsidR="00AC0832" w:rsidTr="00BE20ED">
        <w:trPr>
          <w:jc w:val="center"/>
        </w:trPr>
        <w:tc>
          <w:tcPr>
            <w:tcW w:w="1300" w:type="dxa"/>
          </w:tcPr>
          <w:p w:rsidR="00AC0832" w:rsidRDefault="00AC0832">
            <w:pPr>
              <w:pStyle w:val="CellColumn"/>
            </w:pPr>
            <w:r>
              <w:t>Održavanje tehničkih konzultacija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5</w:t>
            </w:r>
          </w:p>
        </w:tc>
        <w:tc>
          <w:tcPr>
            <w:tcW w:w="1300" w:type="dxa"/>
          </w:tcPr>
          <w:p w:rsidR="00AC0832" w:rsidRDefault="00AC0832">
            <w:pPr>
              <w:pStyle w:val="CellColumn"/>
            </w:pPr>
            <w:r>
              <w:t>Ured</w:t>
            </w:r>
          </w:p>
        </w:tc>
        <w:tc>
          <w:tcPr>
            <w:tcW w:w="1300" w:type="dxa"/>
          </w:tcPr>
          <w:p w:rsidR="00AC0832" w:rsidRDefault="00AC0832">
            <w:pPr>
              <w:pStyle w:val="CellColumn"/>
            </w:pPr>
            <w:r>
              <w:t>15</w:t>
            </w:r>
          </w:p>
        </w:tc>
        <w:tc>
          <w:tcPr>
            <w:tcW w:w="1300" w:type="dxa"/>
          </w:tcPr>
          <w:p w:rsidR="00AC0832" w:rsidRDefault="00AC0832">
            <w:pPr>
              <w:pStyle w:val="CellColumn"/>
            </w:pPr>
            <w:r>
              <w:t>1</w:t>
            </w:r>
          </w:p>
        </w:tc>
      </w:tr>
      <w:tr w:rsidR="00AC0832" w:rsidTr="00BE20ED">
        <w:trPr>
          <w:jc w:val="center"/>
        </w:trPr>
        <w:tc>
          <w:tcPr>
            <w:tcW w:w="1300" w:type="dxa"/>
          </w:tcPr>
          <w:p w:rsidR="00AC0832" w:rsidRDefault="00AC0832">
            <w:pPr>
              <w:pStyle w:val="CellColumn"/>
            </w:pPr>
            <w:r>
              <w:t>Dijeljenje predmeta nabave po grupama (granama gospodarstva, strukovnim područjima, vrsti, količini i mjestu isporuke)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3</w:t>
            </w:r>
          </w:p>
        </w:tc>
        <w:tc>
          <w:tcPr>
            <w:tcW w:w="1300" w:type="dxa"/>
          </w:tcPr>
          <w:p w:rsidR="00AC0832" w:rsidRDefault="00AC0832">
            <w:pPr>
              <w:pStyle w:val="CellColumn"/>
            </w:pPr>
            <w:r>
              <w:t>Ured</w:t>
            </w:r>
          </w:p>
        </w:tc>
        <w:tc>
          <w:tcPr>
            <w:tcW w:w="1300" w:type="dxa"/>
          </w:tcPr>
          <w:p w:rsidR="00AC0832" w:rsidRDefault="00AC0832">
            <w:pPr>
              <w:pStyle w:val="CellColumn"/>
            </w:pPr>
            <w:r>
              <w:t>20</w:t>
            </w:r>
          </w:p>
        </w:tc>
        <w:tc>
          <w:tcPr>
            <w:tcW w:w="1300" w:type="dxa"/>
          </w:tcPr>
          <w:p w:rsidR="00AC0832" w:rsidRDefault="00AC0832">
            <w:pPr>
              <w:pStyle w:val="CellColumn"/>
            </w:pPr>
            <w:r>
              <w:t>5</w:t>
            </w:r>
          </w:p>
        </w:tc>
      </w:tr>
      <w:tr w:rsidR="00AC0832" w:rsidTr="00BE20ED">
        <w:trPr>
          <w:jc w:val="center"/>
        </w:trPr>
        <w:tc>
          <w:tcPr>
            <w:tcW w:w="1300" w:type="dxa"/>
          </w:tcPr>
          <w:p w:rsidR="00AC0832" w:rsidRDefault="00AC0832">
            <w:pPr>
              <w:pStyle w:val="CellColumn"/>
            </w:pPr>
            <w:r>
              <w:t>Provođenje postupaka u kojima je kao kriterij odabira primijenjena ekonomski najpovoljnija ponuda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1</w:t>
            </w:r>
          </w:p>
        </w:tc>
        <w:tc>
          <w:tcPr>
            <w:tcW w:w="1300" w:type="dxa"/>
          </w:tcPr>
          <w:p w:rsidR="00AC0832" w:rsidRDefault="00AC0832">
            <w:pPr>
              <w:pStyle w:val="CellColumn"/>
            </w:pPr>
            <w:r>
              <w:t>Ured</w:t>
            </w:r>
          </w:p>
        </w:tc>
        <w:tc>
          <w:tcPr>
            <w:tcW w:w="1300" w:type="dxa"/>
          </w:tcPr>
          <w:p w:rsidR="00AC0832" w:rsidRDefault="00AC0832">
            <w:pPr>
              <w:pStyle w:val="CellColumn"/>
            </w:pPr>
            <w:r>
              <w:t>5</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Provođenje postupaka u kojima su primijenjena načela zelene (održive) javne nabave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Ured</w:t>
            </w:r>
          </w:p>
        </w:tc>
        <w:tc>
          <w:tcPr>
            <w:tcW w:w="1300" w:type="dxa"/>
          </w:tcPr>
          <w:p w:rsidR="00AC0832" w:rsidRDefault="00AC0832">
            <w:pPr>
              <w:pStyle w:val="CellColumn"/>
            </w:pPr>
            <w:r>
              <w:t>5</w:t>
            </w:r>
          </w:p>
        </w:tc>
        <w:tc>
          <w:tcPr>
            <w:tcW w:w="1300" w:type="dxa"/>
          </w:tcPr>
          <w:p w:rsidR="00AC0832" w:rsidRDefault="00AC0832">
            <w:pPr>
              <w:pStyle w:val="CellColumn"/>
            </w:pPr>
            <w:r>
              <w:t>3</w:t>
            </w:r>
          </w:p>
        </w:tc>
      </w:tr>
      <w:tr w:rsidR="00AC0832" w:rsidTr="00BE20ED">
        <w:trPr>
          <w:jc w:val="center"/>
        </w:trPr>
        <w:tc>
          <w:tcPr>
            <w:tcW w:w="1300" w:type="dxa"/>
          </w:tcPr>
          <w:p w:rsidR="00AC0832" w:rsidRDefault="00AC0832">
            <w:pPr>
              <w:pStyle w:val="CellColumn"/>
            </w:pPr>
            <w:r>
              <w:t>Broj certifikata iz područja javne nabave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Ured</w:t>
            </w:r>
          </w:p>
        </w:tc>
        <w:tc>
          <w:tcPr>
            <w:tcW w:w="1300" w:type="dxa"/>
          </w:tcPr>
          <w:p w:rsidR="00AC0832" w:rsidRDefault="00AC0832">
            <w:pPr>
              <w:pStyle w:val="CellColumn"/>
            </w:pPr>
            <w:r>
              <w:t>20</w:t>
            </w:r>
          </w:p>
        </w:tc>
        <w:tc>
          <w:tcPr>
            <w:tcW w:w="1300" w:type="dxa"/>
          </w:tcPr>
          <w:p w:rsidR="00AC0832" w:rsidRDefault="00AC0832">
            <w:pPr>
              <w:pStyle w:val="CellColumn"/>
            </w:pPr>
            <w:r>
              <w:t>16</w:t>
            </w:r>
          </w:p>
        </w:tc>
      </w:tr>
    </w:tbl>
    <w:p w:rsidR="00AC0832" w:rsidRDefault="00AC0832">
      <w:pPr>
        <w:jc w:val="left"/>
      </w:pPr>
    </w:p>
    <w:p w:rsidR="00AC0832" w:rsidRDefault="00AC0832">
      <w:pPr>
        <w:pStyle w:val="Heading6"/>
      </w:pPr>
      <w:r>
        <w:t>K857002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K857002-INFORMATIZACIJA</w:t>
            </w:r>
          </w:p>
        </w:tc>
        <w:tc>
          <w:tcPr>
            <w:tcW w:w="2322" w:type="dxa"/>
          </w:tcPr>
          <w:p w:rsidR="00AC0832" w:rsidRDefault="00AC0832">
            <w:pPr>
              <w:pStyle w:val="CellColumn"/>
            </w:pPr>
            <w:r>
              <w:t>200.000</w:t>
            </w:r>
          </w:p>
        </w:tc>
        <w:tc>
          <w:tcPr>
            <w:tcW w:w="2322" w:type="dxa"/>
          </w:tcPr>
          <w:p w:rsidR="00AC0832" w:rsidRDefault="00AC0832">
            <w:pPr>
              <w:pStyle w:val="CellColumn"/>
            </w:pPr>
            <w:r>
              <w:t>83.739</w:t>
            </w:r>
          </w:p>
        </w:tc>
        <w:tc>
          <w:tcPr>
            <w:tcW w:w="2322" w:type="dxa"/>
          </w:tcPr>
          <w:p w:rsidR="00AC0832" w:rsidRDefault="00AC0832">
            <w:pPr>
              <w:pStyle w:val="CellColumn"/>
            </w:pPr>
            <w:r>
              <w:t>41,9</w:t>
            </w:r>
          </w:p>
        </w:tc>
      </w:tr>
    </w:tbl>
    <w:p w:rsidR="00AC0832" w:rsidRDefault="00AC0832">
      <w:pPr>
        <w:jc w:val="left"/>
      </w:pPr>
    </w:p>
    <w:p w:rsidR="00AC0832" w:rsidRDefault="00AC0832">
      <w:pPr>
        <w:pStyle w:val="Heading1"/>
      </w:pPr>
      <w:r>
        <w:t>029 DRŽAVNI URED ZA UPRAVLJANJE DRŽAVNOM IMOVINOM</w:t>
      </w:r>
    </w:p>
    <w:p w:rsidR="00AC0832" w:rsidRDefault="00AC0832">
      <w:pPr>
        <w:pStyle w:val="Heading4"/>
      </w:pPr>
      <w:r>
        <w:t>Uvod</w:t>
      </w:r>
    </w:p>
    <w:p w:rsidR="00AC0832" w:rsidRDefault="00AC0832">
      <w:pPr>
        <w:pStyle w:val="Normal3"/>
      </w:pPr>
      <w:r>
        <w:t>Državni ured za upravljanje državnom imovinom počeo je s radom u ožujku 2012. godine provodeći zadatke koji su za njega određeni člankom 13. Zakona o izmjenama i dopunama Zakona o ustrojstvu i djelokrugu ministarstava i drugih središnjih tijela državne uprave (Narodne novine, broj 22/2012). Državni ured bio je organiziran sukladno odredbama Uredbe o unutarnjem ustrojstvu Državnog ureda za uzpravljanje državnom imovinom (Narodne novine, broj 31/2012) i Pravilnikom o unutarnjem redu Državnog ureda kao i odrednicama strateškog plana Državnog ureda za razdoblje 2012.-2015. godine.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02905-Državni ured za upravljanje državnom imovinom</w:t>
            </w:r>
          </w:p>
        </w:tc>
        <w:tc>
          <w:tcPr>
            <w:tcW w:w="2322" w:type="dxa"/>
          </w:tcPr>
          <w:p w:rsidR="00AC0832" w:rsidRDefault="00AC0832">
            <w:pPr>
              <w:pStyle w:val="CellColumn"/>
            </w:pPr>
            <w:r>
              <w:t>5.015.000</w:t>
            </w:r>
          </w:p>
        </w:tc>
        <w:tc>
          <w:tcPr>
            <w:tcW w:w="2322" w:type="dxa"/>
          </w:tcPr>
          <w:p w:rsidR="00AC0832" w:rsidRDefault="00AC0832">
            <w:pPr>
              <w:pStyle w:val="CellColumn"/>
            </w:pPr>
            <w:r>
              <w:t>1.401.418</w:t>
            </w:r>
          </w:p>
        </w:tc>
        <w:tc>
          <w:tcPr>
            <w:tcW w:w="2322" w:type="dxa"/>
          </w:tcPr>
          <w:p w:rsidR="00AC0832" w:rsidRDefault="00AC0832">
            <w:pPr>
              <w:pStyle w:val="CellColumn"/>
            </w:pPr>
            <w:r>
              <w:t>27,9</w:t>
            </w:r>
          </w:p>
        </w:tc>
      </w:tr>
      <w:tr w:rsidR="00AC0832" w:rsidTr="00BE20ED">
        <w:trPr>
          <w:jc w:val="center"/>
        </w:trPr>
        <w:tc>
          <w:tcPr>
            <w:tcW w:w="2322" w:type="dxa"/>
            <w:shd w:val="clear" w:color="auto" w:fill="B5C0D8"/>
          </w:tcPr>
          <w:p w:rsidR="00AC0832" w:rsidRDefault="00AC0832">
            <w:pPr>
              <w:pStyle w:val="CellColumn"/>
            </w:pPr>
            <w:r>
              <w:t>Ukupno 029-DRŽAVNI URED ZA UPRAVLJANJE DRŽAVNOM IMOVINOM</w:t>
            </w:r>
          </w:p>
        </w:tc>
        <w:tc>
          <w:tcPr>
            <w:tcW w:w="2322" w:type="dxa"/>
            <w:shd w:val="clear" w:color="auto" w:fill="B5C0D8"/>
          </w:tcPr>
          <w:p w:rsidR="00AC0832" w:rsidRDefault="00AC0832">
            <w:pPr>
              <w:pStyle w:val="CellColumn"/>
            </w:pPr>
            <w:r>
              <w:t>5.015.000</w:t>
            </w:r>
          </w:p>
        </w:tc>
        <w:tc>
          <w:tcPr>
            <w:tcW w:w="2322" w:type="dxa"/>
            <w:shd w:val="clear" w:color="auto" w:fill="B5C0D8"/>
          </w:tcPr>
          <w:p w:rsidR="00AC0832" w:rsidRDefault="00AC0832">
            <w:pPr>
              <w:pStyle w:val="CellColumn"/>
            </w:pPr>
            <w:r>
              <w:t>1.401.418</w:t>
            </w:r>
          </w:p>
        </w:tc>
        <w:tc>
          <w:tcPr>
            <w:tcW w:w="2322" w:type="dxa"/>
            <w:shd w:val="clear" w:color="auto" w:fill="B5C0D8"/>
          </w:tcPr>
          <w:p w:rsidR="00AC0832" w:rsidRDefault="00AC0832">
            <w:pPr>
              <w:pStyle w:val="CellColumn"/>
            </w:pPr>
            <w:r>
              <w:t>27,9</w:t>
            </w:r>
          </w:p>
        </w:tc>
      </w:tr>
    </w:tbl>
    <w:p w:rsidR="00AC0832" w:rsidRDefault="00AC0832">
      <w:pPr>
        <w:jc w:val="left"/>
      </w:pPr>
    </w:p>
    <w:p w:rsidR="00AC0832" w:rsidRDefault="00AC0832">
      <w:pPr>
        <w:pStyle w:val="Heading2"/>
      </w:pPr>
      <w:r>
        <w:t>02905 Državni ured za upravljanje državnom imovinom</w:t>
      </w:r>
    </w:p>
    <w:p w:rsidR="00AC0832" w:rsidRDefault="00AC0832">
      <w:pPr>
        <w:pStyle w:val="Heading4"/>
      </w:pPr>
      <w:r>
        <w:t>Uvod</w:t>
      </w:r>
    </w:p>
    <w:p w:rsidR="00AC0832" w:rsidRDefault="00AC0832">
      <w:pPr>
        <w:pStyle w:val="Normal3"/>
      </w:pPr>
      <w:r>
        <w:t xml:space="preserve">Osnovni zadaci Državnog ureda bili su: koordiniranje upravljanjem državnom imovinom u odnosu na središnja tijela državne uprave i druga tijela koji su imatelji, odnosno koji raspolažu državnom imovinom; koordiniranje i harmonizacija kriterija za upravljanje državnom imovinom; izrada Nacrta prijedloga strategije upravljanja državnom imovinom te izrada Prijedloga plana upravljanja državnom imovinom; izrada Izvješća o provedbi plana upravljanja državnom imovinom; Državni ured zajedno s nadležnim ministarstvima i drugim tijelima učestvuje u utvrđivanju smjernica za ostvarivanje vlasničke politike u trgovačkim društvima i drugim pravnim osobama koje su od strateškog i posebnog interesa za Republiku Hrvatsku; predlaže Vladi Republike Hrvatske donošenje odluke o utvrđivanju trgovačkih društava i drugih pravnih osoba od strateškog i posebnog interesa za Republiku Hrvatsku; daje mišljenje Vladi Republike Hrvatske o prijedlogu resornog ministra za imenovanje predstavnika vlasnika u skupštinama trgovačkih društava, predlaže kandidata za predsjednike skupština trgovačkih društava, kandidata za članove nadzornih i upravnih odbora, kandidate za članove i predsjednike uprava trgovačkih i drugih pravnih osoba od strateškog i posebnog interesa za Republiku Hrvatsku, kao i za trgovačka društva i druge pravne osobe koje su u većinskom vlasništvu Republike Hrvatske. </w:t>
      </w:r>
    </w:p>
    <w:p w:rsidR="00AC0832" w:rsidRDefault="00AC0832">
      <w:pPr>
        <w:pStyle w:val="Normal3"/>
      </w:pPr>
      <w:r>
        <w:t xml:space="preserve">Pored navedenog, zadaća Državnog ureda bla je davati prethodnu suglasnost, prethodno mišljenje i mišljenje Agenciji za upravljanje državnom imovinom na imenovanja u skupštine, nadzorne odbore i uprave trgovačkih društava koje nisu od strateškog i posebnog interesa za Republiku Hrvatsku.  </w:t>
      </w:r>
    </w:p>
    <w:p w:rsidR="00AC0832" w:rsidRDefault="00AC0832">
      <w:pPr>
        <w:pStyle w:val="Normal3"/>
      </w:pPr>
      <w:r>
        <w:t xml:space="preserve">Također, Državni ured davao je mišljenje i suglasnosti i na predložene planove restrukturiranja trgovačkih društava s poteškoćama koja su u državnom vlasništvu te na stjecanje dionica, udjela i nekretnina u državnom vlasništvu; </w:t>
      </w:r>
    </w:p>
    <w:p w:rsidR="00AC0832" w:rsidRDefault="00AC0832">
      <w:pPr>
        <w:pStyle w:val="Normal3"/>
      </w:pPr>
      <w:r>
        <w:t>Državni ured imao je zadaću obavljati nadzor korištenja i upravljanja državnom imovinom u smislu zakona kojim se određuje upravljanje državnom imovinom , a u obavezi je obavljati i druge poslove koji su mu stavljeni u nadležnost odredbama posebnih zakona.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02905-Državni ured za upravljanje državnom imovinom</w:t>
            </w:r>
          </w:p>
        </w:tc>
        <w:tc>
          <w:tcPr>
            <w:tcW w:w="2322" w:type="dxa"/>
          </w:tcPr>
          <w:p w:rsidR="00AC0832" w:rsidRDefault="00AC0832">
            <w:pPr>
              <w:pStyle w:val="CellColumn"/>
            </w:pPr>
            <w:r>
              <w:t>5.015.000</w:t>
            </w:r>
          </w:p>
        </w:tc>
        <w:tc>
          <w:tcPr>
            <w:tcW w:w="2322" w:type="dxa"/>
          </w:tcPr>
          <w:p w:rsidR="00AC0832" w:rsidRDefault="00AC0832">
            <w:pPr>
              <w:pStyle w:val="CellColumn"/>
            </w:pPr>
            <w:r>
              <w:t>1.401.418</w:t>
            </w:r>
          </w:p>
        </w:tc>
        <w:tc>
          <w:tcPr>
            <w:tcW w:w="2322" w:type="dxa"/>
          </w:tcPr>
          <w:p w:rsidR="00AC0832" w:rsidRDefault="00AC0832">
            <w:pPr>
              <w:pStyle w:val="CellColumn"/>
            </w:pPr>
            <w:r>
              <w:t>27,9</w:t>
            </w:r>
          </w:p>
        </w:tc>
      </w:tr>
      <w:tr w:rsidR="00AC0832" w:rsidTr="00BE20ED">
        <w:trPr>
          <w:jc w:val="center"/>
        </w:trPr>
        <w:tc>
          <w:tcPr>
            <w:tcW w:w="2322" w:type="dxa"/>
          </w:tcPr>
          <w:p w:rsidR="00AC0832" w:rsidRDefault="00AC0832">
            <w:pPr>
              <w:pStyle w:val="CellColumnSmall"/>
            </w:pPr>
            <w:r>
              <w:t>2412-UPRAVLJANJE I KONTROLA DRŽAVNOM IMOVINOM</w:t>
            </w:r>
          </w:p>
        </w:tc>
        <w:tc>
          <w:tcPr>
            <w:tcW w:w="2322" w:type="dxa"/>
          </w:tcPr>
          <w:p w:rsidR="00AC0832" w:rsidRDefault="00AC0832">
            <w:pPr>
              <w:pStyle w:val="CellColumnSmall"/>
            </w:pPr>
            <w:r>
              <w:t>5.015.000</w:t>
            </w:r>
          </w:p>
        </w:tc>
        <w:tc>
          <w:tcPr>
            <w:tcW w:w="2322" w:type="dxa"/>
          </w:tcPr>
          <w:p w:rsidR="00AC0832" w:rsidRDefault="00AC0832">
            <w:pPr>
              <w:pStyle w:val="CellColumnSmall"/>
            </w:pPr>
            <w:r>
              <w:t>1.401.418</w:t>
            </w:r>
          </w:p>
        </w:tc>
        <w:tc>
          <w:tcPr>
            <w:tcW w:w="2322" w:type="dxa"/>
          </w:tcPr>
          <w:p w:rsidR="00AC0832" w:rsidRDefault="00AC0832">
            <w:pPr>
              <w:pStyle w:val="CellColumnSmall"/>
            </w:pPr>
            <w:r>
              <w:t>27,9</w:t>
            </w:r>
          </w:p>
        </w:tc>
      </w:tr>
    </w:tbl>
    <w:p w:rsidR="00AC0832" w:rsidRDefault="00AC0832">
      <w:pPr>
        <w:jc w:val="left"/>
      </w:pPr>
    </w:p>
    <w:p w:rsidR="00AC0832" w:rsidRDefault="00AC0832">
      <w:pPr>
        <w:pStyle w:val="Heading4"/>
      </w:pPr>
      <w:r>
        <w:t>OBRAZLOŽENJE PROGRAMA</w:t>
      </w:r>
    </w:p>
    <w:p w:rsidR="00AC0832" w:rsidRDefault="00AC0832">
      <w:pPr>
        <w:pStyle w:val="Heading5"/>
      </w:pPr>
      <w:r>
        <w:t>2412 UPRAVLJANJE I KONTROLA DRŽAVNOM IMOVINOM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2412-UPRAVLJANJE I KONTROLA DRŽAVNOM IMOVINOM</w:t>
            </w:r>
          </w:p>
        </w:tc>
        <w:tc>
          <w:tcPr>
            <w:tcW w:w="2322" w:type="dxa"/>
          </w:tcPr>
          <w:p w:rsidR="00AC0832" w:rsidRDefault="00AC0832">
            <w:pPr>
              <w:pStyle w:val="CellColumn"/>
            </w:pPr>
            <w:r>
              <w:t>5.015.000</w:t>
            </w:r>
          </w:p>
        </w:tc>
        <w:tc>
          <w:tcPr>
            <w:tcW w:w="2322" w:type="dxa"/>
          </w:tcPr>
          <w:p w:rsidR="00AC0832" w:rsidRDefault="00AC0832">
            <w:pPr>
              <w:pStyle w:val="CellColumn"/>
            </w:pPr>
            <w:r>
              <w:t>1.401.418</w:t>
            </w:r>
          </w:p>
        </w:tc>
        <w:tc>
          <w:tcPr>
            <w:tcW w:w="2322" w:type="dxa"/>
          </w:tcPr>
          <w:p w:rsidR="00AC0832" w:rsidRDefault="00AC0832">
            <w:pPr>
              <w:pStyle w:val="CellColumn"/>
            </w:pPr>
            <w:r>
              <w:t>27,9</w:t>
            </w:r>
          </w:p>
        </w:tc>
      </w:tr>
    </w:tbl>
    <w:p w:rsidR="00AC0832" w:rsidRDefault="00AC0832">
      <w:pPr>
        <w:jc w:val="left"/>
      </w:pPr>
    </w:p>
    <w:p w:rsidR="00AC0832" w:rsidRDefault="00AC0832">
      <w:pPr>
        <w:pStyle w:val="Heading6"/>
      </w:pPr>
      <w:r>
        <w:t>Opis programa</w:t>
      </w:r>
    </w:p>
    <w:p w:rsidR="00AC0832" w:rsidRDefault="00AC0832">
      <w:pPr>
        <w:pStyle w:val="Normal5"/>
      </w:pPr>
      <w:r>
        <w:t xml:space="preserve">Efikasno upravljanje i raspolaganje državnom imovinom pretpostavlja učinkovitu državnu upravu i pronalaženje optimalnih rješenja koja će s jedne strane povećati odgovorno i racionalno upravljanje državnom imovinom, a time i državnim i javnim poduzećima, te tako generirati gospodarski rast, dok će s druge strane fizički, ekonomski i pravno štititi državnu imovinu. </w:t>
      </w:r>
    </w:p>
    <w:p w:rsidR="00AC0832" w:rsidRDefault="00AC0832">
      <w:pPr>
        <w:pStyle w:val="Normal5"/>
      </w:pPr>
      <w:r>
        <w:t xml:space="preserve">Ideja osnivanja Državnog ureda bila je objediniti, sinkronizirati i koordinirati upravljanje i raspolaganje ukupnom državnom imovinom što predstavlja kompleksan skup interakcija različitih subjekata s glavnim ciljem postizanja cjelovitog ekonomski efikasnog, transparentnog i društveno korisnog sustava. </w:t>
      </w:r>
    </w:p>
    <w:p w:rsidR="00AC0832" w:rsidRDefault="00AC0832">
      <w:pPr>
        <w:pStyle w:val="Normal5"/>
      </w:pPr>
      <w:r>
        <w:t xml:space="preserve">Državni ured organizaciono je postavljen kroz sljedeće ustrojstvene jedince: Kabinet predstojnika državnog ureda, Sektor za strategiju i plan upravljanja državnom imovinom, Samostalna služba za koordinaciju korporativnog upravljanja; Samostalna služba za nadzor korištenja i upravljanja državnom imovinom te Glavno tajništvo. </w:t>
      </w:r>
    </w:p>
    <w:p w:rsidR="00AC0832" w:rsidRDefault="00AC0832">
      <w:pPr>
        <w:pStyle w:val="Normal5"/>
      </w:pPr>
      <w:r>
        <w:t>Radom Državnog ureda upravlja Predstojnik kojeg imenuje Vlada Republike Hrvatske na prijedlog Predsjednika Vlade Republike Hrvatske. Predstojnik je za svoj rad odgovoran Predsjedniku Vlade Republike Hrvatske i Vladi Republike Hrvatske, a poslove i zadatke iz djelokruga Državnog ureda ovisno o vrsti, složenosti, stručnoj spremi i drugim uvjetima obavljaju službenici i namještenici, raspoređeni na radna mjesta sukladno propisima.</w:t>
      </w:r>
    </w:p>
    <w:p w:rsidR="00AC0832" w:rsidRDefault="00AC0832">
      <w:pPr>
        <w:pStyle w:val="Heading6"/>
      </w:pPr>
      <w:r>
        <w:t>Zakonske i druge pravne osnove</w:t>
      </w:r>
    </w:p>
    <w:p w:rsidR="00AC0832" w:rsidRDefault="00AC0832">
      <w:pPr>
        <w:pStyle w:val="Normal5"/>
      </w:pPr>
      <w:r>
        <w:t xml:space="preserve">Zakon o ustrojstvu i djelokrugu ministarstava i drugih središnjih tijela državne uprave (Narodne novine broj 150/2011); </w:t>
      </w:r>
    </w:p>
    <w:p w:rsidR="00AC0832" w:rsidRDefault="00AC0832">
      <w:pPr>
        <w:pStyle w:val="Normal5"/>
      </w:pPr>
      <w:r>
        <w:t xml:space="preserve">Zakon o izmjenama i dopunama Zakona o ustrojstvu i djelokrugu ministarstava i drugih središnjih tijela državne uprave (Narodne novine broj 22/2012); </w:t>
      </w:r>
    </w:p>
    <w:p w:rsidR="00AC0832" w:rsidRDefault="00AC0832">
      <w:pPr>
        <w:pStyle w:val="Normal5"/>
      </w:pPr>
      <w:r>
        <w:t xml:space="preserve">Zakon o upravljanju državnom imovinom; </w:t>
      </w:r>
    </w:p>
    <w:p w:rsidR="00AC0832" w:rsidRDefault="00AC0832">
      <w:pPr>
        <w:pStyle w:val="Normal5"/>
      </w:pPr>
      <w:r>
        <w:t xml:space="preserve">Zakon o šumama; </w:t>
      </w:r>
    </w:p>
    <w:p w:rsidR="00AC0832" w:rsidRDefault="00AC0832">
      <w:pPr>
        <w:pStyle w:val="Normal5"/>
      </w:pPr>
      <w:r>
        <w:t xml:space="preserve">Zakon o vodama; </w:t>
      </w:r>
    </w:p>
    <w:p w:rsidR="00AC0832" w:rsidRDefault="00AC0832">
      <w:pPr>
        <w:pStyle w:val="Normal5"/>
      </w:pPr>
      <w:r>
        <w:t xml:space="preserve">Zakon o poljoprivrednom zemljištu; </w:t>
      </w:r>
    </w:p>
    <w:p w:rsidR="00AC0832" w:rsidRDefault="00AC0832">
      <w:pPr>
        <w:pStyle w:val="Normal5"/>
      </w:pPr>
      <w:r>
        <w:t xml:space="preserve">Zakon o cestama; </w:t>
      </w:r>
    </w:p>
    <w:p w:rsidR="00AC0832" w:rsidRDefault="00AC0832">
      <w:pPr>
        <w:pStyle w:val="Normal5"/>
      </w:pPr>
      <w:r>
        <w:t xml:space="preserve">Zakon o željeznicama; </w:t>
      </w:r>
    </w:p>
    <w:p w:rsidR="00AC0832" w:rsidRDefault="00AC0832">
      <w:pPr>
        <w:pStyle w:val="Normal5"/>
      </w:pPr>
      <w:r>
        <w:t xml:space="preserve">Zakon o prostornom uređenju i gradnji; </w:t>
      </w:r>
    </w:p>
    <w:p w:rsidR="00AC0832" w:rsidRDefault="00AC0832">
      <w:pPr>
        <w:pStyle w:val="Normal5"/>
      </w:pPr>
      <w:r>
        <w:t xml:space="preserve">Zakon o Vladi RH; </w:t>
      </w:r>
    </w:p>
    <w:p w:rsidR="00AC0832" w:rsidRDefault="00AC0832">
      <w:pPr>
        <w:pStyle w:val="Normal5"/>
      </w:pPr>
      <w:r>
        <w:t xml:space="preserve">Zakon o komunalnom gospodarstvu; </w:t>
      </w:r>
    </w:p>
    <w:p w:rsidR="00AC0832" w:rsidRDefault="00AC0832">
      <w:pPr>
        <w:pStyle w:val="Normal5"/>
      </w:pPr>
      <w:r>
        <w:t xml:space="preserve">Zakon o vlasništvu i drugim stvarnim pravima; </w:t>
      </w:r>
    </w:p>
    <w:p w:rsidR="00AC0832" w:rsidRDefault="00AC0832">
      <w:pPr>
        <w:pStyle w:val="Normal5"/>
      </w:pPr>
      <w:r>
        <w:t xml:space="preserve">Uredba o registru državne imovine; </w:t>
      </w:r>
    </w:p>
    <w:p w:rsidR="00AC0832" w:rsidRDefault="00AC0832">
      <w:pPr>
        <w:pStyle w:val="Normal5"/>
      </w:pPr>
      <w:r>
        <w:t xml:space="preserve">Uredba o raspolaganju nekretninama u vlasništvu RH; </w:t>
      </w:r>
    </w:p>
    <w:p w:rsidR="00AC0832" w:rsidRDefault="00AC0832">
      <w:pPr>
        <w:pStyle w:val="Normal5"/>
      </w:pPr>
      <w:r>
        <w:t xml:space="preserve">Uredba o osnivanju prava građenja i prava služnosti na nekretninama u vlasništvu RH; </w:t>
      </w:r>
    </w:p>
    <w:p w:rsidR="00AC0832" w:rsidRDefault="00AC0832">
      <w:pPr>
        <w:pStyle w:val="Normal5"/>
      </w:pPr>
      <w:r>
        <w:t xml:space="preserve">Uredba o darovanju nekretnina u vlasništvu RH; </w:t>
      </w:r>
    </w:p>
    <w:p w:rsidR="00AC0832" w:rsidRDefault="00AC0832">
      <w:pPr>
        <w:pStyle w:val="Normal5"/>
      </w:pPr>
      <w:r>
        <w:t xml:space="preserve">Odluka o prodaji stanova u vlasništvu RH; </w:t>
      </w:r>
    </w:p>
    <w:p w:rsidR="00AC0832" w:rsidRDefault="00AC0832">
      <w:pPr>
        <w:pStyle w:val="Normal5"/>
      </w:pPr>
      <w:r>
        <w:t xml:space="preserve">Odluka o prodaji stanova u vlasništvu RH kojima upravlja MORH; </w:t>
      </w:r>
    </w:p>
    <w:p w:rsidR="00AC0832" w:rsidRDefault="00AC0832">
      <w:pPr>
        <w:pStyle w:val="Normal5"/>
      </w:pPr>
      <w:r>
        <w:t xml:space="preserve">Odluka o davanju ovlasti za pravni promet i posredovanje nekretnina za raspolaganje nekretninama u vlasništvu RH; </w:t>
      </w:r>
    </w:p>
    <w:p w:rsidR="00AC0832" w:rsidRDefault="00AC0832">
      <w:pPr>
        <w:pStyle w:val="Normal5"/>
      </w:pPr>
      <w:r>
        <w:t>Uredba o unutarnjem ustrojstvu državnog ureda za upravljanje državnom imovinom (Narodne novine broj 31/2012);</w:t>
      </w:r>
    </w:p>
    <w:p w:rsidR="00AC0832" w:rsidRDefault="00AC0832">
      <w:pPr>
        <w:pStyle w:val="Heading7"/>
      </w:pPr>
      <w:r>
        <w:t>Cilj 1. Koordinacija i harmonizacija sustava, izrada strategije, plana i godišnjih izvješća</w:t>
      </w:r>
    </w:p>
    <w:p w:rsidR="00AC0832" w:rsidRDefault="00AC0832">
      <w:pPr>
        <w:pStyle w:val="Heading8"/>
        <w:jc w:val="left"/>
      </w:pPr>
      <w:r>
        <w:t>Opis provedbe cilja programa</w:t>
      </w:r>
    </w:p>
    <w:p w:rsidR="00AC0832" w:rsidRDefault="00AC0832">
      <w:pPr>
        <w:pStyle w:val="Normal6"/>
      </w:pPr>
      <w:r>
        <w:t>Izrada strateškog plana upravljanja državnom imovinom nastojala se usklađivati s planovima i strategijama resornih ministarstava, jedinica lokalne i regionalne samouprave i drugih tijela, a kojim će se kroz privatizaciju državne imovine, putem tržišta kapitala koristiti kao dominantnu metodu privatizacije javnih poduzeća, omogućiti izlazak s tržišta besperspektivnim poduzećima uz primjereno zbrinjavanje kroz institucije, tržište rada i socijalnu politiku, dovršetak privatizacije trgovačkih društava iz državnog portfelja te aktiviranje nekretnina u državnom vlasništvu i njihovo stavljanje u funkciju gospodarskog razvoja.</w:t>
      </w:r>
    </w:p>
    <w:p w:rsidR="00AC0832" w:rsidRDefault="00AC0832">
      <w:pPr>
        <w:pStyle w:val="Heading7"/>
      </w:pPr>
      <w:r>
        <w:t>Cilj 2. Izrada središnjeg registra državne imovine i obveza</w:t>
      </w:r>
    </w:p>
    <w:p w:rsidR="00AC0832" w:rsidRDefault="00AC0832">
      <w:pPr>
        <w:pStyle w:val="Heading8"/>
        <w:jc w:val="left"/>
      </w:pPr>
      <w:r>
        <w:t>Opis provedbe cilja programa</w:t>
      </w:r>
    </w:p>
    <w:p w:rsidR="00AC0832" w:rsidRDefault="00AC0832">
      <w:pPr>
        <w:pStyle w:val="Normal6"/>
      </w:pPr>
      <w:r>
        <w:t xml:space="preserve">Registar, kao centralizirani popis imovine, nastojao se osposobiti da prihvati i poveže registre koncesija, kulturnih dobara i ostalog i osigurati da se obveze po registru izvršavaju za poljoprivredno, šumsko i vodno dobro.   </w:t>
      </w:r>
    </w:p>
    <w:p w:rsidR="00AC0832" w:rsidRDefault="00AC0832">
      <w:pPr>
        <w:pStyle w:val="Normal6"/>
      </w:pPr>
      <w:r>
        <w:t>Ovaj registar mora biti usklađen s Glavnom knjigom Državne riznice i Planom informatičkog povezivana APIS-a.</w:t>
      </w:r>
    </w:p>
    <w:p w:rsidR="00AC0832" w:rsidRDefault="00AC0832">
      <w:pPr>
        <w:pStyle w:val="Heading7"/>
      </w:pPr>
      <w:r>
        <w:t>Cilj 3. Upravljanje udjelima u poduzećima koja su odlukom Hrvatskog sabora određene kao strateški bitne</w:t>
      </w:r>
    </w:p>
    <w:p w:rsidR="00AC0832" w:rsidRDefault="00AC0832">
      <w:pPr>
        <w:pStyle w:val="Heading8"/>
        <w:jc w:val="left"/>
      </w:pPr>
      <w:r>
        <w:t>Opis provedbe cilja programa</w:t>
      </w:r>
    </w:p>
    <w:p w:rsidR="00AC0832" w:rsidRDefault="00AC0832">
      <w:pPr>
        <w:pStyle w:val="Normal6"/>
      </w:pPr>
      <w:r>
        <w:t xml:space="preserve">Analizirati i prema potrebi dopuniti odluku o popisu trgovačkih društava od posebnog državnog interesa te sa postojećih 69 trgovačkih društava smanjiti na 52 trgovačka društva s tim da se trgovačka društva od strateškog interesa s monopolskim tržišnim položajem sačuvaju za buduće generacije, da se društva od strateškog značenja razviju, dokapitaliziraju i osposobe za listing.   </w:t>
      </w:r>
    </w:p>
    <w:p w:rsidR="00AC0832" w:rsidRDefault="00AC0832">
      <w:pPr>
        <w:pStyle w:val="Normal6"/>
      </w:pPr>
      <w:r>
        <w:t>Prema njima moguća je privatizacija ili prodaja po posebnoj odluci; poduzeća koja su u potpunosti izložena tržišnoj utakmici razviti kroz tržište kapitala i osigurati punjenje proračuna, a država će u njima biti manjinski partner; trgovačka društva u vlasništvu RH dana na upravljanje putem koncesija.</w:t>
      </w:r>
    </w:p>
    <w:p w:rsidR="00AC0832" w:rsidRDefault="00AC0832">
      <w:pPr>
        <w:pStyle w:val="Heading6"/>
      </w:pPr>
      <w:r>
        <w:t>A861001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A861001-ADMINISTRACIJA I UPRAVLJANJE</w:t>
            </w:r>
          </w:p>
        </w:tc>
        <w:tc>
          <w:tcPr>
            <w:tcW w:w="2322" w:type="dxa"/>
          </w:tcPr>
          <w:p w:rsidR="00AC0832" w:rsidRDefault="00AC0832">
            <w:pPr>
              <w:pStyle w:val="CellColumn"/>
            </w:pPr>
            <w:r>
              <w:t>4.532.000</w:t>
            </w:r>
          </w:p>
        </w:tc>
        <w:tc>
          <w:tcPr>
            <w:tcW w:w="2322" w:type="dxa"/>
          </w:tcPr>
          <w:p w:rsidR="00AC0832" w:rsidRDefault="00AC0832">
            <w:pPr>
              <w:pStyle w:val="CellColumn"/>
            </w:pPr>
            <w:r>
              <w:t>1.327.366</w:t>
            </w:r>
          </w:p>
        </w:tc>
        <w:tc>
          <w:tcPr>
            <w:tcW w:w="2322" w:type="dxa"/>
          </w:tcPr>
          <w:p w:rsidR="00AC0832" w:rsidRDefault="00AC0832">
            <w:pPr>
              <w:pStyle w:val="CellColumn"/>
            </w:pPr>
            <w:r>
              <w:t>29,3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ustrojstvenim jedinicama Državnog ureda planirano je zaposliti, sukladno Uredbi Vlade o unutarnjem ustrojstvu državnog ureda, pored sada zaposlenih 7 državnih službenika i namještenika još 42 državna službenika i namještenika i to u Sektoru za strategiju i plan upravljanja državnom imovinom 13, u Samostalnoj službi za koordinaciju korporativnog upravljanja 8, Samostalnoj službi za nadzor korištenja i upravljanja državnom imovinom 8 i Glavnom tajništvu 10 državnih službenika i namještenika. </w:t>
      </w:r>
    </w:p>
    <w:p w:rsidR="00AC0832" w:rsidRDefault="00AC0832">
      <w:pPr>
        <w:pStyle w:val="Normal6"/>
      </w:pPr>
      <w:r>
        <w:t>Međutim, zbog neriješenog smještaja u 2012. godini bilo je zaposleno samo 7 državnih službenika koji su obavljali poslove u Kabinetu Predstojnika ureda te poslove davanja suglasnosti na ugovore o kupoprodaju i darovanju nekretnina za potrebe Ministarstva obrane, Ministarstva branitelja, Ministarstva regoinalnog razvoja te davali suglasnost na imenovanja 620 članova nadzornih odbora i uprava u više od 200 trgovačkih društava od posebnog interesa za Republiku Hrvatsku te više od 760 članova nadzornih i upravnih odbora, upravnih vijeća, direktora ili ravnatelja u 260 trgovačkih društava u većinskom vlasništvu Republike Hrvatske.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1706"/>
        <w:gridCol w:w="1195"/>
        <w:gridCol w:w="1231"/>
        <w:gridCol w:w="1222"/>
        <w:gridCol w:w="1231"/>
        <w:gridCol w:w="125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Zapošljavanje 49</w:t>
            </w:r>
          </w:p>
        </w:tc>
        <w:tc>
          <w:tcPr>
            <w:tcW w:w="1300" w:type="dxa"/>
          </w:tcPr>
          <w:p w:rsidR="00AC0832" w:rsidRDefault="00AC0832">
            <w:pPr>
              <w:pStyle w:val="CellColumn"/>
            </w:pPr>
            <w:r>
              <w:t>broj stalnozaposlenih državnih službenika</w:t>
            </w:r>
          </w:p>
        </w:tc>
        <w:tc>
          <w:tcPr>
            <w:tcW w:w="1300" w:type="dxa"/>
          </w:tcPr>
          <w:p w:rsidR="00AC0832" w:rsidRDefault="00AC0832">
            <w:pPr>
              <w:pStyle w:val="CellColumn"/>
            </w:pPr>
            <w:r>
              <w:t>broj</w:t>
            </w:r>
          </w:p>
        </w:tc>
        <w:tc>
          <w:tcPr>
            <w:tcW w:w="1300" w:type="dxa"/>
          </w:tcPr>
          <w:p w:rsidR="00AC0832" w:rsidRDefault="00AC0832">
            <w:pPr>
              <w:pStyle w:val="CellColumn"/>
            </w:pPr>
            <w:r>
              <w:t>7</w:t>
            </w:r>
          </w:p>
        </w:tc>
        <w:tc>
          <w:tcPr>
            <w:tcW w:w="1300" w:type="dxa"/>
          </w:tcPr>
          <w:p w:rsidR="00AC0832" w:rsidRDefault="00AC0832">
            <w:pPr>
              <w:pStyle w:val="CellColumn"/>
            </w:pPr>
            <w:r>
              <w:t>tajništvo</w:t>
            </w:r>
          </w:p>
        </w:tc>
        <w:tc>
          <w:tcPr>
            <w:tcW w:w="1300" w:type="dxa"/>
          </w:tcPr>
          <w:p w:rsidR="00AC0832" w:rsidRDefault="00AC0832">
            <w:pPr>
              <w:pStyle w:val="CellColumn"/>
            </w:pPr>
            <w:r>
              <w:t>49</w:t>
            </w:r>
          </w:p>
        </w:tc>
        <w:tc>
          <w:tcPr>
            <w:tcW w:w="1300" w:type="dxa"/>
          </w:tcPr>
          <w:p w:rsidR="00AC0832" w:rsidRDefault="00AC0832">
            <w:pPr>
              <w:pStyle w:val="CellColumn"/>
            </w:pPr>
            <w:r>
              <w:t>7</w:t>
            </w:r>
          </w:p>
        </w:tc>
      </w:tr>
    </w:tbl>
    <w:p w:rsidR="00AC0832" w:rsidRDefault="00AC0832">
      <w:pPr>
        <w:jc w:val="left"/>
      </w:pPr>
    </w:p>
    <w:p w:rsidR="00AC0832" w:rsidRDefault="00AC0832">
      <w:pPr>
        <w:pStyle w:val="Heading6"/>
      </w:pPr>
      <w:r>
        <w:t>K861006 OPREMANJE UREDA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K861006-OPREMANJE UREDA</w:t>
            </w:r>
          </w:p>
        </w:tc>
        <w:tc>
          <w:tcPr>
            <w:tcW w:w="2322" w:type="dxa"/>
          </w:tcPr>
          <w:p w:rsidR="00AC0832" w:rsidRDefault="00AC0832">
            <w:pPr>
              <w:pStyle w:val="CellColumn"/>
            </w:pPr>
            <w:r>
              <w:t>333.000</w:t>
            </w:r>
          </w:p>
        </w:tc>
        <w:tc>
          <w:tcPr>
            <w:tcW w:w="2322" w:type="dxa"/>
          </w:tcPr>
          <w:p w:rsidR="00AC0832" w:rsidRDefault="00AC0832">
            <w:pPr>
              <w:pStyle w:val="CellColumn"/>
            </w:pPr>
            <w:r>
              <w:t>44.277</w:t>
            </w:r>
          </w:p>
        </w:tc>
        <w:tc>
          <w:tcPr>
            <w:tcW w:w="2322" w:type="dxa"/>
          </w:tcPr>
          <w:p w:rsidR="00AC0832" w:rsidRDefault="00AC0832">
            <w:pPr>
              <w:pStyle w:val="CellColumn"/>
            </w:pPr>
            <w:r>
              <w:t>13,3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Zbog nerješenog smještaja Državnog ureda tijekom promatranog razdobljna nije nabavljan namještaj i komunikacijska oprema, a od uredske opreme nabavljeni su kompjuteri, pisači i kopirni aparati.</w:t>
      </w:r>
    </w:p>
    <w:p w:rsidR="00AC0832" w:rsidRDefault="00AC0832">
      <w:pPr>
        <w:pStyle w:val="Heading6"/>
      </w:pPr>
      <w:r>
        <w:t>K861007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K861007-INFORMATIZACIJA</w:t>
            </w:r>
          </w:p>
        </w:tc>
        <w:tc>
          <w:tcPr>
            <w:tcW w:w="2322" w:type="dxa"/>
          </w:tcPr>
          <w:p w:rsidR="00AC0832" w:rsidRDefault="00AC0832">
            <w:pPr>
              <w:pStyle w:val="CellColumn"/>
            </w:pPr>
            <w:r>
              <w:t>150.000</w:t>
            </w:r>
          </w:p>
        </w:tc>
        <w:tc>
          <w:tcPr>
            <w:tcW w:w="2322" w:type="dxa"/>
          </w:tcPr>
          <w:p w:rsidR="00AC0832" w:rsidRDefault="00AC0832">
            <w:pPr>
              <w:pStyle w:val="CellColumn"/>
            </w:pPr>
            <w:r>
              <w:t>29.775</w:t>
            </w:r>
          </w:p>
        </w:tc>
        <w:tc>
          <w:tcPr>
            <w:tcW w:w="2322" w:type="dxa"/>
          </w:tcPr>
          <w:p w:rsidR="00AC0832" w:rsidRDefault="00AC0832">
            <w:pPr>
              <w:pStyle w:val="CellColumn"/>
            </w:pPr>
            <w:r>
              <w:t>19,8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Otvaranje web stranice i nabava računovodstvenog programa za obračun plaće i knjigovodstvo.</w:t>
      </w:r>
    </w:p>
    <w:p w:rsidR="00AC0832" w:rsidRDefault="00AC0832">
      <w:pPr>
        <w:pStyle w:val="Heading1"/>
      </w:pPr>
      <w:r>
        <w:t>030 MINISTARSTVO OBRANE</w:t>
      </w:r>
    </w:p>
    <w:p w:rsidR="00AC0832" w:rsidRDefault="00AC0832">
      <w:pPr>
        <w:pStyle w:val="Heading4"/>
      </w:pPr>
      <w:r>
        <w:t>Uvod</w:t>
      </w:r>
    </w:p>
    <w:p w:rsidR="00AC0832" w:rsidRDefault="00AC0832">
      <w:pPr>
        <w:pStyle w:val="Normal3"/>
      </w:pPr>
      <w:r>
        <w:t>Ministarstvo obrane obavlja upravne i druge poslove koji se odnose na planiranje i razvoj sustava nacionalne i kolektivne obrane, te osigurava referentni okvir za planiranje vojnih sposobnosti. U sklopu Ministarstva ustrojen je Glavni stožer Oružanih snaga Republike Hrvatske (GS OS RH) kao združeno tijelo OS za zapovijedanje, pripremu i uporabu OS RH. Kao članica NATO saveza Republika Hrvatska ispunjava partnerske obveze koje iz toga proizlaze. Sukladno strateškoj odluci RH o ulasku u Europsku uniju (EU), Ministarstvo obrane uključuje se u sigurnosnu i obrambenu dimenziju EU-a, te u skladu s tim razvija svoje upravne i vojne sposobnosti.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03005-Ministarstvo obrane</w:t>
            </w:r>
          </w:p>
        </w:tc>
        <w:tc>
          <w:tcPr>
            <w:tcW w:w="2322" w:type="dxa"/>
          </w:tcPr>
          <w:p w:rsidR="00AC0832" w:rsidRDefault="00AC0832">
            <w:pPr>
              <w:pStyle w:val="CellColumn"/>
            </w:pPr>
            <w:r>
              <w:t>4.807.874.160</w:t>
            </w:r>
          </w:p>
        </w:tc>
        <w:tc>
          <w:tcPr>
            <w:tcW w:w="2322" w:type="dxa"/>
          </w:tcPr>
          <w:p w:rsidR="00AC0832" w:rsidRDefault="00AC0832">
            <w:pPr>
              <w:pStyle w:val="CellColumn"/>
            </w:pPr>
            <w:r>
              <w:t>4.808.836.264</w:t>
            </w:r>
          </w:p>
        </w:tc>
        <w:tc>
          <w:tcPr>
            <w:tcW w:w="2322" w:type="dxa"/>
          </w:tcPr>
          <w:p w:rsidR="00AC0832" w:rsidRDefault="00AC0832">
            <w:pPr>
              <w:pStyle w:val="CellColumn"/>
            </w:pPr>
            <w:r>
              <w:t>100,0</w:t>
            </w:r>
          </w:p>
        </w:tc>
      </w:tr>
      <w:tr w:rsidR="00AC0832" w:rsidTr="00BE20ED">
        <w:trPr>
          <w:jc w:val="center"/>
        </w:trPr>
        <w:tc>
          <w:tcPr>
            <w:tcW w:w="2322" w:type="dxa"/>
            <w:shd w:val="clear" w:color="auto" w:fill="B5C0D8"/>
          </w:tcPr>
          <w:p w:rsidR="00AC0832" w:rsidRDefault="00AC0832">
            <w:pPr>
              <w:pStyle w:val="CellColumn"/>
            </w:pPr>
            <w:r>
              <w:t>Ukupno 030-MINISTARSTVO OBRANE</w:t>
            </w:r>
          </w:p>
        </w:tc>
        <w:tc>
          <w:tcPr>
            <w:tcW w:w="2322" w:type="dxa"/>
            <w:shd w:val="clear" w:color="auto" w:fill="B5C0D8"/>
          </w:tcPr>
          <w:p w:rsidR="00AC0832" w:rsidRDefault="00AC0832">
            <w:pPr>
              <w:pStyle w:val="CellColumn"/>
            </w:pPr>
            <w:r>
              <w:t>4.807.874.160</w:t>
            </w:r>
          </w:p>
        </w:tc>
        <w:tc>
          <w:tcPr>
            <w:tcW w:w="2322" w:type="dxa"/>
            <w:shd w:val="clear" w:color="auto" w:fill="B5C0D8"/>
          </w:tcPr>
          <w:p w:rsidR="00AC0832" w:rsidRDefault="00AC0832">
            <w:pPr>
              <w:pStyle w:val="CellColumn"/>
            </w:pPr>
            <w:r>
              <w:t>4.808.836.264</w:t>
            </w:r>
          </w:p>
        </w:tc>
        <w:tc>
          <w:tcPr>
            <w:tcW w:w="2322" w:type="dxa"/>
            <w:shd w:val="clear" w:color="auto" w:fill="B5C0D8"/>
          </w:tcPr>
          <w:p w:rsidR="00AC0832" w:rsidRDefault="00AC0832">
            <w:pPr>
              <w:pStyle w:val="CellColumn"/>
            </w:pPr>
            <w:r>
              <w:t>100,0</w:t>
            </w:r>
          </w:p>
        </w:tc>
      </w:tr>
    </w:tbl>
    <w:p w:rsidR="00AC0832" w:rsidRDefault="00AC0832">
      <w:pPr>
        <w:jc w:val="left"/>
      </w:pPr>
    </w:p>
    <w:p w:rsidR="00AC0832" w:rsidRDefault="00AC0832">
      <w:pPr>
        <w:pStyle w:val="Heading2"/>
      </w:pPr>
      <w:r>
        <w:t>03005 Ministarstvo obrane</w:t>
      </w:r>
    </w:p>
    <w:p w:rsidR="00AC0832" w:rsidRDefault="00AC0832">
      <w:pPr>
        <w:pStyle w:val="Heading4"/>
      </w:pPr>
      <w:r>
        <w:t>Uvod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03005-Ministarstvo obrane</w:t>
            </w:r>
          </w:p>
        </w:tc>
        <w:tc>
          <w:tcPr>
            <w:tcW w:w="2322" w:type="dxa"/>
          </w:tcPr>
          <w:p w:rsidR="00AC0832" w:rsidRDefault="00AC0832">
            <w:pPr>
              <w:pStyle w:val="CellColumn"/>
            </w:pPr>
            <w:r>
              <w:t>4.807.874.160</w:t>
            </w:r>
          </w:p>
        </w:tc>
        <w:tc>
          <w:tcPr>
            <w:tcW w:w="2322" w:type="dxa"/>
          </w:tcPr>
          <w:p w:rsidR="00AC0832" w:rsidRDefault="00AC0832">
            <w:pPr>
              <w:pStyle w:val="CellColumn"/>
            </w:pPr>
            <w:r>
              <w:t>4.808.836.264</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Small"/>
            </w:pPr>
            <w:r>
              <w:t>2501-ZAŠTITA SUVERENITETA I TERITORIJALNE CJELOVITOSTI REPUBLIKE HRVATSKE</w:t>
            </w:r>
          </w:p>
        </w:tc>
        <w:tc>
          <w:tcPr>
            <w:tcW w:w="2322" w:type="dxa"/>
          </w:tcPr>
          <w:p w:rsidR="00AC0832" w:rsidRDefault="00AC0832">
            <w:pPr>
              <w:pStyle w:val="CellColumnSmall"/>
            </w:pPr>
            <w:r>
              <w:t>4.314.998.718</w:t>
            </w:r>
          </w:p>
        </w:tc>
        <w:tc>
          <w:tcPr>
            <w:tcW w:w="2322" w:type="dxa"/>
          </w:tcPr>
          <w:p w:rsidR="00AC0832" w:rsidRDefault="00AC0832">
            <w:pPr>
              <w:pStyle w:val="CellColumnSmall"/>
            </w:pPr>
            <w:r>
              <w:t>4.319.406.930</w:t>
            </w:r>
          </w:p>
        </w:tc>
        <w:tc>
          <w:tcPr>
            <w:tcW w:w="2322" w:type="dxa"/>
          </w:tcPr>
          <w:p w:rsidR="00AC0832" w:rsidRDefault="00AC0832">
            <w:pPr>
              <w:pStyle w:val="CellColumnSmall"/>
            </w:pPr>
            <w:r>
              <w:t>100,1</w:t>
            </w:r>
          </w:p>
        </w:tc>
      </w:tr>
      <w:tr w:rsidR="00AC0832" w:rsidTr="00BE20ED">
        <w:trPr>
          <w:jc w:val="center"/>
        </w:trPr>
        <w:tc>
          <w:tcPr>
            <w:tcW w:w="2322" w:type="dxa"/>
          </w:tcPr>
          <w:p w:rsidR="00AC0832" w:rsidRDefault="00AC0832">
            <w:pPr>
              <w:pStyle w:val="CellColumnSmall"/>
            </w:pPr>
            <w:r>
              <w:t>2502-DOPRINOS KOLEKTIVNOJ OBRANI I MEĐUNARODNOJ SIGURNOSTI</w:t>
            </w:r>
          </w:p>
        </w:tc>
        <w:tc>
          <w:tcPr>
            <w:tcW w:w="2322" w:type="dxa"/>
          </w:tcPr>
          <w:p w:rsidR="00AC0832" w:rsidRDefault="00AC0832">
            <w:pPr>
              <w:pStyle w:val="CellColumnSmall"/>
            </w:pPr>
            <w:r>
              <w:t>388.224.183</w:t>
            </w:r>
          </w:p>
        </w:tc>
        <w:tc>
          <w:tcPr>
            <w:tcW w:w="2322" w:type="dxa"/>
          </w:tcPr>
          <w:p w:rsidR="00AC0832" w:rsidRDefault="00AC0832">
            <w:pPr>
              <w:pStyle w:val="CellColumnSmall"/>
            </w:pPr>
            <w:r>
              <w:t>386.048.746</w:t>
            </w:r>
          </w:p>
        </w:tc>
        <w:tc>
          <w:tcPr>
            <w:tcW w:w="2322" w:type="dxa"/>
          </w:tcPr>
          <w:p w:rsidR="00AC0832" w:rsidRDefault="00AC0832">
            <w:pPr>
              <w:pStyle w:val="CellColumnSmall"/>
            </w:pPr>
            <w:r>
              <w:t>99,4</w:t>
            </w:r>
          </w:p>
        </w:tc>
      </w:tr>
      <w:tr w:rsidR="00AC0832" w:rsidTr="00BE20ED">
        <w:trPr>
          <w:jc w:val="center"/>
        </w:trPr>
        <w:tc>
          <w:tcPr>
            <w:tcW w:w="2322" w:type="dxa"/>
          </w:tcPr>
          <w:p w:rsidR="00AC0832" w:rsidRDefault="00AC0832">
            <w:pPr>
              <w:pStyle w:val="CellColumnSmall"/>
            </w:pPr>
            <w:r>
              <w:t>2503-OSTALE ZADAĆE ORUŽANIH SNAGA</w:t>
            </w:r>
          </w:p>
        </w:tc>
        <w:tc>
          <w:tcPr>
            <w:tcW w:w="2322" w:type="dxa"/>
          </w:tcPr>
          <w:p w:rsidR="00AC0832" w:rsidRDefault="00AC0832">
            <w:pPr>
              <w:pStyle w:val="CellColumnSmall"/>
            </w:pPr>
            <w:r>
              <w:t>104.651.259</w:t>
            </w:r>
          </w:p>
        </w:tc>
        <w:tc>
          <w:tcPr>
            <w:tcW w:w="2322" w:type="dxa"/>
          </w:tcPr>
          <w:p w:rsidR="00AC0832" w:rsidRDefault="00AC0832">
            <w:pPr>
              <w:pStyle w:val="CellColumnSmall"/>
            </w:pPr>
            <w:r>
              <w:t>103.380.587</w:t>
            </w:r>
          </w:p>
        </w:tc>
        <w:tc>
          <w:tcPr>
            <w:tcW w:w="2322" w:type="dxa"/>
          </w:tcPr>
          <w:p w:rsidR="00AC0832" w:rsidRDefault="00AC0832">
            <w:pPr>
              <w:pStyle w:val="CellColumnSmall"/>
            </w:pPr>
            <w:r>
              <w:t>98,8</w:t>
            </w:r>
          </w:p>
        </w:tc>
      </w:tr>
    </w:tbl>
    <w:p w:rsidR="00AC0832" w:rsidRDefault="00AC0832">
      <w:pPr>
        <w:jc w:val="left"/>
      </w:pPr>
    </w:p>
    <w:p w:rsidR="00AC0832" w:rsidRDefault="00AC0832">
      <w:pPr>
        <w:pStyle w:val="Heading4"/>
      </w:pPr>
      <w:r>
        <w:t>OBRAZLOŽENJE PROGRAMA</w:t>
      </w:r>
    </w:p>
    <w:p w:rsidR="00AC0832" w:rsidRDefault="00AC0832">
      <w:pPr>
        <w:pStyle w:val="Heading5"/>
      </w:pPr>
      <w:r>
        <w:t>2501 ZAŠTITA SUVERENITETA I TERITORIJALNE CJELOVITOSTI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2501-ZAŠTITA SUVERENITETA I TERITORIJALNE CJELOVITOSTI REPUBLIKE HRVATSKE</w:t>
            </w:r>
          </w:p>
        </w:tc>
        <w:tc>
          <w:tcPr>
            <w:tcW w:w="2322" w:type="dxa"/>
          </w:tcPr>
          <w:p w:rsidR="00AC0832" w:rsidRDefault="00AC0832">
            <w:pPr>
              <w:pStyle w:val="CellColumn"/>
            </w:pPr>
            <w:r>
              <w:t>4.314.998.718</w:t>
            </w:r>
          </w:p>
        </w:tc>
        <w:tc>
          <w:tcPr>
            <w:tcW w:w="2322" w:type="dxa"/>
          </w:tcPr>
          <w:p w:rsidR="00AC0832" w:rsidRDefault="00AC0832">
            <w:pPr>
              <w:pStyle w:val="CellColumn"/>
            </w:pPr>
            <w:r>
              <w:t>4.319.406.930</w:t>
            </w:r>
          </w:p>
        </w:tc>
        <w:tc>
          <w:tcPr>
            <w:tcW w:w="2322" w:type="dxa"/>
          </w:tcPr>
          <w:p w:rsidR="00AC0832" w:rsidRDefault="00AC0832">
            <w:pPr>
              <w:pStyle w:val="CellColumn"/>
            </w:pPr>
            <w:r>
              <w:t>100,1</w:t>
            </w:r>
          </w:p>
        </w:tc>
      </w:tr>
    </w:tbl>
    <w:p w:rsidR="00AC0832" w:rsidRDefault="00AC0832">
      <w:pPr>
        <w:jc w:val="left"/>
      </w:pPr>
    </w:p>
    <w:p w:rsidR="00AC0832" w:rsidRDefault="00AC0832">
      <w:pPr>
        <w:pStyle w:val="Heading6"/>
      </w:pPr>
      <w:r>
        <w:t>Opis programa</w:t>
      </w:r>
    </w:p>
    <w:p w:rsidR="00AC0832" w:rsidRDefault="00AC0832">
      <w:pPr>
        <w:pStyle w:val="Normal5"/>
      </w:pPr>
      <w:r>
        <w:t>Obrana suvereniteta i teritorijalne cjelovitosti RH temeljna je zadaća obrambenog sustava. Radi odgovora na postojeće i buduće sigurnosne izazove i ugroze, potrebno je trajno razvijati i održavati široki spektar obrambenih, odnosno vojnih sposobnosti. Ovim programom razvijaju se, unapređuju i održavaju vojne sposobnosti koje omogućuju zaštitu suvereniteta i teritorijalnog integriteta RH, obrane RH i saveznika.Slijedom navedenog, utvrđeni su sljedeći ciljevi: Održavanje stalne spremnosti Oružanih snaga RH za odgovor na ugroze, Demokratski nadzor i upravljanje obrambenim sustavom, Održavanje i unaprjeđenje strukture, znanja i sposobnosti djelatnika MO i pripadnika OSRH, Povećana borbena sposobnost, Teritorijalni razmještaj postrojbi za obranu od agresije. Ovi ciljevi povezani su sa Strategijom vladinih programa za razdoblje 2012. – 2014. godine te njenim Općim ciljem 11: Održavanje javne i državne sigurnosti na najvišoj razini i Posebnim ciljem 11.6: Zaštićen suverenitet i teritorijalna cjelovitost Republike Hrvatske.</w:t>
      </w:r>
    </w:p>
    <w:p w:rsidR="00AC0832" w:rsidRDefault="00AC0832">
      <w:pPr>
        <w:pStyle w:val="Heading6"/>
      </w:pPr>
      <w:r>
        <w:t>Zakonske i druge pravne osnove</w:t>
      </w:r>
    </w:p>
    <w:p w:rsidR="00AC0832" w:rsidRDefault="00AC0832">
      <w:pPr>
        <w:pStyle w:val="Normal5"/>
      </w:pPr>
      <w:r>
        <w:t>Zakon o obrani (NN br. 33/02, 58/02 i 76/07, 153/09), Zakon o službi u OS RH (NN br. 33/02, 58/02, 175/03, 136/04, 76/07, 88/09, 124/09), Dugoročni plan razvoja OS RH 2006. – 2015. (NN br. 81/06), Pravilnik o načinu planiranja, programiranja, izradi i izvršenju proračuna Ministarstva obrane (NN br. 38/03, 168/03, 14/06, 105/06, 113/08), Pravilnik o načinu materijalnog zbrinjavanja OS RH (NN br.179/04 i 88/08), Uredba Vlade RH o vrijednosti koeficijenta osobnog čina za izračun plaće DVO (Klasa: 120-02/08-01/05, Urbroj: 5030106-08-1 od 18. travnja 2008., NN br. 46/08), Pravilnik o dragovoljnom služenju vojnog roka, (NN br. 70/08, 97/09, 135/10), Pravilnik o utvrđivanju zdravstvene sposobnosti za vojnu službu (NN br. 127/10), Pravilnik o privlačenju, selekciji i odabiru za prijam u djelatnu vojnu službu (NN br. 97/08), Pravilnik o načinu i uvjetima školovanja za potrebe Oružanih snaga na vojnim učilištima, školama u građanstvu i inozemstvu, (NN br. 107/03 ), Odluka o načinu i uvjetima sklapanja ugovora o školovanju vojnih stipendista (NN br.45/08), Pravilnik o tranziciji i pripremi prelaska DVO na rad izvan oružanih snaga, (NN br. 112/03), Zakon o državnim službenicima i namještenicima (NN, br. 92/05, 107/07, 27/08, 49/11 i 150/11), Uredba o oblicima, načinima i uvjetima izobrazbe državnih službenika (NN br.10/07).</w:t>
      </w:r>
    </w:p>
    <w:p w:rsidR="00AC0832" w:rsidRDefault="00AC0832">
      <w:pPr>
        <w:pStyle w:val="Heading7"/>
      </w:pPr>
      <w:r>
        <w:t>Cilj 1. Održavanje stalne spremnosti Oružanih snaga RH za odgovor na ugroze</w:t>
      </w:r>
    </w:p>
    <w:p w:rsidR="00AC0832" w:rsidRDefault="00AC0832">
      <w:pPr>
        <w:pStyle w:val="Heading8"/>
        <w:jc w:val="left"/>
      </w:pPr>
      <w:r>
        <w:t>Opis provedbe cilja programa</w:t>
      </w:r>
    </w:p>
    <w:p w:rsidR="00AC0832" w:rsidRDefault="00AC0832">
      <w:pPr>
        <w:pStyle w:val="Normal6"/>
      </w:pPr>
      <w:r>
        <w:t>Oružane snage RH moraju biti sposobne odgovoriti na sigurnosne izazove i ugroze te imati sposobnost nadzora teritorija RH, odvraćanje od potencijalne agresije i provođenja borbenih operacija. Realizacijom ovog cilja, Oružane snage RH osigurale su sposobnost zaštite suvereniteta i teritorijalnog integriteta RH te obrane RH i saveznika. Provedena je obuka djelatnog sastava, obuka ročnog sastava u dva ciklusa dragovoljnog služenja vojnog roka, kao i obuka pripadnika Oružanih snaga za potrebe međunarodnih vojnih operacija sa snagama partnerskih zemalja i NATO-a. Provedene su međunarodne vojne vježbe s ciljem podizanja interoperabilnosti i suradnje s oružanim snagama drugih zemalja. Dostignut stupanj spremnosti na kraju 2012. godine je na potrebnoj razini koja podupire razvoj sposobnosti i provedbu zadaća postrojbi. Osigurano je održavanje potrebnog stupnja ispravnosti borbenih i neborbenih tehničko materijalnih sredstava, informacijsko-komunikacijskih sredstava, sredstava opće namjene, objekata i infrastrukture radi poboljšanja uvjeta života i rada pripadnika Oružanih snaga RH. Ovaj cilj ostvarivao se kroz aktivnosti A545019 Funkcioniranje OS RH i A545031 Obuka i ostale aktivnosti OS RH.</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1317"/>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Zadržavanje stupnja spremnosti OS RH</w:t>
            </w:r>
          </w:p>
        </w:tc>
        <w:tc>
          <w:tcPr>
            <w:tcW w:w="1300" w:type="dxa"/>
          </w:tcPr>
          <w:p w:rsidR="00AC0832" w:rsidRDefault="00AC0832">
            <w:pPr>
              <w:pStyle w:val="CellColumn"/>
            </w:pPr>
            <w:r>
              <w:t>Zadržavanje spremnosti OS RH na visokoj razini pridonosi ostvarenju cilja</w:t>
            </w:r>
          </w:p>
        </w:tc>
        <w:tc>
          <w:tcPr>
            <w:tcW w:w="1300" w:type="dxa"/>
          </w:tcPr>
          <w:p w:rsidR="00AC0832" w:rsidRDefault="00AC0832">
            <w:pPr>
              <w:pStyle w:val="CellColumn"/>
            </w:pPr>
            <w:r>
              <w:t>Pojedinci/ postrojbe</w:t>
            </w:r>
          </w:p>
        </w:tc>
        <w:tc>
          <w:tcPr>
            <w:tcW w:w="1300" w:type="dxa"/>
          </w:tcPr>
          <w:p w:rsidR="00AC0832" w:rsidRDefault="00AC0832">
            <w:pPr>
              <w:pStyle w:val="CellColumn"/>
            </w:pPr>
            <w:r>
              <w:t>Spreman</w:t>
            </w:r>
          </w:p>
        </w:tc>
        <w:tc>
          <w:tcPr>
            <w:tcW w:w="1300" w:type="dxa"/>
          </w:tcPr>
          <w:p w:rsidR="00AC0832" w:rsidRDefault="00AC0832">
            <w:pPr>
              <w:pStyle w:val="CellColumn"/>
            </w:pPr>
            <w:r>
              <w:t>M0</w:t>
            </w:r>
          </w:p>
        </w:tc>
        <w:tc>
          <w:tcPr>
            <w:tcW w:w="1300" w:type="dxa"/>
          </w:tcPr>
          <w:p w:rsidR="00AC0832" w:rsidRDefault="00AC0832">
            <w:pPr>
              <w:pStyle w:val="CellColumn"/>
            </w:pPr>
            <w:r>
              <w:t>Spremnost u propisanoj kategoriji</w:t>
            </w:r>
          </w:p>
        </w:tc>
        <w:tc>
          <w:tcPr>
            <w:tcW w:w="1300" w:type="dxa"/>
          </w:tcPr>
          <w:p w:rsidR="00AC0832" w:rsidRDefault="00AC0832">
            <w:pPr>
              <w:pStyle w:val="CellColumn"/>
            </w:pPr>
            <w:r>
              <w:t>Spremnost u propisanoj kategoriji</w:t>
            </w:r>
          </w:p>
        </w:tc>
      </w:tr>
    </w:tbl>
    <w:p w:rsidR="00AC0832" w:rsidRDefault="00AC0832">
      <w:pPr>
        <w:jc w:val="left"/>
      </w:pPr>
    </w:p>
    <w:p w:rsidR="00AC0832" w:rsidRDefault="00AC0832">
      <w:pPr>
        <w:pStyle w:val="Heading7"/>
      </w:pPr>
      <w:r>
        <w:t xml:space="preserve">Cilj 2. Demokratski nadzor i upravljanje obrambenim sustavom </w:t>
      </w:r>
    </w:p>
    <w:p w:rsidR="00AC0832" w:rsidRDefault="00AC0832">
      <w:pPr>
        <w:pStyle w:val="Heading8"/>
        <w:jc w:val="left"/>
      </w:pPr>
      <w:r>
        <w:t>Opis provedbe cilja programa</w:t>
      </w:r>
    </w:p>
    <w:p w:rsidR="00AC0832" w:rsidRDefault="00AC0832">
      <w:pPr>
        <w:pStyle w:val="Normal6"/>
      </w:pPr>
      <w:r>
        <w:t>Upravni dio Ministarstva obrane i Glavnog stožera Oružanih snaga RH provodili su upravljačku i nadzornu funkciju obavljanjem redovnih aktivnosti kroz funkcionalna područja obrambene politike, upravljanja ljudskim, materijalnim i financijskim resursima, sigurnosnih poslova, inspekcijskog nadzora i dušobrižništva. Novom Uredbom o unutarnjem ustrojstvu Ministarstva obrane izvršena je reorganizacija te je smanjen ukupan broj zaposlenih u upravnom dijelu Ministarstva obrane, uz zadržavanje postojećih poslovnih procesa. Ovaj cilj ostvarivao se putem aktivnosti A545029 Upravni i opći poslovi.</w:t>
      </w:r>
    </w:p>
    <w:p w:rsidR="00AC0832" w:rsidRDefault="00AC0832">
      <w:pPr>
        <w:pStyle w:val="Heading7"/>
      </w:pPr>
      <w:r>
        <w:t xml:space="preserve">Cilj 3. Održavanje i unaprjeđenje strukture znanja i sposobnosti djelatnika MO i pripadnika OSRH </w:t>
      </w:r>
    </w:p>
    <w:p w:rsidR="00AC0832" w:rsidRDefault="00AC0832">
      <w:pPr>
        <w:pStyle w:val="Heading8"/>
        <w:jc w:val="left"/>
      </w:pPr>
      <w:r>
        <w:t>Opis provedbe cilja programa</w:t>
      </w:r>
    </w:p>
    <w:p w:rsidR="00AC0832" w:rsidRDefault="00AC0832">
      <w:pPr>
        <w:pStyle w:val="Normal6"/>
      </w:pPr>
      <w:r>
        <w:t>Unaprjeđenje strukture znanja i sposobnosti djelatnika MO i pripadnika OS RH provodilo se izobrazbom u zemlji i inozemstvu, civilno-vojnim školovanjem, pribavljanjem i izdvajanjem osoblja. Provedena je izobrazba dijela pripadnika Oružanih snaga RH i djelatnika Ministarstva obrane u zemlji i inozemstvu. Nastavljena je provedba integriranog programa civilno – vojnog školovanja „Kadet“ koji se provodi na Hrvatskom vojnom učilištu „Petar Zrinski“ u Zagrebu te kroz civilno-vojne programe na sveučilištima u RH. Provedeno je izdvajanje djelatnika iz sustava temeljem plana izdvajanja osoblja. Provedeni su programi potpore u okviru programa tranzicije i zbrinjavanja izdvojenog osoblja za korisnike koji su se dobrovoljno uključili u projekt tranzicije. Pribavljanje osoblja provedeno je u manjoj mjeri nego što je predviđeno planom pribavljanja za 2012. godinu. Ovaj cilj ostvarivao se putem aktivnosti A545023 Izobrazba i profesionalni razvoj.</w:t>
      </w:r>
    </w:p>
    <w:p w:rsidR="00AC0832" w:rsidRDefault="00AC0832">
      <w:pPr>
        <w:pStyle w:val="Heading7"/>
      </w:pPr>
      <w:r>
        <w:t xml:space="preserve">Cilj 4. Povećana borbena sposobnost </w:t>
      </w:r>
    </w:p>
    <w:p w:rsidR="00AC0832" w:rsidRDefault="00AC0832">
      <w:pPr>
        <w:pStyle w:val="Heading8"/>
        <w:jc w:val="left"/>
      </w:pPr>
      <w:r>
        <w:t>Opis provedbe cilja programa</w:t>
      </w:r>
    </w:p>
    <w:p w:rsidR="00AC0832" w:rsidRDefault="00AC0832">
      <w:pPr>
        <w:pStyle w:val="Normal6"/>
      </w:pPr>
      <w:r>
        <w:t>Povećanje borbene sposobnosti postignuto je podizanjem razine opremljenosti i modernizacije koja se provodila u skladu s prioritetima i ukazanim potrebama proizašlim iz preuzetih zadaća Oružanih snaga RH te u okviru raspoloživih proračunskih sredstava. Težište opremanja i modernizacije bilo je usmjereno na nastavak realizacije opremanja postrojbi Oružanih snaga RH borbenim oklopnim vozilima, te opremanje jurišnom puškom. Ostvarenje ovog cilja provodilo se kroz aktivnost A545025 Opremanje i modernizacija.</w:t>
      </w:r>
    </w:p>
    <w:p w:rsidR="00AC0832" w:rsidRDefault="00AC0832">
      <w:pPr>
        <w:pStyle w:val="Heading7"/>
      </w:pPr>
      <w:r>
        <w:t xml:space="preserve">Cilj 5. Teritorijalni razmještaj postrojbi za obranu od agresije </w:t>
      </w:r>
    </w:p>
    <w:p w:rsidR="00AC0832" w:rsidRDefault="00AC0832">
      <w:pPr>
        <w:pStyle w:val="Heading8"/>
        <w:jc w:val="left"/>
      </w:pPr>
      <w:r>
        <w:t>Opis provedbe cilja programa</w:t>
      </w:r>
    </w:p>
    <w:p w:rsidR="00AC0832" w:rsidRDefault="00AC0832">
      <w:pPr>
        <w:pStyle w:val="Normal6"/>
      </w:pPr>
      <w:r>
        <w:t>Uređenje objekata i infrastrukture preduvjet je za ostvarenje teritorijalnog razmještaja OS RH predviđenog strateškim dokumentima, a provodilo se putem adaptacije objekata sukladno utvrđenim prioritetima i raspoloživim proračunskim sredstvima. Ovaj cilj ostvarivao se putem aktivnosti A545027 Objekti i infrastruktura.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17"/>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Stupanj spremnosti vojnih lokacija</w:t>
            </w:r>
          </w:p>
        </w:tc>
        <w:tc>
          <w:tcPr>
            <w:tcW w:w="1300" w:type="dxa"/>
          </w:tcPr>
          <w:p w:rsidR="00AC0832" w:rsidRDefault="00AC0832">
            <w:pPr>
              <w:pStyle w:val="CellColumn"/>
            </w:pPr>
            <w:r>
              <w:t>Adaptacijom vojnih objekata povećava se spremnost za prihvat i smještaj snaga</w:t>
            </w:r>
          </w:p>
        </w:tc>
        <w:tc>
          <w:tcPr>
            <w:tcW w:w="1300" w:type="dxa"/>
          </w:tcPr>
          <w:p w:rsidR="00AC0832" w:rsidRDefault="00AC0832">
            <w:pPr>
              <w:pStyle w:val="CellColumn"/>
            </w:pPr>
            <w:r>
              <w:t>Vojni objekt</w:t>
            </w:r>
          </w:p>
        </w:tc>
        <w:tc>
          <w:tcPr>
            <w:tcW w:w="1300" w:type="dxa"/>
          </w:tcPr>
          <w:p w:rsidR="00AC0832" w:rsidRDefault="00AC0832">
            <w:pPr>
              <w:pStyle w:val="CellColumn"/>
            </w:pPr>
            <w:r>
              <w:t>Adaptiran</w:t>
            </w:r>
          </w:p>
        </w:tc>
        <w:tc>
          <w:tcPr>
            <w:tcW w:w="1300" w:type="dxa"/>
          </w:tcPr>
          <w:p w:rsidR="00AC0832" w:rsidRDefault="00AC0832">
            <w:pPr>
              <w:pStyle w:val="CellColumn"/>
            </w:pPr>
            <w:r>
              <w:t>MO</w:t>
            </w:r>
          </w:p>
        </w:tc>
        <w:tc>
          <w:tcPr>
            <w:tcW w:w="1300" w:type="dxa"/>
          </w:tcPr>
          <w:p w:rsidR="00AC0832" w:rsidRDefault="00AC0832">
            <w:pPr>
              <w:pStyle w:val="CellColumn"/>
            </w:pPr>
            <w:r>
              <w:t>Adaptiran</w:t>
            </w:r>
          </w:p>
        </w:tc>
        <w:tc>
          <w:tcPr>
            <w:tcW w:w="1300" w:type="dxa"/>
          </w:tcPr>
          <w:p w:rsidR="00AC0832" w:rsidRDefault="00AC0832">
            <w:pPr>
              <w:pStyle w:val="CellColumn"/>
            </w:pPr>
            <w:r>
              <w:t>Adaptiran</w:t>
            </w:r>
          </w:p>
        </w:tc>
      </w:tr>
    </w:tbl>
    <w:p w:rsidR="00AC0832" w:rsidRDefault="00AC0832">
      <w:pPr>
        <w:jc w:val="left"/>
      </w:pPr>
    </w:p>
    <w:p w:rsidR="00AC0832" w:rsidRDefault="00AC0832">
      <w:pPr>
        <w:pStyle w:val="Heading6"/>
      </w:pPr>
      <w:r>
        <w:t>A545019 FUNKCIONIRANJE ORUŽANIH SNAGA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A545019-FUNKCIONIRANJE ORUŽANIH SNAGA RH</w:t>
            </w:r>
          </w:p>
        </w:tc>
        <w:tc>
          <w:tcPr>
            <w:tcW w:w="2322" w:type="dxa"/>
          </w:tcPr>
          <w:p w:rsidR="00AC0832" w:rsidRDefault="00AC0832">
            <w:pPr>
              <w:pStyle w:val="CellColumn"/>
            </w:pPr>
            <w:r>
              <w:t>2.856.647.264</w:t>
            </w:r>
          </w:p>
        </w:tc>
        <w:tc>
          <w:tcPr>
            <w:tcW w:w="2322" w:type="dxa"/>
          </w:tcPr>
          <w:p w:rsidR="00AC0832" w:rsidRDefault="00AC0832">
            <w:pPr>
              <w:pStyle w:val="CellColumn"/>
            </w:pPr>
            <w:r>
              <w:t>2.867.767.956</w:t>
            </w:r>
          </w:p>
        </w:tc>
        <w:tc>
          <w:tcPr>
            <w:tcW w:w="2322" w:type="dxa"/>
          </w:tcPr>
          <w:p w:rsidR="00AC0832" w:rsidRDefault="00AC0832">
            <w:pPr>
              <w:pStyle w:val="CellColumn"/>
            </w:pPr>
            <w:r>
              <w:t>100,4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Kako bi se održala stalna spremnost Oružanih snaga, osigurano je održavanje potrebnog stupnja ispravnosti borbenih i neborbenih materijalno-tehničkih sredstava. Borbena materijalno-tehnička sredstva održavala su se vlastitim kapacitetima te putem usluga održavanja. Održavana su mornarička i zrakoplovna materijalno tehnička sredstva, informacijsko-komunikacijska sredstva, inženjerijska sredstva, motorna vozila, ubojna sredstva, sredstva opće namjene. Održavani su objekti i infrastruktura radi poboljšanja uvjeta života i rada pripadnika Oružanih snaga RH. Osigurano je opremanje službenom, radnom i zaštitnom odjećom i obućom te prehrana pripadnika Oružanih snaga RH. Osigurana je prometna potpora kroz prijevoz ljudi i opreme svim vidovima transporta, te opskrba gorivom i energentima. Kroz ovu aktivnost realizirana je personalna potpora djelatnika Oružanih snaga RH koja obuhvaća plaće, doprinose, naknade i ostale rashode za zaposlene.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pripadnika OS RH</w:t>
            </w:r>
          </w:p>
        </w:tc>
        <w:tc>
          <w:tcPr>
            <w:tcW w:w="1300" w:type="dxa"/>
          </w:tcPr>
          <w:p w:rsidR="00AC0832" w:rsidRDefault="00AC0832">
            <w:pPr>
              <w:pStyle w:val="CellColumn"/>
            </w:pPr>
            <w:r>
              <w:t>Dinamika smanjenja pripadnika OS RH je u skladu s Dugoročnim planom razvoja OS RH</w:t>
            </w:r>
          </w:p>
        </w:tc>
        <w:tc>
          <w:tcPr>
            <w:tcW w:w="1300" w:type="dxa"/>
          </w:tcPr>
          <w:p w:rsidR="00AC0832" w:rsidRDefault="00AC0832">
            <w:pPr>
              <w:pStyle w:val="CellColumn"/>
            </w:pPr>
            <w:r>
              <w:t>Broj</w:t>
            </w:r>
          </w:p>
        </w:tc>
        <w:tc>
          <w:tcPr>
            <w:tcW w:w="1300" w:type="dxa"/>
          </w:tcPr>
          <w:p w:rsidR="00AC0832" w:rsidRDefault="00AC0832">
            <w:pPr>
              <w:pStyle w:val="CellColumn"/>
            </w:pPr>
            <w:r>
              <w:t>18190</w:t>
            </w:r>
          </w:p>
        </w:tc>
        <w:tc>
          <w:tcPr>
            <w:tcW w:w="1300" w:type="dxa"/>
          </w:tcPr>
          <w:p w:rsidR="00AC0832" w:rsidRDefault="00AC0832">
            <w:pPr>
              <w:pStyle w:val="CellColumn"/>
            </w:pPr>
            <w:r>
              <w:t>MO</w:t>
            </w:r>
          </w:p>
        </w:tc>
        <w:tc>
          <w:tcPr>
            <w:tcW w:w="1300" w:type="dxa"/>
          </w:tcPr>
          <w:p w:rsidR="00AC0832" w:rsidRDefault="00AC0832">
            <w:pPr>
              <w:pStyle w:val="CellColumn"/>
            </w:pPr>
            <w:r>
              <w:t>18100</w:t>
            </w:r>
          </w:p>
        </w:tc>
        <w:tc>
          <w:tcPr>
            <w:tcW w:w="1300" w:type="dxa"/>
          </w:tcPr>
          <w:p w:rsidR="00AC0832" w:rsidRDefault="00AC0832">
            <w:pPr>
              <w:pStyle w:val="CellColumn"/>
            </w:pPr>
            <w:r>
              <w:t>17678</w:t>
            </w:r>
          </w:p>
        </w:tc>
      </w:tr>
    </w:tbl>
    <w:p w:rsidR="00AC0832" w:rsidRDefault="00AC0832">
      <w:pPr>
        <w:jc w:val="left"/>
      </w:pPr>
    </w:p>
    <w:p w:rsidR="00AC0832" w:rsidRDefault="00AC0832">
      <w:pPr>
        <w:pStyle w:val="Heading6"/>
      </w:pPr>
      <w:r>
        <w:t>A545023 IZOBRAZBA I PROFESIONALNI RAZVOJ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A545023-IZOBRAZBA I PROFESIONALNI RAZVOJ</w:t>
            </w:r>
          </w:p>
        </w:tc>
        <w:tc>
          <w:tcPr>
            <w:tcW w:w="2322" w:type="dxa"/>
          </w:tcPr>
          <w:p w:rsidR="00AC0832" w:rsidRDefault="00AC0832">
            <w:pPr>
              <w:pStyle w:val="CellColumn"/>
            </w:pPr>
            <w:r>
              <w:t>61.097.197</w:t>
            </w:r>
          </w:p>
        </w:tc>
        <w:tc>
          <w:tcPr>
            <w:tcW w:w="2322" w:type="dxa"/>
          </w:tcPr>
          <w:p w:rsidR="00AC0832" w:rsidRDefault="00AC0832">
            <w:pPr>
              <w:pStyle w:val="CellColumn"/>
            </w:pPr>
            <w:r>
              <w:t>60.521.240</w:t>
            </w:r>
          </w:p>
        </w:tc>
        <w:tc>
          <w:tcPr>
            <w:tcW w:w="2322" w:type="dxa"/>
          </w:tcPr>
          <w:p w:rsidR="00AC0832" w:rsidRDefault="00AC0832">
            <w:pPr>
              <w:pStyle w:val="CellColumn"/>
            </w:pPr>
            <w:r>
              <w:t>99,1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Pribavljanje osoblja u 2012. godini nije provedeno sukladno planiranim veličinama, tako da je tijekom godine odgođen prijem kandidata za vojničke dužnosti, što je rezultiralo ukupnim prijemom 92 djelatnika. U 2012. provedena je civilna izobrazba djelatnika Ministarstva obrane i pripadnika Oružanih snaga koju stječu na obrazovnim ustanovama u građanstvu. Vojna izobrazba u Republici Hrvatskoj provodla se u granskim školama za potrebe rodova i službi i u Hrvatskom vojnom učilištu „Petar Zrinski“. Program „Kadet“ je model civilno-vojnog školovanja kojim su školovani kandidati za časnike za potrebe borbenih rodova i rodova borbene potpore svih triju grana. Ovaj model je primarni oblik školovanja za karijerne časnike. Stipendiranje studenata/ica viših godina određenih studija na sveučilištima i veleučilištima dodatni je model kojim se ciljano pribavljalo osoblje za potrebe Oružanih snaga. Pripadnici Oružanih snaga pohađali su u 2012. različite oblike slijedno rastuće i funkcionalne izobrazbe u inozemstvu. Izobrazba stranih jezika provodila se u Školi stranih jezika „Katarina Zrinska”, u školama stranih jezika u građanstvu i nozemstvu. U 2012. godini provedeno je izdvajanje djelatnika iz sustava temeljem plana izdvajanja osoblja, te je iz sustava izašla 661 osoba Provedeni su programi potpore u okviru programa tranzicije i zbrinjavanja izdvojenog osoblja za korisnike koji su se dobrovoljno uključili u projekt tranzicije.</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A545025 OPREMANJE I MODERNIZACIJA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A545025-OPREMANJE I MODERNIZACIJA</w:t>
            </w:r>
          </w:p>
        </w:tc>
        <w:tc>
          <w:tcPr>
            <w:tcW w:w="2322" w:type="dxa"/>
          </w:tcPr>
          <w:p w:rsidR="00AC0832" w:rsidRDefault="00AC0832">
            <w:pPr>
              <w:pStyle w:val="CellColumn"/>
            </w:pPr>
            <w:r>
              <w:t>736.187.705</w:t>
            </w:r>
          </w:p>
        </w:tc>
        <w:tc>
          <w:tcPr>
            <w:tcW w:w="2322" w:type="dxa"/>
          </w:tcPr>
          <w:p w:rsidR="00AC0832" w:rsidRDefault="00AC0832">
            <w:pPr>
              <w:pStyle w:val="CellColumn"/>
            </w:pPr>
            <w:r>
              <w:t>741.647.761</w:t>
            </w:r>
          </w:p>
        </w:tc>
        <w:tc>
          <w:tcPr>
            <w:tcW w:w="2322" w:type="dxa"/>
          </w:tcPr>
          <w:p w:rsidR="00AC0832" w:rsidRDefault="00AC0832">
            <w:pPr>
              <w:pStyle w:val="CellColumn"/>
            </w:pPr>
            <w:r>
              <w:t>100,7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Sukladno prioritetima utvrđenim u Dugoročnom planu razvoja OS RH 2006.-2015. projekti opremanja i modernizacije provodili su se uz redefiniranje opsega i dinamike u okviru raspoloživih proračunskih sredstava. Tijekom 2012. godine aktivnosti su uglavnom bile usmjerene na realizaciju višegodišnjeg ugovora za nabavu baznih oklopnih vozila modela Patria AMV 8x8. U 2012. godini isporučeno je 49 baznih vozila. Tijekom 2012. započelo je opremanje baznih vozila sustavima naoružanja i specijalnom opremom. U 2012. je nastavljeno opremanje postrojbi jurišnim puškama te su nabavljene 794 puške. Osim pušaka, u 2012. godini nabavljene su u manjim količinama i druge vrste naoružanja, ubojnih sredstava, osobne i zaštitne opreme (optički ciljnici, svjetiljke, bacači granata 40 mm, NBK oprema, odjeća i obuća). Nabavljen je dio ronilačke opreme za protuminske ronioce kao i osobna oprema za spašavanje na brodovima. Tijekom godine provodilo se zbrinjavanje viška ubojnih sredstava i neperspektivne opreme. Dio opremanja proveden je iz izvora 52 Pomoći, najvećim dijelom kroz pomoći  vlade Sjedinjenih Američkih Država. Također je ugovorom između Ministarstva obrane i Hrvatske kontrole zračne plovidbe (HKZP) ugovorena modernizacija sekundarnih radara radarskog sustava FPS-117, što se financira kroz izvor 43 Prihodi za posebne namjene.</w:t>
      </w:r>
    </w:p>
    <w:p w:rsidR="00AC0832" w:rsidRDefault="00AC0832">
      <w:pPr>
        <w:jc w:val="left"/>
      </w:pPr>
    </w:p>
    <w:p w:rsidR="00AC0832" w:rsidRDefault="00AC0832">
      <w:pPr>
        <w:pStyle w:val="Heading6"/>
      </w:pPr>
      <w:r>
        <w:t>A545027 OBJEKTI I INFRASTRUKTURA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A545027-OBJEKTI I INFRASTRUKTURA</w:t>
            </w:r>
          </w:p>
        </w:tc>
        <w:tc>
          <w:tcPr>
            <w:tcW w:w="2322" w:type="dxa"/>
          </w:tcPr>
          <w:p w:rsidR="00AC0832" w:rsidRDefault="00AC0832">
            <w:pPr>
              <w:pStyle w:val="CellColumn"/>
            </w:pPr>
            <w:r>
              <w:t>67.277.632</w:t>
            </w:r>
          </w:p>
        </w:tc>
        <w:tc>
          <w:tcPr>
            <w:tcW w:w="2322" w:type="dxa"/>
          </w:tcPr>
          <w:p w:rsidR="00AC0832" w:rsidRDefault="00AC0832">
            <w:pPr>
              <w:pStyle w:val="CellColumn"/>
            </w:pPr>
            <w:r>
              <w:t>55.764.267</w:t>
            </w:r>
          </w:p>
        </w:tc>
        <w:tc>
          <w:tcPr>
            <w:tcW w:w="2322" w:type="dxa"/>
          </w:tcPr>
          <w:p w:rsidR="00AC0832" w:rsidRDefault="00AC0832">
            <w:pPr>
              <w:pStyle w:val="CellColumn"/>
            </w:pPr>
            <w:r>
              <w:t>82,9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2012. godini realizacija ove aktivnosti provodila se prema iskazanim potrebama, prioritetima i planovima u okviru raspoloživih proračunskih sredstava. Provedena je adaptacija objekta za smještaj na vojnom vježbalištu "E. Kvaternik" u Slunju, a provedeni su zahvati korektivnog održavanja na objektima i infrastrukturi, izrada tehničke i projektne dokumentacije, nastavljeno je sređivanje postojeće imovinsko-pravne i druge dokumentacije, te izrada elaborata sa zemljišno-knjižnim, katastarskim i tehničkim podacima. Dio aktivnosti proveden je iz izvora 43 Prihodi za posebne namjene, kroz ostvarene prihode prodajom stanova sukladno Odluci Vlade o prodaji stanova u vlasništvu Republike Hrvatske kojima upravlja Ministarstvo obrane (NN116/11) te iz izvora 52 Pomoći, kroz pomoći vlade Sjedinjenih Američkih Država.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06"/>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adaptiranih objekata</w:t>
            </w:r>
          </w:p>
        </w:tc>
        <w:tc>
          <w:tcPr>
            <w:tcW w:w="1300" w:type="dxa"/>
          </w:tcPr>
          <w:p w:rsidR="00AC0832" w:rsidRDefault="00AC0832">
            <w:pPr>
              <w:pStyle w:val="CellColumn"/>
            </w:pPr>
            <w:r>
              <w:t>Održavanjem objekata stvaraju se uvjeti za postizanje deklariranih vojnih sposobnosti</w:t>
            </w:r>
          </w:p>
        </w:tc>
        <w:tc>
          <w:tcPr>
            <w:tcW w:w="1300" w:type="dxa"/>
          </w:tcPr>
          <w:p w:rsidR="00AC0832" w:rsidRDefault="00AC0832">
            <w:pPr>
              <w:pStyle w:val="CellColumn"/>
            </w:pPr>
            <w:r>
              <w:t>Broj</w:t>
            </w:r>
          </w:p>
        </w:tc>
        <w:tc>
          <w:tcPr>
            <w:tcW w:w="1300" w:type="dxa"/>
          </w:tcPr>
          <w:p w:rsidR="00AC0832" w:rsidRDefault="00AC0832">
            <w:pPr>
              <w:pStyle w:val="CellColumn"/>
            </w:pPr>
            <w:r>
              <w:t>2</w:t>
            </w:r>
          </w:p>
        </w:tc>
        <w:tc>
          <w:tcPr>
            <w:tcW w:w="1300" w:type="dxa"/>
          </w:tcPr>
          <w:p w:rsidR="00AC0832" w:rsidRDefault="00AC0832">
            <w:pPr>
              <w:pStyle w:val="CellColumn"/>
            </w:pPr>
            <w:r>
              <w:t>MO</w:t>
            </w:r>
          </w:p>
        </w:tc>
        <w:tc>
          <w:tcPr>
            <w:tcW w:w="1300" w:type="dxa"/>
          </w:tcPr>
          <w:p w:rsidR="00AC0832" w:rsidRDefault="00AC0832">
            <w:pPr>
              <w:pStyle w:val="CellColumn"/>
            </w:pPr>
            <w:r>
              <w:t>4</w:t>
            </w:r>
          </w:p>
        </w:tc>
        <w:tc>
          <w:tcPr>
            <w:tcW w:w="1300" w:type="dxa"/>
          </w:tcPr>
          <w:p w:rsidR="00AC0832" w:rsidRDefault="00AC0832">
            <w:pPr>
              <w:pStyle w:val="CellColumn"/>
            </w:pPr>
            <w:r>
              <w:t>4</w:t>
            </w:r>
          </w:p>
        </w:tc>
      </w:tr>
    </w:tbl>
    <w:p w:rsidR="00AC0832" w:rsidRDefault="00AC0832">
      <w:pPr>
        <w:jc w:val="left"/>
      </w:pPr>
    </w:p>
    <w:p w:rsidR="00AC0832" w:rsidRDefault="00AC0832">
      <w:pPr>
        <w:pStyle w:val="Heading6"/>
      </w:pPr>
      <w:r>
        <w:t>A545029 UPRAVNI I OPĆI POSLOVI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A545029-UPRAVNI I OPĆI POSLOVI</w:t>
            </w:r>
          </w:p>
        </w:tc>
        <w:tc>
          <w:tcPr>
            <w:tcW w:w="2322" w:type="dxa"/>
          </w:tcPr>
          <w:p w:rsidR="00AC0832" w:rsidRDefault="00AC0832">
            <w:pPr>
              <w:pStyle w:val="CellColumn"/>
            </w:pPr>
            <w:r>
              <w:t>541.547.727</w:t>
            </w:r>
          </w:p>
        </w:tc>
        <w:tc>
          <w:tcPr>
            <w:tcW w:w="2322" w:type="dxa"/>
          </w:tcPr>
          <w:p w:rsidR="00AC0832" w:rsidRDefault="00AC0832">
            <w:pPr>
              <w:pStyle w:val="CellColumn"/>
            </w:pPr>
            <w:r>
              <w:t>541.605.353</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Ministarstvo obrane provodilo je upravljačku i nadzornu funkciju obavljanjem redovnih aktivnosti kroz funkcionalna područja obrambene politike, upravljanja ljudskim, materijalnim i financijskim resursima, sigurnosnih poslova, inspekcijskog nadzora i dušobrižništva. Obrambena politika, kao sastavnica vanjske i sigurnosne politike Republike Hrvatske provodila se u okvirima zadanim strategijskim dokumentima Republike Hrvatske, te smjernicama i odlukama Hrvatskoga sabora, Vlade i predsjednika Republike Hrvatske. Upravljanje ljudskim resursima bilo je usmjereno na zadovoljavanje potreba vojne organizacije za kvalitetnim osobljem uz istodobno pružanje primjerene potpore svakom pripadniku Oružanih snaga. Upravljanje financijskim resursima bilo je usmjereno na provedbu fiskalne discipline i stvaranju obveza u skladu s odobrenim proračunskim sredstvima. U ovoj aktivnosti osigurana je personalna potpora za djelatnike upravnog dijela Ministarstva obrane koja obuhvaća plaće, doprinose, naknade i ostale rashode za zaposlene.</w:t>
      </w:r>
    </w:p>
    <w:p w:rsidR="00AC0832" w:rsidRDefault="00AC0832">
      <w:pPr>
        <w:jc w:val="left"/>
      </w:pPr>
    </w:p>
    <w:p w:rsidR="00AC0832" w:rsidRDefault="00AC0832">
      <w:pPr>
        <w:pStyle w:val="Heading6"/>
      </w:pPr>
      <w:r>
        <w:t>A545031 OBUKA I OSTALE AKTIVNOSTI 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A545031-OBUKA I OSTALE AKTIVNOSTI OS</w:t>
            </w:r>
          </w:p>
        </w:tc>
        <w:tc>
          <w:tcPr>
            <w:tcW w:w="2322" w:type="dxa"/>
          </w:tcPr>
          <w:p w:rsidR="00AC0832" w:rsidRDefault="00AC0832">
            <w:pPr>
              <w:pStyle w:val="CellColumn"/>
            </w:pPr>
            <w:r>
              <w:t>52.241.193</w:t>
            </w:r>
          </w:p>
        </w:tc>
        <w:tc>
          <w:tcPr>
            <w:tcW w:w="2322" w:type="dxa"/>
          </w:tcPr>
          <w:p w:rsidR="00AC0832" w:rsidRDefault="00AC0832">
            <w:pPr>
              <w:pStyle w:val="CellColumn"/>
            </w:pPr>
            <w:r>
              <w:t>52.100.354</w:t>
            </w:r>
          </w:p>
        </w:tc>
        <w:tc>
          <w:tcPr>
            <w:tcW w:w="2322" w:type="dxa"/>
          </w:tcPr>
          <w:p w:rsidR="00AC0832" w:rsidRDefault="00AC0832">
            <w:pPr>
              <w:pStyle w:val="CellColumn"/>
            </w:pPr>
            <w:r>
              <w:t>99,7</w:t>
            </w:r>
          </w:p>
        </w:tc>
      </w:tr>
    </w:tbl>
    <w:p w:rsidR="00AC0832" w:rsidRDefault="00AC0832">
      <w:pPr>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Provedbom obuke postigla se zahtijevana razina borbene spremnosti, razvijane su sposobnosti potrebne za obavljanje zadaća Oružanih snaga, te su uvježbavani pojedinci i postrojbe za zajedničko djelovanje sa snagama partnerskih zemalja i NATO-a u provedbi međunarodnih vojnih operacija. Naglasak u provedbi obuke je bio na preduputnoj obuci za međunarodne operacije (ISAF, KFOR, UNDOF), na obuci za NATO snage brzog odgovora (NRF) i borbene skupine Europske Unije (EUBG). Preduputna obuka pokrivala je posebnosti zadaća izravno vezanih uz konkretnu operaciju i bila je usredotočena na aktivnosti i zadaće u izravnoj vezi sa specifičnostima operacije. Dio obuke za operaciju ISAF proveden je u obučnim središtima u Njemačkoj, Poljskoj, Norveškoj, Češkoj i Francuskoj, dok je dio obuke za misiju UNDOF proveden u Austriji. Temeljna vojna obuka se provodila sa svim pripadnicima po ulasku u Oružane snage tijekom dragovoljnog služenja vojnog roka prema programu obuke, a završilo ju je 674 dragovoljna ročnika u dva uputna roka. Pojedinačna obuka provodila se u matičnim postrojbama, rodovskim postrojbama i obučnim središtima, a zajednička na vojnim poligonima (vježbalištima i strelištima), Simulacijskom središtu i Središtu za borbenu obuku. Oružane snage su u 2012. sudjelovale u 10 nacionalnih i 25 međunarodnih vojnih vježbi, od kojih su dvije provedene na teritoriju Republike Hrvatske. Intenzitet i kvaliteta nacionalnih vojnih vježbi značajno su povećani, odnosno unaprijeđeni, u odnosu na proteklo razdoblje.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obučenih osoba  djelatnog sastava</w:t>
            </w:r>
          </w:p>
        </w:tc>
        <w:tc>
          <w:tcPr>
            <w:tcW w:w="1300" w:type="dxa"/>
          </w:tcPr>
          <w:p w:rsidR="00AC0832" w:rsidRDefault="00AC0832">
            <w:pPr>
              <w:pStyle w:val="CellColumn"/>
            </w:pPr>
            <w:r>
              <w:t>Osiguranje spremnosti OS RH za provedbu dodjeljenih misija i zadaća</w:t>
            </w:r>
          </w:p>
        </w:tc>
        <w:tc>
          <w:tcPr>
            <w:tcW w:w="1300" w:type="dxa"/>
          </w:tcPr>
          <w:p w:rsidR="00AC0832" w:rsidRDefault="00AC0832">
            <w:pPr>
              <w:pStyle w:val="CellColumn"/>
            </w:pPr>
            <w:r>
              <w:t>Broj</w:t>
            </w:r>
          </w:p>
        </w:tc>
        <w:tc>
          <w:tcPr>
            <w:tcW w:w="1300" w:type="dxa"/>
          </w:tcPr>
          <w:p w:rsidR="00AC0832" w:rsidRDefault="00AC0832">
            <w:pPr>
              <w:pStyle w:val="CellColumn"/>
            </w:pPr>
            <w:r>
              <w:t>15731</w:t>
            </w:r>
          </w:p>
        </w:tc>
        <w:tc>
          <w:tcPr>
            <w:tcW w:w="1300" w:type="dxa"/>
          </w:tcPr>
          <w:p w:rsidR="00AC0832" w:rsidRDefault="00AC0832">
            <w:pPr>
              <w:pStyle w:val="CellColumn"/>
            </w:pPr>
            <w:r>
              <w:t>MO</w:t>
            </w:r>
          </w:p>
        </w:tc>
        <w:tc>
          <w:tcPr>
            <w:tcW w:w="1300" w:type="dxa"/>
          </w:tcPr>
          <w:p w:rsidR="00AC0832" w:rsidRDefault="00AC0832">
            <w:pPr>
              <w:pStyle w:val="CellColumn"/>
            </w:pPr>
            <w:r>
              <w:t>15811</w:t>
            </w:r>
          </w:p>
        </w:tc>
        <w:tc>
          <w:tcPr>
            <w:tcW w:w="1300" w:type="dxa"/>
          </w:tcPr>
          <w:p w:rsidR="00AC0832" w:rsidRDefault="00AC0832">
            <w:pPr>
              <w:pStyle w:val="CellColumn"/>
            </w:pPr>
            <w:r>
              <w:t>15412</w:t>
            </w:r>
          </w:p>
        </w:tc>
      </w:tr>
      <w:tr w:rsidR="00AC0832" w:rsidTr="00BE20ED">
        <w:trPr>
          <w:jc w:val="center"/>
        </w:trPr>
        <w:tc>
          <w:tcPr>
            <w:tcW w:w="1300" w:type="dxa"/>
          </w:tcPr>
          <w:p w:rsidR="00AC0832" w:rsidRDefault="00AC0832">
            <w:pPr>
              <w:pStyle w:val="CellColumn"/>
            </w:pPr>
            <w:r>
              <w:t>Broj provedenih vojnih vježbi</w:t>
            </w:r>
          </w:p>
        </w:tc>
        <w:tc>
          <w:tcPr>
            <w:tcW w:w="1300" w:type="dxa"/>
          </w:tcPr>
          <w:p w:rsidR="00AC0832" w:rsidRDefault="00AC0832">
            <w:pPr>
              <w:pStyle w:val="CellColumn"/>
            </w:pPr>
            <w:r>
              <w:t>Zajednička obuka i provjera u svrhu dostizanja i zadržavanja spremnosti</w:t>
            </w:r>
          </w:p>
        </w:tc>
        <w:tc>
          <w:tcPr>
            <w:tcW w:w="1300" w:type="dxa"/>
          </w:tcPr>
          <w:p w:rsidR="00AC0832" w:rsidRDefault="00AC0832">
            <w:pPr>
              <w:pStyle w:val="CellColumn"/>
            </w:pPr>
            <w:r>
              <w:t>Broj</w:t>
            </w:r>
          </w:p>
        </w:tc>
        <w:tc>
          <w:tcPr>
            <w:tcW w:w="1300" w:type="dxa"/>
          </w:tcPr>
          <w:p w:rsidR="00AC0832" w:rsidRDefault="00AC0832">
            <w:pPr>
              <w:pStyle w:val="CellColumn"/>
            </w:pPr>
            <w:r>
              <w:t>27</w:t>
            </w:r>
          </w:p>
        </w:tc>
        <w:tc>
          <w:tcPr>
            <w:tcW w:w="1300" w:type="dxa"/>
          </w:tcPr>
          <w:p w:rsidR="00AC0832" w:rsidRDefault="00AC0832">
            <w:pPr>
              <w:pStyle w:val="CellColumn"/>
            </w:pPr>
            <w:r>
              <w:t>MO</w:t>
            </w:r>
          </w:p>
        </w:tc>
        <w:tc>
          <w:tcPr>
            <w:tcW w:w="1300" w:type="dxa"/>
          </w:tcPr>
          <w:p w:rsidR="00AC0832" w:rsidRDefault="00AC0832">
            <w:pPr>
              <w:pStyle w:val="CellColumn"/>
            </w:pPr>
            <w:r>
              <w:t>33</w:t>
            </w:r>
          </w:p>
        </w:tc>
        <w:tc>
          <w:tcPr>
            <w:tcW w:w="1300" w:type="dxa"/>
          </w:tcPr>
          <w:p w:rsidR="00AC0832" w:rsidRDefault="00AC0832">
            <w:pPr>
              <w:pStyle w:val="CellColumn"/>
            </w:pPr>
            <w:r>
              <w:t>35</w:t>
            </w:r>
          </w:p>
        </w:tc>
      </w:tr>
    </w:tbl>
    <w:p w:rsidR="00AC0832" w:rsidRDefault="00AC0832">
      <w:pPr>
        <w:jc w:val="left"/>
      </w:pPr>
    </w:p>
    <w:p w:rsidR="00AC0832" w:rsidRDefault="00AC0832">
      <w:pPr>
        <w:pStyle w:val="Heading5"/>
      </w:pPr>
      <w:r>
        <w:t>2502 DOPRINOS KOLEKTIVNOJ OBRANI I MEĐUNARODNOJ SIGURNOSTI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2502-DOPRINOS KOLEKTIVNOJ OBRANI I MEĐUNARODNOJ SIGURNOSTI</w:t>
            </w:r>
          </w:p>
        </w:tc>
        <w:tc>
          <w:tcPr>
            <w:tcW w:w="2322" w:type="dxa"/>
          </w:tcPr>
          <w:p w:rsidR="00AC0832" w:rsidRDefault="00AC0832">
            <w:pPr>
              <w:pStyle w:val="CellColumn"/>
            </w:pPr>
            <w:r>
              <w:t>388.224.183</w:t>
            </w:r>
          </w:p>
        </w:tc>
        <w:tc>
          <w:tcPr>
            <w:tcW w:w="2322" w:type="dxa"/>
          </w:tcPr>
          <w:p w:rsidR="00AC0832" w:rsidRDefault="00AC0832">
            <w:pPr>
              <w:pStyle w:val="CellColumn"/>
            </w:pPr>
            <w:r>
              <w:t>386.048.746</w:t>
            </w:r>
          </w:p>
        </w:tc>
        <w:tc>
          <w:tcPr>
            <w:tcW w:w="2322" w:type="dxa"/>
          </w:tcPr>
          <w:p w:rsidR="00AC0832" w:rsidRDefault="00AC0832">
            <w:pPr>
              <w:pStyle w:val="CellColumn"/>
            </w:pPr>
            <w:r>
              <w:t>99,4</w:t>
            </w:r>
          </w:p>
        </w:tc>
      </w:tr>
    </w:tbl>
    <w:p w:rsidR="00AC0832" w:rsidRDefault="00AC0832">
      <w:pPr>
        <w:jc w:val="left"/>
      </w:pPr>
    </w:p>
    <w:p w:rsidR="00AC0832" w:rsidRDefault="00AC0832">
      <w:pPr>
        <w:pStyle w:val="Heading6"/>
      </w:pPr>
      <w:r>
        <w:t>Opis programa</w:t>
      </w:r>
    </w:p>
    <w:p w:rsidR="00AC0832" w:rsidRDefault="00AC0832">
      <w:pPr>
        <w:pStyle w:val="Normal5"/>
      </w:pPr>
      <w:r>
        <w:t>Ulaskom u NATO i skorim ulaskom u EU, jača i uloga RH na međunarodnoj sigurnosnoj sceni. Članstvom u NATO-u RH se uključila u sustav kolektivne obrane, koji RH daje najveću moguću razinu sigurnosti, ali zahtijeva i njezin doprinos takvom sustavu. U području međunarodne vojne suradnje provodi se niz aktivnosti izgradnje sigurnosti i povjerenja, a pripadnici OS RH aktivno sudjeluju u misijama odgovora na krize u inozemstvu pod okriljem međunarodnih organizacija i saveza. Postrojbe OS RH se deklariraju i pripremaju za sudjelovanje u snagama brzog odgovora NATO-a (NRF), misijama i operacijama pod okriljem UN te borbenim skupinama EU-a (EU Battlegroups). Obrambenom suradnjom i aktivnim sudjelovanjem u regionalnim inicijativama daje se doprinos stabilnosti i razvoju odnosa u regiji. Multilateralna i bilateralna obrambena suradnja utječe na izgradnju i jačanje međusobnog povjerenja i doprinos međunarodnoj sigurnosti. Provedbom međunarodno prihvaćenih obveza u području nadzora naoružanja poboljšava se puna implementacija mjera za izgradnju sigurnosti i povjerenja, kao i provedba prihvaćenih konvencija, globalnih i regionalnih sporazuma, ugovora, programa i mjera na području međunarodne sigurnosti. Slijedom navedenog, utvrđeni su sljedeći ciljevi: Unaprjediti i vojno-diplomatske odnose i međunarodnu obrambenu suradnju i Aktivno sudjelovanje u izgradnji sigurnosnog međunarodnog okruženja. Ovi ciljevi povezani su sa Strategijom vladinih programa za razdoblje 2012. – 2014. godine te njenim Općim ciljem 11: Održavanje javne i državne sigurnosti na najvišoj razini kao i Posebnim ciljem 11.7: Održavanje međunarodne obrambene i policijske suradnje.</w:t>
      </w:r>
    </w:p>
    <w:p w:rsidR="00AC0832" w:rsidRDefault="00AC0832">
      <w:pPr>
        <w:pStyle w:val="Heading6"/>
      </w:pPr>
      <w:r>
        <w:t>Zakonske i druge pravne osnove</w:t>
      </w:r>
    </w:p>
    <w:p w:rsidR="00AC0832" w:rsidRDefault="00AC0832">
      <w:pPr>
        <w:pStyle w:val="Normal5"/>
      </w:pPr>
      <w:r>
        <w:t>Zakon o sudjelovanju pripadnika OS RH, policije, civilne zaštite te državnih službenika i namještenika u mirovnim operacijama i drugim aktivnostima u inozemstvu (NN br. 33/02 i 92/10), Odluke Hrvatskog sabora o sudjelovanju pripadnika OS RH u mirovnim misijama i operacijama, Pravilnik o ustroju i zadaćama vojno-diplomatskih predstavništava RH u inozemstvu, Sporazum o subregionalnoj kontroli naoružanja, Konvencija o zabrani proizvodnje i uporabi protupješačkih mina (Otawska konvencija), Bečki dokument 99, Konvencija o zabrani biološkog i toksinskog oružja (BTWC), Konvencija o određenom konvencionalnom oružju koje ima iznimno traumatsko djelovanje (CCW).</w:t>
      </w:r>
    </w:p>
    <w:p w:rsidR="00AC0832" w:rsidRDefault="00AC0832">
      <w:pPr>
        <w:pStyle w:val="Heading7"/>
      </w:pPr>
      <w:r>
        <w:t>Cilj 1. Unaprjeđenje vojno-diplomatskih odnosa i međunarodne obrambene suradnje</w:t>
      </w:r>
    </w:p>
    <w:p w:rsidR="00AC0832" w:rsidRDefault="00AC0832">
      <w:pPr>
        <w:pStyle w:val="Heading8"/>
        <w:jc w:val="left"/>
      </w:pPr>
      <w:r>
        <w:t>Opis provedbe cilja programa</w:t>
      </w:r>
    </w:p>
    <w:p w:rsidR="00AC0832" w:rsidRDefault="00AC0832">
      <w:pPr>
        <w:pStyle w:val="Normal6"/>
      </w:pPr>
      <w:r>
        <w:t>Međunarodna obrambena suradnja provodila se na nekoliko razina: sudjelovanjem u inicijativama i radu NATO saveza; kroz bilateralnu suradnju sa zemljama partnerima i kroz nastavak rada na započetim projektima i ostalim oblicima ove vrste suradnje; kroz multilateralnu suradnju radom u međunarodnim organizacijama, provedbama međunarodnih sporazuma u području kontrole naoružanja; kroz vojno-diplomatska predstavništva i urede NATO i EU stožerima. Republika Hrvatska je na kraju 2012. godine imala 12 vojno-diplomatskih predstavništava u inozemstvu (10 vojnih izaslanika i dva pomoćnika akreditiranih za 19 zemalja, te dva vojna savjetnika: u Misiji Republike Hrvatske pri Ujedinjenim narodima u New Yorku i Misiji Republike Hrvatske pri OESS-u u Beču). Zbog racionalizacije vojno-diplomatske mreže u 2012. godini su zatvorena vojno-diplomatska predstavništva u Mađarskoj, Ukrajini, Sloveniji i Italiji. Ovaj cilj ostvarivao se putem aktivnosti A545008 Međunarodna suradnja.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Jačanje položaja RH u regiji i kao članice NATO saveza</w:t>
            </w:r>
          </w:p>
        </w:tc>
        <w:tc>
          <w:tcPr>
            <w:tcW w:w="1300" w:type="dxa"/>
          </w:tcPr>
          <w:p w:rsidR="00AC0832" w:rsidRDefault="00AC0832">
            <w:pPr>
              <w:pStyle w:val="CellColumn"/>
            </w:pPr>
            <w:r>
              <w:t>Na povećanje broja djelatnika u NATO strukturama pristupnim aktima smo se obvezali</w:t>
            </w:r>
          </w:p>
        </w:tc>
        <w:tc>
          <w:tcPr>
            <w:tcW w:w="1300" w:type="dxa"/>
          </w:tcPr>
          <w:p w:rsidR="00AC0832" w:rsidRDefault="00AC0832">
            <w:pPr>
              <w:pStyle w:val="CellColumn"/>
            </w:pPr>
            <w:r>
              <w:t>Broj vojno-diplomats kih predstavn ištava</w:t>
            </w:r>
          </w:p>
        </w:tc>
        <w:tc>
          <w:tcPr>
            <w:tcW w:w="1300" w:type="dxa"/>
          </w:tcPr>
          <w:p w:rsidR="00AC0832" w:rsidRDefault="00AC0832">
            <w:pPr>
              <w:pStyle w:val="CellColumn"/>
            </w:pPr>
            <w:r>
              <w:t>21</w:t>
            </w:r>
          </w:p>
        </w:tc>
        <w:tc>
          <w:tcPr>
            <w:tcW w:w="1300" w:type="dxa"/>
          </w:tcPr>
          <w:p w:rsidR="00AC0832" w:rsidRDefault="00AC0832">
            <w:pPr>
              <w:pStyle w:val="CellColumn"/>
            </w:pPr>
            <w:r>
              <w:t>MO</w:t>
            </w:r>
          </w:p>
        </w:tc>
        <w:tc>
          <w:tcPr>
            <w:tcW w:w="1300" w:type="dxa"/>
          </w:tcPr>
          <w:p w:rsidR="00AC0832" w:rsidRDefault="00AC0832">
            <w:pPr>
              <w:pStyle w:val="CellColumn"/>
            </w:pPr>
            <w:r>
              <w:t>20</w:t>
            </w:r>
          </w:p>
        </w:tc>
        <w:tc>
          <w:tcPr>
            <w:tcW w:w="1300" w:type="dxa"/>
          </w:tcPr>
          <w:p w:rsidR="00AC0832" w:rsidRDefault="00AC0832">
            <w:pPr>
              <w:pStyle w:val="CellColumn"/>
            </w:pPr>
            <w:r>
              <w:t>12</w:t>
            </w:r>
          </w:p>
        </w:tc>
      </w:tr>
    </w:tbl>
    <w:p w:rsidR="00AC0832" w:rsidRDefault="00AC0832">
      <w:pPr>
        <w:jc w:val="left"/>
      </w:pPr>
    </w:p>
    <w:p w:rsidR="00AC0832" w:rsidRDefault="00AC0832">
      <w:pPr>
        <w:pStyle w:val="Heading7"/>
      </w:pPr>
      <w:r>
        <w:t xml:space="preserve">Cilj 2. Aktivno sudjelovanje u izgradnji sigurnosnog međunarodnog okruženja </w:t>
      </w:r>
    </w:p>
    <w:p w:rsidR="00AC0832" w:rsidRDefault="00AC0832">
      <w:pPr>
        <w:pStyle w:val="Heading8"/>
        <w:jc w:val="left"/>
      </w:pPr>
      <w:r>
        <w:t>Opis provedbe cilja programa</w:t>
      </w:r>
    </w:p>
    <w:p w:rsidR="00AC0832" w:rsidRDefault="00AC0832">
      <w:pPr>
        <w:pStyle w:val="Normal6"/>
      </w:pPr>
      <w:r>
        <w:t>Poseban i iznimno važan doprinos Oružanih snaga međunarodnom položaju i ugledu RH je sudjelovanje pripadnika Oružanih snaga u međunarodnim mirovnim misijama i operacijama. U 2012. godini pripadnici Oružanih snaga RH sudjelovali su u 10 mirovnih misIja i operacija pod okriljem NATO, UN te borbenim skupinama EU. Ovaj cilj ostvarivao se kroz aktivnost A545037 Troškovi mirovnih misija.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17"/>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Doprinos stabilnosti, miru i demokraciji u svijetu</w:t>
            </w:r>
          </w:p>
        </w:tc>
        <w:tc>
          <w:tcPr>
            <w:tcW w:w="1300" w:type="dxa"/>
          </w:tcPr>
          <w:p w:rsidR="00AC0832" w:rsidRDefault="00AC0832">
            <w:pPr>
              <w:pStyle w:val="CellColumn"/>
            </w:pPr>
            <w:r>
              <w:t>Združenim djelovanjem sa saveznicima u mirovnim misijama i operacijama doprinjeti smanjenju kriznih točaka u svijetu</w:t>
            </w:r>
          </w:p>
        </w:tc>
        <w:tc>
          <w:tcPr>
            <w:tcW w:w="1300" w:type="dxa"/>
          </w:tcPr>
          <w:p w:rsidR="00AC0832" w:rsidRDefault="00AC0832">
            <w:pPr>
              <w:pStyle w:val="CellColumn"/>
            </w:pPr>
            <w:r>
              <w:t>Broj</w:t>
            </w:r>
          </w:p>
        </w:tc>
        <w:tc>
          <w:tcPr>
            <w:tcW w:w="1300" w:type="dxa"/>
          </w:tcPr>
          <w:p w:rsidR="00AC0832" w:rsidRDefault="00AC0832">
            <w:pPr>
              <w:pStyle w:val="CellColumn"/>
            </w:pPr>
            <w:r>
              <w:t>10</w:t>
            </w:r>
          </w:p>
        </w:tc>
        <w:tc>
          <w:tcPr>
            <w:tcW w:w="1300" w:type="dxa"/>
          </w:tcPr>
          <w:p w:rsidR="00AC0832" w:rsidRDefault="00AC0832">
            <w:pPr>
              <w:pStyle w:val="CellColumn"/>
            </w:pPr>
            <w:r>
              <w:t>MO</w:t>
            </w:r>
          </w:p>
        </w:tc>
        <w:tc>
          <w:tcPr>
            <w:tcW w:w="1300" w:type="dxa"/>
          </w:tcPr>
          <w:p w:rsidR="00AC0832" w:rsidRDefault="00AC0832">
            <w:pPr>
              <w:pStyle w:val="CellColumn"/>
            </w:pPr>
            <w:r>
              <w:t>13</w:t>
            </w:r>
          </w:p>
        </w:tc>
        <w:tc>
          <w:tcPr>
            <w:tcW w:w="1300" w:type="dxa"/>
          </w:tcPr>
          <w:p w:rsidR="00AC0832" w:rsidRDefault="00AC0832">
            <w:pPr>
              <w:pStyle w:val="CellColumn"/>
            </w:pPr>
            <w:r>
              <w:t>10</w:t>
            </w:r>
          </w:p>
        </w:tc>
      </w:tr>
    </w:tbl>
    <w:p w:rsidR="00AC0832" w:rsidRDefault="00AC0832">
      <w:pPr>
        <w:jc w:val="left"/>
      </w:pPr>
    </w:p>
    <w:p w:rsidR="00AC0832" w:rsidRDefault="00AC0832">
      <w:pPr>
        <w:pStyle w:val="Heading6"/>
      </w:pPr>
      <w:r>
        <w:t>A545008 MEĐUNARODNA SURADNJA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A545008-MEĐUNARODNA SURADNJA</w:t>
            </w:r>
          </w:p>
        </w:tc>
        <w:tc>
          <w:tcPr>
            <w:tcW w:w="2322" w:type="dxa"/>
          </w:tcPr>
          <w:p w:rsidR="00AC0832" w:rsidRDefault="00AC0832">
            <w:pPr>
              <w:pStyle w:val="CellColumn"/>
            </w:pPr>
            <w:r>
              <w:t>62.659.381</w:t>
            </w:r>
          </w:p>
        </w:tc>
        <w:tc>
          <w:tcPr>
            <w:tcW w:w="2322" w:type="dxa"/>
          </w:tcPr>
          <w:p w:rsidR="00AC0832" w:rsidRDefault="00AC0832">
            <w:pPr>
              <w:pStyle w:val="CellColumn"/>
            </w:pPr>
            <w:r>
              <w:t>62.576.439</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Međunarodna obrambena suradnja odvijala se kroz bilateralne i multilateralne aktivnosti u potpori razvoju naših obrambenih sposobnosti, pune integracije u NATO i EU, jačanje stabilnosti, sigurnosti i povjerenja u jugoistočnoj Europi te aktivnim sudjelovanjem u tijelima i forumima međunarodnih organizacija i inicijativa. Tijekom 2012. godine ključni prioriteti obrambene politike u odnosu na NATO savez odnosili su se na nastavak integracije u NATO strukture, implementaciju koncepta Pametne obrane (Smart Defence) te usklađivanje nacionalnog sa savezničkim obrambenim planiranjem. U 2012. godini najvažnija aktivnost u suradnji sa Savezom u području obrambenog planiranja bila je usklađivanje i pripremanje novoga hrvatskog paketa Ciljeva sposobnosti.  Najveća izmjena u odnosu na sadašnji paket Ciljeva snaga je ta što se tijekom ovoga ciklusa uvodi proces planiranja temeljen na razvoju sposobnosti te što se za dio novih Ciljeva sposobnosti predviđa sudjelovanje drugih državnih tijela i institucija u svojstvu nositelja njihove implementacije (Ministarstvo vanjskih i europskih poslova, Ministarstvo unutarnjih poslova, Državna uprava za zaštitu i spašavanje, i dr.). Uključenje u projekte i aktivnosti Zajedničke sigurnosne i obrambene politike EU-a provodilo se kao proces kompatibilan s djelovanjem u okviru NATO-a te u skladu s tim razvijao se jedinstveni set snaga za misije i zadaće u okviru jedne i druge organizacije. Tijekom 2012. godine, u sklopu procesa pristupanja EU-u, Republika Hrvatska nastavila je sudjelovati u radnim skupinama Vijeća EU-a koje se bave sigurnosnom i obrambenom politikom te na sastancima Političko-sigurnosnog odbora. U području izgradnje obrambenih sposobnosti EU-a za upravljanje krizama Republika Hrvatska se uključila u Srednjoeuropsku inicijativu za udruživanje i razmjenu sposobnosti (Pooling &amp; Sharing). Najznačajniji partneri u bilatelarnoj vojnoj suradnji u 2012. godini bile su Sjedinjene Američke Države, Italija, Slovenija, Poljska, SR Njemačka i Austrija. Multilateralna obrambena suradnja odvijala se kroz sudjelovanje u radu međunarodnih organizacija - Ujedinjeni narodi (UN), Organizacija za europsku sigurnost i suradnju (OESS).  Tijekom 2012. nastavljeno je sudjelovanje u regionalnim inicijativama poput Američko-jadranska povelje, Forumu ministara obrane zemalja Jugoistočne Europe (SEDM), Jadransko-jonskoj inicijativi, RACVIAC – Centru za sigurnosnu suradnju te drugim regionalnim inicijativama.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17"/>
        <w:gridCol w:w="1562"/>
        <w:gridCol w:w="1159"/>
        <w:gridCol w:w="1209"/>
        <w:gridCol w:w="1196"/>
        <w:gridCol w:w="1209"/>
        <w:gridCol w:w="123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djelatnika u vojno-diplomatskim predstavništvima i institucijama NATO-a i EU-a</w:t>
            </w:r>
          </w:p>
        </w:tc>
        <w:tc>
          <w:tcPr>
            <w:tcW w:w="1300" w:type="dxa"/>
          </w:tcPr>
          <w:p w:rsidR="00AC0832" w:rsidRDefault="00AC0832">
            <w:pPr>
              <w:pStyle w:val="CellColumn"/>
            </w:pPr>
            <w:r>
              <w:t>Na povećanje broja djelatnika u NATO strukturama obvezali smo se pristupnim aktima</w:t>
            </w:r>
          </w:p>
        </w:tc>
        <w:tc>
          <w:tcPr>
            <w:tcW w:w="1300" w:type="dxa"/>
          </w:tcPr>
          <w:p w:rsidR="00AC0832" w:rsidRDefault="00AC0832">
            <w:pPr>
              <w:pStyle w:val="CellColumn"/>
            </w:pPr>
            <w:r>
              <w:t>Broj</w:t>
            </w:r>
          </w:p>
        </w:tc>
        <w:tc>
          <w:tcPr>
            <w:tcW w:w="1300" w:type="dxa"/>
          </w:tcPr>
          <w:p w:rsidR="00AC0832" w:rsidRDefault="00AC0832">
            <w:pPr>
              <w:pStyle w:val="CellColumn"/>
            </w:pPr>
            <w:r>
              <w:t>64</w:t>
            </w:r>
          </w:p>
        </w:tc>
        <w:tc>
          <w:tcPr>
            <w:tcW w:w="1300" w:type="dxa"/>
          </w:tcPr>
          <w:p w:rsidR="00AC0832" w:rsidRDefault="00AC0832">
            <w:pPr>
              <w:pStyle w:val="CellColumn"/>
            </w:pPr>
            <w:r>
              <w:t>MO</w:t>
            </w:r>
          </w:p>
        </w:tc>
        <w:tc>
          <w:tcPr>
            <w:tcW w:w="1300" w:type="dxa"/>
          </w:tcPr>
          <w:p w:rsidR="00AC0832" w:rsidRDefault="00AC0832">
            <w:pPr>
              <w:pStyle w:val="CellColumn"/>
            </w:pPr>
            <w:r>
              <w:t>86</w:t>
            </w:r>
          </w:p>
        </w:tc>
        <w:tc>
          <w:tcPr>
            <w:tcW w:w="1300" w:type="dxa"/>
          </w:tcPr>
          <w:p w:rsidR="00AC0832" w:rsidRDefault="00AC0832">
            <w:pPr>
              <w:pStyle w:val="CellColumn"/>
            </w:pPr>
            <w:r>
              <w:t>58</w:t>
            </w:r>
          </w:p>
        </w:tc>
      </w:tr>
      <w:tr w:rsidR="00AC0832" w:rsidTr="00BE20ED">
        <w:trPr>
          <w:jc w:val="center"/>
        </w:trPr>
        <w:tc>
          <w:tcPr>
            <w:tcW w:w="1300" w:type="dxa"/>
          </w:tcPr>
          <w:p w:rsidR="00AC0832" w:rsidRDefault="00AC0832">
            <w:pPr>
              <w:pStyle w:val="CellColumn"/>
            </w:pPr>
            <w:r>
              <w:t>Broj provedenih NATO, bilateralnih i multilateralnih aktivnosti</w:t>
            </w:r>
          </w:p>
        </w:tc>
        <w:tc>
          <w:tcPr>
            <w:tcW w:w="1300" w:type="dxa"/>
          </w:tcPr>
          <w:p w:rsidR="00AC0832" w:rsidRDefault="00AC0832">
            <w:pPr>
              <w:pStyle w:val="CellColumn"/>
            </w:pPr>
            <w:r>
              <w:t>Provedba aktivnosti usmjerena je na podupiranje hrvatske sigur. i vanjske politike, potpisanim sporazumima i preuzetim obvezama u međunarodnim organizacijama</w:t>
            </w:r>
          </w:p>
        </w:tc>
        <w:tc>
          <w:tcPr>
            <w:tcW w:w="1300" w:type="dxa"/>
          </w:tcPr>
          <w:p w:rsidR="00AC0832" w:rsidRDefault="00AC0832">
            <w:pPr>
              <w:pStyle w:val="CellColumn"/>
            </w:pPr>
            <w:r>
              <w:t>Broj</w:t>
            </w:r>
          </w:p>
        </w:tc>
        <w:tc>
          <w:tcPr>
            <w:tcW w:w="1300" w:type="dxa"/>
          </w:tcPr>
          <w:p w:rsidR="00AC0832" w:rsidRDefault="00AC0832">
            <w:pPr>
              <w:pStyle w:val="CellColumn"/>
            </w:pPr>
            <w:r>
              <w:t>1111</w:t>
            </w:r>
          </w:p>
        </w:tc>
        <w:tc>
          <w:tcPr>
            <w:tcW w:w="1300" w:type="dxa"/>
          </w:tcPr>
          <w:p w:rsidR="00AC0832" w:rsidRDefault="00AC0832">
            <w:pPr>
              <w:pStyle w:val="CellColumn"/>
            </w:pPr>
            <w:r>
              <w:t>MO</w:t>
            </w:r>
          </w:p>
        </w:tc>
        <w:tc>
          <w:tcPr>
            <w:tcW w:w="1300" w:type="dxa"/>
          </w:tcPr>
          <w:p w:rsidR="00AC0832" w:rsidRDefault="00AC0832">
            <w:pPr>
              <w:pStyle w:val="CellColumn"/>
            </w:pPr>
            <w:r>
              <w:t>1200</w:t>
            </w:r>
          </w:p>
        </w:tc>
        <w:tc>
          <w:tcPr>
            <w:tcW w:w="1300" w:type="dxa"/>
          </w:tcPr>
          <w:p w:rsidR="00AC0832" w:rsidRDefault="00AC0832">
            <w:pPr>
              <w:pStyle w:val="CellColumn"/>
            </w:pPr>
            <w:r>
              <w:t>461</w:t>
            </w:r>
          </w:p>
        </w:tc>
      </w:tr>
      <w:tr w:rsidR="00AC0832" w:rsidTr="00BE20ED">
        <w:trPr>
          <w:jc w:val="center"/>
        </w:trPr>
        <w:tc>
          <w:tcPr>
            <w:tcW w:w="1300" w:type="dxa"/>
          </w:tcPr>
          <w:p w:rsidR="00AC0832" w:rsidRDefault="00AC0832">
            <w:pPr>
              <w:pStyle w:val="CellColumn"/>
            </w:pPr>
            <w:r>
              <w:t>Broj provedenih aktivnosti (inspekcija, evaluacija, posjeta) za nadzor naoružanja</w:t>
            </w:r>
          </w:p>
        </w:tc>
        <w:tc>
          <w:tcPr>
            <w:tcW w:w="1300" w:type="dxa"/>
          </w:tcPr>
          <w:p w:rsidR="00AC0832" w:rsidRDefault="00AC0832">
            <w:pPr>
              <w:pStyle w:val="CellColumn"/>
            </w:pPr>
            <w:r>
              <w:t>Provedbom međunaraodno prihvaćenih obveza osigurava se potpora izvršenju općeg cilja</w:t>
            </w:r>
          </w:p>
        </w:tc>
        <w:tc>
          <w:tcPr>
            <w:tcW w:w="1300" w:type="dxa"/>
          </w:tcPr>
          <w:p w:rsidR="00AC0832" w:rsidRDefault="00AC0832">
            <w:pPr>
              <w:pStyle w:val="CellColumn"/>
            </w:pPr>
            <w:r>
              <w:t>Broj</w:t>
            </w:r>
          </w:p>
        </w:tc>
        <w:tc>
          <w:tcPr>
            <w:tcW w:w="1300" w:type="dxa"/>
          </w:tcPr>
          <w:p w:rsidR="00AC0832" w:rsidRDefault="00AC0832">
            <w:pPr>
              <w:pStyle w:val="CellColumn"/>
            </w:pPr>
            <w:r>
              <w:t>97</w:t>
            </w:r>
          </w:p>
        </w:tc>
        <w:tc>
          <w:tcPr>
            <w:tcW w:w="1300" w:type="dxa"/>
          </w:tcPr>
          <w:p w:rsidR="00AC0832" w:rsidRDefault="00AC0832">
            <w:pPr>
              <w:pStyle w:val="CellColumn"/>
            </w:pPr>
            <w:r>
              <w:t>MO</w:t>
            </w:r>
          </w:p>
        </w:tc>
        <w:tc>
          <w:tcPr>
            <w:tcW w:w="1300" w:type="dxa"/>
          </w:tcPr>
          <w:p w:rsidR="00AC0832" w:rsidRDefault="00AC0832">
            <w:pPr>
              <w:pStyle w:val="CellColumn"/>
            </w:pPr>
            <w:r>
              <w:t>100</w:t>
            </w:r>
          </w:p>
        </w:tc>
        <w:tc>
          <w:tcPr>
            <w:tcW w:w="1300" w:type="dxa"/>
          </w:tcPr>
          <w:p w:rsidR="00AC0832" w:rsidRDefault="00AC0832">
            <w:pPr>
              <w:pStyle w:val="CellColumn"/>
            </w:pPr>
            <w:r>
              <w:t>70</w:t>
            </w:r>
          </w:p>
        </w:tc>
      </w:tr>
    </w:tbl>
    <w:p w:rsidR="00AC0832" w:rsidRDefault="00AC0832">
      <w:pPr>
        <w:jc w:val="left"/>
      </w:pPr>
    </w:p>
    <w:p w:rsidR="00AC0832" w:rsidRDefault="00AC0832">
      <w:pPr>
        <w:pStyle w:val="Heading6"/>
      </w:pPr>
      <w:r>
        <w:t>A545037 TROŠKOVI MIROVNIH MISIJA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A545037-TROŠKOVI MIROVNIH MISIJA</w:t>
            </w:r>
          </w:p>
        </w:tc>
        <w:tc>
          <w:tcPr>
            <w:tcW w:w="2322" w:type="dxa"/>
          </w:tcPr>
          <w:p w:rsidR="00AC0832" w:rsidRDefault="00AC0832">
            <w:pPr>
              <w:pStyle w:val="CellColumn"/>
            </w:pPr>
            <w:r>
              <w:t>325.564.802</w:t>
            </w:r>
          </w:p>
        </w:tc>
        <w:tc>
          <w:tcPr>
            <w:tcW w:w="2322" w:type="dxa"/>
          </w:tcPr>
          <w:p w:rsidR="00AC0832" w:rsidRDefault="00AC0832">
            <w:pPr>
              <w:pStyle w:val="CellColumn"/>
            </w:pPr>
            <w:r>
              <w:t>323.472.307</w:t>
            </w:r>
          </w:p>
        </w:tc>
        <w:tc>
          <w:tcPr>
            <w:tcW w:w="2322" w:type="dxa"/>
          </w:tcPr>
          <w:p w:rsidR="00AC0832" w:rsidRDefault="00AC0832">
            <w:pPr>
              <w:pStyle w:val="CellColumn"/>
            </w:pPr>
            <w:r>
              <w:t>99,4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Sudjelovanje u međunarodnim mirovnim operacijama i misijama u skladu je sa strateškim opredjeljenjem Republike Hrvatske, čime se naša država svrstava među odgovorne članice međunarodne zajednice koje su spremne preuzeti svoj dio tereta međunarodne sigurnosti. U 2012. godini ukupno je 1396 pripadnika Oružanih snaga sudjelovalo u NATO i EU vođenim operacijama te misijama Ujedinjenih naroda. U NATO mirovnoj operaciji ISAF u Afganistanu sudjelovanje Oružanih snaga RH naročito je bilo izraženo u području zaštite snaga i području obučavanja i mentoriranja afganistanske vojske i policije. S obzirom na planirani završetak operacije ISAF do kraja 2014. godine, tijekom 2012. započet je proces postupnog smanjenja snaga na terenu. Oružane snage RH i u 2012. godini nastavile su sudjelovati u NATO mirovnoj operaciji KFOR  na Kosovu, ispunjavanjem zadaća zračnog transporta ljudi i robe te logističke potpore. Također je u 2012. nastavljeno sudjelovanje u operaciji EU NAVFOR Somalija – ATALANTA čiji je cilj borba protiv piratstva i povećanje sigurnosti plovidbe na glavnim svjetskim trgovinskim putovima uz Rog Afrike i u većem dijelu Indijskog oceana. Pripadnici Oružanih snaga RH sudjelovali su radom na stožernim dužnostima u zapovjedništvu operacije, ukrcajem na brodove zemalja saveznika (Belgija, Italija, Njemačka i Francuska) te u logističkoj bazi operacije u Džibutiju. Pod okriljem Ujedinjenih naroda Oružane snage RH su u 2012. godini sudjelovale u sedam mirovnih misija UN-a u svojstvu stožernog osoblja, vojnih promatrača ili u sastavu postrojbe na Golanskoj visoravni. Republika Hrvatska je sudjelovala u UN misijama UNMOGIP (Indija i Pakistan), MINURSO (Zapadna Sahara), UNMIL (Liberija), UNFICYP (Cipar), UNIFIL  (Libanon) i UNDOF (Golanska visoravan). Sudjelovanje u UN misiji UNSMIS (Sirija) završeno je u kolovozu 2012. zbog završetka UN misije.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495"/>
        <w:gridCol w:w="1298"/>
        <w:gridCol w:w="1299"/>
        <w:gridCol w:w="1299"/>
        <w:gridCol w:w="1299"/>
        <w:gridCol w:w="129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mirovnih misija</w:t>
            </w:r>
          </w:p>
        </w:tc>
        <w:tc>
          <w:tcPr>
            <w:tcW w:w="1300" w:type="dxa"/>
          </w:tcPr>
          <w:p w:rsidR="00AC0832" w:rsidRDefault="00AC0832">
            <w:pPr>
              <w:pStyle w:val="CellColumn"/>
            </w:pPr>
            <w:r>
              <w:t>Očuvanje mira i stabilnosti sudjelovanjem u mirovnim misijama</w:t>
            </w:r>
          </w:p>
        </w:tc>
        <w:tc>
          <w:tcPr>
            <w:tcW w:w="1300" w:type="dxa"/>
          </w:tcPr>
          <w:p w:rsidR="00AC0832" w:rsidRDefault="00AC0832">
            <w:pPr>
              <w:pStyle w:val="CellColumn"/>
            </w:pPr>
            <w:r>
              <w:t>Broj</w:t>
            </w:r>
          </w:p>
        </w:tc>
        <w:tc>
          <w:tcPr>
            <w:tcW w:w="1300" w:type="dxa"/>
          </w:tcPr>
          <w:p w:rsidR="00AC0832" w:rsidRDefault="00AC0832">
            <w:pPr>
              <w:pStyle w:val="CellColumn"/>
            </w:pPr>
            <w:r>
              <w:t>7</w:t>
            </w:r>
          </w:p>
        </w:tc>
        <w:tc>
          <w:tcPr>
            <w:tcW w:w="1300" w:type="dxa"/>
          </w:tcPr>
          <w:p w:rsidR="00AC0832" w:rsidRDefault="00AC0832">
            <w:pPr>
              <w:pStyle w:val="CellColumn"/>
            </w:pPr>
            <w:r>
              <w:t>MO</w:t>
            </w:r>
          </w:p>
        </w:tc>
        <w:tc>
          <w:tcPr>
            <w:tcW w:w="1300" w:type="dxa"/>
          </w:tcPr>
          <w:p w:rsidR="00AC0832" w:rsidRDefault="00AC0832">
            <w:pPr>
              <w:pStyle w:val="CellColumn"/>
            </w:pPr>
            <w:r>
              <w:t>7</w:t>
            </w:r>
          </w:p>
        </w:tc>
        <w:tc>
          <w:tcPr>
            <w:tcW w:w="1300" w:type="dxa"/>
          </w:tcPr>
          <w:p w:rsidR="00AC0832" w:rsidRDefault="00AC0832">
            <w:pPr>
              <w:pStyle w:val="CellColumn"/>
            </w:pPr>
            <w:r>
              <w:t>7</w:t>
            </w:r>
          </w:p>
        </w:tc>
      </w:tr>
      <w:tr w:rsidR="00AC0832" w:rsidTr="00BE20ED">
        <w:trPr>
          <w:jc w:val="center"/>
        </w:trPr>
        <w:tc>
          <w:tcPr>
            <w:tcW w:w="1300" w:type="dxa"/>
          </w:tcPr>
          <w:p w:rsidR="00AC0832" w:rsidRDefault="00AC0832">
            <w:pPr>
              <w:pStyle w:val="CellColumn"/>
            </w:pPr>
            <w:r>
              <w:t>Broj mirovnih operacija</w:t>
            </w:r>
          </w:p>
        </w:tc>
        <w:tc>
          <w:tcPr>
            <w:tcW w:w="1300" w:type="dxa"/>
          </w:tcPr>
          <w:p w:rsidR="00AC0832" w:rsidRDefault="00AC0832">
            <w:pPr>
              <w:pStyle w:val="CellColumn"/>
            </w:pPr>
            <w:r>
              <w:t>Pomoć civilnim institucijama u očuvanju civilne-demokratske vlasti zajedno sa saveznicima</w:t>
            </w:r>
          </w:p>
        </w:tc>
        <w:tc>
          <w:tcPr>
            <w:tcW w:w="1300" w:type="dxa"/>
          </w:tcPr>
          <w:p w:rsidR="00AC0832" w:rsidRDefault="00AC0832">
            <w:pPr>
              <w:pStyle w:val="CellColumn"/>
            </w:pPr>
            <w:r>
              <w:t>Broj</w:t>
            </w:r>
          </w:p>
        </w:tc>
        <w:tc>
          <w:tcPr>
            <w:tcW w:w="1300" w:type="dxa"/>
          </w:tcPr>
          <w:p w:rsidR="00AC0832" w:rsidRDefault="00AC0832">
            <w:pPr>
              <w:pStyle w:val="CellColumn"/>
            </w:pPr>
            <w:r>
              <w:t>3</w:t>
            </w:r>
          </w:p>
        </w:tc>
        <w:tc>
          <w:tcPr>
            <w:tcW w:w="1300" w:type="dxa"/>
          </w:tcPr>
          <w:p w:rsidR="00AC0832" w:rsidRDefault="00AC0832">
            <w:pPr>
              <w:pStyle w:val="CellColumn"/>
            </w:pPr>
            <w:r>
              <w:t>MO</w:t>
            </w:r>
          </w:p>
        </w:tc>
        <w:tc>
          <w:tcPr>
            <w:tcW w:w="1300" w:type="dxa"/>
          </w:tcPr>
          <w:p w:rsidR="00AC0832" w:rsidRDefault="00AC0832">
            <w:pPr>
              <w:pStyle w:val="CellColumn"/>
            </w:pPr>
            <w:r>
              <w:t>6</w:t>
            </w:r>
          </w:p>
        </w:tc>
        <w:tc>
          <w:tcPr>
            <w:tcW w:w="1300" w:type="dxa"/>
          </w:tcPr>
          <w:p w:rsidR="00AC0832" w:rsidRDefault="00AC0832">
            <w:pPr>
              <w:pStyle w:val="CellColumn"/>
            </w:pPr>
            <w:r>
              <w:t>3</w:t>
            </w:r>
          </w:p>
        </w:tc>
      </w:tr>
    </w:tbl>
    <w:p w:rsidR="00AC0832" w:rsidRDefault="00AC0832">
      <w:pPr>
        <w:jc w:val="left"/>
      </w:pPr>
    </w:p>
    <w:p w:rsidR="00AC0832" w:rsidRDefault="00AC0832">
      <w:pPr>
        <w:pStyle w:val="Heading5"/>
      </w:pPr>
      <w:r>
        <w:t>2503 OSTALE ZADAĆE ORUŽANIH SNAGA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2503-OSTALE ZADAĆE ORUŽANIH SNAGA</w:t>
            </w:r>
          </w:p>
        </w:tc>
        <w:tc>
          <w:tcPr>
            <w:tcW w:w="2322" w:type="dxa"/>
          </w:tcPr>
          <w:p w:rsidR="00AC0832" w:rsidRDefault="00AC0832">
            <w:pPr>
              <w:pStyle w:val="CellColumn"/>
            </w:pPr>
            <w:r>
              <w:t>104.651.259</w:t>
            </w:r>
          </w:p>
        </w:tc>
        <w:tc>
          <w:tcPr>
            <w:tcW w:w="2322" w:type="dxa"/>
          </w:tcPr>
          <w:p w:rsidR="00AC0832" w:rsidRDefault="00AC0832">
            <w:pPr>
              <w:pStyle w:val="CellColumn"/>
            </w:pPr>
            <w:r>
              <w:t>103.380.587</w:t>
            </w:r>
          </w:p>
        </w:tc>
        <w:tc>
          <w:tcPr>
            <w:tcW w:w="2322" w:type="dxa"/>
          </w:tcPr>
          <w:p w:rsidR="00AC0832" w:rsidRDefault="00AC0832">
            <w:pPr>
              <w:pStyle w:val="CellColumn"/>
            </w:pPr>
            <w:r>
              <w:t>98,8</w:t>
            </w:r>
          </w:p>
        </w:tc>
      </w:tr>
    </w:tbl>
    <w:p w:rsidR="00AC0832" w:rsidRDefault="00AC0832">
      <w:pPr>
        <w:jc w:val="left"/>
      </w:pPr>
    </w:p>
    <w:p w:rsidR="00AC0832" w:rsidRDefault="00AC0832">
      <w:pPr>
        <w:pStyle w:val="Heading6"/>
      </w:pPr>
      <w:r>
        <w:t>Opis programa</w:t>
      </w:r>
    </w:p>
    <w:p w:rsidR="00AC0832" w:rsidRDefault="00AC0832">
      <w:pPr>
        <w:pStyle w:val="Normal5"/>
      </w:pPr>
      <w:r>
        <w:t>Pored obavljanja tradicionalnih vojnih zadaća, važna zadaća obrambenog sustava u mirnodopskim uvjetima je pružanje potpore civilnim institucijama u zemlji. Povezivanjem s drugim ministarstvima, tijelima državne uprave i ostalim civilniminstitucijama, MO i OS RH pružaju pomoć i angažiraju se u čitavom nizu nevojnih aktivnosti usmjerenih na povećanje sigurnosti građana RH, prevenciju i uklanjanje posljedica radnji i događaja štetnih po građane, imovinu i prirodna bogatstva RH te pružanje zdravstvene, humanitarne i druge pomoći sukladno raspoloživom ljudstvu i materijalnim resursima. Ministarstvo obrane sposobnosti razvijene za potporu civilnim vlastima također angažira prema potrebi i u humanitarnim aktivnostima u inozemstvu. U ovim netradicionalnim vojnim zadaćama obrambeni sustav u mirnodopsko vrijeme na najbolji način pokazuje svoju opću društvenu korisnost. Slijedom navedenog, utvrđuju se sljedeći ciljevi: Zaštićena prava i interesi Republike Hrvatske na moru, Zaštićeni ljudi i materijalna dobra tijekom protupožarne sezone. Ovi ciljevi povezani su sa Strategijom vladinih programa za razdoblje 2012. – 2014. godine te njenim Općim ciljem 11: Održavanje javne i državne sigurnosti na najvišoj razini kao i Posebnim ciljem 11.5: Smanjiti opasnosti i posljedice od elementarnih nepogoda.</w:t>
      </w:r>
    </w:p>
    <w:p w:rsidR="00AC0832" w:rsidRDefault="00AC0832">
      <w:pPr>
        <w:pStyle w:val="Heading6"/>
      </w:pPr>
      <w:r>
        <w:t>Zakonske i druge pravne osnove</w:t>
      </w:r>
    </w:p>
    <w:p w:rsidR="00AC0832" w:rsidRDefault="00AC0832">
      <w:pPr>
        <w:pStyle w:val="Normal5"/>
      </w:pPr>
      <w:r>
        <w:t>Zakon o obalnoj straži RH (NN br. 109/07), Odluka Hrvatskog sabora o proširenju jurisdikcije RH na Jadranskom moru, Zakon o zaštiti od elementarnih nepogoda, Plan intervencija kod velikih požara otvorenog prostora na teritoriju RH, Plan uporabe OS RH u PP sezoni.</w:t>
      </w:r>
    </w:p>
    <w:p w:rsidR="00AC0832" w:rsidRDefault="00AC0832">
      <w:pPr>
        <w:pStyle w:val="Heading7"/>
      </w:pPr>
      <w:r>
        <w:t xml:space="preserve">Cilj 1. Zaštićena prava i interesi Republike Hrvatske na moru </w:t>
      </w:r>
    </w:p>
    <w:p w:rsidR="00AC0832" w:rsidRDefault="00AC0832">
      <w:pPr>
        <w:pStyle w:val="Heading8"/>
        <w:jc w:val="left"/>
      </w:pPr>
      <w:r>
        <w:t>Opis provedbe cilja programa</w:t>
      </w:r>
    </w:p>
    <w:p w:rsidR="00AC0832" w:rsidRDefault="00AC0832">
      <w:pPr>
        <w:pStyle w:val="Normal6"/>
      </w:pPr>
      <w:r>
        <w:t>Djelovanjem Obalne straže štitili su se interesi RH na moru te se smanile ugroze za sigurnost građana, imovine, gospodarstva i prirodnih bogatstava Republike Hrvatske. Obalna straža Republike Hrvatske koja je ustrojena u okviru Hrvatske ratne mornarice, svojim sposobnostima i raspoloživim resursima, samostalno ili pružanjem potpore drugim državnim tijelima, uspješno je provodila aktivnosti u zaštiti prava i interesa Republike Hrvatske na moru, pružala potporu sigurnosti plovidbe, traganju i spašavanju, pratila kretanja stranih brodova i nadzirala sve aktivnosti u zaštićenom ekološko-ribolovnom pojasu (ZERP), epikontinentalnom pojasu i na otvorenom moru. Ovaj cilj ostvarivao se putem aktivnosti A545039 Obalna straža.</w:t>
      </w:r>
    </w:p>
    <w:p w:rsidR="00AC0832" w:rsidRDefault="00AC0832">
      <w:pPr>
        <w:pStyle w:val="Heading7"/>
      </w:pPr>
      <w:r>
        <w:t>Cilj 2. Zaštićeni ljudi i materijalna dobra tijekom protupožarne sezone</w:t>
      </w:r>
    </w:p>
    <w:p w:rsidR="00AC0832" w:rsidRDefault="00AC0832">
      <w:pPr>
        <w:pStyle w:val="Heading8"/>
        <w:jc w:val="left"/>
      </w:pPr>
      <w:r>
        <w:t>Opis provedbe cilja programa</w:t>
      </w:r>
    </w:p>
    <w:p w:rsidR="00AC0832" w:rsidRDefault="00AC0832">
      <w:pPr>
        <w:pStyle w:val="Normal6"/>
      </w:pPr>
      <w:r>
        <w:t>Uspješno su provedene posebne mjere zaštite od požara te je pružena potrebna pomoć i potpora civilnim institucijama za zaštitu i spašavanje u gašenju požara tijekom protupožarne sezone. Ustrojavanjem NOS (Namjenski organizirane snage) sastavljenim od dijelova snaga Hrvatske kopnene vojske, Hrvatskog ratnog zrakoplovstva i protuzračne obrane i Hrvatske ratne mornarice realizirana je aktivnost pružanja pomoći i potpore vatrogasnim postrojbama i drugim civilnim institucijama. Ovaj cilj ostvarivao se kroz aktivnost A545035 Protupožarna zaštita.</w:t>
      </w:r>
    </w:p>
    <w:p w:rsidR="00AC0832" w:rsidRDefault="00AC0832">
      <w:pPr>
        <w:pStyle w:val="Heading6"/>
      </w:pPr>
      <w:r>
        <w:t>A545035 PROTUPOŽARNA ZAŠTITA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A545035-PROTUPOŽARNA ZAŠTITA</w:t>
            </w:r>
          </w:p>
        </w:tc>
        <w:tc>
          <w:tcPr>
            <w:tcW w:w="2322" w:type="dxa"/>
          </w:tcPr>
          <w:p w:rsidR="00AC0832" w:rsidRDefault="00AC0832">
            <w:pPr>
              <w:pStyle w:val="CellColumn"/>
            </w:pPr>
            <w:r>
              <w:t>76.073.520</w:t>
            </w:r>
          </w:p>
        </w:tc>
        <w:tc>
          <w:tcPr>
            <w:tcW w:w="2322" w:type="dxa"/>
          </w:tcPr>
          <w:p w:rsidR="00AC0832" w:rsidRDefault="00AC0832">
            <w:pPr>
              <w:pStyle w:val="CellColumn"/>
            </w:pPr>
            <w:r>
              <w:t>75.997.597</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Sudjelovanje Oružanih snaga u protupožarnoj sezoni 2012. zahtijevalo je izniman angažman zbog velikog broja i intenziteta požarišta. U jeku sezone, tijekom najintenzivnijeg angažmana, ukupna jačina Protupožarnih namjenski organiziranih snaga bila je 229 pripadnika s 8 vozila, 6 aviona CL-415, 5 aviona AT-802F/A, 2 helikoptera Mi-8 MTV1, jednim desantnim brodom, jednim desantnim jurišnim brodom i 2 gumena čamca. U 2012. godini protupožarni zrakoplovi su bili angažirani na ukupno 422 požarišta, a tijekom izravnog angažiranja na gašenju požara ostvareno je 13.748 letova. Kopnene snage bile su angažirane na dva požarišta na otoku Mljetu. Protupožarni avioni CL-415 bili su angažirani na gašenju požara izvan teritorija Republike Hrvatske: u Bosni i Hercegovini i u Grčkoj, a helikopteri Mi-8 MTV1 bili su angažirani na gašenju požara u Crnoj Gori. Na zadaćama gašenja požara u inozemstvu ukupno su ostvarena 342 leta.</w:t>
      </w:r>
    </w:p>
    <w:p w:rsidR="00AC0832" w:rsidRDefault="00AC0832">
      <w:pPr>
        <w:jc w:val="left"/>
      </w:pPr>
    </w:p>
    <w:p w:rsidR="00AC0832" w:rsidRDefault="00AC0832">
      <w:pPr>
        <w:pStyle w:val="Heading6"/>
      </w:pPr>
      <w:r>
        <w:t>A545039 OBALNA STRAŽA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A545039-OBALNA STRAŽA</w:t>
            </w:r>
          </w:p>
        </w:tc>
        <w:tc>
          <w:tcPr>
            <w:tcW w:w="2322" w:type="dxa"/>
          </w:tcPr>
          <w:p w:rsidR="00AC0832" w:rsidRDefault="00AC0832">
            <w:pPr>
              <w:pStyle w:val="CellColumn"/>
            </w:pPr>
            <w:r>
              <w:t>28.577.739</w:t>
            </w:r>
          </w:p>
        </w:tc>
        <w:tc>
          <w:tcPr>
            <w:tcW w:w="2322" w:type="dxa"/>
          </w:tcPr>
          <w:p w:rsidR="00AC0832" w:rsidRDefault="00AC0832">
            <w:pPr>
              <w:pStyle w:val="CellColumn"/>
            </w:pPr>
            <w:r>
              <w:t>27.382.991</w:t>
            </w:r>
          </w:p>
        </w:tc>
        <w:tc>
          <w:tcPr>
            <w:tcW w:w="2322" w:type="dxa"/>
          </w:tcPr>
          <w:p w:rsidR="00AC0832" w:rsidRDefault="00AC0832">
            <w:pPr>
              <w:pStyle w:val="CellColumn"/>
            </w:pPr>
            <w:r>
              <w:t>95,8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Obalna straža provodila je tijekom 2012. zadaće nadzora i zaštite prava i interesa Republike Hrvatske na moru, pri čemu su brodovi boravili 265 dana na moru i plovili 15.000 nautičkih milja. Zrakoplovi su za potrebe Obalne straže izvršili 63 letačke zadaće (od toga 21 po pozivu). Po pozivu drugih tijela zrakoplovi operativno podređeni Obalnoj straži bili su angažirani na zadaćama izviđanja onečišćenja mora te na zadaćama traganja i spašavanja. Praćeni su  strani ratni brodovi prilikom uplovljavanja i isplovljanja iz teritorijalnog mora Republike Hrvatske te aktivnosti drugih stranih brodova. Dio aktivnosti plovila Obalne straže provodio se tijekom zajedničkih akcija s drugim nadležnim tijelima, dok su u dijelu svojih zadaća nadzora i zaštite prava i interesa Republike Hrvatske na moru Ovlaštene osobe Obalne straže samostalno postupale u okviru svojih ovlasti.</w:t>
      </w:r>
    </w:p>
    <w:p w:rsidR="00AC0832" w:rsidRDefault="00AC0832">
      <w:pPr>
        <w:jc w:val="left"/>
      </w:pPr>
    </w:p>
    <w:p w:rsidR="00AC0832" w:rsidRDefault="00AC0832">
      <w:pPr>
        <w:pStyle w:val="Heading1"/>
      </w:pPr>
      <w:r>
        <w:t>032 DRŽAVNI URED ZA HRVATE IZVAN REPUBLIKE HRVATSKE</w:t>
      </w:r>
    </w:p>
    <w:p w:rsidR="00AC0832" w:rsidRDefault="00AC0832">
      <w:pPr>
        <w:pStyle w:val="Heading4"/>
      </w:pPr>
      <w:r>
        <w:t>Uvod</w:t>
      </w:r>
    </w:p>
    <w:p w:rsidR="00AC0832" w:rsidRDefault="00AC0832">
      <w:pPr>
        <w:pStyle w:val="Normal3"/>
      </w:pPr>
      <w:r>
        <w:t xml:space="preserve">Briga za Hrvate izvan Republike Hrvatske sastavni je dio unutarnje i vanjske politike Republike Hrvatske. U cilju promicanja veza s Republikom Hrvatskom svoj odnos s Hrvatima izvan Republike Hrvatske, Republika Hrvatska temelji na uzajamnoj suradnji i pružanju pomoći te jačanju njihovih zajednica, uvažavajući pri tome sve posebnosti i različite potrebe hrvatskih zajednica izvan Republike Hrvatske. </w:t>
      </w:r>
    </w:p>
    <w:p w:rsidR="00AC0832" w:rsidRDefault="00AC0832">
      <w:pPr>
        <w:pStyle w:val="Normal3"/>
      </w:pPr>
      <w:r>
        <w:t xml:space="preserve">Državni ured za Hrvate izvan Republike Hrvatske (u daljnjem tekstu DUHIRH) središnje je tijelo državne uprave nadležno za područje odnosa između Republike Hrvatske i Hrvata izvan Republike Hrvatske.  </w:t>
      </w:r>
    </w:p>
    <w:p w:rsidR="00AC0832" w:rsidRDefault="00AC0832">
      <w:pPr>
        <w:pStyle w:val="Normal3"/>
      </w:pPr>
      <w:r>
        <w:t xml:space="preserve"> </w:t>
      </w:r>
    </w:p>
    <w:p w:rsidR="00AC0832" w:rsidRDefault="00AC0832">
      <w:pPr>
        <w:pStyle w:val="Normal3"/>
      </w:pPr>
      <w:r>
        <w:t xml:space="preserve">Državni ured za Hrvate izvan RH osnovan je temeljem Zakona o odnosima Republike Hrvatske s Hrvatima izvan Republike Hrvatske (NN 124/2011 i NN 16/2012, dalje Zakon), a njegov djelokrug je definiran člankom 13. navedenog Zakona kako slijedi: </w:t>
      </w:r>
    </w:p>
    <w:p w:rsidR="00AC0832" w:rsidRDefault="00AC0832">
      <w:pPr>
        <w:pStyle w:val="Normal3"/>
      </w:pPr>
      <w:r>
        <w:t xml:space="preserve">•koordinacija i nadzor aktivnosti između nadležnih ministarstava, drugih tijela državne uprave i ostalih nositelja suradnje Republike Hrvatske s Hrvatima izvan Republike Hrvatske, </w:t>
      </w:r>
    </w:p>
    <w:p w:rsidR="00AC0832" w:rsidRDefault="00AC0832">
      <w:pPr>
        <w:pStyle w:val="Normal3"/>
      </w:pPr>
      <w:r>
        <w:t xml:space="preserve">•briga za zaštitu prava i interesa Hrvata izvan Republike Hrvatske, </w:t>
      </w:r>
    </w:p>
    <w:p w:rsidR="00AC0832" w:rsidRDefault="00AC0832">
      <w:pPr>
        <w:pStyle w:val="Normal3"/>
      </w:pPr>
      <w:r>
        <w:t xml:space="preserve">•briga za očuvanje i jačanje identiteta Hrvata izvan Republike Hrvatske, </w:t>
      </w:r>
    </w:p>
    <w:p w:rsidR="00AC0832" w:rsidRDefault="00AC0832">
      <w:pPr>
        <w:pStyle w:val="Normal3"/>
      </w:pPr>
      <w:r>
        <w:t xml:space="preserve">•uspostavljanje, održavanje i promicanje veza s Hrvatima izvan Republike Hrvatske, </w:t>
      </w:r>
    </w:p>
    <w:p w:rsidR="00AC0832" w:rsidRDefault="00AC0832">
      <w:pPr>
        <w:pStyle w:val="Normal3"/>
      </w:pPr>
      <w:r>
        <w:t xml:space="preserve">•jačanje suradnje s Hrvatima izvan Republike Hrvatske i izrada komunikacijske strategije za Hrvate izvan Republike Hrvatske, </w:t>
      </w:r>
    </w:p>
    <w:p w:rsidR="00AC0832" w:rsidRDefault="00AC0832">
      <w:pPr>
        <w:pStyle w:val="Normal3"/>
      </w:pPr>
      <w:r>
        <w:t xml:space="preserve">•u suradnji s drugim nadležnim ministarstvima, obavlja poslove koji se odnose na stvaranje uvjeta za povratak iseljenika/dijaspore u Republiku Hrvatsku i njihovo uključivanje u gospodarski i društveni život u Republici Hrvatskoj, </w:t>
      </w:r>
    </w:p>
    <w:p w:rsidR="00AC0832" w:rsidRDefault="00AC0832">
      <w:pPr>
        <w:pStyle w:val="Normal3"/>
      </w:pPr>
      <w:r>
        <w:t xml:space="preserve">•predlaže politiku poticanja i pomoći povratka i useljavanja, </w:t>
      </w:r>
    </w:p>
    <w:p w:rsidR="00AC0832" w:rsidRDefault="00AC0832">
      <w:pPr>
        <w:pStyle w:val="Normal3"/>
      </w:pPr>
      <w:r>
        <w:t xml:space="preserve">•provođenje mjera i programa za integraciju Hrvata povratnika i useljenika, </w:t>
      </w:r>
    </w:p>
    <w:p w:rsidR="00AC0832" w:rsidRDefault="00AC0832">
      <w:pPr>
        <w:pStyle w:val="Normal3"/>
      </w:pPr>
      <w:r>
        <w:t xml:space="preserve">•pružanje pomoći u poduzetničkim ulaganjima, </w:t>
      </w:r>
    </w:p>
    <w:p w:rsidR="00AC0832" w:rsidRDefault="00AC0832">
      <w:pPr>
        <w:pStyle w:val="Normal3"/>
      </w:pPr>
      <w:r>
        <w:t xml:space="preserve">•gospodarska potpora povratku i održivom opstanku Hrvata kao konstitutivnog naroda u Bosni i Hercegovini i hrvatske manjine u Republici Srbiji, Crnoj Gori i Republici Kosovo, </w:t>
      </w:r>
    </w:p>
    <w:p w:rsidR="00AC0832" w:rsidRDefault="00AC0832">
      <w:pPr>
        <w:pStyle w:val="Normal3"/>
      </w:pPr>
      <w:r>
        <w:t xml:space="preserve">•gospodarska potpora i drugim hrvatskim zajednicama po potrebi, </w:t>
      </w:r>
    </w:p>
    <w:p w:rsidR="00AC0832" w:rsidRDefault="00AC0832">
      <w:pPr>
        <w:pStyle w:val="Normal3"/>
      </w:pPr>
      <w:r>
        <w:t xml:space="preserve">•provođenje Strategije i predlaganje projekata i provedbenih planova, kao i nadzor njihove provedbe, </w:t>
      </w:r>
    </w:p>
    <w:p w:rsidR="00AC0832" w:rsidRDefault="00AC0832">
      <w:pPr>
        <w:pStyle w:val="Normal3"/>
      </w:pPr>
      <w:r>
        <w:t xml:space="preserve">•vođenje propisanih evidencija o Hrvatima izvan Republike Hrvatske, </w:t>
      </w:r>
    </w:p>
    <w:p w:rsidR="00AC0832" w:rsidRDefault="00AC0832">
      <w:pPr>
        <w:pStyle w:val="Normal3"/>
      </w:pPr>
      <w:r>
        <w:t xml:space="preserve">•planiranje i osiguranje financijskih sredstava za programe i projekte Hrvatima izvan Republike Hrvatske i </w:t>
      </w:r>
    </w:p>
    <w:p w:rsidR="00AC0832" w:rsidRDefault="00AC0832">
      <w:pPr>
        <w:pStyle w:val="Normal3"/>
      </w:pPr>
      <w:r>
        <w:t>•drugi poslovi propisani posebnim zakonom.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03205-Državni ured za Hrvate izvan Republike Hrvatske</w:t>
            </w:r>
          </w:p>
        </w:tc>
        <w:tc>
          <w:tcPr>
            <w:tcW w:w="2322" w:type="dxa"/>
          </w:tcPr>
          <w:p w:rsidR="00AC0832" w:rsidRDefault="00AC0832">
            <w:pPr>
              <w:pStyle w:val="CellColumn"/>
            </w:pPr>
            <w:r>
              <w:t>10.541.251</w:t>
            </w:r>
          </w:p>
        </w:tc>
        <w:tc>
          <w:tcPr>
            <w:tcW w:w="2322" w:type="dxa"/>
          </w:tcPr>
          <w:p w:rsidR="00AC0832" w:rsidRDefault="00AC0832">
            <w:pPr>
              <w:pStyle w:val="CellColumn"/>
            </w:pPr>
            <w:r>
              <w:t>9.469.780</w:t>
            </w:r>
          </w:p>
        </w:tc>
        <w:tc>
          <w:tcPr>
            <w:tcW w:w="2322" w:type="dxa"/>
          </w:tcPr>
          <w:p w:rsidR="00AC0832" w:rsidRDefault="00AC0832">
            <w:pPr>
              <w:pStyle w:val="CellColumn"/>
            </w:pPr>
            <w:r>
              <w:t>89,8</w:t>
            </w:r>
          </w:p>
        </w:tc>
      </w:tr>
      <w:tr w:rsidR="00AC0832" w:rsidTr="00BE20ED">
        <w:trPr>
          <w:jc w:val="center"/>
        </w:trPr>
        <w:tc>
          <w:tcPr>
            <w:tcW w:w="2322" w:type="dxa"/>
            <w:shd w:val="clear" w:color="auto" w:fill="B5C0D8"/>
          </w:tcPr>
          <w:p w:rsidR="00AC0832" w:rsidRDefault="00AC0832">
            <w:pPr>
              <w:pStyle w:val="CellColumn"/>
            </w:pPr>
            <w:r>
              <w:t>Ukupno 032-DRŽAVNI URED ZA HRVATE IZVAN REPUBLIKE HRVATSKE</w:t>
            </w:r>
          </w:p>
        </w:tc>
        <w:tc>
          <w:tcPr>
            <w:tcW w:w="2322" w:type="dxa"/>
            <w:shd w:val="clear" w:color="auto" w:fill="B5C0D8"/>
          </w:tcPr>
          <w:p w:rsidR="00AC0832" w:rsidRDefault="00AC0832">
            <w:pPr>
              <w:pStyle w:val="CellColumn"/>
            </w:pPr>
            <w:r>
              <w:t>10.541.251</w:t>
            </w:r>
          </w:p>
        </w:tc>
        <w:tc>
          <w:tcPr>
            <w:tcW w:w="2322" w:type="dxa"/>
            <w:shd w:val="clear" w:color="auto" w:fill="B5C0D8"/>
          </w:tcPr>
          <w:p w:rsidR="00AC0832" w:rsidRDefault="00AC0832">
            <w:pPr>
              <w:pStyle w:val="CellColumn"/>
            </w:pPr>
            <w:r>
              <w:t>9.469.780</w:t>
            </w:r>
          </w:p>
        </w:tc>
        <w:tc>
          <w:tcPr>
            <w:tcW w:w="2322" w:type="dxa"/>
            <w:shd w:val="clear" w:color="auto" w:fill="B5C0D8"/>
          </w:tcPr>
          <w:p w:rsidR="00AC0832" w:rsidRDefault="00AC0832">
            <w:pPr>
              <w:pStyle w:val="CellColumn"/>
            </w:pPr>
            <w:r>
              <w:t>89,8</w:t>
            </w:r>
          </w:p>
        </w:tc>
      </w:tr>
    </w:tbl>
    <w:p w:rsidR="00AC0832" w:rsidRDefault="00AC0832">
      <w:pPr>
        <w:jc w:val="left"/>
      </w:pPr>
    </w:p>
    <w:p w:rsidR="00AC0832" w:rsidRDefault="00AC0832">
      <w:pPr>
        <w:pStyle w:val="Heading2"/>
      </w:pPr>
      <w:r>
        <w:t>03205 Državni ured za Hrvate izvan Republike Hrvatske</w:t>
      </w:r>
    </w:p>
    <w:p w:rsidR="00AC0832" w:rsidRDefault="00AC0832">
      <w:pPr>
        <w:pStyle w:val="Heading4"/>
      </w:pPr>
      <w:r>
        <w:t>Uvod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03205-Državni ured za Hrvate izvan Republike Hrvatske</w:t>
            </w:r>
          </w:p>
        </w:tc>
        <w:tc>
          <w:tcPr>
            <w:tcW w:w="2322" w:type="dxa"/>
          </w:tcPr>
          <w:p w:rsidR="00AC0832" w:rsidRDefault="00AC0832">
            <w:pPr>
              <w:pStyle w:val="CellColumn"/>
            </w:pPr>
            <w:r>
              <w:t>10.541.251</w:t>
            </w:r>
          </w:p>
        </w:tc>
        <w:tc>
          <w:tcPr>
            <w:tcW w:w="2322" w:type="dxa"/>
          </w:tcPr>
          <w:p w:rsidR="00AC0832" w:rsidRDefault="00AC0832">
            <w:pPr>
              <w:pStyle w:val="CellColumn"/>
            </w:pPr>
            <w:r>
              <w:t>9.469.780</w:t>
            </w:r>
          </w:p>
        </w:tc>
        <w:tc>
          <w:tcPr>
            <w:tcW w:w="2322" w:type="dxa"/>
          </w:tcPr>
          <w:p w:rsidR="00AC0832" w:rsidRDefault="00AC0832">
            <w:pPr>
              <w:pStyle w:val="CellColumn"/>
            </w:pPr>
            <w:r>
              <w:t>89,8</w:t>
            </w:r>
          </w:p>
        </w:tc>
      </w:tr>
      <w:tr w:rsidR="00AC0832" w:rsidTr="00BE20ED">
        <w:trPr>
          <w:jc w:val="center"/>
        </w:trPr>
        <w:tc>
          <w:tcPr>
            <w:tcW w:w="2322" w:type="dxa"/>
          </w:tcPr>
          <w:p w:rsidR="00AC0832" w:rsidRDefault="00AC0832">
            <w:pPr>
              <w:pStyle w:val="CellColumnSmall"/>
            </w:pPr>
            <w:r>
              <w:t>2306-PROGRAMI HRVATA IZVAN REPUBLIKE HRVATSKE</w:t>
            </w:r>
          </w:p>
        </w:tc>
        <w:tc>
          <w:tcPr>
            <w:tcW w:w="2322" w:type="dxa"/>
          </w:tcPr>
          <w:p w:rsidR="00AC0832" w:rsidRDefault="00AC0832">
            <w:pPr>
              <w:pStyle w:val="CellColumnSmall"/>
            </w:pPr>
            <w:r>
              <w:t>10.541.251</w:t>
            </w:r>
          </w:p>
        </w:tc>
        <w:tc>
          <w:tcPr>
            <w:tcW w:w="2322" w:type="dxa"/>
          </w:tcPr>
          <w:p w:rsidR="00AC0832" w:rsidRDefault="00AC0832">
            <w:pPr>
              <w:pStyle w:val="CellColumnSmall"/>
            </w:pPr>
            <w:r>
              <w:t>9.469.780</w:t>
            </w:r>
          </w:p>
        </w:tc>
        <w:tc>
          <w:tcPr>
            <w:tcW w:w="2322" w:type="dxa"/>
          </w:tcPr>
          <w:p w:rsidR="00AC0832" w:rsidRDefault="00AC0832">
            <w:pPr>
              <w:pStyle w:val="CellColumnSmall"/>
            </w:pPr>
            <w:r>
              <w:t>89,8</w:t>
            </w:r>
          </w:p>
        </w:tc>
      </w:tr>
    </w:tbl>
    <w:p w:rsidR="00AC0832" w:rsidRDefault="00AC0832">
      <w:pPr>
        <w:jc w:val="left"/>
      </w:pPr>
    </w:p>
    <w:p w:rsidR="00AC0832" w:rsidRDefault="00AC0832">
      <w:pPr>
        <w:pStyle w:val="Heading4"/>
      </w:pPr>
      <w:r>
        <w:t>OBRAZLOŽENJE PROGRAMA</w:t>
      </w:r>
    </w:p>
    <w:p w:rsidR="00AC0832" w:rsidRDefault="00AC0832">
      <w:pPr>
        <w:pStyle w:val="Heading5"/>
      </w:pPr>
      <w:r>
        <w:t>2306 PROGRAMI HRVATA IZVAN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2306-PROGRAMI HRVATA IZVAN REPUBLIKE HRVATSKE</w:t>
            </w:r>
          </w:p>
        </w:tc>
        <w:tc>
          <w:tcPr>
            <w:tcW w:w="2322" w:type="dxa"/>
          </w:tcPr>
          <w:p w:rsidR="00AC0832" w:rsidRDefault="00AC0832">
            <w:pPr>
              <w:pStyle w:val="CellColumn"/>
            </w:pPr>
            <w:r>
              <w:t>10.541.251</w:t>
            </w:r>
          </w:p>
        </w:tc>
        <w:tc>
          <w:tcPr>
            <w:tcW w:w="2322" w:type="dxa"/>
          </w:tcPr>
          <w:p w:rsidR="00AC0832" w:rsidRDefault="00AC0832">
            <w:pPr>
              <w:pStyle w:val="CellColumn"/>
            </w:pPr>
            <w:r>
              <w:t>9.469.780</w:t>
            </w:r>
          </w:p>
        </w:tc>
        <w:tc>
          <w:tcPr>
            <w:tcW w:w="2322" w:type="dxa"/>
          </w:tcPr>
          <w:p w:rsidR="00AC0832" w:rsidRDefault="00AC0832">
            <w:pPr>
              <w:pStyle w:val="CellColumn"/>
            </w:pPr>
            <w:r>
              <w:t>89,8</w:t>
            </w:r>
          </w:p>
        </w:tc>
      </w:tr>
    </w:tbl>
    <w:p w:rsidR="00AC0832" w:rsidRDefault="00AC0832">
      <w:pPr>
        <w:jc w:val="left"/>
      </w:pPr>
    </w:p>
    <w:p w:rsidR="00AC0832" w:rsidRDefault="00AC0832">
      <w:pPr>
        <w:pStyle w:val="Heading6"/>
      </w:pPr>
      <w:r>
        <w:t>Opis programa</w:t>
      </w:r>
    </w:p>
    <w:p w:rsidR="00AC0832" w:rsidRDefault="00AC0832">
      <w:pPr>
        <w:pStyle w:val="Normal5"/>
      </w:pPr>
      <w:r>
        <w:t xml:space="preserve">Kroz Program Hrvata izvan Republike Hrvatske,  a u svrhu  očuvanja i jačanja hrvatskog identiteta i prosperiteta, kao i zaštite prava i interesa svih hrvatskih građana, ostvaruje se povezivanje Republike Hrvatske i Hrvata izvan Republike Hrvatske. Unutar svog djelokruga DUHIRH štiti prava i interese Hrvata izvan Republike Hrvatske te skrbi za očuvanje i jačanje njihovog identiteta; radi na uspostavljanju, održavanju i promicanju veza s Hrvatima izvan Republike Hrvatske; radi na jačanju suradnje s Hrvatima izvan Republike Hrvatske te obavlja poslove koji se odnose na stvaranje uvjeta za povratak iseljenika/dijaspore u Republiku Hrvatsku i njihovo uključivanje u gospodarski i društveni život u Republici Hrvatskoj. </w:t>
      </w:r>
    </w:p>
    <w:p w:rsidR="00AC0832" w:rsidRDefault="00AC0832">
      <w:pPr>
        <w:pStyle w:val="Normal5"/>
      </w:pPr>
      <w:r>
        <w:t>U okviru svoje nadležnosti, DUHIRH koordinira i nadzire aktivnosti između nadležnih ministarstava, drugih tijela državne uprave i ostalih nositelja suradnje Republike Hrvatske s Hrvatima izvan Republike Hrvatske.</w:t>
      </w:r>
    </w:p>
    <w:p w:rsidR="00AC0832" w:rsidRDefault="00AC0832">
      <w:pPr>
        <w:pStyle w:val="Heading6"/>
      </w:pPr>
      <w:r>
        <w:t>Zakonske i druge pravne osnove</w:t>
      </w:r>
    </w:p>
    <w:p w:rsidR="00AC0832" w:rsidRDefault="00AC0832">
      <w:pPr>
        <w:pStyle w:val="Normal5"/>
      </w:pPr>
      <w:r>
        <w:t xml:space="preserve">Ustav Republike Hrvatske najviši je pravni temelj posebno članak 10. koji kaže da „Republika Hrvatska štiti prava i interese svojih državljana koji žive i borave i inozemstvu i promiče njihove veze s domovinom. Dijelovima hrvatskog naroda u drugim državama jamči se osobita skrb i zaštita Republike Hrvatske.“Pravni temelj zasniva se i na Strateškim dokumentima Republike Hrvatske kao što su: Strateški okvir za razvoj 2006.-2013.; Strategija održivog razvitka Republike Hrvatske (N.N.30/2009). </w:t>
      </w:r>
    </w:p>
    <w:p w:rsidR="00AC0832" w:rsidRDefault="00AC0832">
      <w:pPr>
        <w:pStyle w:val="Normal5"/>
      </w:pPr>
      <w:r>
        <w:t>Zadaće i obveze Državnog ureda  za Hrvate izvan Republike Hrvatske proizlaze iz  Zakona o odnosima Republike Hrvatske s Hrvatima izvan Republike Hrvatske (N.N. 124/2011;16/2012), Uredbe o unutarnjem ustrojstvu Državnog ureda za Hrvate izvan Republike Hrvatske (N.N.52/2012). Zakon o Hrvatskoj radioteleviziji - II. PROGRAMSKA NAČELA I OBVEZE - Članak 5.; Zakon o razvojnoj suradnji i humanitarnoj pomoći inozemstvu (NN 146/2008); Nacionalna strategija razvojne suradnje Republike Hrvatske za razdoblje od 2009. do 2014. godine (NN 24/2009)</w:t>
      </w:r>
    </w:p>
    <w:p w:rsidR="00AC0832" w:rsidRDefault="00AC0832">
      <w:pPr>
        <w:pStyle w:val="Heading7"/>
      </w:pPr>
      <w:r>
        <w:t xml:space="preserve">Cilj 1. Skrb za očuvanje nacionalnog identiteta Hrvata izvan Republike Hrvatske te njihovo povezivanje s Republikom Hrvatskom </w:t>
      </w:r>
    </w:p>
    <w:p w:rsidR="00AC0832" w:rsidRDefault="00AC0832">
      <w:pPr>
        <w:pStyle w:val="Heading8"/>
        <w:jc w:val="left"/>
      </w:pPr>
      <w:r>
        <w:t>Opis provedbe cilja programa</w:t>
      </w:r>
    </w:p>
    <w:p w:rsidR="00AC0832" w:rsidRDefault="00AC0832">
      <w:pPr>
        <w:pStyle w:val="Normal6"/>
      </w:pPr>
      <w:r>
        <w:t xml:space="preserve">Skrb za očuvanje nacionalnog identiteta svih naraštaja Hrvata izvan Republike Hrvatske te njihovo povezivanje s Republikom Hrvatskom opći je cilj rada i ustroja DUHIRH. S tim ciljem, jačana je suradnja sa svim oblicima organiziranja Hrvata u svijetu (udruge, organizacije, institucije, kulturni centri, hrvatske katoličke misije i dr.), kao i pružana potpora tim institucijama u svrhu promicanja hrvatskoga jezika, kulture te znanstvene, gospodarske i druge suradnje. Podržavajući ove zajednice, Republika Hrvatska pridonosila je njihovom razvoju i boljem položaju u zemljama nastanjenja uvažavajući pri tome sve posebnosti i različite potrebe hrvatskih zajednica izvan Republike Hrvatske.  </w:t>
      </w:r>
    </w:p>
    <w:p w:rsidR="00AC0832" w:rsidRDefault="00AC0832">
      <w:pPr>
        <w:pStyle w:val="Normal6"/>
      </w:pPr>
      <w:r>
        <w:t xml:space="preserve"> </w:t>
      </w:r>
    </w:p>
    <w:p w:rsidR="00AC0832" w:rsidRDefault="00AC0832">
      <w:pPr>
        <w:pStyle w:val="Normal6"/>
      </w:pPr>
      <w:r>
        <w:t xml:space="preserve">Navedeni cilj ostvarivan se jačanjem  zaštite  prava i interesa Hrvata izvan Republike Hrvatske te jačanjem njihovih zajednica. Skrb o Hrvatima kao jednakopravnom, suverenom i konstitutivnom narodu u Bosni i Hercegovini, uvažavanje statusa hrvatskih autohtonih manjina i ostvarivanje njihovih manjinskih prava te briga za hrvatsko iseljeništvo, njegov pravni, kulturni i jezični položaj, ustavna su obveza Republike Hrvatske koju je u navedenom razdoblju  izvršavao i koordinirao DUHIRH.  </w:t>
      </w:r>
    </w:p>
    <w:p w:rsidR="00AC0832" w:rsidRDefault="00AC0832">
      <w:pPr>
        <w:pStyle w:val="Normal6"/>
      </w:pPr>
      <w:r>
        <w:t xml:space="preserve">Ovisno o stupnju integriranosti Hrvata izvan Republike Hrvatske u zajednice u kojima žive, DUHIRH je mjere koje poduzimao usmjerio prioritetno ili na očuvanje hrvatskog jezika i kulture, ili na razne oblike pomoći kroz provedbu postojećih međunarodnih ugovora i sklapanje novih te kroz programe i aktivnosti unutar i izvan Republike Hrvatske.  </w:t>
      </w:r>
    </w:p>
    <w:p w:rsidR="00AC0832" w:rsidRDefault="00AC0832">
      <w:pPr>
        <w:pStyle w:val="Normal6"/>
      </w:pPr>
      <w:r>
        <w:t xml:space="preserve">Ovim su odnosom jačane Hrvatske zajednice izvan Republike Hrvatske, njihov položaj i uloga u sredinama u kojima žive te ujedno aktivno uključivanje  Hrvata izvan Republike Hrvatske u društveni i politički život Republike Hrvatske.   </w:t>
      </w:r>
    </w:p>
    <w:p w:rsidR="00AC0832" w:rsidRDefault="00AC0832">
      <w:pPr>
        <w:pStyle w:val="Normal6"/>
      </w:pPr>
      <w:r>
        <w:t>S ciljem jačanja i razvoja suradnje s pojedincima, udrugama i institucijama Hrvata izvan Republike Hrvatske DUIRH je u skladu s Zakonom o odnosima s Hrvatima izvan Republike Hrvatske razvijao i podupirao suradnju na području kulture, obrazovanja, znanosti,športa, gospodarstva, zdravstva kao i u drugim područjima.</w:t>
      </w:r>
    </w:p>
    <w:p w:rsidR="00AC0832" w:rsidRDefault="00AC0832">
      <w:pPr>
        <w:pStyle w:val="Heading6"/>
      </w:pPr>
    </w:p>
    <w:p w:rsidR="00AC0832" w:rsidRDefault="00AC0832">
      <w:pPr>
        <w:pStyle w:val="Heading6"/>
      </w:pPr>
      <w:r>
        <w:t>A862006 PROGRAMI HRVATA IZVAN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A862006-PROGRAMI HRVATA IZVAN REPUBLIKE HRVATSKE</w:t>
            </w:r>
          </w:p>
        </w:tc>
        <w:tc>
          <w:tcPr>
            <w:tcW w:w="2322" w:type="dxa"/>
          </w:tcPr>
          <w:p w:rsidR="00AC0832" w:rsidRDefault="00AC0832">
            <w:pPr>
              <w:pStyle w:val="CellColumn"/>
            </w:pPr>
            <w:r>
              <w:t>5.276.251</w:t>
            </w:r>
          </w:p>
        </w:tc>
        <w:tc>
          <w:tcPr>
            <w:tcW w:w="2322" w:type="dxa"/>
          </w:tcPr>
          <w:p w:rsidR="00AC0832" w:rsidRDefault="00AC0832">
            <w:pPr>
              <w:pStyle w:val="CellColumn"/>
            </w:pPr>
            <w:r>
              <w:t>4.495.790</w:t>
            </w:r>
          </w:p>
        </w:tc>
        <w:tc>
          <w:tcPr>
            <w:tcW w:w="2322" w:type="dxa"/>
          </w:tcPr>
          <w:p w:rsidR="00AC0832" w:rsidRDefault="00AC0832">
            <w:pPr>
              <w:pStyle w:val="CellColumn"/>
            </w:pPr>
            <w:r>
              <w:t>85,2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Ciljevi koji se postižu ovim programom jesu promicanje i učvršćivanje svekolike povezanosti Hrvata izvan RH s Republikom Hrvatskom, što doprinosi ostvarenju duhovnog jedinstva i kulturnog zajedništva. </w:t>
      </w:r>
    </w:p>
    <w:p w:rsidR="00AC0832" w:rsidRDefault="00AC0832">
      <w:pPr>
        <w:pStyle w:val="Normal6"/>
      </w:pPr>
      <w:r>
        <w:t xml:space="preserve">Temeljem Pravilnika o stipendiranju učenika i studenata u RH od 23. svibnja 2012., Državni ured za Hrvate izvan Republike Hrvatske dodjeljuje stipendije pripadnicima hrvatskog naroda izvan Republike Hrvatske, koji pohađaju srednje škole ili visoka učilišta na području Republike Hrvatske. Pravo na stipendiju ostvaruje se putem javnog natječaja prema utvrđenim kriterijima za dodjeljivanje stipendija. Odluku o dodjeli stipendija donosi Predstojnica Državnog ureda na prijedlog Povjerenstva, sukladno raspoloživim financijskim sredstvima za tu namjenu. </w:t>
      </w:r>
    </w:p>
    <w:p w:rsidR="00AC0832" w:rsidRDefault="00AC0832">
      <w:pPr>
        <w:pStyle w:val="Normal6"/>
      </w:pPr>
      <w:r>
        <w:t xml:space="preserve">Pripadnicima hrvatskog naroda izvan Republike Hrvatske koji studiraju na području RH odobrava se smještaj u studentske domove Studentskog centra Sveučilišta u Zagrebu, u okviru predviđenih 80 mjesta za pripadnike hrvatskoga naroda s prebivalištem izvan RH, a sukladno internom Pravilniku Državnog ureda kojim se uređuju prava i obveze kandidata za smještaj u domove. </w:t>
      </w:r>
    </w:p>
    <w:p w:rsidR="00AC0832" w:rsidRDefault="00AC0832">
      <w:pPr>
        <w:pStyle w:val="Normal6"/>
      </w:pPr>
      <w:r>
        <w:t xml:space="preserve">Tečaj učenja hrvatskog jezika Croaticum organizira Filozofski fakultet - Odsjek za kroatistiku Sveučilišta u Zagrebu, a Državni ured za Hrvate izvan Republike Hrvatske, temeljem Pravilnika od 23. svibnja 2012., preuzima obvezu plaćanja školarine u trajanju do dva semestra za kandidate hrvatskog podrijetla s prebivalištem izvan Republike Hrvatske. Pravo na školarinu ostvaruje se putem Javnog poziva za dodjelu naknade za učenje hrvatskog jezika, na koji se prijavljuju potomci hrvatskih iseljenika iz cijelog svijeta, a ponajviše iz zemalja Južne Amerike. Odluku o dodjeli naknada donosi Predstojnica Državnog ureda, na prijedlog Povjerenstva.  </w:t>
      </w:r>
    </w:p>
    <w:p w:rsidR="00AC0832" w:rsidRDefault="00AC0832">
      <w:pPr>
        <w:pStyle w:val="Normal6"/>
      </w:pPr>
      <w:r>
        <w:t xml:space="preserve">Državni ured također snosi troškove korištenja subvencionirane prehrane u studentskim restoranima (jedan obrok dnevno) za sve polaznike tečaja „Croaticum“.  </w:t>
      </w:r>
    </w:p>
    <w:p w:rsidR="00AC0832" w:rsidRDefault="00AC0832">
      <w:pPr>
        <w:pStyle w:val="Normal6"/>
      </w:pPr>
      <w:r>
        <w:t xml:space="preserve">Osim navedenog, svim polaznicima do 30 godina starosti osigurava se smještaj u studentskim domovima u Zagrebu, u okviru predviđenih 80 mjesta za pripadnike hrvatskoga naroda s prebivalištem izvan RH. </w:t>
      </w:r>
    </w:p>
    <w:p w:rsidR="00AC0832" w:rsidRDefault="00AC0832">
      <w:pPr>
        <w:pStyle w:val="Normal6"/>
      </w:pPr>
      <w:r>
        <w:t xml:space="preserve">Programom stipendija omogućava se pripadnicima hrvatskoga naroda izvan RH školovanje u Republici Hrvatskoj. </w:t>
      </w:r>
    </w:p>
    <w:p w:rsidR="00AC0832" w:rsidRDefault="00AC0832">
      <w:pPr>
        <w:pStyle w:val="Normal6"/>
      </w:pPr>
      <w:r>
        <w:t xml:space="preserve">Program učenja hrvatskoga jezika ima osobitu važnost u smislu njegovanja i promicanja hrvatskoga jezika i kulture. Ovim se programom potiče povratak hrvatskih iseljenika i njihovih potomaka u Republiku Hrvatsku te se stvaraju preduvjeti za lakše uključivanje u gospodarski i društveni život Republike Hrvatske. Unatoč činjenici da se većina polaznika tečaja vraća u zemlje iz kojih su došli, smisao programa „Croaticum“ nije umanjen jer će oni u svojim zemljama zasigurno bili dobri promicatelji hrvatske kulture i jezika. </w:t>
      </w:r>
    </w:p>
    <w:p w:rsidR="00AC0832" w:rsidRDefault="00AC0832">
      <w:pPr>
        <w:pStyle w:val="Normal6"/>
      </w:pPr>
      <w:r>
        <w:t xml:space="preserve"> </w:t>
      </w:r>
    </w:p>
    <w:p w:rsidR="00AC0832" w:rsidRDefault="00AC0832">
      <w:pPr>
        <w:pStyle w:val="Normal6"/>
      </w:pPr>
      <w:r>
        <w:t xml:space="preserve">U okviru ove aktivnosti je i  financiranje hrvatskih manjinskih udruga u europskim državama.  </w:t>
      </w:r>
    </w:p>
    <w:p w:rsidR="00AC0832" w:rsidRDefault="00AC0832">
      <w:pPr>
        <w:pStyle w:val="Normal6"/>
      </w:pPr>
      <w:r>
        <w:t xml:space="preserve">Pomoć hrvatskim nacionalnim manjinama u inozemstvu dodjeljivana je u vidu financiranja njihovih udruga. Sredstva su  raspoređena putem povjerenstava pri Veleposlanstvima RH za financiranje rada manjinskih udruga.  </w:t>
      </w:r>
    </w:p>
    <w:p w:rsidR="00AC0832" w:rsidRDefault="00AC0832">
      <w:pPr>
        <w:pStyle w:val="Normal6"/>
      </w:pPr>
      <w:r>
        <w:t xml:space="preserve">Kroz stalnu značajniju financijsku potporu hrvatskim udrugama cilj je  bio osnažiti hrvatsku manjinsku zajednicu u domicilnim državama u ostvarivanju manjinskih prava, pogotovo etničku, vjersku, kulturnu i jezičnu samosvijest te ih učiniti punopravnim čimbenikom domicilne države. </w:t>
      </w:r>
    </w:p>
    <w:p w:rsidR="00AC0832" w:rsidRDefault="00AC0832">
      <w:pPr>
        <w:pStyle w:val="Normal6"/>
      </w:pPr>
      <w:r>
        <w:t xml:space="preserve">Programima pomoći hrvatskim nacionalnim manjinama željela se spriječiti daljnja asimilacija Hrvata u domicilnim državama, bolja pravna zaštita te očuvanje materinskog jezika, kulture i tradicije.  </w:t>
      </w:r>
    </w:p>
    <w:p w:rsidR="00AC0832" w:rsidRDefault="00AC0832">
      <w:pPr>
        <w:pStyle w:val="Normal6"/>
      </w:pPr>
      <w:r>
        <w:t xml:space="preserve">Državni ured je u 2012. godini kroz ovu Aktivnost  financirao tečaj hrvatskog jezika  „Croaticum“ za 31 polaznika pripadnika hrvatskog naroda izvan Republike Hrvatske, u zimskom semestru, kao i subvenciju prehrane za polaznike tečaja. </w:t>
      </w:r>
    </w:p>
    <w:p w:rsidR="00AC0832" w:rsidRDefault="00AC0832">
      <w:pPr>
        <w:pStyle w:val="Normal6"/>
      </w:pPr>
      <w:r>
        <w:t xml:space="preserve">Kroz ovu Aktivnost dodjeljeno je 80 stipendija za studente i učenike pripadnike hrvatskog naroda izvan Republike Hrvatske. </w:t>
      </w:r>
    </w:p>
    <w:p w:rsidR="00AC0832" w:rsidRDefault="00AC0832">
      <w:pPr>
        <w:pStyle w:val="Normal6"/>
      </w:pPr>
      <w:r>
        <w:t>Pored navedenog financirane su preko Veleposlanstava  i hrvatske manjinske udruge u 12 europskih država.</w:t>
      </w:r>
    </w:p>
    <w:p w:rsidR="00AC0832" w:rsidRDefault="00AC0832">
      <w:pPr>
        <w:pStyle w:val="Heading6"/>
      </w:pPr>
      <w:r>
        <w:t>A862007 STIPENDIJE ZA STUDENTE I UČENIKE PRIPADNIKE HRVATSKOG NARODA IZVAN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A862007-STIPENDIJE ZA STUDENTE I UČENIKE PRIPADNIKE HRVATSKOG NARODA IZVAN REPUBLIKE HRVATSKE</w:t>
            </w:r>
          </w:p>
        </w:tc>
        <w:tc>
          <w:tcPr>
            <w:tcW w:w="2322" w:type="dxa"/>
          </w:tcPr>
          <w:p w:rsidR="00AC0832" w:rsidRDefault="00AC0832">
            <w:pPr>
              <w:pStyle w:val="CellColumn"/>
            </w:pPr>
            <w:r>
              <w:t>2.405.000</w:t>
            </w:r>
          </w:p>
        </w:tc>
        <w:tc>
          <w:tcPr>
            <w:tcW w:w="2322" w:type="dxa"/>
          </w:tcPr>
          <w:p w:rsidR="00AC0832" w:rsidRDefault="00AC0832">
            <w:pPr>
              <w:pStyle w:val="CellColumn"/>
            </w:pPr>
            <w:r>
              <w:t>2.400.152</w:t>
            </w:r>
          </w:p>
        </w:tc>
        <w:tc>
          <w:tcPr>
            <w:tcW w:w="2322" w:type="dxa"/>
          </w:tcPr>
          <w:p w:rsidR="00AC0832" w:rsidRDefault="00AC0832">
            <w:pPr>
              <w:pStyle w:val="CellColumn"/>
            </w:pPr>
            <w:r>
              <w:t>99,8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Ciljevi koji se postižu ovim programom jesu promicanje i učvršćivanje svekolike povezanosti Hrvata izvan RH s Republikom Hrvatskom, što doprinosi ostvarenju duhovnog jedinstva i kulturnog zajedništva. </w:t>
      </w:r>
    </w:p>
    <w:p w:rsidR="00AC0832" w:rsidRDefault="00AC0832">
      <w:pPr>
        <w:pStyle w:val="Normal6"/>
      </w:pPr>
      <w:r>
        <w:t xml:space="preserve">Temeljem Pravilnika o stipendiranju učenika i studenata u RH od 23. svibnja 2012., Državni ured za Hrvate izvan Republike Hrvatske dodjeljuje stipendije pripadnicima hrvatskog naroda izvan Republike Hrvatske, koji pohađaju srednje škole ili visoka učilišta na području Republike Hrvatske. Pravo na stipendiju ostvaruje se putem javnog natječaja prema utvrđenim kriterijima za dodjeljivanje stipendija. Odluku o dodjeli stipendija donosi Predstojnica Državnog ureda na prijedlog Povjerenstva, sukladno raspoloživim financijskim sredstvima za tu namjenu. </w:t>
      </w:r>
    </w:p>
    <w:p w:rsidR="00AC0832" w:rsidRDefault="00AC0832">
      <w:pPr>
        <w:pStyle w:val="Normal6"/>
      </w:pPr>
      <w:r>
        <w:t xml:space="preserve">Pripadnicima hrvatskog naroda izvan Republike Hrvatske koji studiraju na području RH odobrava se smještaj u studentske domove Studentskog centra Sveučilišta u Zagrebu, u okviru predviđenih 80 mjesta za pripadnike hrvatskoga naroda s prebivalištem izvan RH, a sukladno internom Pravilniku Državnog ureda kojim se uređuju prava i obveze kandidata za smještaj u domove. </w:t>
      </w:r>
    </w:p>
    <w:p w:rsidR="00AC0832" w:rsidRDefault="00AC0832">
      <w:pPr>
        <w:pStyle w:val="Normal6"/>
      </w:pPr>
      <w:r>
        <w:t xml:space="preserve">Tečaj učenja hrvatskog jezika Croaticum organizira Filozofski fakultet - Odsjek za kroatistiku Sveučilišta u Zagrebu, a Državni ured za Hrvate izvan Republike Hrvatske, temeljem Pravilnika od 23. svibnja 2012., preuzima obvezu plaćanja školarine u trajanju do dva semestra za kandidate hrvatskog podrijetla s prebivalištem izvan Republike Hrvatske. Pravo na školarinu ostvaruje se putem Javnog poziva za dodjelu naknade za učenje hrvatskog jezika, na koji se prijavljuju potomci hrvatskih iseljenika iz cijelog svijeta, a ponajviše iz zemalja Južne Amerike. Odluku o dodjeli naknada donosi Predstojnica Državnog ureda, na prijedlog Povjerenstva.  </w:t>
      </w:r>
    </w:p>
    <w:p w:rsidR="00AC0832" w:rsidRDefault="00AC0832">
      <w:pPr>
        <w:pStyle w:val="Normal6"/>
      </w:pPr>
      <w:r>
        <w:t xml:space="preserve">Državni ured također snosi troškove korištenja subvencionirane prehrane u studentskim restoranima (jedan obrok dnevno) za sve polaznike tečaja „Croaticum“.  </w:t>
      </w:r>
    </w:p>
    <w:p w:rsidR="00AC0832" w:rsidRDefault="00AC0832">
      <w:pPr>
        <w:pStyle w:val="Normal6"/>
      </w:pPr>
      <w:r>
        <w:t xml:space="preserve">Osim navedenog, svim polaznicima do 30 godina starosti osigurava se smještaj u studentskim domovima u Zagrebu, u okviru predviđenih 80 mjesta za pripadnike hrvatskoga naroda s prebivalištem izvan RH. </w:t>
      </w:r>
    </w:p>
    <w:p w:rsidR="00AC0832" w:rsidRDefault="00AC0832">
      <w:pPr>
        <w:pStyle w:val="Normal6"/>
      </w:pPr>
      <w:r>
        <w:t xml:space="preserve">Programom stipendija omogućava se pripadnicima hrvatskoga naroda izvan RH školovanje u Republici Hrvatskoj. </w:t>
      </w:r>
    </w:p>
    <w:p w:rsidR="00AC0832" w:rsidRDefault="00AC0832">
      <w:pPr>
        <w:pStyle w:val="Normal6"/>
      </w:pPr>
      <w:r>
        <w:t xml:space="preserve">Program učenja hrvatskoga jezika ima osobitu važnost u smislu njegovanja i promicanja hrvatskoga jezika i kulture. Ovim se programom potiče povratak hrvatskih iseljenika i njihovih potomaka u Republiku Hrvatsku te se stvaraju preduvjeti za lakše uključivanje u gospodarski i društveni život Republike Hrvatske. Unatoč činjenici da se većina polaznika tečaja vraća u zemlje iz kojih su došli, smisao programa „Croaticum“ nije umanjen jer će oni u svojim zemljama zasigurno bili dobri promicatelji hrvatske kulture i jezika. </w:t>
      </w:r>
    </w:p>
    <w:p w:rsidR="00AC0832" w:rsidRDefault="00AC0832">
      <w:pPr>
        <w:pStyle w:val="Normal6"/>
      </w:pPr>
      <w:r>
        <w:t xml:space="preserve">Državni ured je u 2012. godini  financirao tečaj hrvatskog jezika  „Croaticum“ za 31 polaznika pripadnika hrvatskog naroda izvan Republike Hrvatske, u ljetnom semestru. </w:t>
      </w:r>
    </w:p>
    <w:p w:rsidR="00AC0832" w:rsidRDefault="00AC0832">
      <w:pPr>
        <w:pStyle w:val="Normal6"/>
      </w:pPr>
      <w:r>
        <w:t xml:space="preserve">Za iste polaznike je Državni ured subvencionirao troškove prehrane. </w:t>
      </w:r>
    </w:p>
    <w:p w:rsidR="00AC0832" w:rsidRDefault="00AC0832">
      <w:pPr>
        <w:pStyle w:val="Normal6"/>
      </w:pPr>
      <w:r>
        <w:t>U okviru ove aktivnosti dodjeljeno je  445 stipendija po 5.000,00kn  za studente i učenike pripadnike hrvatskog naroda izvan RH. Stipendije su podijeljene temeljem Pravilnika o stipendiranju učenika i studenata u RH – pripadnika hrvatskog naroda izvan RH I Odluke o dodjeli stipendija.</w:t>
      </w:r>
    </w:p>
    <w:p w:rsidR="00AC0832" w:rsidRDefault="00AC0832">
      <w:pPr>
        <w:pStyle w:val="Heading1"/>
      </w:pPr>
      <w:r>
        <w:t>040 MINISTARSTVO UNUTARNJIH POSLOVA</w:t>
      </w:r>
    </w:p>
    <w:p w:rsidR="00AC0832" w:rsidRDefault="00AC0832">
      <w:pPr>
        <w:pStyle w:val="Heading4"/>
      </w:pPr>
      <w:r>
        <w:t>Uvod</w:t>
      </w:r>
    </w:p>
    <w:p w:rsidR="00AC0832" w:rsidRDefault="00AC0832">
      <w:pPr>
        <w:pStyle w:val="Normal3"/>
      </w:pPr>
      <w:r>
        <w:t xml:space="preserve">Temeljne zadaće koje Razdjel obavlja su: provođenje aktivnosti koje se odnose na očuvanje i poboljšanje dobrog stanja javne sigurnosti, reda i mira u Republici Hrvatskoj i kontinuirano povećavanje razine sigurnosti, pouzdanosti i zaštite u prometu. Pitanju sigurnosti, zaštiti i kontroli državne granice posvećen je veliki značaj. Osiguranje nesmetanog protoka ljudi i roba preko državne granice uz istovremeno sprečavanje nezakonitih prelazaka kao i svih oblika prekograničnog kriminala izuzetno je zahtjevna zadaća. Provodi se niz aktivnosti u izgradnji sigurnosti i povjerenja u području međunarodne suradnje, a pripadnici razdjela aktivno sudjeluju u misijama odgovora na krize u inozemstvu pod okriljem međunarodnih organizacija i saveza.  </w:t>
      </w:r>
    </w:p>
    <w:p w:rsidR="00AC0832" w:rsidRDefault="00AC0832">
      <w:pPr>
        <w:pStyle w:val="Normal3"/>
      </w:pPr>
      <w:r>
        <w:t xml:space="preserve">Jedna od temeljnih zadaća Razdjela je poduzimanje preventivnih, organizacijskih i operativnih mjera i aktivnosti u svrhu unapređenja vatrogasne djelatnosti, u koje spadaju promidžbene aktivnosti iz zaštite od požara i izdavanje stručne literature, te osposobljavanje, usavršavanje, obuke, seminari, savjetovanja vatrogasnih kadrova, uz istovremeno osiguranje tehničko-tehnološke opremljenosti vatrogasnih postrojbi kroz sufinanciranje vatrogasne tehnike i opreme, te održavanje i razvijanje djelotvornog sustava uzbunjivanja, komunikacija i izvješćivanja, štiteći strukovne interese vatrogasnih organizacija (javnih vatrogasnih postrojbi, dobrovoljnih vatrogasnih društava i njihovih zajednica). Provođenje mjera zaštite od požara u cilju je smanjenja šteta uzrokovanih požarima i nesrećama. </w:t>
      </w:r>
    </w:p>
    <w:p w:rsidR="00AC0832" w:rsidRDefault="00AC0832">
      <w:pPr>
        <w:pStyle w:val="Normal3"/>
      </w:pPr>
      <w:r>
        <w:t xml:space="preserve">Kontinuirano se izvršavaju slijedeći značajni poslovi i zadaci: prikupljanje, obrada i vođenje baze podataka o katastrofama, razmjena znanstvenih i tehničkih podataka i informacija važnih za zaštitu i spašavanje od katastrofa, predlaganje, poduzimanje i usklađivanje preventivnih mjera za smanjenje mogućnosti nastanka katastrofa, obuka i osposobljavanje upravljačkih i specijalističkih timova kao i planiranje i provedba vježbi iz područja zaštite i spašavanja, koje uključuju angažiranje međunarodnih i spasilačkih timova. Od velikog značaja je i koordinacija svih sudionika u zaštiti i spašavanju, te izravno rukovođenje i zapovijedanje kroz cjelovit sustav zaštite i spašavanja.  </w:t>
      </w:r>
    </w:p>
    <w:p w:rsidR="00AC0832" w:rsidRDefault="00AC0832">
      <w:pPr>
        <w:pStyle w:val="Normal3"/>
      </w:pPr>
      <w:r>
        <w:t>Razdjel obavlja i stručne poslove koji se odnose na: prikupljanje i obradu podataka o prostorima zagađenim minsko-eksplozivnim sredstvima, vođenje evidencija o razminiranim prostorima, vođenje brige o obavješćivanju i upozoravanju stanovništva o opasnostima od minsko-eksplozivnih sredstava, obilježavanje prostora zagađenih minsko-eksplozivnim sredstvima i suradnju s međunarodnim ekspertima za razminiranje.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04005-Ministarstvo unutarnjih poslova</w:t>
            </w:r>
          </w:p>
        </w:tc>
        <w:tc>
          <w:tcPr>
            <w:tcW w:w="2322" w:type="dxa"/>
          </w:tcPr>
          <w:p w:rsidR="00AC0832" w:rsidRDefault="00AC0832">
            <w:pPr>
              <w:pStyle w:val="CellColumn"/>
            </w:pPr>
            <w:r>
              <w:t>4.379.439.456</w:t>
            </w:r>
          </w:p>
        </w:tc>
        <w:tc>
          <w:tcPr>
            <w:tcW w:w="2322" w:type="dxa"/>
          </w:tcPr>
          <w:p w:rsidR="00AC0832" w:rsidRDefault="00AC0832">
            <w:pPr>
              <w:pStyle w:val="CellColumn"/>
            </w:pPr>
            <w:r>
              <w:t>4.323.729.208</w:t>
            </w:r>
          </w:p>
        </w:tc>
        <w:tc>
          <w:tcPr>
            <w:tcW w:w="2322" w:type="dxa"/>
          </w:tcPr>
          <w:p w:rsidR="00AC0832" w:rsidRDefault="00AC0832">
            <w:pPr>
              <w:pStyle w:val="CellColumn"/>
            </w:pPr>
            <w:r>
              <w:t>98,7</w:t>
            </w:r>
          </w:p>
        </w:tc>
      </w:tr>
      <w:tr w:rsidR="00AC0832" w:rsidTr="00BE20ED">
        <w:trPr>
          <w:jc w:val="center"/>
        </w:trPr>
        <w:tc>
          <w:tcPr>
            <w:tcW w:w="2322" w:type="dxa"/>
          </w:tcPr>
          <w:p w:rsidR="00AC0832" w:rsidRDefault="00AC0832">
            <w:pPr>
              <w:pStyle w:val="CellColumn"/>
            </w:pPr>
            <w:r>
              <w:t>04030-Proračunski korisnici u funkciji zaštite i spašavanja</w:t>
            </w:r>
          </w:p>
        </w:tc>
        <w:tc>
          <w:tcPr>
            <w:tcW w:w="2322" w:type="dxa"/>
          </w:tcPr>
          <w:p w:rsidR="00AC0832" w:rsidRDefault="00AC0832">
            <w:pPr>
              <w:pStyle w:val="CellColumn"/>
            </w:pPr>
            <w:r>
              <w:t>169.640.800</w:t>
            </w:r>
          </w:p>
        </w:tc>
        <w:tc>
          <w:tcPr>
            <w:tcW w:w="2322" w:type="dxa"/>
          </w:tcPr>
          <w:p w:rsidR="00AC0832" w:rsidRDefault="00AC0832">
            <w:pPr>
              <w:pStyle w:val="CellColumn"/>
            </w:pPr>
            <w:r>
              <w:t>170.174.535</w:t>
            </w:r>
          </w:p>
        </w:tc>
        <w:tc>
          <w:tcPr>
            <w:tcW w:w="2322" w:type="dxa"/>
          </w:tcPr>
          <w:p w:rsidR="00AC0832" w:rsidRDefault="00AC0832">
            <w:pPr>
              <w:pStyle w:val="CellColumn"/>
            </w:pPr>
            <w:r>
              <w:t>100,3</w:t>
            </w:r>
          </w:p>
        </w:tc>
      </w:tr>
      <w:tr w:rsidR="00AC0832" w:rsidTr="00BE20ED">
        <w:trPr>
          <w:jc w:val="center"/>
        </w:trPr>
        <w:tc>
          <w:tcPr>
            <w:tcW w:w="2322" w:type="dxa"/>
          </w:tcPr>
          <w:p w:rsidR="00AC0832" w:rsidRDefault="00AC0832">
            <w:pPr>
              <w:pStyle w:val="CellColumn"/>
            </w:pPr>
            <w:r>
              <w:t>04035-Hrvatski centar za razminiranje</w:t>
            </w:r>
          </w:p>
        </w:tc>
        <w:tc>
          <w:tcPr>
            <w:tcW w:w="2322" w:type="dxa"/>
          </w:tcPr>
          <w:p w:rsidR="00AC0832" w:rsidRDefault="00AC0832">
            <w:pPr>
              <w:pStyle w:val="CellColumn"/>
            </w:pPr>
            <w:r>
              <w:t>243.671.544</w:t>
            </w:r>
          </w:p>
        </w:tc>
        <w:tc>
          <w:tcPr>
            <w:tcW w:w="2322" w:type="dxa"/>
          </w:tcPr>
          <w:p w:rsidR="00AC0832" w:rsidRDefault="00AC0832">
            <w:pPr>
              <w:pStyle w:val="CellColumn"/>
            </w:pPr>
            <w:r>
              <w:t>249.963.044</w:t>
            </w:r>
          </w:p>
        </w:tc>
        <w:tc>
          <w:tcPr>
            <w:tcW w:w="2322" w:type="dxa"/>
          </w:tcPr>
          <w:p w:rsidR="00AC0832" w:rsidRDefault="00AC0832">
            <w:pPr>
              <w:pStyle w:val="CellColumn"/>
            </w:pPr>
            <w:r>
              <w:t>102,6</w:t>
            </w:r>
          </w:p>
        </w:tc>
      </w:tr>
      <w:tr w:rsidR="00AC0832" w:rsidTr="00BE20ED">
        <w:trPr>
          <w:jc w:val="center"/>
        </w:trPr>
        <w:tc>
          <w:tcPr>
            <w:tcW w:w="2322" w:type="dxa"/>
            <w:shd w:val="clear" w:color="auto" w:fill="B5C0D8"/>
          </w:tcPr>
          <w:p w:rsidR="00AC0832" w:rsidRDefault="00AC0832">
            <w:pPr>
              <w:pStyle w:val="CellColumn"/>
            </w:pPr>
            <w:r>
              <w:t>Ukupno 040-MINISTARSTVO UNUTARNJIH POSLOVA</w:t>
            </w:r>
          </w:p>
        </w:tc>
        <w:tc>
          <w:tcPr>
            <w:tcW w:w="2322" w:type="dxa"/>
            <w:shd w:val="clear" w:color="auto" w:fill="B5C0D8"/>
          </w:tcPr>
          <w:p w:rsidR="00AC0832" w:rsidRDefault="00AC0832">
            <w:pPr>
              <w:pStyle w:val="CellColumn"/>
            </w:pPr>
            <w:r>
              <w:t>4.792.751.800</w:t>
            </w:r>
          </w:p>
        </w:tc>
        <w:tc>
          <w:tcPr>
            <w:tcW w:w="2322" w:type="dxa"/>
            <w:shd w:val="clear" w:color="auto" w:fill="B5C0D8"/>
          </w:tcPr>
          <w:p w:rsidR="00AC0832" w:rsidRDefault="00AC0832">
            <w:pPr>
              <w:pStyle w:val="CellColumn"/>
            </w:pPr>
            <w:r>
              <w:t>4.743.866.787</w:t>
            </w:r>
          </w:p>
        </w:tc>
        <w:tc>
          <w:tcPr>
            <w:tcW w:w="2322" w:type="dxa"/>
            <w:shd w:val="clear" w:color="auto" w:fill="B5C0D8"/>
          </w:tcPr>
          <w:p w:rsidR="00AC0832" w:rsidRDefault="00AC0832">
            <w:pPr>
              <w:pStyle w:val="CellColumn"/>
            </w:pPr>
            <w:r>
              <w:t>99,0</w:t>
            </w:r>
          </w:p>
        </w:tc>
      </w:tr>
    </w:tbl>
    <w:p w:rsidR="00AC0832" w:rsidRDefault="00AC0832">
      <w:pPr>
        <w:jc w:val="left"/>
      </w:pPr>
    </w:p>
    <w:p w:rsidR="00AC0832" w:rsidRDefault="00AC0832">
      <w:pPr>
        <w:pStyle w:val="Heading2"/>
      </w:pPr>
      <w:r>
        <w:t>04005 Ministarstvo unutarnjih poslova</w:t>
      </w:r>
    </w:p>
    <w:p w:rsidR="00AC0832" w:rsidRDefault="00AC0832">
      <w:pPr>
        <w:pStyle w:val="Heading4"/>
      </w:pPr>
      <w:r>
        <w:t>Uvod</w:t>
      </w:r>
    </w:p>
    <w:p w:rsidR="00AC0832" w:rsidRDefault="00AC0832">
      <w:pPr>
        <w:pStyle w:val="Normal3"/>
      </w:pPr>
      <w:r>
        <w:t xml:space="preserve">Ukupno planirani rashodi za 2012. godinu iznose 4.379.439.456 kn, a financirani su iz Izvora 11 - Opći prihodi i primici u iznosu od 4.261.105.456 kn, Izvora 12 - Sredstva učešća za pomoći u iznosu od 8.878.000 kn, Izvora 31 - Vlastiti prihodi u iznosu od 24.850.000 kn, Izvora 43 - Ostali prihodi za posebne namjene u iznosu od 40.000.000 kn, Izvora 51 - Pomoći EU u iznosu od 43.866.000 kn i Izvora 52 - Ostale pomoći u iznosu od 740.000 kn. Izvršenje plana za 2012.g. je bilo 98,73 %. </w:t>
      </w:r>
    </w:p>
    <w:p w:rsidR="00AC0832" w:rsidRDefault="00AC0832">
      <w:pPr>
        <w:pStyle w:val="Normal3"/>
      </w:pPr>
      <w:r>
        <w:t xml:space="preserve">Ministarstvo unutarnjih poslova u svom proračunu ima evidentirana dva programa i to: 2601 Javni red, sigurnost i upravni poslovi i 2602 Upravljanje državnim granicama.  </w:t>
      </w:r>
    </w:p>
    <w:p w:rsidR="00AC0832" w:rsidRDefault="00AC0832">
      <w:pPr>
        <w:pStyle w:val="Normal3"/>
      </w:pPr>
      <w:r>
        <w:t>Gledajući izvršenje plana za 2012. godinu po Izvorima financiranja vidljivo je da su sve aktivnosti i projekti na Izvoru 11 izvršene sa 99,52 %, izvršenje na Izvoru 12 je 90,28% zbog nemogućnosti utjecanja na proces ugovaranja i realizacije EU projekata, Izvor 31 je izvršen 95,95% iz razloga manje uplaćenih prihoda od planiranih u 2012.g., Izvor 43 je izvršen 61,98%. jer su postupci nabave i realizacija istih prolongirani u 2013. godinu. Na Izvoru 51 je izvršenje 58,27% zbog već navedene problematike EU projekata, dok je na Izvoru 52 izvršenje 83,12% na što nismo u mogućnosti utjecati jer se radi o tekućim i kapitalnim pomoćima iz proračuna gradova, općina i županija.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04005-Ministarstvo unutarnjih poslova</w:t>
            </w:r>
          </w:p>
        </w:tc>
        <w:tc>
          <w:tcPr>
            <w:tcW w:w="2322" w:type="dxa"/>
          </w:tcPr>
          <w:p w:rsidR="00AC0832" w:rsidRDefault="00AC0832">
            <w:pPr>
              <w:pStyle w:val="CellColumn"/>
            </w:pPr>
            <w:r>
              <w:t>4.379.439.456</w:t>
            </w:r>
          </w:p>
        </w:tc>
        <w:tc>
          <w:tcPr>
            <w:tcW w:w="2322" w:type="dxa"/>
          </w:tcPr>
          <w:p w:rsidR="00AC0832" w:rsidRDefault="00AC0832">
            <w:pPr>
              <w:pStyle w:val="CellColumn"/>
            </w:pPr>
            <w:r>
              <w:t>4.323.729.208</w:t>
            </w:r>
          </w:p>
        </w:tc>
        <w:tc>
          <w:tcPr>
            <w:tcW w:w="2322" w:type="dxa"/>
          </w:tcPr>
          <w:p w:rsidR="00AC0832" w:rsidRDefault="00AC0832">
            <w:pPr>
              <w:pStyle w:val="CellColumn"/>
            </w:pPr>
            <w:r>
              <w:t>98,7</w:t>
            </w:r>
          </w:p>
        </w:tc>
      </w:tr>
      <w:tr w:rsidR="00AC0832" w:rsidTr="00BE20ED">
        <w:trPr>
          <w:jc w:val="center"/>
        </w:trPr>
        <w:tc>
          <w:tcPr>
            <w:tcW w:w="2322" w:type="dxa"/>
          </w:tcPr>
          <w:p w:rsidR="00AC0832" w:rsidRDefault="00AC0832">
            <w:pPr>
              <w:pStyle w:val="CellColumnSmall"/>
            </w:pPr>
            <w:r>
              <w:t>2601-JAVNI RED, SIGURNOST I UPRAVNI POSLOVI</w:t>
            </w:r>
          </w:p>
        </w:tc>
        <w:tc>
          <w:tcPr>
            <w:tcW w:w="2322" w:type="dxa"/>
          </w:tcPr>
          <w:p w:rsidR="00AC0832" w:rsidRDefault="00AC0832">
            <w:pPr>
              <w:pStyle w:val="CellColumnSmall"/>
            </w:pPr>
            <w:r>
              <w:t>3.571.437.456</w:t>
            </w:r>
          </w:p>
        </w:tc>
        <w:tc>
          <w:tcPr>
            <w:tcW w:w="2322" w:type="dxa"/>
          </w:tcPr>
          <w:p w:rsidR="00AC0832" w:rsidRDefault="00AC0832">
            <w:pPr>
              <w:pStyle w:val="CellColumnSmall"/>
            </w:pPr>
            <w:r>
              <w:t>3.539.935.715</w:t>
            </w:r>
          </w:p>
        </w:tc>
        <w:tc>
          <w:tcPr>
            <w:tcW w:w="2322" w:type="dxa"/>
          </w:tcPr>
          <w:p w:rsidR="00AC0832" w:rsidRDefault="00AC0832">
            <w:pPr>
              <w:pStyle w:val="CellColumnSmall"/>
            </w:pPr>
            <w:r>
              <w:t>99,1</w:t>
            </w:r>
          </w:p>
        </w:tc>
      </w:tr>
      <w:tr w:rsidR="00AC0832" w:rsidTr="00BE20ED">
        <w:trPr>
          <w:jc w:val="center"/>
        </w:trPr>
        <w:tc>
          <w:tcPr>
            <w:tcW w:w="2322" w:type="dxa"/>
          </w:tcPr>
          <w:p w:rsidR="00AC0832" w:rsidRDefault="00AC0832">
            <w:pPr>
              <w:pStyle w:val="CellColumnSmall"/>
            </w:pPr>
            <w:r>
              <w:t>2602-UPRAVLJANJE DRŽAVNIM GRANICAMA</w:t>
            </w:r>
          </w:p>
        </w:tc>
        <w:tc>
          <w:tcPr>
            <w:tcW w:w="2322" w:type="dxa"/>
          </w:tcPr>
          <w:p w:rsidR="00AC0832" w:rsidRDefault="00AC0832">
            <w:pPr>
              <w:pStyle w:val="CellColumnSmall"/>
            </w:pPr>
            <w:r>
              <w:t>808.002.000</w:t>
            </w:r>
          </w:p>
        </w:tc>
        <w:tc>
          <w:tcPr>
            <w:tcW w:w="2322" w:type="dxa"/>
          </w:tcPr>
          <w:p w:rsidR="00AC0832" w:rsidRDefault="00AC0832">
            <w:pPr>
              <w:pStyle w:val="CellColumnSmall"/>
            </w:pPr>
            <w:r>
              <w:t>783.793.493</w:t>
            </w:r>
          </w:p>
        </w:tc>
        <w:tc>
          <w:tcPr>
            <w:tcW w:w="2322" w:type="dxa"/>
          </w:tcPr>
          <w:p w:rsidR="00AC0832" w:rsidRDefault="00AC0832">
            <w:pPr>
              <w:pStyle w:val="CellColumnSmall"/>
            </w:pPr>
            <w:r>
              <w:t>97,0</w:t>
            </w:r>
          </w:p>
        </w:tc>
      </w:tr>
    </w:tbl>
    <w:p w:rsidR="00AC0832" w:rsidRDefault="00AC0832">
      <w:pPr>
        <w:jc w:val="left"/>
      </w:pPr>
    </w:p>
    <w:p w:rsidR="00AC0832" w:rsidRDefault="00AC0832">
      <w:pPr>
        <w:pStyle w:val="Heading4"/>
      </w:pPr>
      <w:r>
        <w:t>OBRAZLOŽENJE PROGRAMA</w:t>
      </w:r>
    </w:p>
    <w:p w:rsidR="00AC0832" w:rsidRDefault="00AC0832">
      <w:pPr>
        <w:pStyle w:val="Heading5"/>
      </w:pPr>
      <w:r>
        <w:t>2601 JAVNI RED, SIGURNOST I UPRAVNI POSLOVI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2601-JAVNI RED, SIGURNOST I UPRAVNI POSLOVI</w:t>
            </w:r>
          </w:p>
        </w:tc>
        <w:tc>
          <w:tcPr>
            <w:tcW w:w="2322" w:type="dxa"/>
          </w:tcPr>
          <w:p w:rsidR="00AC0832" w:rsidRDefault="00AC0832">
            <w:pPr>
              <w:pStyle w:val="CellColumn"/>
            </w:pPr>
            <w:r>
              <w:t>3.571.437.456</w:t>
            </w:r>
          </w:p>
        </w:tc>
        <w:tc>
          <w:tcPr>
            <w:tcW w:w="2322" w:type="dxa"/>
          </w:tcPr>
          <w:p w:rsidR="00AC0832" w:rsidRDefault="00AC0832">
            <w:pPr>
              <w:pStyle w:val="CellColumn"/>
            </w:pPr>
            <w:r>
              <w:t>3.539.935.715</w:t>
            </w:r>
          </w:p>
        </w:tc>
        <w:tc>
          <w:tcPr>
            <w:tcW w:w="2322" w:type="dxa"/>
          </w:tcPr>
          <w:p w:rsidR="00AC0832" w:rsidRDefault="00AC0832">
            <w:pPr>
              <w:pStyle w:val="CellColumn"/>
            </w:pPr>
            <w:r>
              <w:t>99,1</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 Javni red, sigurnost i upravni poslovi uključuje policijske poslove i druge poslove Ministarstva unutarnjih poslova koji su određeni zakonom, kao što su zaštita života, prava i sigurnosti i nepovredivosti osobe, zaštita imovine, sprječavanje i otkrivanje kaznenih djela, prijestupa i prekršaja i njihovo dovođenje nadležnim tijelima,  nadzor i upravljanje cestovnim prometom, poslovi sa strancima, pronalaženje nezakonito stečene imovine, održavanje javnog reda i mira, osiguranje i nadzor javnih okupljanja, nadzor kretanja i boravka stranaca i njihov prihvat, osiguranje i zaštita određenih osoba, objekata i prostora, protueksplozijska zaštita, poslovi specijalne policije, te drugi poslovi određeni zakonom. </w:t>
      </w:r>
    </w:p>
    <w:p w:rsidR="00AC0832" w:rsidRDefault="00AC0832">
      <w:pPr>
        <w:pStyle w:val="Normal5"/>
      </w:pPr>
      <w:r>
        <w:t xml:space="preserve"> Program se provodi kroz aktivnost A553131 Administracija i upravljanje i kapitalne projekte sa ciljem financiranja navedenih policijskih poslova.</w:t>
      </w:r>
    </w:p>
    <w:p w:rsidR="00AC0832" w:rsidRDefault="00AC0832">
      <w:pPr>
        <w:pStyle w:val="Heading6"/>
      </w:pPr>
      <w:r>
        <w:t>Zakonske i druge pravne osnove</w:t>
      </w:r>
    </w:p>
    <w:p w:rsidR="00AC0832" w:rsidRDefault="00AC0832">
      <w:pPr>
        <w:pStyle w:val="Normal5"/>
      </w:pPr>
      <w:r>
        <w:t>Zakon o policiji, 34/11, 41/08, 129/00, Zakon o policijskim poslovima i ovlastima, NN 76/09, Zakon o hrvatskom državljanstvu, NN 130/11, 28/92, 70/91, 53/91, Zakon o prebivalištu i boravištu građana, NN 53/91, Zakon o osobnoj iskaznici, NN 122/02, 11/02, 9/92, 53/91, Zakon o putnim ispravama hrvatskih državljana, NN 74/09, 48/05, 133/02, 77/99, 64/92, 53/91, Zakon o strancima, NN130/11, 36/09, 79/07, 182/04, 109/03, Zakon o azilu, NN 103/03, 79/07, 88/10, Zakon o humanitarnom razminiranju, NN 152/08, 63/07, 153/05, Zakon o zaštiti od požara, NN 92/10, 38/09, 107/07, 33/05, 58/93, 14/91, 11/91, Zakon o vatrogastvu, NN 80/10, 38/09, 174/04, 139/04, 96/03, 117/01, 106/99, 87/96, 58/93, Zakon o eksplozivnim tvarima, NN 144/10, 67/08, 109/07, 178/04, Zakon o zapaljivim tekućinama i plinovima, NN 56/10, 108/95, Zakon o prijevozu opasnih tvari, NN 79/07, 151/03, 97/93, Zakon o sigurnosti prometa na cestama, NN 74/11, 67/08, 105/04, 59/96, 54/96, 46/96, 43/96, 6/93, 5/93, 84/92, 20/91, 9/91, 28/90, 26/90, 20/90, Zakon o javnom okupljanju, NN 78/12, 150/05, 90/05, 128/99, 22/92, Zakon o prekršajima protiv javnog reda i mira, NN 47/90, 30/90, 5/90, Zakon o privatnoj zaštiti, NN 139/10, 31/10, 68/03, Zakon o pravima iz mirovinskog osiguranja djelatnih vojnih i ovlaštenih službenih osoba, NN 97/12, 118/12, 41/08, 22/02, 16/01, 128/99, Zakon o sprečavanju nereda na športskim natjecanjima, NN 117/03, 71/06, 43/09,37/11, Zakon o minimalnim mjerama zaštite u poslovanju s gotovim novcem i vrijednostima, NN 150/05, 173/03, Zakon o zaštiti svjedoka, NN 18/11, 163/03, Zakon o posebnim pravima iz mirovinskog osiguranja zaposlenika na poslovima razminiranja, NN 152/08, 153/05, Zakon o zaštiti osoba i imovine, NN 96/01, 75/01, 90/96, 83/96, Zakon o zakladi policijske solidarnosti 121/05, Pravilnik o načinu policijskog postupanja, NN 89/10, 81/03, Prekršajni zakon, NN 107/07, Kazneni zakon, NN 125/11, 110/97, 50/00, 129/00, 51/01, 105/04, 71/06, 110/07, 97/98, 111/03, 190/03, 84/05, 152/08, Zakon o kaznenom postupku, NN 121/11, 80/11, 76/09, 152/08, 115/06, 62/03, 143/02, 58/02, 112/99, 58/99, 27/98, 110/97, Zakon o zaštiti osoba s duševnim smetnjama, NN 79/02, 128/99, 27/98, 111/97, Nacionalni program sigurnosti cestovnog prometa Republike Hrvatske 2011.-2020. godine, NN 59/11, Zakon o razvojnoj suradnji i humanitarnoj pomoći, NN 146/08, Nacionalna strategija razvojne suradnje Republike Hrvatske za razdoblje od 2009. do 2014. godine, NN 24/09.</w:t>
      </w:r>
    </w:p>
    <w:p w:rsidR="00AC0832" w:rsidRDefault="00AC0832">
      <w:pPr>
        <w:pStyle w:val="Heading7"/>
      </w:pPr>
      <w:r>
        <w:t>Cilj 1. Povećanje međunarodne suradnje na području prevencije radi edukacije i usvajanja dobre prakse</w:t>
      </w:r>
    </w:p>
    <w:p w:rsidR="00AC0832" w:rsidRDefault="00AC0832">
      <w:pPr>
        <w:pStyle w:val="Heading8"/>
        <w:jc w:val="left"/>
      </w:pPr>
      <w:r>
        <w:t>Opis provedbe cilja programa</w:t>
      </w:r>
    </w:p>
    <w:p w:rsidR="00AC0832" w:rsidRDefault="00AC0832">
      <w:pPr>
        <w:pStyle w:val="Normal6"/>
      </w:pPr>
      <w:r>
        <w:t xml:space="preserve">Djelujući na platformi vanjske politike Vlade, Ministarstvo unutarnjih poslova ima posebne zadaće i odgovornosti i na međunarodnom planu. Sigurnost je nedjeljiva kategorija i ona ne završava na državnim granicama. Proces globalizacije teče i na području sigurnosti. Razvijanje međunarodne policijske suradnje temeljni je uvjet uspješnog rada policija svih država. Policija Republike Hrvatske ima uspostavljene odnose sa svim policijskim organizacijama članica EU, te sa svim zemljama u neposrednom okruženju. Isto tako, kroz članstvo u Interpolu, policijska suradnja uspostavljena je s gotovo svim zemljama svijeta. Ti međunarodni odnosi policije odvijaju se kroz različite formalne oblike i kroz različite stupnjeve intenziteta. S mnogim zemljama sklopljeni su bilateralni međunarodni ugovori na raznim sigurnosnim područjima, a također smo uključeni u mnoge multilateralne međunarodne ugovore. Tu međunarodnu suradnju treba i dalje razvijati i jačati kako bi policijska organizacija Republike Hrvatske bila prepoznata i prihvaćena, kao bitna sigurnosna komponenta europskog sigurnosnog sustava. </w:t>
      </w:r>
    </w:p>
    <w:p w:rsidR="00AC0832" w:rsidRDefault="00AC0832">
      <w:pPr>
        <w:pStyle w:val="Normal6"/>
      </w:pPr>
      <w:r>
        <w:t xml:space="preserve">Međunarodna policijska suradnja tijekom provedbe izvida koruptivnih kaznenih djela i financijskih istraga provodi se posredstvom Interpola, Europola, SECI Centra, policijskih časnika za vezu akreditiranih za Republiku Hrvatsku, te posredstvom CARIN-a (Camden Asset Recovery Inter – Agency Network), što čini međunarodnu mrežu kontakt osoba, praktičara iz redova državnog odvjetništva i policije za provedbu financijskih istraga i oduzimanja imovinske koristi koja potječe od izvršenja kaznenih djela. </w:t>
      </w:r>
    </w:p>
    <w:p w:rsidR="00AC0832" w:rsidRDefault="00AC0832">
      <w:pPr>
        <w:pStyle w:val="Normal6"/>
      </w:pPr>
      <w:r>
        <w:t>U financijskim istragama aktivno se surađuje s europskim i regionalnim institucijama, među inim, Vijećem Europe - MONEYVAL - Odborom stručnjaka za procjenu mjera protiv pranja novca; CARIN-om - mreža kontakt osoba za suradnju na području financijskih istraga, FATF-om (Financial ActionTask Force) - međudržavno tijelo koje ima članove iz cijelog svijeta čije djelovanje pridonosi razvitku i unaprjeđenju nacionalnih i međunarodnih strategija za borbu protiv pranja novca i financiranja terorizma.</w:t>
      </w:r>
    </w:p>
    <w:p w:rsidR="00AC0832" w:rsidRDefault="00AC0832">
      <w:pPr>
        <w:pStyle w:val="Heading7"/>
      </w:pPr>
      <w:r>
        <w:t>Cilj 2. Smanjenje broja izgreda na športskim natjecanjima</w:t>
      </w:r>
    </w:p>
    <w:p w:rsidR="00AC0832" w:rsidRDefault="00AC0832">
      <w:pPr>
        <w:pStyle w:val="Heading8"/>
        <w:jc w:val="left"/>
      </w:pPr>
      <w:r>
        <w:t>Opis provedbe cilja programa</w:t>
      </w:r>
    </w:p>
    <w:p w:rsidR="00AC0832" w:rsidRDefault="00AC0832">
      <w:pPr>
        <w:pStyle w:val="Normal6"/>
      </w:pPr>
      <w:r>
        <w:t xml:space="preserve">Zbog kršenja odredbi Zakona o sprječavanju nereda na športskim natjecanjima, Zakona o prekršajima protiv javnog reda i mira, te Zakona o javnom okupljanju i drugih vezanih uz protupravna ponašanja na športskim natjecanjima 1023 osobe su privedene, a protiv 1230 osoba podneseni su optužni prijedlozi (od toga 1046 po Zakonu o sprječavanju nereda na športskim natjecanjima). Trenutno je na snazi 283 pravomoćnih zaštitnih mjera zabrane prisustvovanja određenim športskim natjecanjima, te 16 pravomoćno izrečenih mjera opreza zabrane posjećivanja određenog mjesta. Znakovito je kako neki od prijestupnika na športskim natjecanjima imaju izrečene po dvije ili više mjera zabrane. U 2012. godini 130 osoba bilo je pod mjerama zabrane, što je za 23.8 posto više u odnosu na prethodnu godinu (105). </w:t>
      </w:r>
    </w:p>
    <w:p w:rsidR="00AC0832" w:rsidRDefault="00AC0832">
      <w:pPr>
        <w:pStyle w:val="Normal6"/>
      </w:pPr>
      <w:r>
        <w:t xml:space="preserve">Najviše mjera zabrane izrečeno je na području Policijskih uprava zagrebačke (43), splitsko-dalmatinske (41) i primorsko-goranske (16), dok je po sportskim klubovima najviše mjera zabrane izrečeno za utakmice HNK „Hajduk“ (53), NK „Dinamo“ (49) te nogometne reprezentacije Hrvatske (100).  </w:t>
      </w:r>
    </w:p>
    <w:p w:rsidR="00AC0832" w:rsidRDefault="00AC0832">
      <w:pPr>
        <w:pStyle w:val="Normal6"/>
      </w:pPr>
      <w:r>
        <w:t>Analizom provedbe mjera zabrane prisustvovanja športskim natjecanjima ustvrdilo se kako se najveći broj osoba (98.0 posto), kojima su mjere izrečene, policiji javlja prije početka športskog natjecanja i oni su pod policijskim nadzorom tijekom športskog natjecanja, dok je manji broj (dva posto) njih koji nemaju obvezu javljanja policiji. Primjenom ovih mjera postiže se svrha - počiniteljima najtežih prekršaja ili kaznenih djela onemogućava se nazočnost na športskim natjecanjima, što pridonosi smanjenju najtežih oblika nereda na samim športskim natjecanjima.</w:t>
      </w:r>
    </w:p>
    <w:p w:rsidR="00AC0832" w:rsidRDefault="00AC0832">
      <w:pPr>
        <w:pStyle w:val="Heading7"/>
      </w:pPr>
      <w:r>
        <w:t>Cilj 3. Povećanje broja stranih policijskih organizacija čiji su policijski službenici uključeni u turističku sezonu</w:t>
      </w:r>
    </w:p>
    <w:p w:rsidR="00AC0832" w:rsidRDefault="00AC0832">
      <w:pPr>
        <w:pStyle w:val="Heading8"/>
        <w:jc w:val="left"/>
      </w:pPr>
      <w:r>
        <w:t>Opis provedbe cilja programa</w:t>
      </w:r>
    </w:p>
    <w:p w:rsidR="00AC0832" w:rsidRDefault="00AC0832">
      <w:pPr>
        <w:pStyle w:val="Normal6"/>
      </w:pPr>
      <w:r>
        <w:t>U sklopu suradnje s policijama europskih država i 2012. godine nastavilo se s provedbom projekta „Sigurna turistička sezona“ (ranije poznat pod nazivom: „Međunarodna policijska suradnja policija u odori“) koja se bez prekida uspješno provodi već šestu godinu. U Republiku Hrvatsku su u smjenama tijekom srpnja, kolovoza i rujna bili upućivani policijski službenici iz Republike Austrije, Savezne Republike Njemačke, Češke Republike, Republike Mađarske, Slovačke Republike, Republike Poljske, Ukrajine, Republike Srbije, Republike Slovenije, Talijanske Republike, Republike Makedonije i Crne Gore. Službu su obavljali na području PU istarske, splitsko-dalmatinske, šibensko-kninske, dubrovačko-neretvanske, zadarske, primorsko-goranske i ličko-senjske. U tom međunarodnom projektu sudjelovalo je 58 stranih policijskih službenika koji su policijske ophodnje obavljali uz hrvatske policijske službenike. Strani policijski službenici za vrijeme svog angažmana u Republici Hrvatskoj nisu imali policijske ovlasti, a službu su obavljali u nacionalnim policijskim odorama, osim policijskih službenika Republike Srbije, Republike Makedonije i Crne Gore) i bez naoružanja (osim austrijskih policijskih službenika koji su, sukladno potpisanom Memorandumu, nosili svoje oružje i drugu opremu koju su mogli koristiti samo za nužnu obranu).</w:t>
      </w:r>
    </w:p>
    <w:p w:rsidR="00AC0832" w:rsidRDefault="00AC0832">
      <w:pPr>
        <w:pStyle w:val="Heading7"/>
      </w:pPr>
      <w:r>
        <w:t>Cilj 4. Povećanje broja otkrivenih i razriješenih svih kaznenih dijela</w:t>
      </w:r>
    </w:p>
    <w:p w:rsidR="00AC0832" w:rsidRDefault="00AC0832">
      <w:pPr>
        <w:pStyle w:val="Heading8"/>
        <w:jc w:val="left"/>
      </w:pPr>
      <w:r>
        <w:t>Opis provedbe cilja programa</w:t>
      </w:r>
    </w:p>
    <w:p w:rsidR="00AC0832" w:rsidRDefault="00AC0832">
      <w:pPr>
        <w:pStyle w:val="Normal6"/>
      </w:pPr>
      <w:r>
        <w:t>Kriminalitet – kao ukupnost svih kaznenih djela koja su se zbila na određenom području za određeno razdoblje – prouzroči dvije trećine svih štetnih i tragičnih posljedica na području javne sigurnosti. Zbog toga, kaznena djela, kao opasniji oblik kažnjivih ponašanja, trajno pobuđuju zanimanje javnosti. Velika većina kriminaliteta događa se izvan izravnog opažaja policijskih službenika tako da ga oni ne mogu neposredno suzbijati. Saznanja o kriminalitetu policija stječe dojavom građana ili pravnih osoba, a jedan dio otkriva vlastitom operativnom djelatnošću. Znatan dio kriminaliteta u svakom društvu ostaje neotkriven iz mnogih razloga, a društvo zbog toga trpi štetne posljedice. Neotkriveni kriminalitet krije se u tzv. tamnoj brojci kriminaliteta. Uvriježena je kriminološka procjena kako se od ukupnog kriminaliteta samo jedna petina rasvijetli. U Republici Hrvatskoj policija godišnje zabilježi oko 120 tisuća kaznenih djela. Od toga, za oko 90 tisuća kaznenih djela policija dozna putem dojava, a u oko 30 tisuća slučajeva policija sama otkrije postojanje kaznenog djela. Razriješenost kriminaliteta znači ustvrditi postojanost osnovane sumnje da su neka osoba ili osobe odgovorni za pojedina kaznena djela za koja je policija ustvrdila da su se dogodila. Od ukupnog broja otkrivenih kaznenih djela policija u Republici Hrvatskoj uspijeva razriješiti, na godišnjoj razini, šezdesetak posto kriminaliteta. Trajna je zadaća policije da otkriva što više kaznenih djela i da pokuša ustvrditi osnovanost sumnje za sve osobe koje potencijalno mogu biti odgovorne za ta kaznena djela. Sva kaznena djela nemaju istu težinu. Ne zanemarujući manje štetna kaznena djela, u 2012. godini policija je veću pozornost posvetila najtežim kaznenim djelima. Samo oko jedan posto svih kaznenih djela pobuđuje zanimanje šire javnosti koja od policije očekuje odlučno i uspješno djelovanje. Otkrivajući i razrješavajući tu vrstu kriminaliteta, policija povećava osjećaj sigurnosti u društvu i jača povjerenje građana u javni sigurnosni sustav. U 2012. godini u Republici Hrvatskoj zabilježeno je 110068 kaznenih djela od kojih se za njih 72171 postupak pokrenuo po službenoj dužnosti, za 11442 kaznena djela postupak se nije pokrenuo zbog izostanka prijedloga, a za 26455 kaznenih djela postupak se pokreće privatnom tužbom oštećenog. Stopa kriminaliteta svih zabilježenih kaznenih djela na sto tisuća stanovnika iznosi 2568 kaznenih djela, a stopa kriminaliteta kaznenih djela za koja je policija pokrenula kazneni postupak po službenoj dužnosti iznosi 1684 kaznena djela. Od 72171 kaznenog djela za koje se postupak pokreće po službenoj dužnosti, razriješenih je 41076 ili 56.9 posto. U 2012. godini pronađeni su počinitelji 1533 kaznena djela prijavljena ranijih godina pa koeficijent razriješenosti iznosi 59.0 posto. U odnosu na 2011. godinu svih prijavljenih kaznenih djela manje je za 2.9 posto, a kaznenih djela za koja se postupak pokrenuo po službenoj dužnosti manje je za 4.6 posto. Zbog načina i tehnika istraživanja pojedinih vrsta kaznenih djela, ukupan kriminal se klasificira u nekoliko kategorija koje se ne preklapaju sa zakonskom klasifikacijom, koja se temelji na zaštićenim vrijednostima. Uobičajena kriminalistička klasifikacija kriminala je: organizirani kriminalitet i korupcija; gospodarski kriminalitet; kriminalitet zlouporabe opojnih droga; kriminalitet od posebnog sigurnosnog značaja; kriminalitet nasilja; imovinski kriminalitet i sva ostala kaznena djela koja nisu obuhvaćena navedenim kategorijama. Kriminalitet nasilja, imovinski kriminalitet te sva ostala kaznena djela u praksi kriminalističke policije obuhvaćeni su pojmom „općeg kriminaliteta“. Posebnu vrstu kriminaliteta čini kriminalitet u prometu kojim se, u pravilu, bavi prometna policija, za razliku od ostalog kriminaliteta koji u glavnini čini djelokrug kriminalističke policije, a samo manjim dijelom granične i temeljne policije. Strukturu kriminaliteta za koji se postupak pokreće po službenoj dužnosti u 2012. godini prema kriminalističkoj klasifikaciji čine: opći kriminalitet s 56385 kaznenih djela ili 78.1 posto; kriminalitet droga s 7295 kaznenih djela ili 10.1 posto; gospodarski kriminalitet s 5994 kaznenih djela ili 8.3 posto; organizirani kriminalitet sa 788 kaznenih djela ili 1.1 posto; kriminalitet od posebnog sigurnosnog značaja s 83 kaznena djela ili 0.1 posto (terorizam i ekstremno nasilje sa 67 kaznenih djela ili 0.1 posto i ratni zločin sa 16 kaznenih djela ili 0.02 posto) i kriminalitet u prometu s 1626 kaznenih djela ili 2.3 posto. U istrazi pojedinih vrsta kaznenih djela na osnovu „Zakona o kaznenom postupku“ protiv osoba provode se posebne dokazne radnje. Tijekom 2012. godine u Republici Hrvatskoj uz primjenu posebnih dokaznih radnji, temeljem izdanih naloga započelo je 150 kriminalističkih istraživanja. Zbog otkrivanja počinitelja, odnosno prikupljanja dokaza, o počinjenju 248 kaznenih djela za čije otkrivanje je dopuštena uporaba posebnih radnji, kriminalistički je istraženo 747 osoba. Posebne radnje primijenile su se u 0.35 posto od ukupno 70545 prijavljenih kaznenih djela (bez prometnih delikata). U 2011. godini započela je provedba 202 kriminalistička istraživanja uz primjenu posebnih dokaznih radnji temeljem izdanih naloga prema 970 osoba radi otkrivanja počinitelja 325 "kataloških" kaznenih djela, što je u odnosu na ukupni broj od 73869 prijavljenih kaznenih djela (bez prometnih delikata), predstavljalo 0.44 posto od prijavljenih kaznenih djela.</w:t>
      </w:r>
    </w:p>
    <w:p w:rsidR="00AC0832" w:rsidRDefault="00AC0832">
      <w:pPr>
        <w:pStyle w:val="Heading7"/>
      </w:pPr>
      <w:r>
        <w:t>Cilj 5. Povećanje broja otkrivenih i razrješenih kaznenih djela korupcije i organiziranog kriminaliteta</w:t>
      </w:r>
    </w:p>
    <w:p w:rsidR="00AC0832" w:rsidRDefault="00AC0832">
      <w:pPr>
        <w:pStyle w:val="Heading8"/>
        <w:jc w:val="left"/>
      </w:pPr>
      <w:r>
        <w:t>Opis provedbe cilja programa</w:t>
      </w:r>
    </w:p>
    <w:p w:rsidR="00AC0832" w:rsidRDefault="00AC0832">
      <w:pPr>
        <w:pStyle w:val="Normal6"/>
      </w:pPr>
      <w:r>
        <w:t xml:space="preserve">Protukorupcijske aktivnosti u Republici Hrvatskoj temelje se na nacionalnoj pravnoj regulativi (Kazneni zakon, Zakon o kaznenom postupku, Zakon o policiji, Zakon o USKOK-u, Zakon o državnom odvjetništvu, Zakon o policijskim poslovima i ovlastima) i međunarodnim pravnim instrumentima (Kaznenopravna i Građanskopravna konvencija Vijeća Europe o korupciji i Konvencija Ujedinjenih naroda protiv korupcije). Korupcijskih kaznenih djela prijavljeno je 825 od čega je 48.7 posto kaznenih djela zlouporabe položaja ili ovlasti, 24.6 posto davanja, 23.8 posto primanja mita, dok na sva ostala djela iz ove skupine otpada 2.9 posto. Korupcijskih kaznenih djela prijavljeno je manje za 9.4 posto. Počinitelja tih kaznenih djela bilo je manje za 22.2 posto (298) u usporedbi s podacima iz prethodne godine (383). Materijalna šteta pričinjena korupcijskim kaznenim djelima iznosila je 568 505 910 kuna. U odnosu na prošlu godinu znatno je više kaznenih djela primanja i davanja mita: davanja mita za 70.6 posto, primanje mita za 7.7 posto i davanje mita u gospodarskom poslovanju za tri kaznena djela ili 300.0 posto. </w:t>
      </w:r>
    </w:p>
    <w:p w:rsidR="00AC0832" w:rsidRDefault="00AC0832">
      <w:pPr>
        <w:pStyle w:val="Normal6"/>
      </w:pPr>
      <w:r>
        <w:t xml:space="preserve">Obveze MUP-a iz Strategije suzbijanja korupcije kao i pripadajućeg Akcijskog plana, odnosno Programa za trgovačka društva u većinskom državnom vlasništvu za razdoblje 2010-2012. godine, kontinuirano se provode, a primarno se odnose na jačanje kadrovskog i institucionalnog okvira za borbu protiv korupcije, sustavnu provedbu stručnog osposobljavanja policijskih službenika za poslove otkrivanja korupcijskih kaznenih djela i njihovih počinitelja, sudjelovanje u europskim i regionalnim institucijama te suradnju s Europolom, Interpolom, policijama susjednih i drugih europskih država. Fokus protukorupcijskih napora odnosi se na korupciju u javnom sektoru, trgovačkim društvima u većinskom ili potpunom vlasništvu države te korupciju u jedinicama lokalne (područne) samouprave, ali i na suzbijanje „unutarnje korupcije“ (unutar samog MUP-a RH). Ministarstvo unutarnjih poslova sudjeluje i u provedbi izvida kaznenih djela počinjenih na štetu financijskih interesa Europske unije kao tijelo sustava za suzbijanje nepravilnosti i prijevara (AFCOS sustav). AFCOS sustavom provodi se koordinacija zakonodavnih, upravnih i operativnih aktivnosti u svrhu zaštite financijskih interesa Europske unije i ostvaruje neposredna suradnja s Uredom Europske komisije za borbu protiv prijevara (OLAF). Međunarodna policijska suradnja tijekom provedbe izvida koruptivnih kaznenih djela i financijskih istraga provodi se posredstvom Interpola, Europola, SECI Centra, policijskih časnika za vezu akreditiranih za Republiku Hrvatsku te posredstvom CARIN-a (Camden Asset Recovery Inter – Agency Network), što čini međunarodnu mrežu kontakt osoba, praktičara iz redova državnog odvjetništva i policije za provedbu financijskih istraga i oduzimanja imovinske koristi koja potječe od izvršenja kaznenih djela. </w:t>
      </w:r>
    </w:p>
    <w:p w:rsidR="00AC0832" w:rsidRDefault="00AC0832">
      <w:pPr>
        <w:pStyle w:val="Normal6"/>
      </w:pPr>
      <w:r>
        <w:t>U kategoriju organiziranog kriminaliteta, u pravilu, se ubrajaju kaznena djela s težim posljedicama počinjena u sastavu skupine ili zločinačke organizacije, a korupcijska kaznena djela su: sklapanje štetnog ugovora, primanje mita u gospodarskom poslovanju, davanje mita u gospodarskom poslovanju izdavanje i neovlašteno pribavljanje državne tajne, zlouporaba položaja ili ovlasti, zlouporaba obavljanja dužnosti državne vlasti, protuzakonito posredovanje, primanje i davanje mita i odavanje službene tajne. U 2012. godini zabilježeno je 788 kaznenih djela organiziranog kriminaliteta. Ova kaznena djela počinilo je 485 osoba (od čega jedna pravna osoba, a među fizičkim osobama bilo je 10.1 posto žena). Materijalna šteta počinjena ovim kaznenim djelima procijenjena je na 21 267 179 kuna. U odnosu na prethodnu godinu broj kaznenih djela u porastu je za 14.2 posto, broj osumnjičenih osoba u padu je za 5.8 posto, a i materijalna šteta manja je za 81.1 posto. U značajnom su porastu kaznena djela vezana uz državnu granicu – protuzakonito prebacivanje osoba preko državne granice (prijavljena su 184 kaznena djela, što je porast za 109.1 posto) i izbjegavanje carinskog nadzora (prijavljeno je 65 kaznenih djela, što je porast za 441.7 posto) te kaznena djela podvođenja (za 76.7 posto) i krivotvorenja novca (za 9.4 posto). Najbrojnija djela ove vrste kriminaliteta su protuzakonito prebacivanje osoba preko državne granice (23.4 posto), krivotvorenje novca (19.3 posto), iznuda (13.6 posto), nedozvoljeno držanje oružja (13.3 posto) i protupravna naplata (10.7 posto).</w:t>
      </w:r>
    </w:p>
    <w:p w:rsidR="00AC0832" w:rsidRDefault="00AC0832">
      <w:pPr>
        <w:pStyle w:val="Heading6"/>
      </w:pPr>
      <w:r>
        <w:t>A553131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A553131-ADMINISTRACIJA I UPRAVLJANJE</w:t>
            </w:r>
          </w:p>
        </w:tc>
        <w:tc>
          <w:tcPr>
            <w:tcW w:w="2322" w:type="dxa"/>
          </w:tcPr>
          <w:p w:rsidR="00AC0832" w:rsidRDefault="00AC0832">
            <w:pPr>
              <w:pStyle w:val="CellColumn"/>
            </w:pPr>
            <w:r>
              <w:t>3.370.594.186</w:t>
            </w:r>
          </w:p>
        </w:tc>
        <w:tc>
          <w:tcPr>
            <w:tcW w:w="2322" w:type="dxa"/>
          </w:tcPr>
          <w:p w:rsidR="00AC0832" w:rsidRDefault="00AC0832">
            <w:pPr>
              <w:pStyle w:val="CellColumn"/>
            </w:pPr>
            <w:r>
              <w:t>3.359.237.290</w:t>
            </w:r>
          </w:p>
        </w:tc>
        <w:tc>
          <w:tcPr>
            <w:tcW w:w="2322" w:type="dxa"/>
          </w:tcPr>
          <w:p w:rsidR="00AC0832" w:rsidRDefault="00AC0832">
            <w:pPr>
              <w:pStyle w:val="CellColumn"/>
            </w:pPr>
            <w:r>
              <w:t>99,7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Izvršenje aktivnosti A553131 Administracija i upravljanje se financira iz Izvora 11 - Opći prihodi i primici u iznosu od 3.335.393.119 kn i Izvora 31 - Vlastiti prihodi u iznosu od 23.844.171 kn. </w:t>
      </w:r>
    </w:p>
    <w:p w:rsidR="00AC0832" w:rsidRDefault="00AC0832">
      <w:pPr>
        <w:pStyle w:val="Normal6"/>
      </w:pPr>
      <w:r>
        <w:t xml:space="preserve">Sredstva planirana na aktivnosti A553131 Administracija i upravljanje raspoređena su za poslovanje 20 policijskih uprava, Uslužne jedinice Valbandon i Ministarstva u sjedištu. Iz planiranih sredstava se podmiruju rashodi za zaposlene koji čine najveći dio te svi materijalni rashodi za funkcioniranje ovog Ministarstva, režijski troškovi, gorivo, izdaci za plative tiskanice, tekuće održavanje vozila, plovila, helikoptera, poslovnog inventara i drugo. </w:t>
      </w:r>
    </w:p>
    <w:p w:rsidR="00AC0832" w:rsidRDefault="00AC0832">
      <w:pPr>
        <w:pStyle w:val="Normal6"/>
      </w:pPr>
      <w:r>
        <w:t xml:space="preserve">Rashodi za zaposlene izvršeni su u okviru odobrenog financijskog plana. Analizom strukture rashoda za zaposlene u usporedbi s prethodnom godinom evidentno je smanjenje rashoda za zaposlene za prekovremeni rad i ostalih rashoda za zaposlene zbog neisplate božićnice.  </w:t>
      </w:r>
    </w:p>
    <w:p w:rsidR="00AC0832" w:rsidRDefault="00AC0832">
      <w:pPr>
        <w:pStyle w:val="Normal6"/>
      </w:pPr>
      <w:r>
        <w:t xml:space="preserve">Unutar skupine Materijalni rashodi planirana su sredstva koja se odnose na podmirivanje troškova za redovno funkcioniranje službe, od čega se najveći dio odnosi na: </w:t>
      </w:r>
    </w:p>
    <w:p w:rsidR="00AC0832" w:rsidRDefault="00AC0832">
      <w:pPr>
        <w:pStyle w:val="Normal6"/>
      </w:pPr>
      <w:r>
        <w:t xml:space="preserve">- Naknade za prijevoz, rad na terenu i odvojeni život čija je realizacija smanjena u odnosu na 2011.g., a razlog tome su isplate po Rješenjima o prijevozu po novom Kolektivnom ugovoru, NN 89/12 od 02. kolovoza 2012.g. (članak 59) kojim su se smanjila određena prava djelatnicima, </w:t>
      </w:r>
    </w:p>
    <w:p w:rsidR="00AC0832" w:rsidRDefault="00AC0832">
      <w:pPr>
        <w:pStyle w:val="Normal6"/>
      </w:pPr>
      <w:r>
        <w:t xml:space="preserve">- Financiranje stručnog usavršavanja zaposlenika, odnosno tečajevi i seminari, te školovanje u organizaciji MUP-a i vanjskih institucija. Troškovi tečajeva, seminara i školovanja koji se provode u organizaciji MUP-a protežu se kroz stavke službenog putovanja, odnosno isplate dnevnica, prehrane i smještaja, te naknade predavačima. Veliki dio troškova unutar ove kategorije odnosi se na školovanje odraslih za zanimanje policajac, odnosno prekvalifikanata. Od vanjskih tečajeva bitno je spomenuti školovanje pilota, pomorskih kapetana, te kotizacije za stručna savjetovanja kao i plaćanje polaganja državnih ispita, </w:t>
      </w:r>
    </w:p>
    <w:p w:rsidR="00AC0832" w:rsidRDefault="00AC0832">
      <w:pPr>
        <w:pStyle w:val="Normal6"/>
      </w:pPr>
      <w:r>
        <w:t xml:space="preserve">- Uredski materijal i ostale materijalne rashode,  </w:t>
      </w:r>
    </w:p>
    <w:p w:rsidR="00AC0832" w:rsidRDefault="00AC0832">
      <w:pPr>
        <w:pStyle w:val="Normal6"/>
      </w:pPr>
      <w:r>
        <w:t xml:space="preserve">- Režijske troškove (struja, voda, plin, gorivo i dr.), od čega se najveći dio odnosi na gorivo za vozila, plovila i helikoptere, te ulja i maziva za prijevozna sredstva, zbog potreba službe i angažiranja djelatnika MUP-a u operativnim akcijama, </w:t>
      </w:r>
    </w:p>
    <w:p w:rsidR="00AC0832" w:rsidRDefault="00AC0832">
      <w:pPr>
        <w:pStyle w:val="Normal6"/>
      </w:pPr>
      <w:r>
        <w:t xml:space="preserve">- Zakupnine i najamnine za otplatu leasinga za vozila, te najamnine za građevinske objekte i ostalu opremu,  </w:t>
      </w:r>
    </w:p>
    <w:p w:rsidR="00AC0832" w:rsidRDefault="00AC0832">
      <w:pPr>
        <w:pStyle w:val="Normal6"/>
      </w:pPr>
      <w:r>
        <w:t xml:space="preserve">- Ostale usluge, odnosno podmirenje obveza prema AKD-u za plative tiskanice (putovnice, osobne iskaznice, registarske pločice i ostale plative tiskanice), a na koje ne možemo utjecati budući da isti ovise o zahtjevima građana,    </w:t>
      </w:r>
    </w:p>
    <w:p w:rsidR="00AC0832" w:rsidRDefault="00AC0832">
      <w:pPr>
        <w:pStyle w:val="Normal6"/>
      </w:pPr>
      <w:r>
        <w:t xml:space="preserve">U skupini Financijskih rashoda utrošena su sredstva koja se odnose na bankarske usluge i usluge platnog prometa, zatezne kamate iz poslovnih odnosa i ostale nespomenute financijske rashode,   </w:t>
      </w:r>
    </w:p>
    <w:p w:rsidR="00AC0832" w:rsidRDefault="00AC0832">
      <w:pPr>
        <w:pStyle w:val="Normal6"/>
      </w:pPr>
      <w:r>
        <w:t xml:space="preserve">Unutar skupine Naknade građanima i kućanstvima na temelju osiguranja i druge naknade rashodi se odnose na isplate stipendija i plaćanje školarina djeci poginulih djelatnika, te zaposlenicima kao i isplatu mjesečne naknade polaznicima Policijske škole "Josip Jović". </w:t>
      </w:r>
    </w:p>
    <w:p w:rsidR="00AC0832" w:rsidRDefault="00AC0832">
      <w:pPr>
        <w:pStyle w:val="Normal6"/>
      </w:pPr>
      <w:r>
        <w:t xml:space="preserve">Planirana sredstva skupine Ostali rashodi utrošena su na tekuće donacije vjerskim zajednicama, te udrugama građana i sportskim društvima kao i na podmirenje ugovorenih kazni i naknada šteta, nagodbi isplata po sudskim presudama, isplatama renti i dr., a što je proizašlo iz zakonske obveze i sporova koje su djelatnici dobili u svoju korist, odnosno preknjiženje Ministarstva financija po ovrhama skinutih s njihovog računa, a na teret Ministarstva unutarnjih poslova. </w:t>
      </w:r>
    </w:p>
    <w:p w:rsidR="00AC0832" w:rsidRDefault="00AC0832">
      <w:pPr>
        <w:pStyle w:val="Normal6"/>
      </w:pPr>
      <w:r>
        <w:t xml:space="preserve">Tekuće donacije u novcu najvećim djelom su planirane za podmirenje obveze iz Ugovora između Svete stolice i Republike Hrvatske o dušobrižništvu katoličkih vjernika, pripadnika oružanih snaga i redarstvenih snaga MUP-a u iznosu od 500.000 kn. Unutar ove kategorije planirane su i ostale donacije u iznosu od 300.000 kn. Navedeno se odnosi na Zajednicu Udruga umirovljenika unutarnjih poslova Hrvatske, Udrugu specijalne jedinice policije iz Domovinskog rata, Sportsku udrugu "Josip Jović", te Karate klub "Alfa". </w:t>
      </w:r>
    </w:p>
    <w:p w:rsidR="00AC0832" w:rsidRDefault="00AC0832">
      <w:pPr>
        <w:pStyle w:val="Normal6"/>
      </w:pPr>
      <w:r>
        <w:t>Rashodi Izvora 31 odnose se na plaćanje računa za prehrambene namirnice koje se koriste u restoranima i odmarališta MUP-a. Sredstva za ovu namjenu su planirana u iznosu od 24,85 mil. kn., a izvršenje je 23,84 mil. kn. iz razloga što je u tolikom iznosu bilo uplata vlastitih prihoda.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3"/>
        <w:gridCol w:w="1428"/>
        <w:gridCol w:w="1268"/>
        <w:gridCol w:w="1279"/>
        <w:gridCol w:w="1276"/>
        <w:gridCol w:w="1279"/>
        <w:gridCol w:w="128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Uspostavljena međunarodna suradnja na području prevencije radi edukacije i usvajanja dobre prakse</w:t>
            </w:r>
          </w:p>
        </w:tc>
        <w:tc>
          <w:tcPr>
            <w:tcW w:w="1300" w:type="dxa"/>
          </w:tcPr>
          <w:p w:rsidR="00AC0832" w:rsidRDefault="00AC0832">
            <w:pPr>
              <w:pStyle w:val="CellColumn"/>
            </w:pPr>
            <w:r>
              <w:t>Edukacijom i usvajanjem dobre prakse jača se preventivni potencijal policije (jačanje kapaciteta)</w:t>
            </w:r>
          </w:p>
        </w:tc>
        <w:tc>
          <w:tcPr>
            <w:tcW w:w="1300" w:type="dxa"/>
          </w:tcPr>
          <w:p w:rsidR="00AC0832" w:rsidRDefault="00AC0832">
            <w:pPr>
              <w:pStyle w:val="CellColumn"/>
            </w:pPr>
            <w:r>
              <w:t>broj</w:t>
            </w:r>
          </w:p>
        </w:tc>
        <w:tc>
          <w:tcPr>
            <w:tcW w:w="1300" w:type="dxa"/>
          </w:tcPr>
          <w:p w:rsidR="00AC0832" w:rsidRDefault="00AC0832">
            <w:pPr>
              <w:pStyle w:val="CellColumn"/>
            </w:pPr>
            <w:r>
              <w:t>4</w:t>
            </w:r>
          </w:p>
        </w:tc>
        <w:tc>
          <w:tcPr>
            <w:tcW w:w="1300" w:type="dxa"/>
          </w:tcPr>
          <w:p w:rsidR="00AC0832" w:rsidRDefault="00AC0832">
            <w:pPr>
              <w:pStyle w:val="CellColumn"/>
            </w:pPr>
            <w:r>
              <w:t>MUP</w:t>
            </w:r>
          </w:p>
        </w:tc>
        <w:tc>
          <w:tcPr>
            <w:tcW w:w="1300" w:type="dxa"/>
          </w:tcPr>
          <w:p w:rsidR="00AC0832" w:rsidRDefault="00AC0832">
            <w:pPr>
              <w:pStyle w:val="CellColumn"/>
            </w:pPr>
            <w:r>
              <w:t>5</w:t>
            </w:r>
          </w:p>
        </w:tc>
        <w:tc>
          <w:tcPr>
            <w:tcW w:w="1300" w:type="dxa"/>
          </w:tcPr>
          <w:p w:rsidR="00AC0832" w:rsidRDefault="00AC0832">
            <w:pPr>
              <w:pStyle w:val="CellColumn"/>
            </w:pPr>
            <w:r>
              <w:t>6</w:t>
            </w:r>
          </w:p>
        </w:tc>
      </w:tr>
      <w:tr w:rsidR="00AC0832" w:rsidTr="00BE20ED">
        <w:trPr>
          <w:jc w:val="center"/>
        </w:trPr>
        <w:tc>
          <w:tcPr>
            <w:tcW w:w="1300" w:type="dxa"/>
          </w:tcPr>
          <w:p w:rsidR="00AC0832" w:rsidRDefault="00AC0832">
            <w:pPr>
              <w:pStyle w:val="CellColumn"/>
            </w:pPr>
            <w:r>
              <w:t>Broj izgreda na športskim natjecanjima</w:t>
            </w:r>
          </w:p>
        </w:tc>
        <w:tc>
          <w:tcPr>
            <w:tcW w:w="1300" w:type="dxa"/>
          </w:tcPr>
          <w:p w:rsidR="00AC0832" w:rsidRDefault="00AC0832">
            <w:pPr>
              <w:pStyle w:val="CellColumn"/>
            </w:pPr>
            <w:r>
              <w:t>Smanjenje broja izgreda na športskim natjecanjima pokazuje uspješnost prevencije</w:t>
            </w:r>
          </w:p>
        </w:tc>
        <w:tc>
          <w:tcPr>
            <w:tcW w:w="1300" w:type="dxa"/>
          </w:tcPr>
          <w:p w:rsidR="00AC0832" w:rsidRDefault="00AC0832">
            <w:pPr>
              <w:pStyle w:val="CellColumn"/>
            </w:pPr>
            <w:r>
              <w:t>broj</w:t>
            </w:r>
          </w:p>
        </w:tc>
        <w:tc>
          <w:tcPr>
            <w:tcW w:w="1300" w:type="dxa"/>
          </w:tcPr>
          <w:p w:rsidR="00AC0832" w:rsidRDefault="00AC0832">
            <w:pPr>
              <w:pStyle w:val="CellColumn"/>
            </w:pPr>
            <w:r>
              <w:t>100</w:t>
            </w:r>
          </w:p>
        </w:tc>
        <w:tc>
          <w:tcPr>
            <w:tcW w:w="1300" w:type="dxa"/>
          </w:tcPr>
          <w:p w:rsidR="00AC0832" w:rsidRDefault="00AC0832">
            <w:pPr>
              <w:pStyle w:val="CellColumn"/>
            </w:pPr>
            <w:r>
              <w:t>MUP</w:t>
            </w:r>
          </w:p>
        </w:tc>
        <w:tc>
          <w:tcPr>
            <w:tcW w:w="1300" w:type="dxa"/>
          </w:tcPr>
          <w:p w:rsidR="00AC0832" w:rsidRDefault="00AC0832">
            <w:pPr>
              <w:pStyle w:val="CellColumn"/>
            </w:pPr>
            <w:r>
              <w:t>90</w:t>
            </w:r>
          </w:p>
        </w:tc>
        <w:tc>
          <w:tcPr>
            <w:tcW w:w="1300" w:type="dxa"/>
          </w:tcPr>
          <w:p w:rsidR="00AC0832" w:rsidRDefault="00AC0832">
            <w:pPr>
              <w:pStyle w:val="CellColumn"/>
            </w:pPr>
            <w:r>
              <w:t>62</w:t>
            </w:r>
          </w:p>
        </w:tc>
      </w:tr>
      <w:tr w:rsidR="00AC0832" w:rsidTr="00BE20ED">
        <w:trPr>
          <w:jc w:val="center"/>
        </w:trPr>
        <w:tc>
          <w:tcPr>
            <w:tcW w:w="1300" w:type="dxa"/>
          </w:tcPr>
          <w:p w:rsidR="00AC0832" w:rsidRDefault="00AC0832">
            <w:pPr>
              <w:pStyle w:val="CellColumn"/>
            </w:pPr>
            <w:r>
              <w:t>Broj stranih policijskih organizacija čiji su policijski službenici uključeni u turističku sezonu</w:t>
            </w:r>
          </w:p>
        </w:tc>
        <w:tc>
          <w:tcPr>
            <w:tcW w:w="1300" w:type="dxa"/>
          </w:tcPr>
          <w:p w:rsidR="00AC0832" w:rsidRDefault="00AC0832">
            <w:pPr>
              <w:pStyle w:val="CellColumn"/>
            </w:pPr>
            <w:r>
              <w:t>Povećanjem broja stranih organizacija čiji su policijski službenici uključeni u turističku sezonu povećava se subjektivni osjećaj sigurnosti turista</w:t>
            </w:r>
          </w:p>
        </w:tc>
        <w:tc>
          <w:tcPr>
            <w:tcW w:w="1300" w:type="dxa"/>
          </w:tcPr>
          <w:p w:rsidR="00AC0832" w:rsidRDefault="00AC0832">
            <w:pPr>
              <w:pStyle w:val="CellColumn"/>
            </w:pPr>
            <w:r>
              <w:t>broj</w:t>
            </w:r>
          </w:p>
        </w:tc>
        <w:tc>
          <w:tcPr>
            <w:tcW w:w="1300" w:type="dxa"/>
          </w:tcPr>
          <w:p w:rsidR="00AC0832" w:rsidRDefault="00AC0832">
            <w:pPr>
              <w:pStyle w:val="CellColumn"/>
            </w:pPr>
            <w:r>
              <w:t>10</w:t>
            </w:r>
          </w:p>
        </w:tc>
        <w:tc>
          <w:tcPr>
            <w:tcW w:w="1300" w:type="dxa"/>
          </w:tcPr>
          <w:p w:rsidR="00AC0832" w:rsidRDefault="00AC0832">
            <w:pPr>
              <w:pStyle w:val="CellColumn"/>
            </w:pPr>
            <w:r>
              <w:t>MUP</w:t>
            </w:r>
          </w:p>
        </w:tc>
        <w:tc>
          <w:tcPr>
            <w:tcW w:w="1300" w:type="dxa"/>
          </w:tcPr>
          <w:p w:rsidR="00AC0832" w:rsidRDefault="00AC0832">
            <w:pPr>
              <w:pStyle w:val="CellColumn"/>
            </w:pPr>
            <w:r>
              <w:t>11</w:t>
            </w:r>
          </w:p>
        </w:tc>
        <w:tc>
          <w:tcPr>
            <w:tcW w:w="1300" w:type="dxa"/>
          </w:tcPr>
          <w:p w:rsidR="00AC0832" w:rsidRDefault="00AC0832">
            <w:pPr>
              <w:pStyle w:val="CellColumn"/>
            </w:pPr>
            <w:r>
              <w:t>12</w:t>
            </w:r>
          </w:p>
        </w:tc>
      </w:tr>
      <w:tr w:rsidR="00AC0832" w:rsidTr="00BE20ED">
        <w:trPr>
          <w:jc w:val="center"/>
        </w:trPr>
        <w:tc>
          <w:tcPr>
            <w:tcW w:w="1300" w:type="dxa"/>
          </w:tcPr>
          <w:p w:rsidR="00AC0832" w:rsidRDefault="00AC0832">
            <w:pPr>
              <w:pStyle w:val="CellColumn"/>
            </w:pPr>
            <w:r>
              <w:t>Povećanje udjela usklađenosti propisa sa europskom legislativom</w:t>
            </w:r>
          </w:p>
        </w:tc>
        <w:tc>
          <w:tcPr>
            <w:tcW w:w="1300" w:type="dxa"/>
          </w:tcPr>
          <w:p w:rsidR="00AC0832" w:rsidRDefault="00AC0832">
            <w:pPr>
              <w:pStyle w:val="CellColumn"/>
            </w:pPr>
            <w:r>
              <w:t>Veći postotak usklađenosti sigurnosnih propisa s europskom legislativom omogućuje veću sigurnost u području nadležnosti inspektorata unutarnjih poslova</w:t>
            </w:r>
          </w:p>
        </w:tc>
        <w:tc>
          <w:tcPr>
            <w:tcW w:w="1300" w:type="dxa"/>
          </w:tcPr>
          <w:p w:rsidR="00AC0832" w:rsidRDefault="00AC0832">
            <w:pPr>
              <w:pStyle w:val="CellColumn"/>
            </w:pPr>
            <w:r>
              <w:t>%</w:t>
            </w:r>
          </w:p>
        </w:tc>
        <w:tc>
          <w:tcPr>
            <w:tcW w:w="1300" w:type="dxa"/>
          </w:tcPr>
          <w:p w:rsidR="00AC0832" w:rsidRDefault="00AC0832">
            <w:pPr>
              <w:pStyle w:val="CellColumn"/>
            </w:pPr>
            <w:r>
              <w:t>60</w:t>
            </w:r>
          </w:p>
        </w:tc>
        <w:tc>
          <w:tcPr>
            <w:tcW w:w="1300" w:type="dxa"/>
          </w:tcPr>
          <w:p w:rsidR="00AC0832" w:rsidRDefault="00AC0832">
            <w:pPr>
              <w:pStyle w:val="CellColumn"/>
            </w:pPr>
            <w:r>
              <w:t>MUP</w:t>
            </w:r>
          </w:p>
        </w:tc>
        <w:tc>
          <w:tcPr>
            <w:tcW w:w="1300" w:type="dxa"/>
          </w:tcPr>
          <w:p w:rsidR="00AC0832" w:rsidRDefault="00AC0832">
            <w:pPr>
              <w:pStyle w:val="CellColumn"/>
            </w:pPr>
            <w:r>
              <w:t>70</w:t>
            </w:r>
          </w:p>
        </w:tc>
        <w:tc>
          <w:tcPr>
            <w:tcW w:w="1300" w:type="dxa"/>
          </w:tcPr>
          <w:p w:rsidR="00AC0832" w:rsidRDefault="00AC0832">
            <w:pPr>
              <w:pStyle w:val="CellColumn"/>
            </w:pPr>
            <w:r>
              <w:t>85</w:t>
            </w:r>
          </w:p>
        </w:tc>
      </w:tr>
      <w:tr w:rsidR="00AC0832" w:rsidTr="00BE20ED">
        <w:trPr>
          <w:jc w:val="center"/>
        </w:trPr>
        <w:tc>
          <w:tcPr>
            <w:tcW w:w="1300" w:type="dxa"/>
          </w:tcPr>
          <w:p w:rsidR="00AC0832" w:rsidRDefault="00AC0832">
            <w:pPr>
              <w:pStyle w:val="CellColumn"/>
            </w:pPr>
            <w:r>
              <w:t>Broj otkrivenih i razriješenih svih kaznenih djela</w:t>
            </w:r>
          </w:p>
        </w:tc>
        <w:tc>
          <w:tcPr>
            <w:tcW w:w="1300" w:type="dxa"/>
          </w:tcPr>
          <w:p w:rsidR="00AC0832" w:rsidRDefault="00AC0832">
            <w:pPr>
              <w:pStyle w:val="CellColumn"/>
            </w:pPr>
            <w:r>
              <w:t>Povećanjem razriješenih kaznenih djela uspješno se suzbija kriminalitet</w:t>
            </w:r>
          </w:p>
        </w:tc>
        <w:tc>
          <w:tcPr>
            <w:tcW w:w="1300" w:type="dxa"/>
          </w:tcPr>
          <w:p w:rsidR="00AC0832" w:rsidRDefault="00AC0832">
            <w:pPr>
              <w:pStyle w:val="CellColumn"/>
            </w:pPr>
            <w:r>
              <w:t>broj</w:t>
            </w:r>
          </w:p>
        </w:tc>
        <w:tc>
          <w:tcPr>
            <w:tcW w:w="1300" w:type="dxa"/>
          </w:tcPr>
          <w:p w:rsidR="00AC0832" w:rsidRDefault="00AC0832">
            <w:pPr>
              <w:pStyle w:val="CellColumn"/>
            </w:pPr>
            <w:r>
              <w:t>62.000</w:t>
            </w:r>
          </w:p>
        </w:tc>
        <w:tc>
          <w:tcPr>
            <w:tcW w:w="1300" w:type="dxa"/>
          </w:tcPr>
          <w:p w:rsidR="00AC0832" w:rsidRDefault="00AC0832">
            <w:pPr>
              <w:pStyle w:val="CellColumn"/>
            </w:pPr>
            <w:r>
              <w:t>MUP</w:t>
            </w:r>
          </w:p>
        </w:tc>
        <w:tc>
          <w:tcPr>
            <w:tcW w:w="1300" w:type="dxa"/>
          </w:tcPr>
          <w:p w:rsidR="00AC0832" w:rsidRDefault="00AC0832">
            <w:pPr>
              <w:pStyle w:val="CellColumn"/>
            </w:pPr>
            <w:r>
              <w:t>64.000</w:t>
            </w:r>
          </w:p>
        </w:tc>
        <w:tc>
          <w:tcPr>
            <w:tcW w:w="1300" w:type="dxa"/>
          </w:tcPr>
          <w:p w:rsidR="00AC0832" w:rsidRDefault="00AC0832">
            <w:pPr>
              <w:pStyle w:val="CellColumn"/>
            </w:pPr>
            <w:r>
              <w:t>53.978</w:t>
            </w:r>
          </w:p>
        </w:tc>
      </w:tr>
      <w:tr w:rsidR="00AC0832" w:rsidTr="00BE20ED">
        <w:trPr>
          <w:jc w:val="center"/>
        </w:trPr>
        <w:tc>
          <w:tcPr>
            <w:tcW w:w="1300" w:type="dxa"/>
          </w:tcPr>
          <w:p w:rsidR="00AC0832" w:rsidRDefault="00AC0832">
            <w:pPr>
              <w:pStyle w:val="CellColumn"/>
            </w:pPr>
            <w:r>
              <w:t>Broj otkrivenih i razriješenih kaznenih djela korupcije i organiziranog kriminaliteta</w:t>
            </w:r>
          </w:p>
        </w:tc>
        <w:tc>
          <w:tcPr>
            <w:tcW w:w="1300" w:type="dxa"/>
          </w:tcPr>
          <w:p w:rsidR="00AC0832" w:rsidRDefault="00AC0832">
            <w:pPr>
              <w:pStyle w:val="CellColumn"/>
            </w:pPr>
            <w:r>
              <w:t>Povećanjem razriješenih kaznenih djela korupcije i organiziranog kriminaliteta pridonosi se jačanju pravne sigurnosti</w:t>
            </w:r>
          </w:p>
        </w:tc>
        <w:tc>
          <w:tcPr>
            <w:tcW w:w="1300" w:type="dxa"/>
          </w:tcPr>
          <w:p w:rsidR="00AC0832" w:rsidRDefault="00AC0832">
            <w:pPr>
              <w:pStyle w:val="CellColumn"/>
            </w:pPr>
            <w:r>
              <w:t>broj</w:t>
            </w:r>
          </w:p>
        </w:tc>
        <w:tc>
          <w:tcPr>
            <w:tcW w:w="1300" w:type="dxa"/>
          </w:tcPr>
          <w:p w:rsidR="00AC0832" w:rsidRDefault="00AC0832">
            <w:pPr>
              <w:pStyle w:val="CellColumn"/>
            </w:pPr>
            <w:r>
              <w:t>1.300</w:t>
            </w:r>
          </w:p>
        </w:tc>
        <w:tc>
          <w:tcPr>
            <w:tcW w:w="1300" w:type="dxa"/>
          </w:tcPr>
          <w:p w:rsidR="00AC0832" w:rsidRDefault="00AC0832">
            <w:pPr>
              <w:pStyle w:val="CellColumn"/>
            </w:pPr>
            <w:r>
              <w:t>MUP</w:t>
            </w:r>
          </w:p>
        </w:tc>
        <w:tc>
          <w:tcPr>
            <w:tcW w:w="1300" w:type="dxa"/>
          </w:tcPr>
          <w:p w:rsidR="00AC0832" w:rsidRDefault="00AC0832">
            <w:pPr>
              <w:pStyle w:val="CellColumn"/>
            </w:pPr>
            <w:r>
              <w:t>1.350</w:t>
            </w:r>
          </w:p>
        </w:tc>
        <w:tc>
          <w:tcPr>
            <w:tcW w:w="1300" w:type="dxa"/>
          </w:tcPr>
          <w:p w:rsidR="00AC0832" w:rsidRDefault="00AC0832">
            <w:pPr>
              <w:pStyle w:val="CellColumn"/>
            </w:pPr>
            <w:r>
              <w:t>1.580</w:t>
            </w:r>
          </w:p>
        </w:tc>
      </w:tr>
    </w:tbl>
    <w:p w:rsidR="00AC0832" w:rsidRDefault="00AC0832">
      <w:pPr>
        <w:jc w:val="left"/>
      </w:pPr>
    </w:p>
    <w:p w:rsidR="00AC0832" w:rsidRDefault="00AC0832">
      <w:pPr>
        <w:pStyle w:val="Heading6"/>
      </w:pPr>
      <w:r>
        <w:t>K260056 IZGRADNJA, KUPNJA I ODRŽAVANJE ZGRADA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K260056-IZGRADNJA, KUPNJA I ODRŽAVANJE ZGRADA</w:t>
            </w:r>
          </w:p>
        </w:tc>
        <w:tc>
          <w:tcPr>
            <w:tcW w:w="2322" w:type="dxa"/>
          </w:tcPr>
          <w:p w:rsidR="00AC0832" w:rsidRDefault="00AC0832">
            <w:pPr>
              <w:pStyle w:val="CellColumn"/>
            </w:pPr>
            <w:r>
              <w:t>9.980.000</w:t>
            </w:r>
          </w:p>
        </w:tc>
        <w:tc>
          <w:tcPr>
            <w:tcW w:w="2322" w:type="dxa"/>
          </w:tcPr>
          <w:p w:rsidR="00AC0832" w:rsidRDefault="00AC0832">
            <w:pPr>
              <w:pStyle w:val="CellColumn"/>
            </w:pPr>
            <w:r>
              <w:t>9.633.665</w:t>
            </w:r>
          </w:p>
        </w:tc>
        <w:tc>
          <w:tcPr>
            <w:tcW w:w="2322" w:type="dxa"/>
          </w:tcPr>
          <w:p w:rsidR="00AC0832" w:rsidRDefault="00AC0832">
            <w:pPr>
              <w:pStyle w:val="CellColumn"/>
            </w:pPr>
            <w:r>
              <w:t>96,5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Za ovaj kapitalni projekt planirana su sredstva u iznosu 9.980.000 kn, a odnose se na kupnju zemljišta, izgradnju poslovnih objekata, nabavku uredske opreme i namještaja, te na dodatna ulaganja na građevinskim objektima. </w:t>
      </w:r>
    </w:p>
    <w:p w:rsidR="00AC0832" w:rsidRDefault="00AC0832">
      <w:pPr>
        <w:pStyle w:val="Normal6"/>
      </w:pPr>
      <w:r>
        <w:t xml:space="preserve">U okviru skupine rashoda Poslovni objekti sredstva su realizirana u iznosu 1.902.376 kn i to najvećim dijelom za potrebe kupnje uredskog prostora u Gospiću (Policijska uprava ličko-senjska) u iznosu od 1,49 mil kn, te je nastavljena izrada tehničke dokumentacije za izgradnju objekta Policijske postaje i Postaje granične policije Imotski (Policijska uprava splitsko-dalmatinska) u iznosu od 168.750 kn, izmijenjena je tehnička dokumentacija za nadogradnju i adaptaciju Policijske postaje Velika Gorica (Policijska uprava zagrebačka) te je podnesen zahtjev za potvrdu glavnog projekta, te nastavljena izrada tehničke dokumentacije za objekt Postaje pomorske policije u Gružu (Policijska uprava dubrovačko-neretvanska u sjedištu). </w:t>
      </w:r>
    </w:p>
    <w:p w:rsidR="00AC0832" w:rsidRDefault="00AC0832">
      <w:pPr>
        <w:pStyle w:val="Normal6"/>
      </w:pPr>
      <w:r>
        <w:t xml:space="preserve">U okviru skupine rashoda Uredska oprema i namještaj planirana sredstva od 100.000 kn realizirana su u cijelosti i to za opremanje službenih prostorija Policijske postaje Glina i Policijske postaje Mursko Središće, te za nabavu namještaja više klase. </w:t>
      </w:r>
    </w:p>
    <w:p w:rsidR="00AC0832" w:rsidRDefault="00AC0832">
      <w:pPr>
        <w:pStyle w:val="Normal6"/>
      </w:pPr>
      <w:r>
        <w:t>Za dodatna ulaganja na građevinskim objektima sredstva su realizirana u iznosu od 7.631.289 kn, a značajnije investicije su: uređenje pritvora u sjedištu Policijske uprave dubrovačko-neretvanske (958.640 kn), MUP u sjedištu, Kustošija, radovi na rekonstrukciji elektroinstalacija u zgradi Ravnateljstva policije (526.800 kn) rekonstrukcija elektroinstalacija u sjedištu Policijske uprave primorsko-goranske (328.280 kn), sanacija krova i nadstrešnice iznad ulaza Policijske postaje Delnice, Policijska uprava primorsko-goranska (285.260 kn).</w:t>
      </w:r>
    </w:p>
    <w:p w:rsidR="00AC0832" w:rsidRDefault="00AC0832">
      <w:pPr>
        <w:pStyle w:val="Heading6"/>
      </w:pPr>
    </w:p>
    <w:p w:rsidR="00AC0832" w:rsidRDefault="00AC0832">
      <w:pPr>
        <w:pStyle w:val="Heading6"/>
      </w:pPr>
      <w:r>
        <w:t>K553009 POLICIJSKA OPREMA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K553009-POLICIJSKA OPREMA</w:t>
            </w:r>
          </w:p>
        </w:tc>
        <w:tc>
          <w:tcPr>
            <w:tcW w:w="2322" w:type="dxa"/>
          </w:tcPr>
          <w:p w:rsidR="00AC0832" w:rsidRDefault="00AC0832">
            <w:pPr>
              <w:pStyle w:val="CellColumn"/>
            </w:pPr>
            <w:r>
              <w:t>68.509.800</w:t>
            </w:r>
          </w:p>
        </w:tc>
        <w:tc>
          <w:tcPr>
            <w:tcW w:w="2322" w:type="dxa"/>
          </w:tcPr>
          <w:p w:rsidR="00AC0832" w:rsidRDefault="00AC0832">
            <w:pPr>
              <w:pStyle w:val="CellColumn"/>
            </w:pPr>
            <w:r>
              <w:t>67.600.479</w:t>
            </w:r>
          </w:p>
        </w:tc>
        <w:tc>
          <w:tcPr>
            <w:tcW w:w="2322" w:type="dxa"/>
          </w:tcPr>
          <w:p w:rsidR="00AC0832" w:rsidRDefault="00AC0832">
            <w:pPr>
              <w:pStyle w:val="CellColumn"/>
            </w:pPr>
            <w:r>
              <w:t>98,7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Najveći dio realizacije u ovom projektu odnosi se na nabavu odore i to u iznosu od 29,0 mil kn. Ugovorena je isporuka balističkih prsluka za vanjsko nošenje u vrijednosti 2,7 mil kn. Ugovoreno je i isporučeno streljivo u vrijednosti 3,2 mil kn te kratko oružje u vrijednosti 1,6 mil kn. Nabavljen je prijenosni uređaji za snimanje ispitivanja okrivljenika u iznosu od 2,45 mil kn, instrument za kapilarnu elektroforezu u iznosu od 1,0 mil kn, fiksni uređaji za snimanje ispitivanja okrivljenika u iznosu od 0,7 mil kn, prijenosni uređaj za sudsku forenziku mobilnih uređaja i računala u iznosu od  0,5 mil kn,  provedena je III. faza video nadzora Savska-Vukovarska kao i nadzor nad izvođenjem radova za isto u iznosu od 1,1 mil kn.</w:t>
      </w:r>
    </w:p>
    <w:p w:rsidR="00AC0832" w:rsidRDefault="00AC0832">
      <w:pPr>
        <w:pStyle w:val="Heading6"/>
      </w:pPr>
      <w:r>
        <w:t>K553026 IZGRADNJA KAPACITETA U PODRUČJU AZILA VIZNOG SUSTAVA I ILEGALNIH MIGRACIJA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K553026-IZGRADNJA KAPACITETA U PODRUČJU AZILA VIZNOG SUSTAVA I ILEGALNIH MIGRACIJA</w:t>
            </w:r>
          </w:p>
        </w:tc>
        <w:tc>
          <w:tcPr>
            <w:tcW w:w="2322" w:type="dxa"/>
          </w:tcPr>
          <w:p w:rsidR="00AC0832" w:rsidRDefault="00AC0832">
            <w:pPr>
              <w:pStyle w:val="CellColumn"/>
            </w:pPr>
            <w:r>
              <w:t>7.499.000</w:t>
            </w:r>
          </w:p>
        </w:tc>
        <w:tc>
          <w:tcPr>
            <w:tcW w:w="2322" w:type="dxa"/>
          </w:tcPr>
          <w:p w:rsidR="00AC0832" w:rsidRDefault="00AC0832">
            <w:pPr>
              <w:pStyle w:val="CellColumn"/>
            </w:pPr>
            <w:r>
              <w:t>7.498.625</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Projekt je planiran u cilju osiguranja Mjerila 1 sukladno Direktivama 2005/85/EZ, 2004/83/EZ i 2003/9/EZ, a temeljem kojih je Hrvatska preuzela obvezu osigurati potpuno funkcionalnu proceduru azila za sve državljane trećih država koje žele zatražiti međunarodnu zaštitu. Najveći dio realiziranih sredstava odnosi se na plaćanje usluge Hotelu „Porin“ za smještaj azilanta, zatim na zaštitarske usluge, ugovore o djelu, usluge odvjetnika i prijevoda, te na ulaganje u računalne programe (Hrvatska baza VIZA i povezivanje s VIS EU), ostale računalne usluge (održavanje sustava IDC) i informatičku opremu za Hrvatsku bazu podataka o vizama.</w:t>
      </w:r>
    </w:p>
    <w:p w:rsidR="00AC0832" w:rsidRDefault="00AC0832">
      <w:pPr>
        <w:pStyle w:val="Heading6"/>
      </w:pPr>
      <w:r>
        <w:t>K553087 MIROVNE MISIJE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K553087-MIROVNE MISIJE</w:t>
            </w:r>
          </w:p>
        </w:tc>
        <w:tc>
          <w:tcPr>
            <w:tcW w:w="2322" w:type="dxa"/>
          </w:tcPr>
          <w:p w:rsidR="00AC0832" w:rsidRDefault="00AC0832">
            <w:pPr>
              <w:pStyle w:val="CellColumn"/>
            </w:pPr>
            <w:r>
              <w:t>7.092.000</w:t>
            </w:r>
          </w:p>
        </w:tc>
        <w:tc>
          <w:tcPr>
            <w:tcW w:w="2322" w:type="dxa"/>
          </w:tcPr>
          <w:p w:rsidR="00AC0832" w:rsidRDefault="00AC0832">
            <w:pPr>
              <w:pStyle w:val="CellColumn"/>
            </w:pPr>
            <w:r>
              <w:t>7.041.994</w:t>
            </w:r>
          </w:p>
        </w:tc>
        <w:tc>
          <w:tcPr>
            <w:tcW w:w="2322" w:type="dxa"/>
          </w:tcPr>
          <w:p w:rsidR="00AC0832" w:rsidRDefault="00AC0832">
            <w:pPr>
              <w:pStyle w:val="CellColumn"/>
            </w:pPr>
            <w:r>
              <w:t>99,3</w:t>
            </w:r>
          </w:p>
        </w:tc>
      </w:tr>
    </w:tbl>
    <w:p w:rsidR="00AC0832" w:rsidRDefault="00AC0832">
      <w:pPr>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 xml:space="preserve">Projekt je uspostavljen za potrebe provođenja međunarodnih aktivnosti MUP-a na polju sudjelovanja policijskih službenika u mirovnim misijama kao i upućivanja policijskih službenika kao časnika za vezu u inozemstvo. Ukupno planirana sredstva utrošena su u cijelosti za isplatu dnevnica, troškova prijevoza, naknada za rad na terenu, zakupnina i najamnina, osiguranje djelatnika, reprezentaciju, za opremu za održavanje i zaštitu, energiju, uredski materijal, usluge telefona, pošte, prijevoza, zdravstvene i veterinarske usluge, naknade za prijevoz, komunalne usluge, službenu radnu i zašitnu odjeću. MUP je tijekom 2012. godine nastavio sa sustavnom koordinacijom svih međunarodnih aktivnosti na polju sudjelovanja u misijama uspostave i održavanja mira; provođenjem selekcije, obuke i upućivanjem policijskih službenika u mirovne misije; kao i pružanjem logističke potpore policijskim službenicima koji su upućeni u mirovne misije, nadziranjem i analiziranjem njihovog rada i aktivnosti. Nastavljajući sa razvojem naših kapaciteta u pred uputnoj obuci kandidata za upućivanje u mirovne misije u 2012. godini smo organizirali i proveli 7. međunarodni tečaj za policijske službenike „UNPOC Croatia 2012“. Tečaj je po treći puta organiziran, sufinanciran i proveden u suradnji sa organizacijom Ujedinjenih naroda u Republici Hrvatskoj (UN Country Team) koja je posredstvom svojih djelatnika u ulozi predavača iz agencija (UNDP, UNHCR, ICTY, UNICEF) sudjelovala na tečaju. S obzirom na karakter tečaja i naš jedinstveni koncept kojim primarno educiramo polaznike tečaja, dok istodobno sekundarno treniramo i standardiziramo trenere. Na tečaju su kao predavači sudjelovali predstavnici Njemačke, Slovenije, Slovačke, Švedske, Norveške i Austrije. Na tečaju je sudjelovalo dvadeset i tri (23) polaznika, od čega jedanaest (11) pripadnika MUP-a, dva (2) MORH-a, te predstavnici Švedske, Slovenije, Slovačke, Bosne i Hercegovine, Crne Gore i Srbije. Prilikom svečanog otvaranja tečaja ujedno je obilježeno 20 godina sujelovanja Republike Hrvatske u mirovnim misijama, koje obilježavanje je medijski popraćeno, a na istome je prisustvovao ministar unutarnjih poslova, glavni ravnatelj policije, izaslanstvo Predsjednika Republike Hrvatske, MORH-a, MVIEP-a, međunarodnih organizacija, te predstvanika UN-a. </w:t>
      </w:r>
    </w:p>
    <w:p w:rsidR="00AC0832" w:rsidRDefault="00AC0832">
      <w:pPr>
        <w:pStyle w:val="Normal6"/>
      </w:pPr>
      <w:r>
        <w:t xml:space="preserve">Od strane UN-ovog Odjela za mirovne operacije nakon ocjene UN Integrated Training Services, za prethodni tečaj, 2012. godine zaprimili smo  verifikaciju UNPOC-a Croatia, kojom je potvrđeno da je Međunarodni tečaj za UN policijske časnike/ice (UNPOC) usklađen sa UN-ovim standardima obuke za mirovne misije. </w:t>
      </w:r>
    </w:p>
    <w:p w:rsidR="00AC0832" w:rsidRDefault="00AC0832">
      <w:pPr>
        <w:pStyle w:val="Normal6"/>
      </w:pPr>
      <w:r>
        <w:t xml:space="preserve">Tijekom 2012. godine u tri misije Ujedinjenih naroda (na Cipru, na Haitiju i na Kosovu) uputili smo ukupno sedam (7) policijskih službenika, od kojih tri (3) policijske službenice.  U dvije mirovne misije Europske unije u kojima sudjelujemo, tjekom 2012. godine uputili smo tri (3) policijska službenika. </w:t>
      </w:r>
    </w:p>
    <w:p w:rsidR="00AC0832" w:rsidRDefault="00AC0832">
      <w:pPr>
        <w:pStyle w:val="Normal6"/>
      </w:pPr>
      <w:r>
        <w:t>U misiju Sjevernoatlantskog vojnog saveza (NATO) uputili smo četiri (4) policijska službenika. U sklopu ovog projekta počevši od 2011.g. financiraju se i aktivnosti policijskih časnika za vezu. Policijski časnici za vezu su detaširani policijski službenici u policijskom tijelu države primateljice, međunarodnoj organizaciji ili diplomatskom odnosno konzularnom predstavništvu Republike Hrvatske, upućeni radi učinkovite suradnje s policijom i drugim tijelima države primateljice. U 2012. g. MUP je imao sedam (7) časnika za vezu i to u slijedećim zemljma: Nizozemskoj (Europol), Austriji, Francuskoj (Interpol), Rumunjskoj (SELEC), Izraelu, Srbiji i Bosni i Hercegovini. Način i opseg djelovanja policijskih časnika za vezu temelji se na odredbama važećih bilateralnih i multirateralnih međunarodnih ugovora u RH. Časnici za vezu: zastupaju interese hrvatske policije; uspostavljaju, potiču i razvijaju međunarodnu policijsku suradnju; dogovaraju djelovanje, prikupljaju, vrednuju, analiziraju i razmjenjuju informacije potrebne za postupanje policije; vode brigu o redovitoj razmjeni informacija s nadležnim tijelima u državi primateljici; pomažu u postupku međunarodne pravne pomoći u kaznenim predmetima i po potrebi pomaže drugim tijelima progona; primaju i razmjenjuju službene dokumente, pravne akte i stručnu literaturu u vezi s policijskim djelovanjem; razmjenjuju informacije i iskustva s područja rada policije; sudjeluju na radnim sastancima i prijemima u državi primateljici, posreduju prilikom dostave poziva i pripreme za radni posjet policijskog izaslanstva.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1562"/>
        <w:gridCol w:w="1207"/>
        <w:gridCol w:w="1240"/>
        <w:gridCol w:w="1231"/>
        <w:gridCol w:w="1240"/>
        <w:gridCol w:w="125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 xml:space="preserve">Sudjelovanje u međunarodnim mirovnim operacijama i misijama prema broju </w:t>
            </w:r>
          </w:p>
          <w:p w:rsidR="00AC0832" w:rsidRDefault="00AC0832">
            <w:pPr>
              <w:pStyle w:val="CellColumn"/>
            </w:pPr>
            <w:r>
              <w:t xml:space="preserve">A) misija </w:t>
            </w:r>
          </w:p>
          <w:p w:rsidR="00AC0832" w:rsidRDefault="00AC0832">
            <w:pPr>
              <w:pStyle w:val="CellColumn"/>
            </w:pPr>
            <w:r>
              <w:t>B) broju upućenih policijskih službenika</w:t>
            </w:r>
          </w:p>
        </w:tc>
        <w:tc>
          <w:tcPr>
            <w:tcW w:w="1300" w:type="dxa"/>
          </w:tcPr>
          <w:p w:rsidR="00AC0832" w:rsidRDefault="00AC0832">
            <w:pPr>
              <w:pStyle w:val="CellColumn"/>
            </w:pPr>
            <w:r>
              <w:t>Povećanim sudjelovanjem u međunarodnim mirovnim operacijama i misijama jača se ugled hrvatske policije i Republike Hrvatske kao pouzdanog međunarodnog partnera.</w:t>
            </w:r>
          </w:p>
        </w:tc>
        <w:tc>
          <w:tcPr>
            <w:tcW w:w="1300" w:type="dxa"/>
          </w:tcPr>
          <w:p w:rsidR="00AC0832" w:rsidRDefault="00AC0832">
            <w:pPr>
              <w:pStyle w:val="CellColumn"/>
            </w:pPr>
            <w:r>
              <w:t>broj</w:t>
            </w:r>
          </w:p>
        </w:tc>
        <w:tc>
          <w:tcPr>
            <w:tcW w:w="1300" w:type="dxa"/>
          </w:tcPr>
          <w:p w:rsidR="00AC0832" w:rsidRDefault="00AC0832">
            <w:pPr>
              <w:pStyle w:val="CellColumn"/>
            </w:pPr>
            <w:r>
              <w:t xml:space="preserve">A) 5  </w:t>
            </w:r>
          </w:p>
          <w:p w:rsidR="00AC0832" w:rsidRDefault="00AC0832">
            <w:pPr>
              <w:pStyle w:val="CellColumn"/>
            </w:pPr>
            <w:r>
              <w:t>B) 130</w:t>
            </w:r>
          </w:p>
        </w:tc>
        <w:tc>
          <w:tcPr>
            <w:tcW w:w="1300" w:type="dxa"/>
          </w:tcPr>
          <w:p w:rsidR="00AC0832" w:rsidRDefault="00AC0832">
            <w:pPr>
              <w:pStyle w:val="CellColumn"/>
            </w:pPr>
            <w:r>
              <w:t>MUP</w:t>
            </w:r>
          </w:p>
        </w:tc>
        <w:tc>
          <w:tcPr>
            <w:tcW w:w="1300" w:type="dxa"/>
          </w:tcPr>
          <w:p w:rsidR="00AC0832" w:rsidRDefault="00AC0832">
            <w:pPr>
              <w:pStyle w:val="CellColumn"/>
            </w:pPr>
            <w:r>
              <w:t xml:space="preserve">A) 5 </w:t>
            </w:r>
          </w:p>
          <w:p w:rsidR="00AC0832" w:rsidRDefault="00AC0832">
            <w:pPr>
              <w:pStyle w:val="CellColumn"/>
            </w:pPr>
            <w:r>
              <w:t>B) 137</w:t>
            </w:r>
          </w:p>
        </w:tc>
        <w:tc>
          <w:tcPr>
            <w:tcW w:w="1300" w:type="dxa"/>
          </w:tcPr>
          <w:p w:rsidR="00AC0832" w:rsidRDefault="00AC0832">
            <w:pPr>
              <w:pStyle w:val="CellColumn"/>
            </w:pPr>
            <w:r>
              <w:t xml:space="preserve">A) 6 </w:t>
            </w:r>
          </w:p>
          <w:p w:rsidR="00AC0832" w:rsidRDefault="00AC0832">
            <w:pPr>
              <w:pStyle w:val="CellColumn"/>
            </w:pPr>
            <w:r>
              <w:t>B) 152</w:t>
            </w:r>
          </w:p>
        </w:tc>
      </w:tr>
    </w:tbl>
    <w:p w:rsidR="00AC0832" w:rsidRDefault="00AC0832">
      <w:pPr>
        <w:jc w:val="left"/>
      </w:pPr>
    </w:p>
    <w:p w:rsidR="00AC0832" w:rsidRDefault="00AC0832">
      <w:pPr>
        <w:pStyle w:val="Heading6"/>
      </w:pPr>
      <w:r>
        <w:t>K553092 NACIONALNI PROGRAM SIGURNOSTI CESTOVNOG PROMETA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K553092-NACIONALNI PROGRAM SIGURNOSTI CESTOVNOG PROMETA</w:t>
            </w:r>
          </w:p>
        </w:tc>
        <w:tc>
          <w:tcPr>
            <w:tcW w:w="2322" w:type="dxa"/>
          </w:tcPr>
          <w:p w:rsidR="00AC0832" w:rsidRDefault="00AC0832">
            <w:pPr>
              <w:pStyle w:val="CellColumn"/>
            </w:pPr>
            <w:r>
              <w:t>40.000.000</w:t>
            </w:r>
          </w:p>
        </w:tc>
        <w:tc>
          <w:tcPr>
            <w:tcW w:w="2322" w:type="dxa"/>
          </w:tcPr>
          <w:p w:rsidR="00AC0832" w:rsidRDefault="00AC0832">
            <w:pPr>
              <w:pStyle w:val="CellColumn"/>
            </w:pPr>
            <w:r>
              <w:t>24.753.048</w:t>
            </w:r>
          </w:p>
        </w:tc>
        <w:tc>
          <w:tcPr>
            <w:tcW w:w="2322" w:type="dxa"/>
          </w:tcPr>
          <w:p w:rsidR="00AC0832" w:rsidRDefault="00AC0832">
            <w:pPr>
              <w:pStyle w:val="CellColumn"/>
            </w:pPr>
            <w:r>
              <w:t>61,9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Nacionalni program sigurnosti cestovnog prometa Republike Hrvatske temeljni je dokument za podizanje razine sigurnosti cestovnog prometa u RH na višu i prihvatljiviju razinu od sadašnje. On u svom operativnom dijelu obuhvaća sve subjekte kojima je djelokrug rada na neki način vezan za sigurnost cestovnog prometa. To znači da u njegovom provođenju sudjeluju ministarstva, stručne organizacije, strukovne udruge, udruge građana i svi ostali koji mogu dati doprinos postizanju cilja. Nacionalni program na području Republike Hrvatske postoji od 1994. godine, a najnoviji, sada aktualan, donijela je Vlada Republike Hrvatske u svibnju 2011. godine (NN 59/11), a za njegovog nositelja, kao i do sada, određeno je Ministarstvo unutarnjih poslova. Što se tiče policijskog dijela zadaća vezanih za poboljšanje stanja sigurnosti cestovnog prometa, Nacionalni je program, također i temelj policijskog djelovanja kako u preventivnom, tako i u represivnom smislu. </w:t>
      </w:r>
    </w:p>
    <w:p w:rsidR="00AC0832" w:rsidRDefault="00AC0832">
      <w:pPr>
        <w:pStyle w:val="Normal6"/>
      </w:pPr>
      <w:r>
        <w:t xml:space="preserve">U sklopu novog Nacionalnog programa sigurnosti cestovnog prometa postavljeni su strateški ciljevi: smanjenje brzina vozila i poštivanje najviših dopuštenih brzina; zaštita djece, mladih i najranjivijih sudionika u prometu; suzbijanje vožnje pod utjecajem alkohola i opojnih droga u prometu; zaštita mopedista i motociklista; zaštita djece putnika u vozilima i saniranje opasnih mjesta. Dugoročnom projekcijom zacrtan je cilj da se smrtnost na hrvatskim cestama do 2020. godine smanji na prosječno 220 osoba na godišnjoj razini.  </w:t>
      </w:r>
    </w:p>
    <w:p w:rsidR="00AC0832" w:rsidRDefault="00AC0832">
      <w:pPr>
        <w:pStyle w:val="Normal6"/>
      </w:pPr>
      <w:r>
        <w:t xml:space="preserve">Sredstva NPSCP-a planirana su na izvoru 43 – sredstva po posebnim propisima, te se ista mogu izvršavati do visine uplaćenih sredstava, kao što se i neutrošena sredstva iz prethodne godine mogu prenositi. </w:t>
      </w:r>
    </w:p>
    <w:p w:rsidR="00AC0832" w:rsidRDefault="00AC0832">
      <w:pPr>
        <w:pStyle w:val="Normal6"/>
      </w:pPr>
      <w:r>
        <w:t xml:space="preserve">Ugovorom o financiranju NPSCP-a Republike Hrvatske za 2011.-2020.g. i opremanju prometne policije za razdoblje 2011.-2020.g. koji je potpisan od strane MUP-a i Centra za vozila Hrvatske utvrđena su međusobna prava i obveze te način sufinanciranja NPSCP-a koji se provodi u cilju smanjenja broja prometnih nesreća i njihovih štetnih posljedica financiranjem preventivnih aktivnosti i nabave uređaja i opreme koju policija koristi u nadzoru i upravljanju prometom na cestama. Za njegovo financiranje CVH-e izdvajati će dio sredstava ostvarenih u obavljanju usluge tehničkih pregleda i registracije vozila, kao i drugih poslova koji se obavljaju u stanicama za tehnički pregled vozila i to onaj dio koji se temeljem propisa namjenski raspoređuje za prometnu preventivu, a koji iznosi 8%. </w:t>
      </w:r>
    </w:p>
    <w:p w:rsidR="00AC0832" w:rsidRDefault="00AC0832">
      <w:pPr>
        <w:pStyle w:val="Normal6"/>
      </w:pPr>
      <w:r>
        <w:t xml:space="preserve">Nominalno najveći iznosi sredstava otvareni su za: nesesere za obavljanje očevida, laserske uređaje za mjerenje brzine s video zapisom, opremu za projekt video nadzora na cestama (fiksni uređaji za mjerenje brzine s kućištem), motociklističke kacige s ugrađenom vezom, uređaj za prepoznavanje registarstkih pločica i montaža na vozila, balističke prsluke za prikriveno nošenje, raman spektroskop (mikroskop), preventivne prometne znakove u sveukupom iznosu od   6,29 mil. kn, za kapitalne pomoći izvanproračunskim korisnicima županijskih, gradskih i općinskih proračuna u ukupnom iznosu od 5.24 mil. kn za sanaciju opasnih mjesta, od čega u Istarskoj županiji 1,35 mil. kn, u Vukovarsko-srijemskoj županiji 0,74 mil. kn, u u Zadarskoj županiji 1,47 mil. kn, u Međimurskoj županiji 1,68 mil. kn, za usluge promidžbe i informiranja 4,7 mil. kn, za subvencije trgovačkim društvima izvan javnog sektora u ukupnom iznosu od 1,935 mil. kn, od čega za akciju "Sigurno i vješto u prometu" 250.000 kn, za Dječje kazalište "Smješko" 30.000 kn, za projekt Prometna učilica i organizacija natjecanja 400.000 kn, za akciju "Dani tehničke ispravnosti vozila" 250.000 kn, za izradu i tiskanje priručnika "Biciklom u prometu" 80.000 kn, za sufinanciranje izrade i izdavanje Leksikona cestovnog prometa 125.000 kn,  za provjeru tehničke ispravnosti vozila koja su sudjelovala u prometnim nesrećama sa smrtno stradalim osobama 400.000 kn, za međunarodni projekt EuroRAP 350.000 kn, za Hrvasku komoru inženjera tehnologije prometa i transporta - istraživanje i stručni skup "Bicilistički promet u RH i njegova sigurnost" 50.000 kn, usluge tekućeg i investicijskog održavanja - servisiranje i održavanje alkometara i uređaja za nadzor digitalnih tahografa 1,43 mil. kn, za materijal za tekuće održavanje uređaja za mjerenje brzine i ostalih uređaja 999.937 kn.  </w:t>
      </w:r>
    </w:p>
    <w:p w:rsidR="00AC0832" w:rsidRDefault="00AC0832">
      <w:pPr>
        <w:pStyle w:val="Normal6"/>
      </w:pPr>
      <w:r>
        <w:t xml:space="preserve">Već četvrtu godinu zaredom nastavljen je trend smanjivanja broja prometnih nesreća i najtežih stradavanja. U odnosu na 2008. godinu (664 poginulih) broj poginulih osoba smanjen je za 271 ili 40,8 posto. Posebno treba istaknuti broj poginulih osoba koji je na ovoj razini posljednji put zabilježen davne 1964. godine (433 poginula). </w:t>
      </w:r>
    </w:p>
    <w:p w:rsidR="00AC0832" w:rsidRDefault="00AC0832">
      <w:pPr>
        <w:pStyle w:val="Normal6"/>
      </w:pPr>
      <w:r>
        <w:t>U 2012. godini dogodilo se 37065 prometnih nesreća u kojima su 393 osobe poginule, 3049 osoba je teško ozlijeđeno, a 12 961 ih je lakše ozlijeđena. U odnosu na 2011. godinu prometnih nesreća je manje za 12.7 posto, poginulih za 6.0 posto, lakše ozlijeđenih za 11.6 posto, a teško ozlijeđenih za 10.6 posto. Valja naglasiti kako su od 393 poginule osobe, njih 243 (61.8 posto) preminule na mjestu nesreće, 28 (7.1 posto) tijekom prijevoza do zdravstvene ustanove, a 122 (31.0 posto) u razdoblju od 30 dana od prometne nesreće. Dakle, na hrvatskim je cestama u 2012. godini, poginulo 25 osoba manje nego 2011. godine. Zanimljivo je kako je porastao broj registriranih vozača motornih vozila za 0.8 posto (17015), ali se za 5.4 posto smanjio broj registriranih motornih vozila (105664). U odnosu na prethodnu godinu nije bilo značajnijih promjena u cestovnoj mreži. U 2012. godini strukturu prometnih nesreća činile su 1.0 posto nesreće s poginulima, 30.8 posto nesreće s ozlijeđenima i 68.2 posto nesreće s materijalnom štetom. Strukturu nastradalih osoba činilo je 2.4 posto poginulih, 18.6 posto teško ozlijeđenih i 79.0 posto lakše ozlijeđenih.</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28"/>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poginulih u prometnim nesrećama</w:t>
            </w:r>
          </w:p>
        </w:tc>
        <w:tc>
          <w:tcPr>
            <w:tcW w:w="1300" w:type="dxa"/>
          </w:tcPr>
          <w:p w:rsidR="00AC0832" w:rsidRDefault="00AC0832">
            <w:pPr>
              <w:pStyle w:val="CellColumn"/>
            </w:pPr>
            <w:r>
              <w:t>Smanjenjem broja poginulih pokazuje uspješnost provođenja preventivno – represivnih aktivnosti u prometu</w:t>
            </w:r>
          </w:p>
        </w:tc>
        <w:tc>
          <w:tcPr>
            <w:tcW w:w="1300" w:type="dxa"/>
          </w:tcPr>
          <w:p w:rsidR="00AC0832" w:rsidRDefault="00AC0832">
            <w:pPr>
              <w:pStyle w:val="CellColumn"/>
            </w:pPr>
            <w:r>
              <w:t>broj</w:t>
            </w:r>
          </w:p>
        </w:tc>
        <w:tc>
          <w:tcPr>
            <w:tcW w:w="1300" w:type="dxa"/>
          </w:tcPr>
          <w:p w:rsidR="00AC0832" w:rsidRDefault="00AC0832">
            <w:pPr>
              <w:pStyle w:val="CellColumn"/>
            </w:pPr>
            <w:r>
              <w:t>426</w:t>
            </w:r>
          </w:p>
        </w:tc>
        <w:tc>
          <w:tcPr>
            <w:tcW w:w="1300" w:type="dxa"/>
          </w:tcPr>
          <w:p w:rsidR="00AC0832" w:rsidRDefault="00AC0832">
            <w:pPr>
              <w:pStyle w:val="CellColumn"/>
            </w:pPr>
            <w:r>
              <w:t>MUP</w:t>
            </w:r>
          </w:p>
        </w:tc>
        <w:tc>
          <w:tcPr>
            <w:tcW w:w="1300" w:type="dxa"/>
          </w:tcPr>
          <w:p w:rsidR="00AC0832" w:rsidRDefault="00AC0832">
            <w:pPr>
              <w:pStyle w:val="CellColumn"/>
            </w:pPr>
            <w:r>
              <w:t>404</w:t>
            </w:r>
          </w:p>
        </w:tc>
        <w:tc>
          <w:tcPr>
            <w:tcW w:w="1300" w:type="dxa"/>
          </w:tcPr>
          <w:p w:rsidR="00AC0832" w:rsidRDefault="00AC0832">
            <w:pPr>
              <w:pStyle w:val="CellColumn"/>
            </w:pPr>
            <w:r>
              <w:t>393</w:t>
            </w:r>
          </w:p>
        </w:tc>
      </w:tr>
      <w:tr w:rsidR="00AC0832" w:rsidTr="00BE20ED">
        <w:trPr>
          <w:jc w:val="center"/>
        </w:trPr>
        <w:tc>
          <w:tcPr>
            <w:tcW w:w="1300" w:type="dxa"/>
          </w:tcPr>
          <w:p w:rsidR="00AC0832" w:rsidRDefault="00AC0832">
            <w:pPr>
              <w:pStyle w:val="CellColumn"/>
            </w:pPr>
            <w:r>
              <w:t>Broj svih subjekata uključenih aktivno u Nacionalni program sigurnosti cestovnog prometa</w:t>
            </w:r>
          </w:p>
        </w:tc>
        <w:tc>
          <w:tcPr>
            <w:tcW w:w="1300" w:type="dxa"/>
          </w:tcPr>
          <w:p w:rsidR="00AC0832" w:rsidRDefault="00AC0832">
            <w:pPr>
              <w:pStyle w:val="CellColumn"/>
            </w:pPr>
            <w:r>
              <w:t>Povećanjem broja sudionika jača se sigurnosna mreža za generalnu prevenciju u prometu</w:t>
            </w:r>
          </w:p>
        </w:tc>
        <w:tc>
          <w:tcPr>
            <w:tcW w:w="1300" w:type="dxa"/>
          </w:tcPr>
          <w:p w:rsidR="00AC0832" w:rsidRDefault="00AC0832">
            <w:pPr>
              <w:pStyle w:val="CellColumn"/>
            </w:pPr>
            <w:r>
              <w:t>broj</w:t>
            </w:r>
          </w:p>
        </w:tc>
        <w:tc>
          <w:tcPr>
            <w:tcW w:w="1300" w:type="dxa"/>
          </w:tcPr>
          <w:p w:rsidR="00AC0832" w:rsidRDefault="00AC0832">
            <w:pPr>
              <w:pStyle w:val="CellColumn"/>
            </w:pPr>
            <w:r>
              <w:t>9</w:t>
            </w:r>
          </w:p>
        </w:tc>
        <w:tc>
          <w:tcPr>
            <w:tcW w:w="1300" w:type="dxa"/>
          </w:tcPr>
          <w:p w:rsidR="00AC0832" w:rsidRDefault="00AC0832">
            <w:pPr>
              <w:pStyle w:val="CellColumn"/>
            </w:pPr>
            <w:r>
              <w:t>MUP</w:t>
            </w:r>
          </w:p>
        </w:tc>
        <w:tc>
          <w:tcPr>
            <w:tcW w:w="1300" w:type="dxa"/>
          </w:tcPr>
          <w:p w:rsidR="00AC0832" w:rsidRDefault="00AC0832">
            <w:pPr>
              <w:pStyle w:val="CellColumn"/>
            </w:pPr>
            <w:r>
              <w:t>11</w:t>
            </w:r>
          </w:p>
        </w:tc>
        <w:tc>
          <w:tcPr>
            <w:tcW w:w="1300" w:type="dxa"/>
          </w:tcPr>
          <w:p w:rsidR="00AC0832" w:rsidRDefault="00AC0832">
            <w:pPr>
              <w:pStyle w:val="CellColumn"/>
            </w:pPr>
            <w:r>
              <w:t>11</w:t>
            </w:r>
          </w:p>
        </w:tc>
      </w:tr>
      <w:tr w:rsidR="00AC0832" w:rsidTr="00BE20ED">
        <w:trPr>
          <w:jc w:val="center"/>
        </w:trPr>
        <w:tc>
          <w:tcPr>
            <w:tcW w:w="1300" w:type="dxa"/>
          </w:tcPr>
          <w:p w:rsidR="00AC0832" w:rsidRDefault="00AC0832">
            <w:pPr>
              <w:pStyle w:val="CellColumn"/>
            </w:pPr>
            <w:r>
              <w:t>Broj ustrojenih prometnih jedinica mladeži i školskih prometnih jedinica</w:t>
            </w:r>
          </w:p>
        </w:tc>
        <w:tc>
          <w:tcPr>
            <w:tcW w:w="1300" w:type="dxa"/>
          </w:tcPr>
          <w:p w:rsidR="00AC0832" w:rsidRDefault="00AC0832">
            <w:pPr>
              <w:pStyle w:val="CellColumn"/>
            </w:pPr>
            <w:r>
              <w:t>Povećanjem broja sudionika jača se sigurnosna mreža za generalnu prevenciju u prometu</w:t>
            </w:r>
          </w:p>
        </w:tc>
        <w:tc>
          <w:tcPr>
            <w:tcW w:w="1300" w:type="dxa"/>
          </w:tcPr>
          <w:p w:rsidR="00AC0832" w:rsidRDefault="00AC0832">
            <w:pPr>
              <w:pStyle w:val="CellColumn"/>
            </w:pPr>
            <w:r>
              <w:t>broj</w:t>
            </w:r>
          </w:p>
        </w:tc>
        <w:tc>
          <w:tcPr>
            <w:tcW w:w="1300" w:type="dxa"/>
          </w:tcPr>
          <w:p w:rsidR="00AC0832" w:rsidRDefault="00AC0832">
            <w:pPr>
              <w:pStyle w:val="CellColumn"/>
            </w:pPr>
            <w:r>
              <w:t>208</w:t>
            </w:r>
          </w:p>
        </w:tc>
        <w:tc>
          <w:tcPr>
            <w:tcW w:w="1300" w:type="dxa"/>
          </w:tcPr>
          <w:p w:rsidR="00AC0832" w:rsidRDefault="00AC0832">
            <w:pPr>
              <w:pStyle w:val="CellColumn"/>
            </w:pPr>
            <w:r>
              <w:t>MUP</w:t>
            </w:r>
          </w:p>
        </w:tc>
        <w:tc>
          <w:tcPr>
            <w:tcW w:w="1300" w:type="dxa"/>
          </w:tcPr>
          <w:p w:rsidR="00AC0832" w:rsidRDefault="00AC0832">
            <w:pPr>
              <w:pStyle w:val="CellColumn"/>
            </w:pPr>
            <w:r>
              <w:t>220</w:t>
            </w:r>
          </w:p>
        </w:tc>
        <w:tc>
          <w:tcPr>
            <w:tcW w:w="1300" w:type="dxa"/>
          </w:tcPr>
          <w:p w:rsidR="00AC0832" w:rsidRDefault="00AC0832">
            <w:pPr>
              <w:pStyle w:val="CellColumn"/>
            </w:pPr>
            <w:r>
              <w:t>212</w:t>
            </w:r>
          </w:p>
        </w:tc>
      </w:tr>
    </w:tbl>
    <w:p w:rsidR="00AC0832" w:rsidRDefault="00AC0832">
      <w:pPr>
        <w:jc w:val="left"/>
      </w:pPr>
    </w:p>
    <w:p w:rsidR="00AC0832" w:rsidRDefault="00AC0832">
      <w:pPr>
        <w:pStyle w:val="Heading6"/>
      </w:pPr>
      <w:r>
        <w:t>K553116 IPA 2009 NABAVA INFORMATIČKE OPREME ZA POLICIJSKE POSTAJE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K553116-IPA 2009 NABAVA INFORMATIČKE OPREME ZA POLICIJSKE POSTAJE</w:t>
            </w:r>
          </w:p>
        </w:tc>
        <w:tc>
          <w:tcPr>
            <w:tcW w:w="2322" w:type="dxa"/>
          </w:tcPr>
          <w:p w:rsidR="00AC0832" w:rsidRDefault="00AC0832">
            <w:pPr>
              <w:pStyle w:val="CellColumn"/>
            </w:pPr>
            <w:r>
              <w:t>7.659.000</w:t>
            </w:r>
          </w:p>
        </w:tc>
        <w:tc>
          <w:tcPr>
            <w:tcW w:w="2322" w:type="dxa"/>
          </w:tcPr>
          <w:p w:rsidR="00AC0832" w:rsidRDefault="00AC0832">
            <w:pPr>
              <w:pStyle w:val="CellColumn"/>
            </w:pPr>
            <w:r>
              <w:t>5.171.425</w:t>
            </w:r>
          </w:p>
        </w:tc>
        <w:tc>
          <w:tcPr>
            <w:tcW w:w="2322" w:type="dxa"/>
          </w:tcPr>
          <w:p w:rsidR="00AC0832" w:rsidRDefault="00AC0832">
            <w:pPr>
              <w:pStyle w:val="CellColumn"/>
            </w:pPr>
            <w:r>
              <w:t>67,5</w:t>
            </w:r>
          </w:p>
        </w:tc>
      </w:tr>
    </w:tbl>
    <w:p w:rsidR="00AC0832" w:rsidRDefault="00AC0832">
      <w:pPr>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Cilj projekta je stvoriti tehničke pretpostavke za korištenje svih IT sustava MUP-a, te opremiti sve policijske postaje osobnim računalima i pisačima. Vrijednost projekta je 2.000.000 eura. U 2012. godini je sklopljen ugovor u vrijednosti 1.132.664 EUR-a  i započela je isporuka 2.000 računala i 400 printera, za što je izvršeno avansno plaćanje (60%).</w:t>
      </w:r>
    </w:p>
    <w:p w:rsidR="00AC0832" w:rsidRDefault="00AC0832">
      <w:pPr>
        <w:pStyle w:val="Heading6"/>
      </w:pPr>
      <w:r>
        <w:t>K553117 IPA 2009 JAČANJE KAPACITETA NA PODRUČJU BORBE PROTIV SEKSUALNOG ISKORIŠTAVANJA I ZLOSTAVLJANJA DJECE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K553117-IPA 2009 JAČANJE KAPACITETA NA PODRUČJU BORBE PROTIV SEKSUALNOG ISKORIŠTAVANJA I ZLOSTAVLJANJA DJECE</w:t>
            </w:r>
          </w:p>
        </w:tc>
        <w:tc>
          <w:tcPr>
            <w:tcW w:w="2322" w:type="dxa"/>
          </w:tcPr>
          <w:p w:rsidR="00AC0832" w:rsidRDefault="00AC0832">
            <w:pPr>
              <w:pStyle w:val="CellColumn"/>
            </w:pPr>
            <w:r>
              <w:t>3.325.000</w:t>
            </w:r>
          </w:p>
        </w:tc>
        <w:tc>
          <w:tcPr>
            <w:tcW w:w="2322" w:type="dxa"/>
          </w:tcPr>
          <w:p w:rsidR="00AC0832" w:rsidRDefault="00AC0832">
            <w:pPr>
              <w:pStyle w:val="CellColumn"/>
            </w:pPr>
            <w:r>
              <w:t>3.721.926</w:t>
            </w:r>
          </w:p>
        </w:tc>
        <w:tc>
          <w:tcPr>
            <w:tcW w:w="2322" w:type="dxa"/>
          </w:tcPr>
          <w:p w:rsidR="00AC0832" w:rsidRDefault="00AC0832">
            <w:pPr>
              <w:pStyle w:val="CellColumn"/>
            </w:pPr>
            <w:r>
              <w:t>111,9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Cilj projekta je jačanje kapaciteta MUP-a u području prevencije i sprečavanja seksualnog iskorištavanja i seksualne eksploatacije djece te postizanje europskih standarda. Navedenim projektom opremiti će se 50 službenih prostorija s namještajem i opremom adekvatnom za vođenje intervjua s djecom, žrtvama seksualne eksploatacije i seksualnog zlostavljanja. Ukupna alokacija za ovaj projekt iznosi 1.610.000 eur-a, od čega se 800.000 eura odnosi na usluge twinninga te  810.000 eur-a za nabavu opreme. </w:t>
      </w:r>
    </w:p>
    <w:p w:rsidR="00AC0832" w:rsidRDefault="00AC0832">
      <w:pPr>
        <w:pStyle w:val="Normal6"/>
      </w:pPr>
      <w:r>
        <w:t xml:space="preserve">U 2011. godini je sklopljen twinning ugovor u iznosu od 800.000 EUR-a sa Northern Ireland Co-operation Overseas Ltd. (NI-CO), United Kingdom of Great Britain and Northern Ireland i u 2012. je izvršeno plaćanje 2. rate u iznosu od 293.333 eur-a. Za opremu su u 2012. godini sklopljeni ugovori za: LOT 1 (namještaj) - u iznosu od 44.460,45 eur-a sa Avto Engineering Holding Group Ltd., Sofia, Bugarska i izvršeno je avansno plaćanje (60%) u iznosu od 26.676,28 eur-a i isporučen je namještaj, LOT 3 (IT oprema za kriminalističko istraživanje - 30 komada računalne opreme za forenziku i 30 printera) - u iznosu od 77.976,60 eur-a sa INsig2 Ltd., Zagreb, oprema je isporučena i plaćena u cijelosti u 2012. godini i LOT 5 (30 licenci za forenzički software za istragu dječje pornografije na mobilnim telefonima i sličnim uređajima) - u iznosu od 117.270 eur-a sa INsig2 Ltd., Zagreb u konzorciju sa Cellebrite Mobile Synchronization Ltd., Israel, licence su isporučene i plaćene u cijelosti u 2012. godini.  </w:t>
      </w:r>
    </w:p>
    <w:p w:rsidR="00AC0832" w:rsidRDefault="00AC0832">
      <w:pPr>
        <w:pStyle w:val="Normal6"/>
      </w:pPr>
      <w:r>
        <w:t>Iz ovog projekta je ostalo još provesti natječaje i sklopiti ugovore za LOT 2 (26 kompleta digitalne opreme za audio-vizualno snimanje interviewa) i LOT 4 (30 licenci za forenzički software za istragu dječje pornografije na računalima).</w:t>
      </w:r>
    </w:p>
    <w:p w:rsidR="00AC0832" w:rsidRDefault="00AC0832">
      <w:pPr>
        <w:pStyle w:val="Heading6"/>
      </w:pPr>
      <w:r>
        <w:t>K553129 KOMUNIKACIJSKA OPREMA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K553129-KOMUNIKACIJSKA OPREMA</w:t>
            </w:r>
          </w:p>
        </w:tc>
        <w:tc>
          <w:tcPr>
            <w:tcW w:w="2322" w:type="dxa"/>
          </w:tcPr>
          <w:p w:rsidR="00AC0832" w:rsidRDefault="00AC0832">
            <w:pPr>
              <w:pStyle w:val="CellColumn"/>
            </w:pPr>
            <w:r>
              <w:t>30.449.412</w:t>
            </w:r>
          </w:p>
        </w:tc>
        <w:tc>
          <w:tcPr>
            <w:tcW w:w="2322" w:type="dxa"/>
          </w:tcPr>
          <w:p w:rsidR="00AC0832" w:rsidRDefault="00AC0832">
            <w:pPr>
              <w:pStyle w:val="CellColumn"/>
            </w:pPr>
            <w:r>
              <w:t>28.814.065</w:t>
            </w:r>
          </w:p>
        </w:tc>
        <w:tc>
          <w:tcPr>
            <w:tcW w:w="2322" w:type="dxa"/>
          </w:tcPr>
          <w:p w:rsidR="00AC0832" w:rsidRDefault="00AC0832">
            <w:pPr>
              <w:pStyle w:val="CellColumn"/>
            </w:pPr>
            <w:r>
              <w:t>94,6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Realizacija je u okviru planiranih sredstava, te je najveći dio sredstava utrošen je za otplatu glavnice dugoročnog kredita iz 2005.g. za sustav TETRA  u iznosu od 21.149.800 kn kao i za kamate po istom u iznosu od 2.554.269,23 kn. </w:t>
      </w:r>
    </w:p>
    <w:p w:rsidR="00AC0832" w:rsidRDefault="00AC0832">
      <w:pPr>
        <w:pStyle w:val="Normal6"/>
      </w:pPr>
      <w:r>
        <w:t>Preostali dio ostvarenja odnosi se na računalne usluge, a uključuje troškove održavanja bazne stanice, registrofona i telefonskih sredstava, zatim na troškove za materijal za održavanje sredstva veze, te na troškove nabave telefona i telefaksa.</w:t>
      </w:r>
    </w:p>
    <w:p w:rsidR="00AC0832" w:rsidRDefault="00AC0832">
      <w:pPr>
        <w:pStyle w:val="Heading6"/>
      </w:pPr>
      <w:r>
        <w:t>K553132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K553132-INFORMATIZACIJA</w:t>
            </w:r>
          </w:p>
        </w:tc>
        <w:tc>
          <w:tcPr>
            <w:tcW w:w="2322" w:type="dxa"/>
          </w:tcPr>
          <w:p w:rsidR="00AC0832" w:rsidRDefault="00AC0832">
            <w:pPr>
              <w:pStyle w:val="CellColumn"/>
            </w:pPr>
            <w:r>
              <w:t>24.372.058</w:t>
            </w:r>
          </w:p>
        </w:tc>
        <w:tc>
          <w:tcPr>
            <w:tcW w:w="2322" w:type="dxa"/>
          </w:tcPr>
          <w:p w:rsidR="00AC0832" w:rsidRDefault="00AC0832">
            <w:pPr>
              <w:pStyle w:val="CellColumn"/>
            </w:pPr>
            <w:r>
              <w:t>24.178.729</w:t>
            </w:r>
          </w:p>
        </w:tc>
        <w:tc>
          <w:tcPr>
            <w:tcW w:w="2322" w:type="dxa"/>
          </w:tcPr>
          <w:p w:rsidR="00AC0832" w:rsidRDefault="00AC0832">
            <w:pPr>
              <w:pStyle w:val="CellColumn"/>
            </w:pPr>
            <w:r>
              <w:t>99,2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Od ukupno planiranog iznosa najveći dio realizacije, odnosi se na plaćanje licenci. Obzirom da smo koristili neke licence bez reguliranog prava za njihovo korištenje, postignuta je izvansudska nagodba na iznos od 25,3 mil kn temeljem koje su ta prava sada regulirana. Nagodba je zaključena u studenom 2012. godini, te je plaćanje predviđeno i sredstva su planirana u 2013. godini.  </w:t>
      </w:r>
    </w:p>
    <w:p w:rsidR="00AC0832" w:rsidRDefault="00AC0832">
      <w:pPr>
        <w:pStyle w:val="Normal6"/>
      </w:pPr>
      <w:r>
        <w:t>Preostala realizacija na navedenom projektu odnosi se na računalne usluge  i to IBM ugovore za najam programske podrške – HOST, usluge održavanje centralnog informacijskog sustava MUP-a, održavanje sustava materijalno-financijskog poslovanja dok se preostali dio odnosi na sve ostale usluge održavanja informatičkog sistema MUP-a kao i na usluge tekućeg i investicijskog održavanja informacijskog sustava i sredstva veze, nabavu računala i računalne opreme  i ulaganje u računalne programe.</w:t>
      </w:r>
    </w:p>
    <w:p w:rsidR="00AC0832" w:rsidRDefault="00AC0832">
      <w:pPr>
        <w:pStyle w:val="Heading6"/>
      </w:pPr>
      <w:r>
        <w:t>T553135 IPA 2008 JAČANJE KAPACITETA MINISTARSTVA UNUTARNJIH POSLOVA U SUZBIJANJU KRIMINALITETA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T553135-IPA 2008 JAČANJE KAPACITETA MINISTARSTVA UNUTARNJIH POSLOVA U SUZBIJANJU KRIMINALITETA</w:t>
            </w:r>
          </w:p>
        </w:tc>
        <w:tc>
          <w:tcPr>
            <w:tcW w:w="2322" w:type="dxa"/>
          </w:tcPr>
          <w:p w:rsidR="00AC0832" w:rsidRDefault="00AC0832">
            <w:pPr>
              <w:pStyle w:val="CellColumn"/>
            </w:pPr>
            <w:r>
              <w:t>1.217.000</w:t>
            </w:r>
          </w:p>
        </w:tc>
        <w:tc>
          <w:tcPr>
            <w:tcW w:w="2322" w:type="dxa"/>
          </w:tcPr>
          <w:p w:rsidR="00AC0832" w:rsidRDefault="00AC0832">
            <w:pPr>
              <w:pStyle w:val="CellColumn"/>
            </w:pPr>
            <w:r>
              <w:t>1.175.422</w:t>
            </w:r>
          </w:p>
        </w:tc>
        <w:tc>
          <w:tcPr>
            <w:tcW w:w="2322" w:type="dxa"/>
          </w:tcPr>
          <w:p w:rsidR="00AC0832" w:rsidRDefault="00AC0832">
            <w:pPr>
              <w:pStyle w:val="CellColumn"/>
            </w:pPr>
            <w:r>
              <w:t>96,6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Cilj projekta je ojačati kapacitete hrvatske policije u području prevencije kriminala, razvijajući upute za procedure prevencije kriminala, pripremajući programe vježbi za policijske službenike, te pripremanje prijedloga za izradu nastave za prevenciju kriminala za Policijsku akademiju. </w:t>
      </w:r>
    </w:p>
    <w:p w:rsidR="00AC0832" w:rsidRDefault="00AC0832">
      <w:pPr>
        <w:pStyle w:val="Normal6"/>
      </w:pPr>
      <w:r>
        <w:t>Ukupna vrijednost projekta je 200.000 eura, a 31.05.2012. godine sklopljen je twinning ugovor u ukupnoj vrijednosti od 196.726,60 eur-a sa Ministry of the Interior Baden Wutemberg, Federal Republic of Germany. Avansno plaćanje (80%) je izvršeno 24.08.2012. u iznosu od 157.380,96 eur-a.</w:t>
      </w:r>
    </w:p>
    <w:p w:rsidR="00AC0832" w:rsidRDefault="00AC0832">
      <w:pPr>
        <w:pStyle w:val="Heading5"/>
      </w:pPr>
      <w:r>
        <w:t>2602 UPRAVLJANJE DRŽAVNIM GRANICAMA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2602-UPRAVLJANJE DRŽAVNIM GRANICAMA</w:t>
            </w:r>
          </w:p>
        </w:tc>
        <w:tc>
          <w:tcPr>
            <w:tcW w:w="2322" w:type="dxa"/>
          </w:tcPr>
          <w:p w:rsidR="00AC0832" w:rsidRDefault="00AC0832">
            <w:pPr>
              <w:pStyle w:val="CellColumn"/>
            </w:pPr>
            <w:r>
              <w:t>808.002.000</w:t>
            </w:r>
          </w:p>
        </w:tc>
        <w:tc>
          <w:tcPr>
            <w:tcW w:w="2322" w:type="dxa"/>
          </w:tcPr>
          <w:p w:rsidR="00AC0832" w:rsidRDefault="00AC0832">
            <w:pPr>
              <w:pStyle w:val="CellColumn"/>
            </w:pPr>
            <w:r>
              <w:t>783.793.493</w:t>
            </w:r>
          </w:p>
        </w:tc>
        <w:tc>
          <w:tcPr>
            <w:tcW w:w="2322" w:type="dxa"/>
          </w:tcPr>
          <w:p w:rsidR="00AC0832" w:rsidRDefault="00AC0832">
            <w:pPr>
              <w:pStyle w:val="CellColumn"/>
            </w:pPr>
            <w:r>
              <w:t>97,0</w:t>
            </w:r>
          </w:p>
        </w:tc>
      </w:tr>
    </w:tbl>
    <w:p w:rsidR="00AC0832" w:rsidRDefault="00AC0832">
      <w:pPr>
        <w:jc w:val="left"/>
      </w:pPr>
    </w:p>
    <w:p w:rsidR="00AC0832" w:rsidRDefault="00AC0832">
      <w:pPr>
        <w:pStyle w:val="Heading6"/>
      </w:pPr>
      <w:r>
        <w:t>Opis programa</w:t>
      </w:r>
    </w:p>
    <w:p w:rsidR="00AC0832" w:rsidRDefault="00AC0832">
      <w:pPr>
        <w:pStyle w:val="Normal5"/>
      </w:pPr>
      <w:r>
        <w:t>Kroz program Upravljanje državnim granicama financiraju se policijski poslovi vezani uz nadzor i osiguranje državne granice. Program se temelji na Strategiji granične policije Republike Hrvatske u okviru primjene Schengenskog pravnog sustava na vanjskoj granici Europske unije. Planirana sredstva raspoređena su na aktivnost A553102 Administracija i upravljanje unutar koje su osigurana sredstva za zaposlene djelatnike granične policije i pet kapitalnih projekata iz kojih je, između ostalog, financirano tehničko opremanje i obuka granične policije.</w:t>
      </w:r>
    </w:p>
    <w:p w:rsidR="00AC0832" w:rsidRDefault="00AC0832">
      <w:pPr>
        <w:pStyle w:val="Heading6"/>
      </w:pPr>
      <w:r>
        <w:t>Zakonske i druge pravne osnove</w:t>
      </w:r>
    </w:p>
    <w:p w:rsidR="00AC0832" w:rsidRDefault="00AC0832">
      <w:pPr>
        <w:pStyle w:val="Normal5"/>
      </w:pPr>
      <w:r>
        <w:t>Zakon o policiji, 34/11, 41/08, 129/00, Zakon o policijskim poslovima i ovlastima, NN 76/09, Zakon o nadzoru državne granice, NN 130/11, 146/08, 40/07, 8/07, 141/06, 173/03, 3/95, 92/94, Zakon o strancima, NN 130/11, 6/09, 79/07, 182/04, 109/03,  Uredba o viznom sustavu, NN 54/12, 148/10, 153/09, 56/09, 41/08, 127/05, 57/04, Zakon o zračnom prometu, NN 84/11, 69/09, 46/07, 178/04, 132/98, Strategija integriranog upravljanja granicom sa provedbenim akcijskim planom, Schengenski akcijski plan za razdoblje 2007.-2012., Vlada RH, ožujak 2007, Strategija integriranog upravljanja granicom, Zaključak Vlade RH, 18. ožujak 2010.</w:t>
      </w:r>
    </w:p>
    <w:p w:rsidR="00AC0832" w:rsidRDefault="00AC0832">
      <w:pPr>
        <w:pStyle w:val="Heading7"/>
      </w:pPr>
      <w:r>
        <w:t xml:space="preserve">Cilj 1. Organizacijsko- kadrovski koncept granične policije implementiran u cijelosti i popunjena sva radna mjesta u graničnoj policiji sukladno Strategiji integriranog upravljanja granicom i pripadajućim Akcijskim planom, te Schengenskim akcijskim planom </w:t>
      </w:r>
    </w:p>
    <w:p w:rsidR="00AC0832" w:rsidRDefault="00AC0832">
      <w:pPr>
        <w:pStyle w:val="Heading8"/>
        <w:jc w:val="left"/>
      </w:pPr>
      <w:r>
        <w:t>Opis provedbe cilja programa</w:t>
      </w:r>
    </w:p>
    <w:p w:rsidR="00AC0832" w:rsidRDefault="00AC0832">
      <w:pPr>
        <w:pStyle w:val="Normal6"/>
      </w:pPr>
      <w:r>
        <w:t>Poduzimaju se daljnje aktivnosti u cilju implementacije organizacijsko-kadrovskog koncepta granične policije, s posebnim naglaskom na sustavno popunjavanje granične policije novim policijskim službenicima. Ukupni broj službenika granične policije u prosincu 2012. godine iznosio je 6.338 od čega je 4.971 policijski službenik raspoređen na budućoj vanjskoj granici (sve tri razine ustroja granične policije), a 1.367 policijskih službenika na budućoj unutarnjoj granici. Prema postojećem konceptu, na budućoj vanjskoj granici (granica prema BiH, Srbiji, Crnoj Gori, pomorski, riječni i zračni granični prijelazi) na sve tri razine (lokalna, regionalna i državna), poslove granične policije obavljati će 5.825 policijskih službenika. Donošenjem Uredbe o unutarnjem ustrojstvu Ministarstva unutarnjih poslova (NN 117/11) i Pravilnika o unutarnjem redu MUP-a implementirana je Strategija razvoja pomorske policije u dijelu koji se odnosi na ustrojavanje Nacionalnog pomorskog centra za prikupljanje podataka i ustrojavanje novih radnih mjesta u pomorskoj policiji: zapovjednik plovila tipa A i B, zamjenik zapovjednika plovila tipa A, upravitelj stroja na plovilu tipa A i B. Unutarnjim prerasporedom i prelaskom službenika Obalne straže popunjena su ključna mjesta službenika pomorske policije, te od ukupno 106 radnih mjesta zapovjednika/zamjenika zapovjednika/upravitelja stroja na svim tipovima policijskih plovila trenutno nije popunjeno šest radnih mjesta za popunu kojih je raspisan interni oglas. U cilju postizanja potrebnog broja policijskih službenika za nadzor buduće vanjske granice do ulaska Republike Hrvatske u schengenski prostor, u cilju dostizanja potrebnog broja granične policije od 5.825 policijskih službenika, biti će potrebno rasporediti u graničnu policiju još oko 754 policijskih službenika što će se osigurati unutarnjom preraspodjelom ili novim prijemom.</w:t>
      </w:r>
    </w:p>
    <w:p w:rsidR="00AC0832" w:rsidRDefault="00AC0832">
      <w:pPr>
        <w:pStyle w:val="Heading7"/>
      </w:pPr>
      <w:r>
        <w:t>Cilj 2. Provedena specijalistička obuka službenika granične policije prema EU standardu</w:t>
      </w:r>
    </w:p>
    <w:p w:rsidR="00AC0832" w:rsidRDefault="00AC0832">
      <w:pPr>
        <w:pStyle w:val="Heading8"/>
        <w:jc w:val="left"/>
      </w:pPr>
      <w:r>
        <w:t>Opis provedbe cilja programa</w:t>
      </w:r>
    </w:p>
    <w:p w:rsidR="00AC0832" w:rsidRDefault="00AC0832">
      <w:pPr>
        <w:pStyle w:val="Normal6"/>
      </w:pPr>
      <w:r>
        <w:t xml:space="preserve">Specijalistička obuka policijskih službenika za graničnu policiju provodi se kontinuirano u trajanju od osam tjedana, odnosno šest tjedana teorijske i praktične nastave i dva tjedna stručne prakse, a programski se nadovezuje na temeljni jednogodišnji program obrazovanja za zanimanje policajac ili dvogodišnji srednjoškolski program kojim se polaznici osposobljavanju za samostalno i zakonito obavljanje poslova policijskog službenika temeljne policije. U oba oblika sadašnje temeljne obuke nalazi se dio temeljnih sadržaja CCC koji prolaze svi policijski službenici, a razliku kroz specijalističku obuku službenici granične policije.  </w:t>
      </w:r>
    </w:p>
    <w:p w:rsidR="00AC0832" w:rsidRDefault="00AC0832">
      <w:pPr>
        <w:pStyle w:val="Normal6"/>
      </w:pPr>
      <w:r>
        <w:t>Tijekom 2012. godine, održano je pet specijalističkih tečaja i osposobljeno ukupno 300 policijskih službenika za obavljanje poslova nadzora državne granice. Ažurirana verzija CCC-a je prevedena na hrvatski jezik, te će se temeljem istog, u funkciji njegove potpune implementacije, izraditi novi izvedbeni programi specijalističke izobrazbe granične policije. Plan izobrazbe MUP-a za 2012. godinu u dijelu obuke granične policije, ispunjen je u potpunosti  kako u pogledu  stručnog usavršavanja predavača-multiplikatora granične policije tako i u pogledu  stručnog  usavršavanja operativne razine službenika u policijskim upravama. Temeljem verificiranih programa u području EU pravo, suzbijanje krivotvorenja putnih isprava, suzbijanje krijumčarenja vozila, suzbijanje krijumčarenja plovila, obuka ekipe za prekrcaj, druga linija kontrole, NISUDG, analizu rizika izobrazbu je prošlo ukupno 8639 policijska službenika granične policije i to u ukupno 810 seminara.</w:t>
      </w:r>
    </w:p>
    <w:p w:rsidR="00AC0832" w:rsidRDefault="00AC0832">
      <w:pPr>
        <w:pStyle w:val="Heading7"/>
      </w:pPr>
      <w:r>
        <w:t>Cilj 3. Provodi se zanavljanje policijske flote</w:t>
      </w:r>
    </w:p>
    <w:p w:rsidR="00AC0832" w:rsidRDefault="00AC0832">
      <w:pPr>
        <w:pStyle w:val="Heading8"/>
        <w:jc w:val="left"/>
      </w:pPr>
      <w:r>
        <w:t>Opis provedbe cilja programa</w:t>
      </w:r>
    </w:p>
    <w:p w:rsidR="00AC0832" w:rsidRDefault="00AC0832">
      <w:pPr>
        <w:pStyle w:val="Normal6"/>
      </w:pPr>
      <w:r>
        <w:t>Za potrebe nadzora granice na moru nabavljeno je jedno plovilo tip A i jedno plovilo tip B.</w:t>
      </w:r>
    </w:p>
    <w:p w:rsidR="00AC0832" w:rsidRDefault="00AC0832">
      <w:pPr>
        <w:pStyle w:val="Heading7"/>
      </w:pPr>
      <w:r>
        <w:t>Cilj 4. Na svim graničnim prijelazima na budućoj vanjskoj granici u funkciji je Nacionalni informacijski sustav za upravljanje državnom granicom</w:t>
      </w:r>
    </w:p>
    <w:p w:rsidR="00AC0832" w:rsidRDefault="00AC0832">
      <w:pPr>
        <w:pStyle w:val="Heading8"/>
        <w:jc w:val="left"/>
      </w:pPr>
      <w:r>
        <w:t>Opis provedbe cilja programa</w:t>
      </w:r>
    </w:p>
    <w:p w:rsidR="00AC0832" w:rsidRDefault="00AC0832">
      <w:pPr>
        <w:pStyle w:val="Normal6"/>
      </w:pPr>
      <w:r>
        <w:t xml:space="preserve">U I. kvartalu 2012. godine završeno je instaliranje i testiranje sustava nadzora državne granice na području grada Metkovića i Neumskog i Malostonskog zaljeva te je provedena obuka operatera. Druga faza instaliranja opreme u Neumskom i Malostonskom zaljevu (instaliranje kamera na graničnim prijelazima Klek i Zaton Doli) biti će završena do ulaska Republike Hrvatske u Europsku uniju, odnosno po izgradnji graničnih prijelaza čime će u punoj operativnoj funkciji biti već uspostavljeni operativni centar za nadzor u Policijskoj postaji Ploče. </w:t>
      </w:r>
    </w:p>
    <w:p w:rsidR="00AC0832" w:rsidRDefault="00AC0832">
      <w:pPr>
        <w:pStyle w:val="Normal6"/>
      </w:pPr>
      <w:r>
        <w:t>NISUDG trenutno je instaliran na 83 granična prijelaza (76 na vanjskoj i 7 na unutarnjoj granici). Do ulaska Republike Hrvatske u Europsku uniju, uz pretpostavku da su osigurani tehnički i infrastrukturni uvjeti, sustav će biti implementiran na svim graničnim prijelazima na budućoj vanjskoj granici.</w:t>
      </w:r>
    </w:p>
    <w:p w:rsidR="00AC0832" w:rsidRDefault="00AC0832">
      <w:pPr>
        <w:pStyle w:val="Heading7"/>
      </w:pPr>
      <w:r>
        <w:t>Cilj 5. Završena izgradnja i rekonstrukcija policijskih postaja i stacionara za potrebe granične policije</w:t>
      </w:r>
    </w:p>
    <w:p w:rsidR="00AC0832" w:rsidRDefault="00AC0832">
      <w:pPr>
        <w:pStyle w:val="Heading8"/>
        <w:jc w:val="left"/>
      </w:pPr>
      <w:r>
        <w:t>Opis provedbe cilja programa</w:t>
      </w:r>
    </w:p>
    <w:p w:rsidR="00AC0832" w:rsidRDefault="00AC0832">
      <w:pPr>
        <w:pStyle w:val="Normal6"/>
      </w:pPr>
      <w:r>
        <w:t>Objekti koje koristi granična policija ne zadovoljavaju trenutne  potrebe. Za potrebe poboljšanja uvjeta rada granične policije (policijske postaje i objekti za smještaj) u Akcijskom planu za provedbu strategije integriranog upravljanja granicom Republike Hrvatske predviđene su akcije izgradnje, rekonstrukcije i adaptacije postojećih objekata za rad granične policije kao i objekte za smještaj.</w:t>
      </w:r>
    </w:p>
    <w:p w:rsidR="00AC0832" w:rsidRDefault="00AC0832">
      <w:pPr>
        <w:pStyle w:val="Heading6"/>
      </w:pPr>
      <w:r>
        <w:t>A553102 ADMINISTRACIJA I UPRAVLJANJE SUSTAVOM DRŽAVNE GRANICE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A553102-ADMINISTRACIJA I UPRAVLJANJE SUSTAVOM DRŽAVNE GRANICE</w:t>
            </w:r>
          </w:p>
        </w:tc>
        <w:tc>
          <w:tcPr>
            <w:tcW w:w="2322" w:type="dxa"/>
          </w:tcPr>
          <w:p w:rsidR="00AC0832" w:rsidRDefault="00AC0832">
            <w:pPr>
              <w:pStyle w:val="CellColumn"/>
            </w:pPr>
            <w:r>
              <w:t>736.696.000</w:t>
            </w:r>
          </w:p>
        </w:tc>
        <w:tc>
          <w:tcPr>
            <w:tcW w:w="2322" w:type="dxa"/>
          </w:tcPr>
          <w:p w:rsidR="00AC0832" w:rsidRDefault="00AC0832">
            <w:pPr>
              <w:pStyle w:val="CellColumn"/>
            </w:pPr>
            <w:r>
              <w:t>730.911.928</w:t>
            </w:r>
          </w:p>
        </w:tc>
        <w:tc>
          <w:tcPr>
            <w:tcW w:w="2322" w:type="dxa"/>
          </w:tcPr>
          <w:p w:rsidR="00AC0832" w:rsidRDefault="00AC0832">
            <w:pPr>
              <w:pStyle w:val="CellColumn"/>
            </w:pPr>
            <w:r>
              <w:t>99,2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Planirana sredstva na ovoj aktivnosti su u potpunosti utrošena za podmirenje rashoda za zaposlene, te naknada za prijevoz djelatnika granične policije u 2012. godini. Što se tiče stavke Naknada za prijevoz, za rad na terenu i odvojeni život ista je u 2012. godini planirana u iznosu od 40.785.000 kn, a u odnosu na 2011. ostvarenje je manje za 5,6 mil kn. Predmetno smanjenje na ovoj stavci u odnosu na 2011.g. također je rezultat potpisivanja novog Kolektivnog ugovora u mjesecu kolovozu prošle godine kojim su smanjena prava djelatnika vezano za isplatu ovih naknada.</w:t>
      </w:r>
    </w:p>
    <w:p w:rsidR="00AC0832" w:rsidRDefault="00AC0832">
      <w:pPr>
        <w:pStyle w:val="Heading6"/>
      </w:pPr>
      <w:r>
        <w:t>K553074 IZGRADNJA KAPACITETA U SUSTAVU SCHENGENSKE GRANICE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K553074-IZGRADNJA KAPACITETA U SUSTAVU SCHENGENSKE GRANICE</w:t>
            </w:r>
          </w:p>
        </w:tc>
        <w:tc>
          <w:tcPr>
            <w:tcW w:w="2322" w:type="dxa"/>
          </w:tcPr>
          <w:p w:rsidR="00AC0832" w:rsidRDefault="00AC0832">
            <w:pPr>
              <w:pStyle w:val="CellColumn"/>
            </w:pPr>
            <w:r>
              <w:t>30.763.000</w:t>
            </w:r>
          </w:p>
        </w:tc>
        <w:tc>
          <w:tcPr>
            <w:tcW w:w="2322" w:type="dxa"/>
          </w:tcPr>
          <w:p w:rsidR="00AC0832" w:rsidRDefault="00AC0832">
            <w:pPr>
              <w:pStyle w:val="CellColumn"/>
            </w:pPr>
            <w:r>
              <w:t>29.376.707</w:t>
            </w:r>
          </w:p>
        </w:tc>
        <w:tc>
          <w:tcPr>
            <w:tcW w:w="2322" w:type="dxa"/>
          </w:tcPr>
          <w:p w:rsidR="00AC0832" w:rsidRDefault="00AC0832">
            <w:pPr>
              <w:pStyle w:val="CellColumn"/>
            </w:pPr>
            <w:r>
              <w:t>95,5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Sadržaj projekta temelji se na aktivnostima ugrađenim u Schengenski akcijski plan za razdoblje od 2007.-2012.g. koji je usvojila Vlada RH u ožujku 2007.g. Pri njegovoj izradi obuhvaćene su i aktivnosti iz Strategije razvoja granične policije i Strategije integriranog upravljanja granicom. Navedeni Akcijski plan uzet je kao jedno od mjerila za otvaranje Poglavlja 24. Pravda, sloboda i sigurnost, a u svrhu trajnog praćenja napretka u ispunjavanju zadaća, s obvezom njegovog redovitog godišnjeg ažuriranja. Cilj ovog projekta je dostizanje schengenskih standarda upravljanja granicom, novog koncepta organizacije i upravljanja ljudskim potencijalima granične policije, tehničko opremanja i obuka granične policije. </w:t>
      </w:r>
    </w:p>
    <w:p w:rsidR="00AC0832" w:rsidRDefault="00AC0832">
      <w:pPr>
        <w:pStyle w:val="Normal6"/>
      </w:pPr>
      <w:r>
        <w:t xml:space="preserve">Najveći dio ostvarenja odnosi se na troškove vezane uz podmirenje obveza za projekt nabave plovila i to u iznosu od 12.366.566 kn (od čega se 6.559.467 kn odnosi na prenesene obveze iz prošle godine s valutama plaćanja iza 31.3.2012.g.). Preostali iznos od 5.807.099 kn odnosi se na plaćanje V i VI faze izgradnje i opremanja plovila tipa A, te IV i V faze izgradnje i opremanja plovila tipa B. </w:t>
      </w:r>
    </w:p>
    <w:p w:rsidR="00AC0832" w:rsidRDefault="00AC0832">
      <w:pPr>
        <w:pStyle w:val="Normal6"/>
      </w:pPr>
      <w:r>
        <w:t xml:space="preserve">Na stavci policijske opreme utrošeno je 4.585.060 kn od čega se 493.483 kn odnosi na prenesene obveze iz prošle godine, a preostali iznos od 4.091.577 kn na nabavu opreme i uspostavu tehničkog nadzora na graničnim prijelazima – lokacije Metković, Brijesta i Ploče. </w:t>
      </w:r>
    </w:p>
    <w:p w:rsidR="00AC0832" w:rsidRDefault="00AC0832">
      <w:pPr>
        <w:pStyle w:val="Normal6"/>
      </w:pPr>
      <w:r>
        <w:t xml:space="preserve">Na stavci dodatnih ulaganja na građevinskim objektima planirani iznos utrošen je za nastavak izrade tehničke dokumentacija za:  izgradnju Tranzitnog centra za prihvat stranaca Tovarnik, izgradnju Postaje granične policije Trilj i Tranzitnog  centra za prihvat stranaca, izgradnju Postaju granične policije Maljevac, izgradnju objekta Policijske postaje Knin, izgradnju smještajnog objekta u  Donjem Lapcu i izgradnju smještajnog objekta u Cetingradu, te za izradu tehničke dokumentacije za uređenje infrastrukture i objekata  za postavljanje baznih stanica na 3 lokacije -  Palagruža, Sv. Andrija, Sušac. </w:t>
      </w:r>
    </w:p>
    <w:p w:rsidR="00AC0832" w:rsidRDefault="00AC0832">
      <w:pPr>
        <w:pStyle w:val="Normal6"/>
      </w:pPr>
      <w:r>
        <w:t xml:space="preserve">Dio opreme koji je bio planirana za nabavu prilikom izmjena i dopuna preraspoređen je za ostale rashode, a nabava potrebne opreme se predviđa iz Schengen Facility Funda u 2013. godini uz sufinanciranje 25% iz proračuna (PDV). </w:t>
      </w:r>
    </w:p>
    <w:p w:rsidR="00AC0832" w:rsidRDefault="00AC0832">
      <w:pPr>
        <w:pStyle w:val="Normal6"/>
      </w:pPr>
      <w:r>
        <w:t>Preostali dio ostvarenja utrošen je na namirnice za tečajeve i seminare granične policije, zatim na gorivo za plovila, te na rashode za službena putovanja.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5"/>
        <w:gridCol w:w="1617"/>
        <w:gridCol w:w="1184"/>
        <w:gridCol w:w="1108"/>
        <w:gridCol w:w="1080"/>
        <w:gridCol w:w="1539"/>
        <w:gridCol w:w="116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Organizacijsko- kadrovski koncept granične policije implementiran u cijelosti i popunjena sva radna mjesta u graničnoj policiji sukladno Strategiji integriranog upravljanja granicom i pripadajućim Akcijskim planom, te Schengenskim akcijskim planom</w:t>
            </w:r>
          </w:p>
        </w:tc>
        <w:tc>
          <w:tcPr>
            <w:tcW w:w="1300" w:type="dxa"/>
          </w:tcPr>
          <w:p w:rsidR="00AC0832" w:rsidRDefault="00AC0832">
            <w:pPr>
              <w:pStyle w:val="CellColumn"/>
            </w:pPr>
            <w:r>
              <w:t>Implementacija organizacijsko-kadrovskog koncepta u cijelosti omogućiti će primjenu EU pravne stečevine u području upravljanja granicom i povećati sigurnost granica</w:t>
            </w:r>
          </w:p>
        </w:tc>
        <w:tc>
          <w:tcPr>
            <w:tcW w:w="1300" w:type="dxa"/>
          </w:tcPr>
          <w:p w:rsidR="00AC0832" w:rsidRDefault="00AC0832">
            <w:pPr>
              <w:pStyle w:val="CellColumn"/>
            </w:pPr>
            <w:r>
              <w:t>Broj PS</w:t>
            </w:r>
          </w:p>
        </w:tc>
        <w:tc>
          <w:tcPr>
            <w:tcW w:w="1300" w:type="dxa"/>
          </w:tcPr>
          <w:p w:rsidR="00AC0832" w:rsidRDefault="00AC0832">
            <w:pPr>
              <w:pStyle w:val="CellColumn"/>
            </w:pPr>
            <w:r>
              <w:t>6026</w:t>
            </w:r>
          </w:p>
        </w:tc>
        <w:tc>
          <w:tcPr>
            <w:tcW w:w="1300" w:type="dxa"/>
          </w:tcPr>
          <w:p w:rsidR="00AC0832" w:rsidRDefault="00AC0832">
            <w:pPr>
              <w:pStyle w:val="CellColumn"/>
            </w:pPr>
            <w:r>
              <w:t>MUP</w:t>
            </w:r>
          </w:p>
        </w:tc>
        <w:tc>
          <w:tcPr>
            <w:tcW w:w="1300" w:type="dxa"/>
          </w:tcPr>
          <w:p w:rsidR="00AC0832" w:rsidRDefault="00AC0832">
            <w:pPr>
              <w:pStyle w:val="CellColumn"/>
            </w:pPr>
            <w:r>
              <w:t>6150</w:t>
            </w:r>
          </w:p>
        </w:tc>
        <w:tc>
          <w:tcPr>
            <w:tcW w:w="1300" w:type="dxa"/>
          </w:tcPr>
          <w:p w:rsidR="00AC0832" w:rsidRDefault="00AC0832">
            <w:pPr>
              <w:pStyle w:val="CellColumn"/>
            </w:pPr>
            <w:r>
              <w:t>6338</w:t>
            </w:r>
          </w:p>
        </w:tc>
      </w:tr>
      <w:tr w:rsidR="00AC0832" w:rsidTr="00BE20ED">
        <w:trPr>
          <w:jc w:val="center"/>
        </w:trPr>
        <w:tc>
          <w:tcPr>
            <w:tcW w:w="1300" w:type="dxa"/>
          </w:tcPr>
          <w:p w:rsidR="00AC0832" w:rsidRDefault="00AC0832">
            <w:pPr>
              <w:pStyle w:val="CellColumn"/>
            </w:pPr>
            <w:r>
              <w:t>Provedena specijalistička obuka službenika granične policije</w:t>
            </w:r>
          </w:p>
        </w:tc>
        <w:tc>
          <w:tcPr>
            <w:tcW w:w="1300" w:type="dxa"/>
          </w:tcPr>
          <w:p w:rsidR="00AC0832" w:rsidRDefault="00AC0832">
            <w:pPr>
              <w:pStyle w:val="CellColumn"/>
            </w:pPr>
            <w:r>
              <w:t>Završetkom specijalističke obuke, službenici granične policije se biti će osposobljeni za učinkovito obavljanje poslova i zadaća nadzora državnegranice</w:t>
            </w:r>
          </w:p>
        </w:tc>
        <w:tc>
          <w:tcPr>
            <w:tcW w:w="1300" w:type="dxa"/>
          </w:tcPr>
          <w:p w:rsidR="00AC0832" w:rsidRDefault="00AC0832">
            <w:pPr>
              <w:pStyle w:val="CellColumn"/>
            </w:pPr>
            <w:r>
              <w:t xml:space="preserve">Broj </w:t>
            </w:r>
          </w:p>
          <w:p w:rsidR="00AC0832" w:rsidRDefault="00AC0832">
            <w:pPr>
              <w:pStyle w:val="CellColumn"/>
            </w:pPr>
            <w:r>
              <w:t>obučenih službenika</w:t>
            </w:r>
          </w:p>
        </w:tc>
        <w:tc>
          <w:tcPr>
            <w:tcW w:w="1300" w:type="dxa"/>
          </w:tcPr>
          <w:p w:rsidR="00AC0832" w:rsidRDefault="00AC0832">
            <w:pPr>
              <w:pStyle w:val="CellColumn"/>
            </w:pPr>
            <w:r>
              <w:t>5400</w:t>
            </w:r>
          </w:p>
        </w:tc>
        <w:tc>
          <w:tcPr>
            <w:tcW w:w="1300" w:type="dxa"/>
          </w:tcPr>
          <w:p w:rsidR="00AC0832" w:rsidRDefault="00AC0832">
            <w:pPr>
              <w:pStyle w:val="CellColumn"/>
            </w:pPr>
            <w:r>
              <w:t>MUP</w:t>
            </w:r>
          </w:p>
        </w:tc>
        <w:tc>
          <w:tcPr>
            <w:tcW w:w="1300" w:type="dxa"/>
          </w:tcPr>
          <w:p w:rsidR="00AC0832" w:rsidRDefault="00AC0832">
            <w:pPr>
              <w:pStyle w:val="CellColumn"/>
            </w:pPr>
            <w:r>
              <w:t>6200</w:t>
            </w:r>
          </w:p>
        </w:tc>
        <w:tc>
          <w:tcPr>
            <w:tcW w:w="1300" w:type="dxa"/>
          </w:tcPr>
          <w:p w:rsidR="00AC0832" w:rsidRDefault="00AC0832">
            <w:pPr>
              <w:pStyle w:val="CellColumn"/>
            </w:pPr>
            <w:r>
              <w:t>8639</w:t>
            </w:r>
          </w:p>
        </w:tc>
      </w:tr>
      <w:tr w:rsidR="00AC0832" w:rsidTr="00BE20ED">
        <w:trPr>
          <w:jc w:val="center"/>
        </w:trPr>
        <w:tc>
          <w:tcPr>
            <w:tcW w:w="1300" w:type="dxa"/>
          </w:tcPr>
          <w:p w:rsidR="00AC0832" w:rsidRDefault="00AC0832">
            <w:pPr>
              <w:pStyle w:val="CellColumn"/>
            </w:pPr>
            <w:r>
              <w:t>Provodi se zanavljanje policijske flote</w:t>
            </w:r>
          </w:p>
        </w:tc>
        <w:tc>
          <w:tcPr>
            <w:tcW w:w="1300" w:type="dxa"/>
          </w:tcPr>
          <w:p w:rsidR="00AC0832" w:rsidRDefault="00AC0832">
            <w:pPr>
              <w:pStyle w:val="CellColumn"/>
            </w:pPr>
            <w:r>
              <w:t>Zanavljanje policijske flote omogućiti će učinkoviti nadzor državne granice Republike Hrvatske na moru i rijekama</w:t>
            </w:r>
          </w:p>
        </w:tc>
        <w:tc>
          <w:tcPr>
            <w:tcW w:w="1300" w:type="dxa"/>
          </w:tcPr>
          <w:p w:rsidR="00AC0832" w:rsidRDefault="00AC0832">
            <w:pPr>
              <w:pStyle w:val="CellColumn"/>
            </w:pPr>
            <w:r>
              <w:t>%</w:t>
            </w:r>
          </w:p>
        </w:tc>
        <w:tc>
          <w:tcPr>
            <w:tcW w:w="1300" w:type="dxa"/>
          </w:tcPr>
          <w:p w:rsidR="00AC0832" w:rsidRDefault="00AC0832">
            <w:pPr>
              <w:pStyle w:val="CellColumn"/>
            </w:pPr>
            <w:r>
              <w:t>62</w:t>
            </w:r>
          </w:p>
        </w:tc>
        <w:tc>
          <w:tcPr>
            <w:tcW w:w="1300" w:type="dxa"/>
          </w:tcPr>
          <w:p w:rsidR="00AC0832" w:rsidRDefault="00AC0832">
            <w:pPr>
              <w:pStyle w:val="CellColumn"/>
            </w:pPr>
            <w:r>
              <w:t>MUP</w:t>
            </w:r>
          </w:p>
        </w:tc>
        <w:tc>
          <w:tcPr>
            <w:tcW w:w="1300" w:type="dxa"/>
          </w:tcPr>
          <w:p w:rsidR="00AC0832" w:rsidRDefault="00AC0832">
            <w:pPr>
              <w:pStyle w:val="CellColumn"/>
            </w:pPr>
            <w:r>
              <w:t>98</w:t>
            </w:r>
          </w:p>
        </w:tc>
        <w:tc>
          <w:tcPr>
            <w:tcW w:w="1300" w:type="dxa"/>
          </w:tcPr>
          <w:p w:rsidR="00AC0832" w:rsidRDefault="00AC0832">
            <w:pPr>
              <w:pStyle w:val="CellColumn"/>
            </w:pPr>
            <w:r>
              <w:t>65</w:t>
            </w:r>
          </w:p>
        </w:tc>
      </w:tr>
      <w:tr w:rsidR="00AC0832" w:rsidTr="00BE20ED">
        <w:trPr>
          <w:jc w:val="center"/>
        </w:trPr>
        <w:tc>
          <w:tcPr>
            <w:tcW w:w="1300" w:type="dxa"/>
          </w:tcPr>
          <w:p w:rsidR="00AC0832" w:rsidRDefault="00AC0832">
            <w:pPr>
              <w:pStyle w:val="CellColumn"/>
            </w:pPr>
            <w:r>
              <w:t>Na svim graničnim prijelazima na budućoj vanjskoj granici u funkciji je Nacionalni informacijski sustav za upravljanje državnom granicom</w:t>
            </w:r>
          </w:p>
        </w:tc>
        <w:tc>
          <w:tcPr>
            <w:tcW w:w="1300" w:type="dxa"/>
          </w:tcPr>
          <w:p w:rsidR="00AC0832" w:rsidRDefault="00AC0832">
            <w:pPr>
              <w:pStyle w:val="CellColumn"/>
            </w:pPr>
            <w:r>
              <w:t>Sustav će omogućiti brže i učinkovitije obavljanje granične kontrole i olakšati nesmetan protok prometa roba i osoba preko državne granice.</w:t>
            </w:r>
          </w:p>
        </w:tc>
        <w:tc>
          <w:tcPr>
            <w:tcW w:w="1300" w:type="dxa"/>
          </w:tcPr>
          <w:p w:rsidR="00AC0832" w:rsidRDefault="00AC0832">
            <w:pPr>
              <w:pStyle w:val="CellColumn"/>
            </w:pPr>
            <w:r>
              <w:t>broj GP</w:t>
            </w:r>
          </w:p>
        </w:tc>
        <w:tc>
          <w:tcPr>
            <w:tcW w:w="1300" w:type="dxa"/>
          </w:tcPr>
          <w:p w:rsidR="00AC0832" w:rsidRDefault="00AC0832">
            <w:pPr>
              <w:pStyle w:val="CellColumn"/>
            </w:pPr>
            <w:r>
              <w:t>68</w:t>
            </w:r>
          </w:p>
        </w:tc>
        <w:tc>
          <w:tcPr>
            <w:tcW w:w="1300" w:type="dxa"/>
          </w:tcPr>
          <w:p w:rsidR="00AC0832" w:rsidRDefault="00AC0832">
            <w:pPr>
              <w:pStyle w:val="CellColumn"/>
            </w:pPr>
            <w:r>
              <w:t>MUP</w:t>
            </w:r>
          </w:p>
        </w:tc>
        <w:tc>
          <w:tcPr>
            <w:tcW w:w="1300" w:type="dxa"/>
          </w:tcPr>
          <w:p w:rsidR="00AC0832" w:rsidRDefault="00AC0832">
            <w:pPr>
              <w:pStyle w:val="CellColumn"/>
            </w:pPr>
            <w:r>
              <w:t>98</w:t>
            </w:r>
          </w:p>
        </w:tc>
        <w:tc>
          <w:tcPr>
            <w:tcW w:w="1300" w:type="dxa"/>
          </w:tcPr>
          <w:p w:rsidR="00AC0832" w:rsidRDefault="00AC0832">
            <w:pPr>
              <w:pStyle w:val="CellColumn"/>
            </w:pPr>
            <w:r>
              <w:t>83</w:t>
            </w:r>
          </w:p>
        </w:tc>
      </w:tr>
      <w:tr w:rsidR="00AC0832" w:rsidTr="00BE20ED">
        <w:trPr>
          <w:jc w:val="center"/>
        </w:trPr>
        <w:tc>
          <w:tcPr>
            <w:tcW w:w="1300" w:type="dxa"/>
          </w:tcPr>
          <w:p w:rsidR="00AC0832" w:rsidRDefault="00AC0832">
            <w:pPr>
              <w:pStyle w:val="CellColumn"/>
            </w:pPr>
            <w:r>
              <w:t>Završena izgradnja i rekonstrukcija policijskih postaja i stacionara za potrebe granične policije</w:t>
            </w:r>
          </w:p>
        </w:tc>
        <w:tc>
          <w:tcPr>
            <w:tcW w:w="1300" w:type="dxa"/>
          </w:tcPr>
          <w:p w:rsidR="00AC0832" w:rsidRDefault="00AC0832">
            <w:pPr>
              <w:pStyle w:val="CellColumn"/>
            </w:pPr>
            <w:r>
              <w:t>Izgradnjom i rekonstrukcijom postaja i stacionara poboljšati će se uvjeti rada granične policije i smanjiti troškovi putovanja na posao</w:t>
            </w:r>
          </w:p>
        </w:tc>
        <w:tc>
          <w:tcPr>
            <w:tcW w:w="1300" w:type="dxa"/>
          </w:tcPr>
          <w:p w:rsidR="00AC0832" w:rsidRDefault="00AC0832">
            <w:pPr>
              <w:pStyle w:val="CellColumn"/>
            </w:pPr>
            <w:r>
              <w:t>%</w:t>
            </w:r>
          </w:p>
        </w:tc>
        <w:tc>
          <w:tcPr>
            <w:tcW w:w="1300" w:type="dxa"/>
          </w:tcPr>
          <w:p w:rsidR="00AC0832" w:rsidRDefault="00AC0832">
            <w:pPr>
              <w:pStyle w:val="CellColumn"/>
            </w:pPr>
            <w:r>
              <w:t>10</w:t>
            </w:r>
          </w:p>
        </w:tc>
        <w:tc>
          <w:tcPr>
            <w:tcW w:w="1300" w:type="dxa"/>
          </w:tcPr>
          <w:p w:rsidR="00AC0832" w:rsidRDefault="00AC0832">
            <w:pPr>
              <w:pStyle w:val="CellColumn"/>
            </w:pPr>
            <w:r>
              <w:t>MUP</w:t>
            </w:r>
          </w:p>
        </w:tc>
        <w:tc>
          <w:tcPr>
            <w:tcW w:w="1300" w:type="dxa"/>
          </w:tcPr>
          <w:p w:rsidR="00AC0832" w:rsidRDefault="00AC0832">
            <w:pPr>
              <w:pStyle w:val="CellColumn"/>
            </w:pPr>
            <w:r>
              <w:t xml:space="preserve">Dovršena izgradnja ili rekonstrukcija infrastrukturnih objekata </w:t>
            </w:r>
          </w:p>
          <w:p w:rsidR="00AC0832" w:rsidRDefault="00AC0832">
            <w:pPr>
              <w:pStyle w:val="CellColumn"/>
            </w:pPr>
            <w:r>
              <w:t>20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K553109 IPA 2007-NACIONALNI INFORMACIJSKI SUSTAV ZA UPRAVLJANJE DRŽAVNOM GRANICOM-FAZA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K553109-IPA 2007-NACIONALNI INFORMACIJSKI SUSTAV ZA UPRAVLJANJE DRŽAVNOM GRANICOM-FAZA III</w:t>
            </w:r>
          </w:p>
        </w:tc>
        <w:tc>
          <w:tcPr>
            <w:tcW w:w="2322" w:type="dxa"/>
          </w:tcPr>
          <w:p w:rsidR="00AC0832" w:rsidRDefault="00AC0832">
            <w:pPr>
              <w:pStyle w:val="CellColumn"/>
            </w:pPr>
            <w:r>
              <w:t>15.957.000</w:t>
            </w:r>
          </w:p>
        </w:tc>
        <w:tc>
          <w:tcPr>
            <w:tcW w:w="2322" w:type="dxa"/>
          </w:tcPr>
          <w:p w:rsidR="00AC0832" w:rsidRDefault="00AC0832">
            <w:pPr>
              <w:pStyle w:val="CellColumn"/>
            </w:pPr>
            <w:r>
              <w:t>16.326.897</w:t>
            </w:r>
          </w:p>
        </w:tc>
        <w:tc>
          <w:tcPr>
            <w:tcW w:w="2322" w:type="dxa"/>
          </w:tcPr>
          <w:p w:rsidR="00AC0832" w:rsidRDefault="00AC0832">
            <w:pPr>
              <w:pStyle w:val="CellColumn"/>
            </w:pPr>
            <w:r>
              <w:t>102,3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Cilj ovog projekta je uvođenje sustava za automatsko očitavanje registarskih oznaka vozila, sustava za automatsko očitavanje putnih isprava, sustava za automatsko brojanje i klasifikaciju vozila i sustava za skeniranje otisaka prstiju, čime je predviđeno opremanje daljnjih 25 graničnih prijelaza (nastavak projekta NBMIS – faza I i II).  </w:t>
      </w:r>
    </w:p>
    <w:p w:rsidR="00AC0832" w:rsidRDefault="00AC0832">
      <w:pPr>
        <w:pStyle w:val="Normal6"/>
      </w:pPr>
      <w:r>
        <w:t xml:space="preserve">Vrijednost projekta je 5.419.853 EUR-a od čega je usluga tehničke pomoći 171.735,81 eur-a (Ugovor sklopljen sa ASTEC GLOBAL CONSULTANCY, Dublin, Ireland ), te 5.248.117,37  eur-a nabava opreme, edukacija i transfer znanja (Ugovor sklopljen sa S&amp;T Croatia Ltd., Zagreb). Sva oprema i software su isporučeni, pružena je usluga tehničke pomoći i u 2012. godini je izvršeno finalno plaćanje (40%) po oba ugovora. </w:t>
      </w:r>
    </w:p>
    <w:p w:rsidR="00AC0832" w:rsidRDefault="00AC0832">
      <w:pPr>
        <w:pStyle w:val="Normal6"/>
      </w:pPr>
      <w:r>
        <w:t>Projekt je svečano završen 12. lipnja 2012.g. uz prezentaciju o rezultatima projekta.</w:t>
      </w:r>
    </w:p>
    <w:p w:rsidR="00AC0832" w:rsidRDefault="00AC0832">
      <w:pPr>
        <w:pStyle w:val="Heading6"/>
      </w:pPr>
      <w:r>
        <w:t>K553115 IPA 2009 MODERNIZACIJA KONTROLE DRŽAVNE GRANICE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K553115-IPA 2009 MODERNIZACIJA KONTROLE DRŽAVNE GRANICE</w:t>
            </w:r>
          </w:p>
        </w:tc>
        <w:tc>
          <w:tcPr>
            <w:tcW w:w="2322" w:type="dxa"/>
          </w:tcPr>
          <w:p w:rsidR="00AC0832" w:rsidRDefault="00AC0832">
            <w:pPr>
              <w:pStyle w:val="CellColumn"/>
            </w:pPr>
            <w:r>
              <w:t>6.246.000</w:t>
            </w:r>
          </w:p>
        </w:tc>
        <w:tc>
          <w:tcPr>
            <w:tcW w:w="2322" w:type="dxa"/>
          </w:tcPr>
          <w:p w:rsidR="00AC0832" w:rsidRDefault="00AC0832">
            <w:pPr>
              <w:pStyle w:val="CellColumn"/>
            </w:pPr>
            <w:r>
              <w:t>3.097.437</w:t>
            </w:r>
          </w:p>
        </w:tc>
        <w:tc>
          <w:tcPr>
            <w:tcW w:w="2322" w:type="dxa"/>
          </w:tcPr>
          <w:p w:rsidR="00AC0832" w:rsidRDefault="00AC0832">
            <w:pPr>
              <w:pStyle w:val="CellColumn"/>
            </w:pPr>
            <w:r>
              <w:t>49,6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Cilj projekta je stvaranje tehničkih preduvjeta u skladu sa standardima EU za kontrolu državne granice na kopnu, te jačanje kapaciteta granične policije za efikasan nadzor državne granice na moru u smislu nabavke potrebne opreme (termo kamere i uređaji za kontrolu dokumenata). Ukupna alokacija sredstava za ovaj projekt iznosi 1.500.000 eur-a. U 2012. godini sklopljeni su ugovori za LOT 1 - oprema za nadzor granice, 22 termokamere u vrijednosti 686.000 eur-a sa Audio-Video Trend d.o.o. u konzorciju sa Ovation Systems Ltd., Oxfordshire, GB i LOT 2 - oprema za graničnu kontrolu, 215 uređaja za kontrolu dokumenata u vrijednosti 330.000 eur-a sa Avto Engineering Holding Group Ltd, Bulgaria. U 2012. godini je plaćen avans (60%) samo za LOT 1 u iznosu od 411.600 eur-a. Tvrtka Avto Engineering Holding Group Ltd, Bulgaria za LOT 2 nije zatražila avansno plaćanje te stoga isto nije izvršeno, što se vrlo rijetko događa kad su u pitanju EU projekti. Zbog te činjenice je izvršenje na ovom projektu 49,6%.</w:t>
      </w:r>
    </w:p>
    <w:p w:rsidR="00AC0832" w:rsidRDefault="00AC0832">
      <w:pPr>
        <w:pStyle w:val="Heading6"/>
      </w:pPr>
      <w:r>
        <w:t>K553127 IPA - PREKOGRANIČNA SURADNJA S MAĐARIMA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K553127-IPA - PREKOGRANIČNA SURADNJA S MAĐARIMA</w:t>
            </w:r>
          </w:p>
        </w:tc>
        <w:tc>
          <w:tcPr>
            <w:tcW w:w="2322" w:type="dxa"/>
          </w:tcPr>
          <w:p w:rsidR="00AC0832" w:rsidRDefault="00AC0832">
            <w:pPr>
              <w:pStyle w:val="CellColumn"/>
            </w:pPr>
            <w:r>
              <w:t>659.000</w:t>
            </w:r>
          </w:p>
        </w:tc>
        <w:tc>
          <w:tcPr>
            <w:tcW w:w="2322" w:type="dxa"/>
          </w:tcPr>
          <w:p w:rsidR="00AC0832" w:rsidRDefault="00AC0832">
            <w:pPr>
              <w:pStyle w:val="CellColumn"/>
            </w:pPr>
            <w:r>
              <w:t>585.850</w:t>
            </w:r>
          </w:p>
        </w:tc>
        <w:tc>
          <w:tcPr>
            <w:tcW w:w="2322" w:type="dxa"/>
          </w:tcPr>
          <w:p w:rsidR="00AC0832" w:rsidRDefault="00AC0832">
            <w:pPr>
              <w:pStyle w:val="CellColumn"/>
            </w:pPr>
            <w:r>
              <w:t>88,9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Navedeni projekt se odnosi na uspostavu i rad zajedničkog policijskog Centra za razmjenu informacija u Mohaču kao i na provedbu zajedničkih ophodnji na Dunavu. Ukupna vrijednost projekta je 97.100 eur-a. U okviru ovog projekta rashodi su planirani za službena putovanja, zakupnine i najamnine, intelektualne i osobne usluge, ostale usluge, uredsku opremu i namještaj, te za prijevozna sredstva u cestovnom prometu. U 2012. godini je sklopljen ugovor sa tvrtkom RGO komunikacije d.o.o., Zagreb, za konzultantske usluge i izradu programa u području IPA CBC Mađarska Hrvatska u skopu suradnje prekogranične policije Mađarske i Hrvatske na području uz Dunav. Vrijednost ugovora je 19.430 eur-a. Kako su u potpunosti ispunjene sve kondicije iz ugovora, po istom je izvršeno plaćanje u cijelosti. Ugovor za nabavu 2 civilna vozila - LOT 2 - je sklopljen sa tvrtkom Avtotehna d.d., Slovenija u iznosu od 29.580 eur-a, vozila su isporučena, te je za isto izvršeno plaćanje u cijelosti. Sa tvrtkom Dat-Con d.o.o, Zagreb, sklopljena su dva ugovora; jedan za LOT 1 - IT oprema za policijski centar u iznosu od 4.315 eur-a i drugi za LOT 3 - oprema za zajedničku ophodnu u pograničnom području u iznosu od 22.722 eur-a. Tvrtka Dat-Con je opremu iz oba ugovora isporučila, te je izvršeno kompletno plaćanje. Ostali troškovi koji su plaćeni sa ovog projekta odnose se na utrošene radne sate članova projektnog tima koji su bili angažirani na provođenju aktivnosti u sklopu ovog projekta (prema time sheet-ovima), dnevnice za službena putovanja projektnog tima na radionice koje su održane u Mađarskoj i troškove organizacija radionica koje su održane u Osijeku u organizaciji projektnog tima iz Policijske uprave osječko-baranjske.</w:t>
      </w:r>
    </w:p>
    <w:p w:rsidR="00AC0832" w:rsidRDefault="00AC0832">
      <w:pPr>
        <w:pStyle w:val="Heading3"/>
      </w:pPr>
      <w:r>
        <w:t>21908 Hrvatska vatrogasna zajednica</w:t>
      </w:r>
    </w:p>
    <w:p w:rsidR="00AC0832" w:rsidRDefault="00AC0832">
      <w:pPr>
        <w:pStyle w:val="Heading4"/>
      </w:pPr>
      <w:r>
        <w:t>Uvod</w:t>
      </w:r>
    </w:p>
    <w:p w:rsidR="00AC0832" w:rsidRDefault="00AC0832">
      <w:pPr>
        <w:pStyle w:val="Normal5"/>
      </w:pPr>
      <w:r>
        <w:t xml:space="preserve">Hrvatska vatrogasna zajednica krovna je organizacija hrvatskoga vatrogastva te stručna i humanitarna udruga vatrogasnih zajednica županija i Grada Zagreba. Ona predstavlja interese u njima udruženih vatrogasnih organizacija, 1.891 dobrovoljnih i 95 profesionalnih vatrogasnih postrojbi s 60.523 vatrogasaca, od kojih je 3.385 profesionalnih vatrogasaca te 25.000 pripadnika vatrogasne mladeži i podmlatka.  </w:t>
      </w:r>
    </w:p>
    <w:p w:rsidR="00AC0832" w:rsidRDefault="00AC0832">
      <w:pPr>
        <w:pStyle w:val="Normal5"/>
      </w:pPr>
      <w:r>
        <w:t xml:space="preserve">Zadaća Hrvatske vatrogasne zajednice je organiziranje cjelokupnog vatrogasnog sustava za učinkovitu provedbu vatrogasne djelatnosti, razvijanje vatrogastva sukladno gospodarskom i tehnološkom razvoju društva, provođenje mjera za ujednačavanje stupnja zaštite od požara na cijelom teritoriju Republike Hrvatske te preventivno djelovanje u pogledu smanjenja rizika od nastajanja požara i drugih nesreća. </w:t>
      </w:r>
    </w:p>
    <w:p w:rsidR="00AC0832" w:rsidRDefault="00AC0832">
      <w:pPr>
        <w:pStyle w:val="Normal5"/>
      </w:pPr>
      <w:r>
        <w:t>Hrvatska vatrogasna zajednica je članica Međunarodne zajednice vatrogasnih i spasilačkih službi (CTIF). Kao članica CTIF-a sudjeluje u radu njezinih stručnih odbora, promiče izmjenu iskustava i znanja te organizira sudjelovanje na vatrogasnim natjecanjima CTIF-a i međunarodnim savjetovanjima.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21908-Hrvatska vatrogasna zajednica</w:t>
            </w:r>
          </w:p>
        </w:tc>
        <w:tc>
          <w:tcPr>
            <w:tcW w:w="2322" w:type="dxa"/>
          </w:tcPr>
          <w:p w:rsidR="00AC0832" w:rsidRDefault="00AC0832">
            <w:pPr>
              <w:pStyle w:val="CellColumn"/>
            </w:pPr>
            <w:r>
              <w:t>11.147.000</w:t>
            </w:r>
          </w:p>
        </w:tc>
        <w:tc>
          <w:tcPr>
            <w:tcW w:w="2322" w:type="dxa"/>
          </w:tcPr>
          <w:p w:rsidR="00AC0832" w:rsidRDefault="00AC0832">
            <w:pPr>
              <w:pStyle w:val="CellColumn"/>
            </w:pPr>
            <w:r>
              <w:t>9.949.495</w:t>
            </w:r>
          </w:p>
        </w:tc>
        <w:tc>
          <w:tcPr>
            <w:tcW w:w="2322" w:type="dxa"/>
          </w:tcPr>
          <w:p w:rsidR="00AC0832" w:rsidRDefault="00AC0832">
            <w:pPr>
              <w:pStyle w:val="CellColumn"/>
            </w:pPr>
            <w:r>
              <w:t>89,3</w:t>
            </w:r>
          </w:p>
        </w:tc>
      </w:tr>
      <w:tr w:rsidR="00AC0832" w:rsidTr="00BE20ED">
        <w:trPr>
          <w:jc w:val="center"/>
        </w:trPr>
        <w:tc>
          <w:tcPr>
            <w:tcW w:w="2322" w:type="dxa"/>
          </w:tcPr>
          <w:p w:rsidR="00AC0832" w:rsidRDefault="00AC0832">
            <w:pPr>
              <w:pStyle w:val="CellColumnSmall"/>
            </w:pPr>
            <w:r>
              <w:t>2603-ORGANIZIRANJE I PROVOĐENJE ZAŠTITE I SPAŠAVANJA</w:t>
            </w:r>
          </w:p>
        </w:tc>
        <w:tc>
          <w:tcPr>
            <w:tcW w:w="2322" w:type="dxa"/>
          </w:tcPr>
          <w:p w:rsidR="00AC0832" w:rsidRDefault="00AC0832">
            <w:pPr>
              <w:pStyle w:val="CellColumnSmall"/>
            </w:pPr>
            <w:r>
              <w:t>11.147.000</w:t>
            </w:r>
          </w:p>
        </w:tc>
        <w:tc>
          <w:tcPr>
            <w:tcW w:w="2322" w:type="dxa"/>
          </w:tcPr>
          <w:p w:rsidR="00AC0832" w:rsidRDefault="00AC0832">
            <w:pPr>
              <w:pStyle w:val="CellColumnSmall"/>
            </w:pPr>
            <w:r>
              <w:t>9.949.495</w:t>
            </w:r>
          </w:p>
        </w:tc>
        <w:tc>
          <w:tcPr>
            <w:tcW w:w="2322" w:type="dxa"/>
          </w:tcPr>
          <w:p w:rsidR="00AC0832" w:rsidRDefault="00AC0832">
            <w:pPr>
              <w:pStyle w:val="CellColumnSmall"/>
            </w:pPr>
            <w:r>
              <w:t>89,3</w:t>
            </w:r>
          </w:p>
        </w:tc>
      </w:tr>
    </w:tbl>
    <w:p w:rsidR="00AC0832" w:rsidRDefault="00AC0832">
      <w:pPr>
        <w:jc w:val="left"/>
      </w:pPr>
    </w:p>
    <w:p w:rsidR="00AC0832" w:rsidRDefault="00AC0832">
      <w:pPr>
        <w:pStyle w:val="Heading4"/>
      </w:pPr>
      <w:r>
        <w:t>OBRAZLOŽENJE PROGRAMA</w:t>
      </w:r>
    </w:p>
    <w:p w:rsidR="00AC0832" w:rsidRDefault="00AC0832">
      <w:pPr>
        <w:pStyle w:val="Heading5"/>
      </w:pPr>
      <w:r>
        <w:t>2603 ORGANIZIRANJE I PROVOĐENJE ZAŠTITE I SPAŠAVANJA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2603-ORGANIZIRANJE I PROVOĐENJE ZAŠTITE I SPAŠAVANJA</w:t>
            </w:r>
          </w:p>
        </w:tc>
        <w:tc>
          <w:tcPr>
            <w:tcW w:w="2322" w:type="dxa"/>
          </w:tcPr>
          <w:p w:rsidR="00AC0832" w:rsidRDefault="00AC0832">
            <w:pPr>
              <w:pStyle w:val="CellColumn"/>
            </w:pPr>
            <w:r>
              <w:t>11.147.000</w:t>
            </w:r>
          </w:p>
        </w:tc>
        <w:tc>
          <w:tcPr>
            <w:tcW w:w="2322" w:type="dxa"/>
          </w:tcPr>
          <w:p w:rsidR="00AC0832" w:rsidRDefault="00AC0832">
            <w:pPr>
              <w:pStyle w:val="CellColumn"/>
            </w:pPr>
            <w:r>
              <w:t>9.949.495</w:t>
            </w:r>
          </w:p>
        </w:tc>
        <w:tc>
          <w:tcPr>
            <w:tcW w:w="2322" w:type="dxa"/>
          </w:tcPr>
          <w:p w:rsidR="00AC0832" w:rsidRDefault="00AC0832">
            <w:pPr>
              <w:pStyle w:val="CellColumn"/>
            </w:pPr>
            <w:r>
              <w:t>89,3</w:t>
            </w:r>
          </w:p>
        </w:tc>
      </w:tr>
    </w:tbl>
    <w:p w:rsidR="00AC0832" w:rsidRDefault="00AC0832">
      <w:pPr>
        <w:jc w:val="left"/>
      </w:pPr>
    </w:p>
    <w:p w:rsidR="00AC0832" w:rsidRDefault="00AC0832">
      <w:pPr>
        <w:pStyle w:val="Heading6"/>
      </w:pPr>
      <w:r>
        <w:t>Opis programa</w:t>
      </w:r>
    </w:p>
    <w:p w:rsidR="00AC0832" w:rsidRDefault="00AC0832">
      <w:r>
        <w:t xml:space="preserve">Poduzimanjem  preventivnih, organizacijskih i operativnih mjera i aktivnosti u svrhu unapređenja vatrogasne djelatnosti, Hrvatska vatrogasna zajednica sudjeluje u ostvarivanju programa – Organiziranje i provođenje zaštite i spašavanja. To podrazumijeva osposobljavanje i usavršavanje vatrogasnih kadrova putem obuka, seminara, savjetovanja te promidžbenom aktivnošću iz područja zaštite od požara kao i izdavanje stručne literature. To također podrazumijeva osiguranje  tehničko-tehnološke opremljenosti vatrogasnih postrojbi putem sufinanciranja vatrogasne tehnike i opreme te  održavanjem i razvijanjem djelotvornog sustava uzbunjivanja, komunikacija i izvješćivanja, štiteći i promičući strukovne interese vatrogasnih organizacija.  </w:t>
      </w:r>
    </w:p>
    <w:p w:rsidR="00AC0832" w:rsidRDefault="00AC0832">
      <w:r>
        <w:t xml:space="preserve">Kao krovna organizacija hrvatskoga vatrogastva,  Hrvatska vatrogasna zajednica prati stanje hrvatskog vatrogastva, predlaže rješenja koja će sustav vatrogastva učiniti što djelotvornijim i organiziranijim, posebno kroz pripremanje i donošenje podzakonskih akata, koji proizlaze iz Zakona o vatrogastvu. To ujedno znači koordiniranje  rada i zastupanje  interesa svih vatrogasnih organizacija u Republici Hrvatskoj. </w:t>
      </w:r>
    </w:p>
    <w:p w:rsidR="00AC0832" w:rsidRDefault="00AC0832">
      <w:r>
        <w:t>Članstvom u Međunarodnoj  zajednici vatrogasnih i spasilačkih službi ostvaruje se aktivnost na međunarodnoj razini sudjelovanjem  u radu njezinih stručnih odbora CTIF-a, izmjenom iskustava i znanja, sudjelovanjem na međunarodnim savjetovanjima i natjecanjima CTIF-a.</w:t>
      </w:r>
    </w:p>
    <w:p w:rsidR="00AC0832" w:rsidRDefault="00AC0832">
      <w:pPr>
        <w:pStyle w:val="Heading6"/>
      </w:pPr>
      <w:r>
        <w:t>Zakonske i druge pravne osnove</w:t>
      </w:r>
    </w:p>
    <w:p w:rsidR="00AC0832" w:rsidRDefault="00AC0832">
      <w:r>
        <w:t>Hrvatska vatrogasna zajednica svoje zadaće provodi temeljem Zakona o vatrogastvu („Narodne novine“ broj 106/99., 117/01., 36/02. – Odluka Ustavnog suda, 96/03., 139/04. - pročišćeni tekst, 174/04., 38/09. i 80/10.), Zakona o zaštiti od požara („Narodne novine“ broj 92/10.) i Zakona o zaštiti i spašavanju („Narodne novine“ broj 174/04., 79/07., 38/09. i 127/10.).</w:t>
      </w:r>
    </w:p>
    <w:p w:rsidR="00AC0832" w:rsidRDefault="00AC0832">
      <w:pPr>
        <w:pStyle w:val="Heading7"/>
      </w:pPr>
      <w:r>
        <w:t>Cilj 1. Jačati spremnost i pripravnost vatrogasnih postrojbi</w:t>
      </w:r>
    </w:p>
    <w:p w:rsidR="00AC0832" w:rsidRDefault="00AC0832">
      <w:pPr>
        <w:pStyle w:val="Heading8"/>
        <w:jc w:val="left"/>
      </w:pPr>
      <w:r>
        <w:t>Opis provedbe cilja programa</w:t>
      </w:r>
    </w:p>
    <w:p w:rsidR="00AC0832" w:rsidRDefault="00AC0832">
      <w:pPr>
        <w:pStyle w:val="Normal6"/>
      </w:pPr>
      <w:r>
        <w:t>Prema utvrđenom programu osposobljavanja Hrvatska vatrogasna zajednica je zajedno sa, u nju udruženim vatrogasnim zajednicama, provela osposobljavanja za vatrogasna zvanja i specijalnosti i osposobila i usavršila 7895 vatrogasaca. Aktivno je sudjelovala u oblikovanju i realizaciji Programa aktivnosti u provedbi posebnih mjera zaštite od požara od interesa za Republiku Hrvatsku i organizirala pripravnost 500 dobrovoljnih vatrogasaca. Izdano je 10 priručnika, stručnih tiskovina i edukacijskih filmova, organizirane vatrogasne vježbe, natjecanja i stručna savjetovanja.</w:t>
      </w:r>
    </w:p>
    <w:p w:rsidR="00AC0832" w:rsidRDefault="00AC0832">
      <w:pPr>
        <w:pStyle w:val="Heading7"/>
      </w:pPr>
      <w:r>
        <w:t>Cilj 2. Razvoj tehničko-tehnološke opremljenosti vatrogasnih postrojbi</w:t>
      </w:r>
    </w:p>
    <w:p w:rsidR="00AC0832" w:rsidRDefault="00AC0832">
      <w:pPr>
        <w:pStyle w:val="Heading8"/>
        <w:jc w:val="left"/>
      </w:pPr>
      <w:r>
        <w:t>Opis provedbe cilja programa</w:t>
      </w:r>
    </w:p>
    <w:p w:rsidR="00AC0832" w:rsidRDefault="00AC0832">
      <w:pPr>
        <w:pStyle w:val="Normal6"/>
      </w:pPr>
      <w:r>
        <w:t>Hrvatska vatrogasna zajednica sufinancirala je nabavku vatrogasne tehnike i opreme u 274 vatrogasnih organizacija. Za praćenje stanja vatrogasne tehnike, članstva i aktivnosti vatrogasnih organizacija ustrojena je jedinstvena informacijska računalna internet-aplikacija  "Vatrogasna mreža", s 8 razvijenih modula za praćenje aktivnosti vatrogasnih organizacija kojoj pristup ima 2.134 obučenih vatrogasnih operatera.</w:t>
      </w:r>
    </w:p>
    <w:p w:rsidR="00AC0832" w:rsidRDefault="00AC0832">
      <w:pPr>
        <w:pStyle w:val="Heading7"/>
      </w:pPr>
      <w:r>
        <w:t>Cilj 3. Unapređivati, koordinirati i pratiti rad vatrogasnih organizacija</w:t>
      </w:r>
    </w:p>
    <w:p w:rsidR="00AC0832" w:rsidRDefault="00AC0832">
      <w:pPr>
        <w:pStyle w:val="Heading8"/>
        <w:jc w:val="left"/>
      </w:pPr>
      <w:r>
        <w:t>Opis provedbe cilja programa</w:t>
      </w:r>
    </w:p>
    <w:p w:rsidR="00AC0832" w:rsidRDefault="00AC0832">
      <w:pPr>
        <w:pStyle w:val="Normal6"/>
      </w:pPr>
      <w:r>
        <w:t>Kroz rad u tijelima Hrvatske vatrogasne zajednice usuglašavani su stavovi na donošenju i aktualizaciji  podzakonskih akata, koji reguliraju organiziranost, način djelovanja i ustroj vatrogasnih organizacija. Na međunarodnom planu ostvareno je sudjelovanje na 3 međunarodna projekta. Putem Nacionalnog odbora za preventivnu zaštitu i gašenje požara sudjelovalo se na 15 odbora i savjetovanja Međunarodne zajednice vatrogasnih i spasilačkih službi. Na različitim vatrogasnim skupovima društvenog karaktera u organizaciji HVZ sudjelovalo je ukupno 7830 vatrogasaca.  U svrhu obnavljanja članstva vatrogasnih organizacija intenzivno se radilo s vatrogasnom mladeži te je organiziran i tradicionalni Susret vatrogasne mladeži Republike Hrvatske i Republike Slovenije.</w:t>
      </w:r>
    </w:p>
    <w:p w:rsidR="00AC0832" w:rsidRDefault="00AC0832">
      <w:pPr>
        <w:pStyle w:val="Heading7"/>
      </w:pPr>
      <w:r>
        <w:t>Cilj 4. Unapređenje protupožarne preventive, jačanje statusa i skrb o pomlađivanju i vatrogasnoj baštini vatrogasnih i strukovnih organizacija</w:t>
      </w:r>
    </w:p>
    <w:p w:rsidR="00AC0832" w:rsidRDefault="00AC0832">
      <w:pPr>
        <w:pStyle w:val="Heading8"/>
        <w:jc w:val="left"/>
      </w:pPr>
      <w:r>
        <w:t>Opis provedbe cilja programa</w:t>
      </w:r>
    </w:p>
    <w:p w:rsidR="00AC0832" w:rsidRDefault="00AC0832">
      <w:pPr>
        <w:pStyle w:val="Normal6"/>
      </w:pPr>
      <w:r>
        <w:t>U cilju smanjenja broja opasnih situacija, nesreća, broja poginulih i stradalih u nesrećama te smanjivanja dugoročnih posljedica na okoliš Hrvatska vatrogasna zajednica je u 2012. godini poduzela niz preventivnih mjera i aktivnosti. To je učinjeno kroz poticanje kontrole provedbe mjera zaštite od požara, rad s djecom i mladima kao i sveobuhvatnom informativno-promidžbenom djelatnosti koju Hrvatska vatrogasna zajednica kontinuirano provodi.</w:t>
      </w:r>
    </w:p>
    <w:p w:rsidR="00AC0832" w:rsidRDefault="00AC0832">
      <w:pPr>
        <w:pStyle w:val="Heading7"/>
      </w:pPr>
      <w:r>
        <w:t>Cilj 5. Ustrojavanje Vatrogasnog  vježbališta  i Centra za ispitivanje vatrogasne tehnike u Stubičkoj Slatini</w:t>
      </w:r>
    </w:p>
    <w:p w:rsidR="00AC0832" w:rsidRDefault="00AC0832">
      <w:pPr>
        <w:pStyle w:val="Heading8"/>
        <w:jc w:val="left"/>
      </w:pPr>
      <w:r>
        <w:t>Opis provedbe cilja programa</w:t>
      </w:r>
    </w:p>
    <w:p w:rsidR="00AC0832" w:rsidRDefault="00AC0832">
      <w:pPr>
        <w:pStyle w:val="Normal6"/>
      </w:pPr>
      <w:r>
        <w:t>U svrhu unapređenja djelotvornosti sustava osposobljavanja, usavršavanja i obuke vatrogasaca Hrvatska vatrogasna zajednica je od Vlade RH dobila na korištenje prostor bivše vojarne „Slatina“  za koju priprema potrebnu dokumentaciju i poduzima radnje da bi se ovim projektom kandidirala za financiranje putem projekata EU.</w:t>
      </w:r>
    </w:p>
    <w:p w:rsidR="00AC0832" w:rsidRDefault="00AC0832">
      <w:pPr>
        <w:pStyle w:val="Heading7"/>
      </w:pPr>
      <w:r>
        <w:t>Cilj 6. Razviti Centar za obuku vatrogasne mladeži u Fažani</w:t>
      </w:r>
    </w:p>
    <w:p w:rsidR="00AC0832" w:rsidRDefault="00AC0832">
      <w:pPr>
        <w:pStyle w:val="Heading8"/>
        <w:jc w:val="left"/>
      </w:pPr>
      <w:r>
        <w:t>Opis provedbe cilja programa</w:t>
      </w:r>
    </w:p>
    <w:p w:rsidR="00AC0832" w:rsidRDefault="00AC0832">
      <w:pPr>
        <w:pStyle w:val="Normal6"/>
      </w:pPr>
      <w:r>
        <w:t>Hrvatska vatrogasna zajednica posebnu pozornost daje kontinuiranom radu s vatrogasnom mladeži koja predstavlja temelj budućih generacija dobrovoljnih i profesionalnih vatrogasaca. U tu svrhu koristi Centar za obuku vatrogasne mladeži u Fažani. U 2012. godini su izvršena određena ulaganja što je neophodno zbog dugogodišnjeg korištenja te osiguranja nesmetanih uvjeta za boravak djece u Kampu.  U 2012. u Kampu je boravilo i prošlo obuku 1437 sudionika.</w:t>
      </w:r>
    </w:p>
    <w:p w:rsidR="00AC0832" w:rsidRDefault="00AC0832">
      <w:pPr>
        <w:pStyle w:val="Heading7"/>
      </w:pPr>
      <w:r>
        <w:t>Cilj 7. Građevinski i opremom urediti Muzej hrvatskog vatrogastva u Varaždinu</w:t>
      </w:r>
    </w:p>
    <w:p w:rsidR="00AC0832" w:rsidRDefault="00AC0832">
      <w:pPr>
        <w:pStyle w:val="Heading8"/>
        <w:jc w:val="left"/>
      </w:pPr>
      <w:r>
        <w:t>Opis provedbe cilja programa</w:t>
      </w:r>
    </w:p>
    <w:p w:rsidR="00AC0832" w:rsidRDefault="00AC0832">
      <w:pPr>
        <w:pStyle w:val="Normal6"/>
      </w:pPr>
      <w:r>
        <w:t>Važnost ukupne vatrogasne organizacije potkrepljuje se i organiziranom mogućnošću  uvida u povijesni razvoj vatrogasne tehnike i opreme, putem povijesne dokumentacije te vođenjem brige o cjelokupnoj vatrogasnoj baštini. U 2012. godini započeta je prva faza saniranja i uređenja Muzeja hrvatskog vatrogastva i obnovljeno je 216 metara kvadratnih krovišta.</w:t>
      </w:r>
    </w:p>
    <w:p w:rsidR="00AC0832" w:rsidRDefault="00AC0832">
      <w:pPr>
        <w:pStyle w:val="Heading6"/>
      </w:pPr>
      <w:r>
        <w:t>A554000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A554000-ADMINISTRACIJA I UPRAVLJANJE</w:t>
            </w:r>
          </w:p>
        </w:tc>
        <w:tc>
          <w:tcPr>
            <w:tcW w:w="2322" w:type="dxa"/>
          </w:tcPr>
          <w:p w:rsidR="00AC0832" w:rsidRDefault="00AC0832">
            <w:pPr>
              <w:pStyle w:val="CellColumn"/>
            </w:pPr>
            <w:r>
              <w:t>4.378.220</w:t>
            </w:r>
          </w:p>
        </w:tc>
        <w:tc>
          <w:tcPr>
            <w:tcW w:w="2322" w:type="dxa"/>
          </w:tcPr>
          <w:p w:rsidR="00AC0832" w:rsidRDefault="00AC0832">
            <w:pPr>
              <w:pStyle w:val="CellColumn"/>
            </w:pPr>
            <w:r>
              <w:t>4.116.314</w:t>
            </w:r>
          </w:p>
        </w:tc>
        <w:tc>
          <w:tcPr>
            <w:tcW w:w="2322" w:type="dxa"/>
          </w:tcPr>
          <w:p w:rsidR="00AC0832" w:rsidRDefault="00AC0832">
            <w:pPr>
              <w:pStyle w:val="CellColumn"/>
            </w:pPr>
            <w:r>
              <w:t>94,0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Hrvatska vatrogasna zajednica  unapređuje i koordinira rad te zastupa interese svih vatrogasnih organizacija u Republici Hrvatskoj. Stručni poslovi i donošenje odluka provedeni  su radom putem nadležnih tijela utvrđenih Statutom te putem Stručne službe Hrvatske vatrogasne zajednice sa 15 zaposlenih i 249 volontera, članova tijela Hrvatske vatrogasne zajednice. Kao krovna organizacija hrvatskoga vatrogastva, Hrvatska vatrogasna zajednica pratila je stanje hrvatskoga vatrogastva,  predlagala  rješenja koja sustav vatrogastva čine djelotvornijim i organiziranijim, posebno kroz pripreme i donošenje niza podzakonskih akata, koji proizlaze iz Zakona o vatrogastvu. </w:t>
      </w:r>
    </w:p>
    <w:p w:rsidR="00AC0832" w:rsidRDefault="00AC0832">
      <w:pPr>
        <w:pStyle w:val="Normal6"/>
      </w:pPr>
      <w:r>
        <w:t>Radom u stručnim odborima i radnim grupama, Hrvatska vatrogasna zajednica je radila na unapređenju strukovnih znanja, stručnjacima iz vatrogasnih organizacija omogućila je sudjelovanje u procesu priprema i donošenja odluka u različitim segmentima djelovanja vatrogasne organizacije, a posebno u pripremi i donošenju (izmjena i dopuna) podzakonskih akata, koji reguliraju vatrogasnu djelatnost. Putem Ekonomata Hrvatska vatrogasna zajednica je snabdijevala vatrogasne organizacije vatrogasnim oznakama zvanja i dužnosti, odličjima i priznanjima, literaturom, osobnom vatrogasnom opremom te svim drugim vatrogasnim potrepštinama.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6"/>
        <w:gridCol w:w="1362"/>
        <w:gridCol w:w="1300"/>
        <w:gridCol w:w="1300"/>
        <w:gridCol w:w="1328"/>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Izdavanje priručnika, stručnih tiskovina i edukacijskih filmova</w:t>
            </w:r>
          </w:p>
        </w:tc>
        <w:tc>
          <w:tcPr>
            <w:tcW w:w="1300" w:type="dxa"/>
          </w:tcPr>
          <w:p w:rsidR="00AC0832" w:rsidRDefault="00AC0832">
            <w:pPr>
              <w:pStyle w:val="CellColumn"/>
            </w:pPr>
            <w:r>
              <w:t>Olakšanje učenja polaznicima tečajeva</w:t>
            </w:r>
          </w:p>
        </w:tc>
        <w:tc>
          <w:tcPr>
            <w:tcW w:w="1300" w:type="dxa"/>
          </w:tcPr>
          <w:p w:rsidR="00AC0832" w:rsidRDefault="00AC0832">
            <w:pPr>
              <w:pStyle w:val="CellColumn"/>
            </w:pPr>
            <w:r>
              <w:t>broj</w:t>
            </w:r>
          </w:p>
        </w:tc>
        <w:tc>
          <w:tcPr>
            <w:tcW w:w="1300" w:type="dxa"/>
          </w:tcPr>
          <w:p w:rsidR="00AC0832" w:rsidRDefault="00AC0832">
            <w:pPr>
              <w:pStyle w:val="CellColumn"/>
            </w:pPr>
            <w:r>
              <w:t>8</w:t>
            </w:r>
          </w:p>
        </w:tc>
        <w:tc>
          <w:tcPr>
            <w:tcW w:w="1300" w:type="dxa"/>
          </w:tcPr>
          <w:p w:rsidR="00AC0832" w:rsidRDefault="00AC0832">
            <w:pPr>
              <w:pStyle w:val="CellColumn"/>
            </w:pPr>
            <w:r>
              <w:t>Izvješće o radu HVZ</w:t>
            </w:r>
          </w:p>
        </w:tc>
        <w:tc>
          <w:tcPr>
            <w:tcW w:w="1300" w:type="dxa"/>
          </w:tcPr>
          <w:p w:rsidR="00AC0832" w:rsidRDefault="00AC0832">
            <w:pPr>
              <w:pStyle w:val="CellColumn"/>
            </w:pPr>
            <w:r>
              <w:t>9</w:t>
            </w:r>
          </w:p>
        </w:tc>
        <w:tc>
          <w:tcPr>
            <w:tcW w:w="1300" w:type="dxa"/>
          </w:tcPr>
          <w:p w:rsidR="00AC0832" w:rsidRDefault="00AC0832">
            <w:pPr>
              <w:pStyle w:val="CellColumn"/>
            </w:pPr>
            <w:r>
              <w:t>10</w:t>
            </w:r>
          </w:p>
        </w:tc>
      </w:tr>
      <w:tr w:rsidR="00AC0832" w:rsidTr="00BE20ED">
        <w:trPr>
          <w:jc w:val="center"/>
        </w:trPr>
        <w:tc>
          <w:tcPr>
            <w:tcW w:w="1300" w:type="dxa"/>
          </w:tcPr>
          <w:p w:rsidR="00AC0832" w:rsidRDefault="00AC0832">
            <w:pPr>
              <w:pStyle w:val="CellColumn"/>
            </w:pPr>
            <w:r>
              <w:t>Stručni nadzor vatrogasnih postrojbi</w:t>
            </w:r>
          </w:p>
        </w:tc>
        <w:tc>
          <w:tcPr>
            <w:tcW w:w="1300" w:type="dxa"/>
          </w:tcPr>
          <w:p w:rsidR="00AC0832" w:rsidRDefault="00AC0832">
            <w:pPr>
              <w:pStyle w:val="CellColumn"/>
            </w:pPr>
            <w:r>
              <w:t>Stručni nadzor doprinosi većoj spremnosti vatrogasnih postrojbi</w:t>
            </w:r>
          </w:p>
        </w:tc>
        <w:tc>
          <w:tcPr>
            <w:tcW w:w="1300" w:type="dxa"/>
          </w:tcPr>
          <w:p w:rsidR="00AC0832" w:rsidRDefault="00AC0832">
            <w:pPr>
              <w:pStyle w:val="CellColumn"/>
            </w:pPr>
            <w:r>
              <w:t>broj</w:t>
            </w:r>
          </w:p>
        </w:tc>
        <w:tc>
          <w:tcPr>
            <w:tcW w:w="1300" w:type="dxa"/>
          </w:tcPr>
          <w:p w:rsidR="00AC0832" w:rsidRDefault="00AC0832">
            <w:pPr>
              <w:pStyle w:val="CellColumn"/>
            </w:pPr>
            <w:r>
              <w:t>5</w:t>
            </w:r>
          </w:p>
        </w:tc>
        <w:tc>
          <w:tcPr>
            <w:tcW w:w="1300" w:type="dxa"/>
          </w:tcPr>
          <w:p w:rsidR="00AC0832" w:rsidRDefault="00AC0832">
            <w:pPr>
              <w:pStyle w:val="CellColumn"/>
            </w:pPr>
            <w:r>
              <w:t>Izvješće o radu HVZ</w:t>
            </w:r>
          </w:p>
        </w:tc>
        <w:tc>
          <w:tcPr>
            <w:tcW w:w="1300" w:type="dxa"/>
          </w:tcPr>
          <w:p w:rsidR="00AC0832" w:rsidRDefault="00AC0832">
            <w:pPr>
              <w:pStyle w:val="CellColumn"/>
            </w:pPr>
            <w:r>
              <w:t>6</w:t>
            </w:r>
          </w:p>
        </w:tc>
        <w:tc>
          <w:tcPr>
            <w:tcW w:w="1300" w:type="dxa"/>
          </w:tcPr>
          <w:p w:rsidR="00AC0832" w:rsidRDefault="00AC0832">
            <w:pPr>
              <w:pStyle w:val="CellColumn"/>
            </w:pPr>
            <w:r>
              <w:t>6</w:t>
            </w:r>
          </w:p>
        </w:tc>
      </w:tr>
      <w:tr w:rsidR="00AC0832" w:rsidTr="00BE20ED">
        <w:trPr>
          <w:jc w:val="center"/>
        </w:trPr>
        <w:tc>
          <w:tcPr>
            <w:tcW w:w="1300" w:type="dxa"/>
          </w:tcPr>
          <w:p w:rsidR="00AC0832" w:rsidRDefault="00AC0832">
            <w:pPr>
              <w:pStyle w:val="CellColumn"/>
            </w:pPr>
            <w:r>
              <w:t>Povećanje broja izdanih vatrogasnih iskaznica</w:t>
            </w:r>
          </w:p>
        </w:tc>
        <w:tc>
          <w:tcPr>
            <w:tcW w:w="1300" w:type="dxa"/>
          </w:tcPr>
          <w:p w:rsidR="00AC0832" w:rsidRDefault="00AC0832">
            <w:pPr>
              <w:pStyle w:val="CellColumn"/>
            </w:pPr>
            <w:r>
              <w:t>Izdavanjem vatrogasnih iskaznica olakšava se identifikacija, te utvrđuje točan broj operativnih vatrogasaca</w:t>
            </w:r>
          </w:p>
        </w:tc>
        <w:tc>
          <w:tcPr>
            <w:tcW w:w="1300" w:type="dxa"/>
          </w:tcPr>
          <w:p w:rsidR="00AC0832" w:rsidRDefault="00AC0832">
            <w:pPr>
              <w:pStyle w:val="CellColumn"/>
            </w:pPr>
            <w:r>
              <w:t>broj</w:t>
            </w:r>
          </w:p>
        </w:tc>
        <w:tc>
          <w:tcPr>
            <w:tcW w:w="1300" w:type="dxa"/>
          </w:tcPr>
          <w:p w:rsidR="00AC0832" w:rsidRDefault="00AC0832">
            <w:pPr>
              <w:pStyle w:val="CellColumn"/>
            </w:pPr>
            <w:r>
              <w:t>600</w:t>
            </w:r>
          </w:p>
        </w:tc>
        <w:tc>
          <w:tcPr>
            <w:tcW w:w="1300" w:type="dxa"/>
          </w:tcPr>
          <w:p w:rsidR="00AC0832" w:rsidRDefault="00AC0832">
            <w:pPr>
              <w:pStyle w:val="CellColumn"/>
            </w:pPr>
            <w:r>
              <w:t>Informacijski sustav HVZ</w:t>
            </w:r>
          </w:p>
        </w:tc>
        <w:tc>
          <w:tcPr>
            <w:tcW w:w="1300" w:type="dxa"/>
          </w:tcPr>
          <w:p w:rsidR="00AC0832" w:rsidRDefault="00AC0832">
            <w:pPr>
              <w:pStyle w:val="CellColumn"/>
            </w:pPr>
            <w:r>
              <w:t>1000</w:t>
            </w:r>
          </w:p>
        </w:tc>
        <w:tc>
          <w:tcPr>
            <w:tcW w:w="1300" w:type="dxa"/>
          </w:tcPr>
          <w:p w:rsidR="00AC0832" w:rsidRDefault="00AC0832">
            <w:pPr>
              <w:pStyle w:val="CellColumn"/>
            </w:pPr>
            <w:r>
              <w:t>1173</w:t>
            </w:r>
          </w:p>
        </w:tc>
      </w:tr>
    </w:tbl>
    <w:p w:rsidR="00AC0832" w:rsidRDefault="00AC0832">
      <w:pPr>
        <w:jc w:val="left"/>
      </w:pPr>
    </w:p>
    <w:p w:rsidR="00AC0832" w:rsidRDefault="00AC0832">
      <w:pPr>
        <w:pStyle w:val="Heading6"/>
      </w:pPr>
      <w:r>
        <w:t>A554001 PREVENTIVNA ZAŠTITA I GAŠENJE POŽARA (NACIONALNI ODBOR)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A554001-PREVENTIVNA ZAŠTITA I GAŠENJE POŽARA (NACIONALNI ODBOR)</w:t>
            </w:r>
          </w:p>
        </w:tc>
        <w:tc>
          <w:tcPr>
            <w:tcW w:w="2322" w:type="dxa"/>
          </w:tcPr>
          <w:p w:rsidR="00AC0832" w:rsidRDefault="00AC0832">
            <w:pPr>
              <w:pStyle w:val="CellColumn"/>
            </w:pPr>
            <w:r>
              <w:t>204.329</w:t>
            </w:r>
          </w:p>
        </w:tc>
        <w:tc>
          <w:tcPr>
            <w:tcW w:w="2322" w:type="dxa"/>
          </w:tcPr>
          <w:p w:rsidR="00AC0832" w:rsidRDefault="00AC0832">
            <w:pPr>
              <w:pStyle w:val="CellColumn"/>
            </w:pPr>
            <w:r>
              <w:t>227.043</w:t>
            </w:r>
          </w:p>
        </w:tc>
        <w:tc>
          <w:tcPr>
            <w:tcW w:w="2322" w:type="dxa"/>
          </w:tcPr>
          <w:p w:rsidR="00AC0832" w:rsidRDefault="00AC0832">
            <w:pPr>
              <w:pStyle w:val="CellColumn"/>
            </w:pPr>
            <w:r>
              <w:t>111,1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okviru Hrvatske vatrogasne zajednice djeluje Nacionalni odbor za preventivnu zaštitu i gašenje požara, koji prati stanje zaštite od požara, organiziranost, opremljenost i osposobljenost vatrogastva, skrbi o unapređenju zaštite od požara, ustroju i strukovnom napretku vatrogastva Republike Hrvatske te surađuje  s Međunarodnom zajednicom vatrogasnih i spasilačkih službi. Troškovi preventivne zaštite od požara znatno su manji od troškova smanjivanja posljedica od požara, posebno kada se u obzir uzmu dugoročne posljedice koje požar izaziva na okoliš.  </w:t>
      </w:r>
    </w:p>
    <w:p w:rsidR="00AC0832" w:rsidRDefault="00AC0832">
      <w:pPr>
        <w:pStyle w:val="Normal6"/>
      </w:pPr>
      <w:r>
        <w:t>Hrvatska vatrogasna zajednica i putem Nacionalnog odbora za preventivnu zaštitu i gašenje požara nastoji iskoristiti sve mogućnosti kojima se može pojačati protupožarna preventiva, kako na normativnom, tako i na organizacijskom i operativnom planu. U tom smislu predlaže i poduzima preventivne, organizacijske i operativne mjere i aktivnosti u svrhu unapređenja vatrogasne djelatnosti. U okviru međunarodne suradnje sudjelovali su predstavnici Hrvatske vatrogasne zajednice u radu Skupštine CTIF-a i njezinih 7 stručnih odbora, te na 3 stručna savjetovanja CTIF-a. Također se razvija uska suradnju sa susjednim i prijateljskim vatrogasnim zajednicama, posebno susjednim i podunavskim zemljama. Time su i u 2012. godini  razmjenjivana iskustva i znanja iz područja vatrogastva i zaštite od požara te aktivno nastavio rad s vatrogasnom mladeži. Posebni napori su uloženi u kandidiranje na fondove Europske Unije i uspješno su provedena 2 od 3 kandidirana projekta.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4"/>
        <w:gridCol w:w="1684"/>
        <w:gridCol w:w="1079"/>
        <w:gridCol w:w="1157"/>
        <w:gridCol w:w="1328"/>
        <w:gridCol w:w="1157"/>
        <w:gridCol w:w="119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Poticanje broja organiziranih združenih vježbi</w:t>
            </w:r>
          </w:p>
        </w:tc>
        <w:tc>
          <w:tcPr>
            <w:tcW w:w="1300" w:type="dxa"/>
          </w:tcPr>
          <w:p w:rsidR="00AC0832" w:rsidRDefault="00AC0832">
            <w:pPr>
              <w:pStyle w:val="CellColumn"/>
            </w:pPr>
            <w:r>
              <w:t>Združene vježbe doprinose boljoj uvježbanosti različitih vrsta vatrogasnih postrojbi</w:t>
            </w:r>
          </w:p>
        </w:tc>
        <w:tc>
          <w:tcPr>
            <w:tcW w:w="1300" w:type="dxa"/>
          </w:tcPr>
          <w:p w:rsidR="00AC0832" w:rsidRDefault="00AC0832">
            <w:pPr>
              <w:pStyle w:val="CellColumn"/>
            </w:pPr>
            <w:r>
              <w:t>broj</w:t>
            </w:r>
          </w:p>
        </w:tc>
        <w:tc>
          <w:tcPr>
            <w:tcW w:w="1300" w:type="dxa"/>
          </w:tcPr>
          <w:p w:rsidR="00AC0832" w:rsidRDefault="00AC0832">
            <w:pPr>
              <w:pStyle w:val="CellColumn"/>
            </w:pPr>
            <w:r>
              <w:t>3</w:t>
            </w:r>
          </w:p>
        </w:tc>
        <w:tc>
          <w:tcPr>
            <w:tcW w:w="1300" w:type="dxa"/>
          </w:tcPr>
          <w:p w:rsidR="00AC0832" w:rsidRDefault="00AC0832">
            <w:pPr>
              <w:pStyle w:val="CellColumn"/>
            </w:pPr>
            <w:r>
              <w:t>Izvješće o radu HVZ</w:t>
            </w:r>
          </w:p>
        </w:tc>
        <w:tc>
          <w:tcPr>
            <w:tcW w:w="1300" w:type="dxa"/>
          </w:tcPr>
          <w:p w:rsidR="00AC0832" w:rsidRDefault="00AC0832">
            <w:pPr>
              <w:pStyle w:val="CellColumn"/>
            </w:pPr>
            <w:r>
              <w:t>4</w:t>
            </w:r>
          </w:p>
        </w:tc>
        <w:tc>
          <w:tcPr>
            <w:tcW w:w="1300" w:type="dxa"/>
          </w:tcPr>
          <w:p w:rsidR="00AC0832" w:rsidRDefault="00AC0832">
            <w:pPr>
              <w:pStyle w:val="CellColumn"/>
            </w:pPr>
            <w:r>
              <w:t>4</w:t>
            </w:r>
          </w:p>
        </w:tc>
      </w:tr>
      <w:tr w:rsidR="00AC0832" w:rsidTr="00BE20ED">
        <w:trPr>
          <w:jc w:val="center"/>
        </w:trPr>
        <w:tc>
          <w:tcPr>
            <w:tcW w:w="1300" w:type="dxa"/>
          </w:tcPr>
          <w:p w:rsidR="00AC0832" w:rsidRDefault="00AC0832">
            <w:pPr>
              <w:pStyle w:val="CellColumn"/>
            </w:pPr>
            <w:r>
              <w:t>Povećanje broja odbora i savjetovanja CTIF-a na kojima sudjeluju predstavnici HVZ</w:t>
            </w:r>
          </w:p>
        </w:tc>
        <w:tc>
          <w:tcPr>
            <w:tcW w:w="1300" w:type="dxa"/>
          </w:tcPr>
          <w:p w:rsidR="00AC0832" w:rsidRDefault="00AC0832">
            <w:pPr>
              <w:pStyle w:val="CellColumn"/>
            </w:pPr>
            <w:r>
              <w:t>Veći broj sudionika na stručnim odborima i savjetovanjima povećava tok znanja i vještina</w:t>
            </w:r>
          </w:p>
        </w:tc>
        <w:tc>
          <w:tcPr>
            <w:tcW w:w="1300" w:type="dxa"/>
          </w:tcPr>
          <w:p w:rsidR="00AC0832" w:rsidRDefault="00AC0832">
            <w:pPr>
              <w:pStyle w:val="CellColumn"/>
            </w:pPr>
            <w:r>
              <w:t>broj</w:t>
            </w:r>
          </w:p>
        </w:tc>
        <w:tc>
          <w:tcPr>
            <w:tcW w:w="1300" w:type="dxa"/>
          </w:tcPr>
          <w:p w:rsidR="00AC0832" w:rsidRDefault="00AC0832">
            <w:pPr>
              <w:pStyle w:val="CellColumn"/>
            </w:pPr>
            <w:r>
              <w:t>7</w:t>
            </w:r>
          </w:p>
        </w:tc>
        <w:tc>
          <w:tcPr>
            <w:tcW w:w="1300" w:type="dxa"/>
          </w:tcPr>
          <w:p w:rsidR="00AC0832" w:rsidRDefault="00AC0832">
            <w:pPr>
              <w:pStyle w:val="CellColumn"/>
            </w:pPr>
            <w:r>
              <w:t>Izvješće o radu Nacionalnog odbora za preventivnu zaštitu i gašenje požara</w:t>
            </w:r>
          </w:p>
        </w:tc>
        <w:tc>
          <w:tcPr>
            <w:tcW w:w="1300" w:type="dxa"/>
          </w:tcPr>
          <w:p w:rsidR="00AC0832" w:rsidRDefault="00AC0832">
            <w:pPr>
              <w:pStyle w:val="CellColumn"/>
            </w:pPr>
            <w:r>
              <w:t>8</w:t>
            </w:r>
          </w:p>
        </w:tc>
        <w:tc>
          <w:tcPr>
            <w:tcW w:w="1300" w:type="dxa"/>
          </w:tcPr>
          <w:p w:rsidR="00AC0832" w:rsidRDefault="00AC0832">
            <w:pPr>
              <w:pStyle w:val="CellColumn"/>
            </w:pPr>
            <w:r>
              <w:t>15</w:t>
            </w:r>
          </w:p>
        </w:tc>
      </w:tr>
      <w:tr w:rsidR="00AC0832" w:rsidTr="00BE20ED">
        <w:trPr>
          <w:jc w:val="center"/>
        </w:trPr>
        <w:tc>
          <w:tcPr>
            <w:tcW w:w="1300" w:type="dxa"/>
          </w:tcPr>
          <w:p w:rsidR="00AC0832" w:rsidRDefault="00AC0832">
            <w:pPr>
              <w:pStyle w:val="CellColumn"/>
            </w:pPr>
            <w:r>
              <w:t>Poticanje sudjelovanja vatrogasnih organizacija na (međunarodnim) projektima i primjeni međunarodnih sustava kvalitete</w:t>
            </w:r>
          </w:p>
        </w:tc>
        <w:tc>
          <w:tcPr>
            <w:tcW w:w="1300" w:type="dxa"/>
          </w:tcPr>
          <w:p w:rsidR="00AC0832" w:rsidRDefault="00AC0832">
            <w:pPr>
              <w:pStyle w:val="CellColumn"/>
            </w:pPr>
            <w:r>
              <w:t>Sudjelovanje vatrogasnih organizacija na (međunarodnim) projektima smanjit će financijski pritisak na budžet RH</w:t>
            </w:r>
          </w:p>
        </w:tc>
        <w:tc>
          <w:tcPr>
            <w:tcW w:w="1300" w:type="dxa"/>
          </w:tcPr>
          <w:p w:rsidR="00AC0832" w:rsidRDefault="00AC0832">
            <w:pPr>
              <w:pStyle w:val="CellColumn"/>
            </w:pPr>
            <w:r>
              <w:t>broj</w:t>
            </w:r>
          </w:p>
        </w:tc>
        <w:tc>
          <w:tcPr>
            <w:tcW w:w="1300" w:type="dxa"/>
          </w:tcPr>
          <w:p w:rsidR="00AC0832" w:rsidRDefault="00AC0832">
            <w:pPr>
              <w:pStyle w:val="CellColumn"/>
            </w:pPr>
            <w:r>
              <w:t>2</w:t>
            </w:r>
          </w:p>
        </w:tc>
        <w:tc>
          <w:tcPr>
            <w:tcW w:w="1300" w:type="dxa"/>
          </w:tcPr>
          <w:p w:rsidR="00AC0832" w:rsidRDefault="00AC0832">
            <w:pPr>
              <w:pStyle w:val="CellColumn"/>
            </w:pPr>
            <w:r>
              <w:t>Izvješće o radu HVZ i Izvješće o radu Nacionalnog odbora za preventivnu zaštitu i gašenje požara</w:t>
            </w:r>
          </w:p>
        </w:tc>
        <w:tc>
          <w:tcPr>
            <w:tcW w:w="1300" w:type="dxa"/>
          </w:tcPr>
          <w:p w:rsidR="00AC0832" w:rsidRDefault="00AC0832">
            <w:pPr>
              <w:pStyle w:val="CellColumn"/>
            </w:pPr>
            <w:r>
              <w:t>3</w:t>
            </w:r>
          </w:p>
        </w:tc>
        <w:tc>
          <w:tcPr>
            <w:tcW w:w="1300" w:type="dxa"/>
          </w:tcPr>
          <w:p w:rsidR="00AC0832" w:rsidRDefault="00AC0832">
            <w:pPr>
              <w:pStyle w:val="CellColumn"/>
            </w:pPr>
            <w:r>
              <w:t>4</w:t>
            </w:r>
          </w:p>
        </w:tc>
      </w:tr>
    </w:tbl>
    <w:p w:rsidR="00AC0832" w:rsidRDefault="00AC0832">
      <w:pPr>
        <w:jc w:val="left"/>
      </w:pPr>
    </w:p>
    <w:p w:rsidR="00AC0832" w:rsidRDefault="00AC0832">
      <w:pPr>
        <w:pStyle w:val="Heading6"/>
      </w:pPr>
      <w:r>
        <w:t>A554002 OSPOSOBLJAVANJE VATROGASACA HRVATSKE VATROGASNE ZAJEDNICE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A554002-OSPOSOBLJAVANJE VATROGASACA HRVATSKE VATROGASNE ZAJEDNICE</w:t>
            </w:r>
          </w:p>
        </w:tc>
        <w:tc>
          <w:tcPr>
            <w:tcW w:w="2322" w:type="dxa"/>
          </w:tcPr>
          <w:p w:rsidR="00AC0832" w:rsidRDefault="00AC0832">
            <w:pPr>
              <w:pStyle w:val="CellColumn"/>
            </w:pPr>
            <w:r>
              <w:t>1.119.392</w:t>
            </w:r>
          </w:p>
        </w:tc>
        <w:tc>
          <w:tcPr>
            <w:tcW w:w="2322" w:type="dxa"/>
          </w:tcPr>
          <w:p w:rsidR="00AC0832" w:rsidRDefault="00AC0832">
            <w:pPr>
              <w:pStyle w:val="CellColumn"/>
            </w:pPr>
            <w:r>
              <w:t>1.102.799</w:t>
            </w:r>
          </w:p>
        </w:tc>
        <w:tc>
          <w:tcPr>
            <w:tcW w:w="2322" w:type="dxa"/>
          </w:tcPr>
          <w:p w:rsidR="00AC0832" w:rsidRDefault="00AC0832">
            <w:pPr>
              <w:pStyle w:val="CellColumn"/>
            </w:pPr>
            <w:r>
              <w:t>98,5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Hrvatska vatrogasna zajednica, u svrhu unapređenja vatrogasne struke i vatrogasne djelatnosti provodi osposobljavanja, usavršavanja, obuke, tečajeve,  organizira seminare, savjetovanja, stručne skupove, izdaje stručnu literaturu, organizira vatrogasne vježbe i natjecanja te organizira sudjelovanje i pohađanje nacionalnih i međunarodnih strukovnih sajmova.  </w:t>
      </w:r>
    </w:p>
    <w:p w:rsidR="00AC0832" w:rsidRDefault="00AC0832">
      <w:pPr>
        <w:pStyle w:val="Normal6"/>
      </w:pPr>
      <w:r>
        <w:t>Osposobljenost vatrogasca ocjenjuje se kao temeljni uvjet za uspješno provođenje vatrogasne intervencije. Stoga se i u 2012. godini  poduzelo niz aktivnosti, kako bi vatrogasno članstvo bilo što bolje pripremljeno za sve vidove vatrogasnih intervencija.  Osposobljavani su vatrogasci za vatrogasna zvanja, usavršavani za specijalnosti kroz specijalističke obuke. Osposobljavanje i usavršavanje dobrovoljnih vatrogasaca provodi se putem vatrogasnih zajednica, uz nadzor osposobljavanja viših vatrogasnih zvanja i specijalnosti od Hrvatske vatrogasne zajednice.  Teška financijska situacija je i u ovom segmentu imala utjecaja. Tako mnoge vatrogasne zajednice nisu bile u mogućnosti u cijelosti ostvariti planirana osposobljavanja. Zbog zakonskih propisa koji postavljaju zahtjeve za većom osposobljenošću Hrvatska vatrogasna zajednica je putem svojih tijela donijela odluku o dodatnom sufinanciranju. Tako na dalje broj osposobljenih vatrogasaca ne bi imao negativni trend a osiguralo bi se uspješno i u skladu sa zakonskim propisima provođenje vatrogasne djelatnosti.  Učinak ovih odluka na broj osposobljenih vatrogasaca  već će u 2013. godini pokazati pozitivan pomak.      I u 2012. godini posebna pozornost posvećena je kontinuiranom radu s vatrogasnom mladeži koja predstavlja temelj budućih generacija dobrovoljnih i profesionalnih vatrogasaca. Broj sudionika u Kampu vatrogasne mladeži u Fažani je zbog teške financijske neznatno  smanjen u odnosu na očekivano. Međutim, odgovornim pristupom u radu ovaj nedostatak je sigurno umanjen kao i sudjelovanjem u drugim aktivnostima kao što je državno natjecanje vatrogasne mladeži održano u Šibeniku.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0"/>
        <w:gridCol w:w="1506"/>
        <w:gridCol w:w="1227"/>
        <w:gridCol w:w="1252"/>
        <w:gridCol w:w="1245"/>
        <w:gridCol w:w="1252"/>
        <w:gridCol w:w="126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školovanih, osposobljenih i usavršenih vatrogasaca</w:t>
            </w:r>
          </w:p>
        </w:tc>
        <w:tc>
          <w:tcPr>
            <w:tcW w:w="1300" w:type="dxa"/>
          </w:tcPr>
          <w:p w:rsidR="00AC0832" w:rsidRDefault="00AC0832">
            <w:pPr>
              <w:pStyle w:val="CellColumn"/>
            </w:pPr>
            <w:r>
              <w:t>Veći broj osposobljenih vatrogasaca daje veću djelotvornost na vatrogasnim intervencijama</w:t>
            </w:r>
          </w:p>
        </w:tc>
        <w:tc>
          <w:tcPr>
            <w:tcW w:w="1300" w:type="dxa"/>
          </w:tcPr>
          <w:p w:rsidR="00AC0832" w:rsidRDefault="00AC0832">
            <w:pPr>
              <w:pStyle w:val="CellColumn"/>
            </w:pPr>
            <w:r>
              <w:t>broj</w:t>
            </w:r>
          </w:p>
        </w:tc>
        <w:tc>
          <w:tcPr>
            <w:tcW w:w="1300" w:type="dxa"/>
          </w:tcPr>
          <w:p w:rsidR="00AC0832" w:rsidRDefault="00AC0832">
            <w:pPr>
              <w:pStyle w:val="CellColumn"/>
            </w:pPr>
            <w:r>
              <w:t>9039</w:t>
            </w:r>
          </w:p>
        </w:tc>
        <w:tc>
          <w:tcPr>
            <w:tcW w:w="1300" w:type="dxa"/>
          </w:tcPr>
          <w:p w:rsidR="00AC0832" w:rsidRDefault="00AC0832">
            <w:pPr>
              <w:pStyle w:val="CellColumn"/>
            </w:pPr>
            <w:r>
              <w:t>Izvješće o radu HVZ</w:t>
            </w:r>
          </w:p>
        </w:tc>
        <w:tc>
          <w:tcPr>
            <w:tcW w:w="1300" w:type="dxa"/>
          </w:tcPr>
          <w:p w:rsidR="00AC0832" w:rsidRDefault="00AC0832">
            <w:pPr>
              <w:pStyle w:val="CellColumn"/>
            </w:pPr>
            <w:r>
              <w:t>9050</w:t>
            </w:r>
          </w:p>
        </w:tc>
        <w:tc>
          <w:tcPr>
            <w:tcW w:w="1300" w:type="dxa"/>
          </w:tcPr>
          <w:p w:rsidR="00AC0832" w:rsidRDefault="00AC0832">
            <w:pPr>
              <w:pStyle w:val="CellColumn"/>
            </w:pPr>
            <w:r>
              <w:t>7895</w:t>
            </w:r>
          </w:p>
        </w:tc>
      </w:tr>
      <w:tr w:rsidR="00AC0832" w:rsidTr="00BE20ED">
        <w:trPr>
          <w:jc w:val="center"/>
        </w:trPr>
        <w:tc>
          <w:tcPr>
            <w:tcW w:w="1300" w:type="dxa"/>
          </w:tcPr>
          <w:p w:rsidR="00AC0832" w:rsidRDefault="00AC0832">
            <w:pPr>
              <w:pStyle w:val="CellColumn"/>
            </w:pPr>
            <w:r>
              <w:t>Povećanje broja sudionika na savjetovanjima i susretima granskih organizacija</w:t>
            </w:r>
          </w:p>
        </w:tc>
        <w:tc>
          <w:tcPr>
            <w:tcW w:w="1300" w:type="dxa"/>
          </w:tcPr>
          <w:p w:rsidR="00AC0832" w:rsidRDefault="00AC0832">
            <w:pPr>
              <w:pStyle w:val="CellColumn"/>
            </w:pPr>
            <w:r>
              <w:t>Bolje interesno povezivanje doprinosi većim rezultatima u radu</w:t>
            </w:r>
          </w:p>
        </w:tc>
        <w:tc>
          <w:tcPr>
            <w:tcW w:w="1300" w:type="dxa"/>
          </w:tcPr>
          <w:p w:rsidR="00AC0832" w:rsidRDefault="00AC0832">
            <w:pPr>
              <w:pStyle w:val="CellColumn"/>
            </w:pPr>
            <w:r>
              <w:t>broj</w:t>
            </w:r>
          </w:p>
        </w:tc>
        <w:tc>
          <w:tcPr>
            <w:tcW w:w="1300" w:type="dxa"/>
          </w:tcPr>
          <w:p w:rsidR="00AC0832" w:rsidRDefault="00AC0832">
            <w:pPr>
              <w:pStyle w:val="CellColumn"/>
            </w:pPr>
            <w:r>
              <w:t>350</w:t>
            </w:r>
          </w:p>
        </w:tc>
        <w:tc>
          <w:tcPr>
            <w:tcW w:w="1300" w:type="dxa"/>
          </w:tcPr>
          <w:p w:rsidR="00AC0832" w:rsidRDefault="00AC0832">
            <w:pPr>
              <w:pStyle w:val="CellColumn"/>
            </w:pPr>
            <w:r>
              <w:t>Izvješće o radu HVZ</w:t>
            </w:r>
          </w:p>
        </w:tc>
        <w:tc>
          <w:tcPr>
            <w:tcW w:w="1300" w:type="dxa"/>
          </w:tcPr>
          <w:p w:rsidR="00AC0832" w:rsidRDefault="00AC0832">
            <w:pPr>
              <w:pStyle w:val="CellColumn"/>
            </w:pPr>
            <w:r>
              <w:t>370</w:t>
            </w:r>
          </w:p>
        </w:tc>
        <w:tc>
          <w:tcPr>
            <w:tcW w:w="1300" w:type="dxa"/>
          </w:tcPr>
          <w:p w:rsidR="00AC0832" w:rsidRDefault="00AC0832">
            <w:pPr>
              <w:pStyle w:val="CellColumn"/>
            </w:pPr>
            <w:r>
              <w:t>398</w:t>
            </w:r>
          </w:p>
        </w:tc>
      </w:tr>
      <w:tr w:rsidR="00AC0832" w:rsidTr="00BE20ED">
        <w:trPr>
          <w:jc w:val="center"/>
        </w:trPr>
        <w:tc>
          <w:tcPr>
            <w:tcW w:w="1300" w:type="dxa"/>
          </w:tcPr>
          <w:p w:rsidR="00AC0832" w:rsidRDefault="00AC0832">
            <w:pPr>
              <w:pStyle w:val="CellColumn"/>
            </w:pPr>
            <w:r>
              <w:t>Povećanje broja sudionika u Kampu vatrogasne mladeži u Fažani</w:t>
            </w:r>
          </w:p>
        </w:tc>
        <w:tc>
          <w:tcPr>
            <w:tcW w:w="1300" w:type="dxa"/>
          </w:tcPr>
          <w:p w:rsidR="00AC0832" w:rsidRDefault="00AC0832">
            <w:pPr>
              <w:pStyle w:val="CellColumn"/>
            </w:pPr>
            <w:r>
              <w:t>Veći broj pripadnika vatrogasne mladeži stvara veću bazu za buduće operativno članstvo</w:t>
            </w:r>
          </w:p>
        </w:tc>
        <w:tc>
          <w:tcPr>
            <w:tcW w:w="1300" w:type="dxa"/>
          </w:tcPr>
          <w:p w:rsidR="00AC0832" w:rsidRDefault="00AC0832">
            <w:pPr>
              <w:pStyle w:val="CellColumn"/>
            </w:pPr>
            <w:r>
              <w:t>broj</w:t>
            </w:r>
          </w:p>
        </w:tc>
        <w:tc>
          <w:tcPr>
            <w:tcW w:w="1300" w:type="dxa"/>
          </w:tcPr>
          <w:p w:rsidR="00AC0832" w:rsidRDefault="00AC0832">
            <w:pPr>
              <w:pStyle w:val="CellColumn"/>
            </w:pPr>
            <w:r>
              <w:t>1416</w:t>
            </w:r>
          </w:p>
        </w:tc>
        <w:tc>
          <w:tcPr>
            <w:tcW w:w="1300" w:type="dxa"/>
          </w:tcPr>
          <w:p w:rsidR="00AC0832" w:rsidRDefault="00AC0832">
            <w:pPr>
              <w:pStyle w:val="CellColumn"/>
            </w:pPr>
            <w:r>
              <w:t>Izvješće o radu HVZ</w:t>
            </w:r>
          </w:p>
        </w:tc>
        <w:tc>
          <w:tcPr>
            <w:tcW w:w="1300" w:type="dxa"/>
          </w:tcPr>
          <w:p w:rsidR="00AC0832" w:rsidRDefault="00AC0832">
            <w:pPr>
              <w:pStyle w:val="CellColumn"/>
            </w:pPr>
            <w:r>
              <w:t>1500</w:t>
            </w:r>
          </w:p>
        </w:tc>
        <w:tc>
          <w:tcPr>
            <w:tcW w:w="1300" w:type="dxa"/>
          </w:tcPr>
          <w:p w:rsidR="00AC0832" w:rsidRDefault="00AC0832">
            <w:pPr>
              <w:pStyle w:val="CellColumn"/>
            </w:pPr>
            <w:r>
              <w:t>1437</w:t>
            </w:r>
          </w:p>
        </w:tc>
      </w:tr>
    </w:tbl>
    <w:p w:rsidR="00AC0832" w:rsidRDefault="00AC0832">
      <w:pPr>
        <w:jc w:val="left"/>
      </w:pPr>
    </w:p>
    <w:p w:rsidR="00AC0832" w:rsidRDefault="00AC0832">
      <w:pPr>
        <w:pStyle w:val="Heading6"/>
      </w:pPr>
      <w:r>
        <w:t>A554003 PROTUPOŽARNA PREVENTIVA, PROMIDŽBA I IZDAVAŠTVO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A554003-PROTUPOŽARNA PREVENTIVA, PROMIDŽBA I IZDAVAŠTVO</w:t>
            </w:r>
          </w:p>
        </w:tc>
        <w:tc>
          <w:tcPr>
            <w:tcW w:w="2322" w:type="dxa"/>
          </w:tcPr>
          <w:p w:rsidR="00AC0832" w:rsidRDefault="00AC0832">
            <w:pPr>
              <w:pStyle w:val="CellColumn"/>
            </w:pPr>
            <w:r>
              <w:t>889.459</w:t>
            </w:r>
          </w:p>
        </w:tc>
        <w:tc>
          <w:tcPr>
            <w:tcW w:w="2322" w:type="dxa"/>
          </w:tcPr>
          <w:p w:rsidR="00AC0832" w:rsidRDefault="00AC0832">
            <w:pPr>
              <w:pStyle w:val="CellColumn"/>
            </w:pPr>
            <w:r>
              <w:t>834.827</w:t>
            </w:r>
          </w:p>
        </w:tc>
        <w:tc>
          <w:tcPr>
            <w:tcW w:w="2322" w:type="dxa"/>
          </w:tcPr>
          <w:p w:rsidR="00AC0832" w:rsidRDefault="00AC0832">
            <w:pPr>
              <w:pStyle w:val="CellColumn"/>
            </w:pPr>
            <w:r>
              <w:t>93,9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cilju smanjenja broja opasnih situacija, nesreća, broja poginulih i stradalih u nesrećama te smanjivanja dugoročnih posljedica na okoliš Hrvatska vatrogasna zajednica je poduzimala niz preventivnih mjera i aktivnosti. </w:t>
      </w:r>
    </w:p>
    <w:p w:rsidR="00AC0832" w:rsidRDefault="00AC0832">
      <w:pPr>
        <w:pStyle w:val="Normal6"/>
      </w:pPr>
      <w:r>
        <w:t>U preventivne aktivnosti se ubraja poticanje kontrole provedbe propisanih mjera zaštite od požara od strane ovlaštenih vatrogasaca. Važne preventivne mjere su rad s djecom i mladima  te sveobuhvatna informativno-promidžbena djelatnost, među kojom se može izdvojiti mjesečno izdavanje časopisa iz zaštite od požara i vatrogastva „Vatrogasni vjesnik“ i stručni časopis "Vatrogastvo i upravljanje požarima", izdavanje stručne literature i audio-vizualnih medija za preventivnu zaštitu od požara, promidžba putem interneta, televizije, plakata, brošura i letaka kao i  provođenje promidžbenih akcija, posebno za zaštitu šuma od požara tijekom požarne sezone i drugo. U 2012. godini povećan je broj pretplatnika Vatrogasnog vjesnika a time je povećana i naklada. Započeto je uvođenje pozivnog broja za vatrogasce 193 pa je tako Hrvatska vatrogasna zajednica opremila vatrogasna vozila s odgovarajućim naljepnicama, a na Hrvatskoj televiziji se tijekom godine prikazivao kratki spot s obavijesti o promjeni pozivnog broja za vatrogasce. Kroz različite društvene aktivnosti propagirala se  vatrogasna struka. Dobrovoljna vatrogasna društva su u mnogim sredinama glavni nositelji društvenog i kulturnog života. Tako u Republici Hrvatskoj djeluje 36 vatrogasnih puhačkih orkestara koji sudjeluju na raznim kulturno-umjetničkim manifestacijama kojima se promovira široki spektar djelovanja dobrovoljnih vatrogasnih društava. Hrvatska vatrogasna zajednica je i u 2012. godini organizirala tradicionalni susret puhačkih orkestara.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1"/>
        <w:gridCol w:w="1372"/>
        <w:gridCol w:w="1292"/>
        <w:gridCol w:w="1295"/>
        <w:gridCol w:w="1297"/>
        <w:gridCol w:w="1295"/>
        <w:gridCol w:w="129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Tiskanje i distribucija protupožarnih plakata i letaka</w:t>
            </w:r>
          </w:p>
        </w:tc>
        <w:tc>
          <w:tcPr>
            <w:tcW w:w="1300" w:type="dxa"/>
          </w:tcPr>
          <w:p w:rsidR="00AC0832" w:rsidRDefault="00AC0832">
            <w:pPr>
              <w:pStyle w:val="CellColumn"/>
            </w:pPr>
            <w:r>
              <w:t>Bolja informiranost građana prevenira nastanke požara</w:t>
            </w:r>
          </w:p>
        </w:tc>
        <w:tc>
          <w:tcPr>
            <w:tcW w:w="1300" w:type="dxa"/>
          </w:tcPr>
          <w:p w:rsidR="00AC0832" w:rsidRDefault="00AC0832">
            <w:pPr>
              <w:pStyle w:val="CellColumn"/>
            </w:pPr>
            <w:r>
              <w:t>broj</w:t>
            </w:r>
          </w:p>
        </w:tc>
        <w:tc>
          <w:tcPr>
            <w:tcW w:w="1300" w:type="dxa"/>
          </w:tcPr>
          <w:p w:rsidR="00AC0832" w:rsidRDefault="00AC0832">
            <w:pPr>
              <w:pStyle w:val="CellColumn"/>
            </w:pPr>
            <w:r>
              <w:t>55700</w:t>
            </w:r>
          </w:p>
        </w:tc>
        <w:tc>
          <w:tcPr>
            <w:tcW w:w="1300" w:type="dxa"/>
          </w:tcPr>
          <w:p w:rsidR="00AC0832" w:rsidRDefault="00AC0832">
            <w:pPr>
              <w:pStyle w:val="CellColumn"/>
            </w:pPr>
            <w:r>
              <w:t>Izvješće o radu HVZ</w:t>
            </w:r>
          </w:p>
        </w:tc>
        <w:tc>
          <w:tcPr>
            <w:tcW w:w="1300" w:type="dxa"/>
          </w:tcPr>
          <w:p w:rsidR="00AC0832" w:rsidRDefault="00AC0832">
            <w:pPr>
              <w:pStyle w:val="CellColumn"/>
            </w:pPr>
            <w:r>
              <w:t>60000</w:t>
            </w:r>
          </w:p>
        </w:tc>
        <w:tc>
          <w:tcPr>
            <w:tcW w:w="1300" w:type="dxa"/>
          </w:tcPr>
          <w:p w:rsidR="00AC0832" w:rsidRDefault="00AC0832">
            <w:pPr>
              <w:pStyle w:val="CellColumn"/>
            </w:pPr>
            <w:r>
              <w:t>63500</w:t>
            </w:r>
          </w:p>
        </w:tc>
      </w:tr>
      <w:tr w:rsidR="00AC0832" w:rsidTr="00BE20ED">
        <w:trPr>
          <w:jc w:val="center"/>
        </w:trPr>
        <w:tc>
          <w:tcPr>
            <w:tcW w:w="1300" w:type="dxa"/>
          </w:tcPr>
          <w:p w:rsidR="00AC0832" w:rsidRDefault="00AC0832">
            <w:pPr>
              <w:pStyle w:val="CellColumn"/>
            </w:pPr>
            <w:r>
              <w:t>Izdavanje priručnika, stručnih tiskovina i edukacijskih filmova</w:t>
            </w:r>
          </w:p>
        </w:tc>
        <w:tc>
          <w:tcPr>
            <w:tcW w:w="1300" w:type="dxa"/>
          </w:tcPr>
          <w:p w:rsidR="00AC0832" w:rsidRDefault="00AC0832">
            <w:pPr>
              <w:pStyle w:val="CellColumn"/>
            </w:pPr>
            <w:r>
              <w:t>Olakšanje učenja polaznicima tečajeva</w:t>
            </w:r>
          </w:p>
        </w:tc>
        <w:tc>
          <w:tcPr>
            <w:tcW w:w="1300" w:type="dxa"/>
          </w:tcPr>
          <w:p w:rsidR="00AC0832" w:rsidRDefault="00AC0832">
            <w:pPr>
              <w:pStyle w:val="CellColumn"/>
            </w:pPr>
            <w:r>
              <w:t>broj</w:t>
            </w:r>
          </w:p>
        </w:tc>
        <w:tc>
          <w:tcPr>
            <w:tcW w:w="1300" w:type="dxa"/>
          </w:tcPr>
          <w:p w:rsidR="00AC0832" w:rsidRDefault="00AC0832">
            <w:pPr>
              <w:pStyle w:val="CellColumn"/>
            </w:pPr>
            <w:r>
              <w:t>7</w:t>
            </w:r>
          </w:p>
        </w:tc>
        <w:tc>
          <w:tcPr>
            <w:tcW w:w="1300" w:type="dxa"/>
          </w:tcPr>
          <w:p w:rsidR="00AC0832" w:rsidRDefault="00AC0832">
            <w:pPr>
              <w:pStyle w:val="CellColumn"/>
            </w:pPr>
            <w:r>
              <w:t>Izvješće o radu HVZ</w:t>
            </w:r>
          </w:p>
        </w:tc>
        <w:tc>
          <w:tcPr>
            <w:tcW w:w="1300" w:type="dxa"/>
          </w:tcPr>
          <w:p w:rsidR="00AC0832" w:rsidRDefault="00AC0832">
            <w:pPr>
              <w:pStyle w:val="CellColumn"/>
            </w:pPr>
            <w:r>
              <w:t>9</w:t>
            </w:r>
          </w:p>
        </w:tc>
        <w:tc>
          <w:tcPr>
            <w:tcW w:w="1300" w:type="dxa"/>
          </w:tcPr>
          <w:p w:rsidR="00AC0832" w:rsidRDefault="00AC0832">
            <w:pPr>
              <w:pStyle w:val="CellColumn"/>
            </w:pPr>
            <w:r>
              <w:t>10</w:t>
            </w:r>
          </w:p>
        </w:tc>
      </w:tr>
      <w:tr w:rsidR="00AC0832" w:rsidTr="00BE20ED">
        <w:trPr>
          <w:jc w:val="center"/>
        </w:trPr>
        <w:tc>
          <w:tcPr>
            <w:tcW w:w="1300" w:type="dxa"/>
          </w:tcPr>
          <w:p w:rsidR="00AC0832" w:rsidRDefault="00AC0832">
            <w:pPr>
              <w:pStyle w:val="CellColumn"/>
            </w:pPr>
            <w:r>
              <w:t>Povećanje broja vatrogasnih organizacija koje primaju "Vatrogasni Vjesnik"</w:t>
            </w:r>
          </w:p>
        </w:tc>
        <w:tc>
          <w:tcPr>
            <w:tcW w:w="1300" w:type="dxa"/>
          </w:tcPr>
          <w:p w:rsidR="00AC0832" w:rsidRDefault="00AC0832">
            <w:pPr>
              <w:pStyle w:val="CellColumn"/>
            </w:pPr>
            <w:r>
              <w:t>Veći broj organizacija koje primaju vatrogasni časopis učinit će dostupnijim stručne i informativne sadržaje iz vatrogastva</w:t>
            </w:r>
          </w:p>
        </w:tc>
        <w:tc>
          <w:tcPr>
            <w:tcW w:w="1300" w:type="dxa"/>
          </w:tcPr>
          <w:p w:rsidR="00AC0832" w:rsidRDefault="00AC0832">
            <w:pPr>
              <w:pStyle w:val="CellColumn"/>
            </w:pPr>
            <w:r>
              <w:t>broj</w:t>
            </w:r>
          </w:p>
        </w:tc>
        <w:tc>
          <w:tcPr>
            <w:tcW w:w="1300" w:type="dxa"/>
          </w:tcPr>
          <w:p w:rsidR="00AC0832" w:rsidRDefault="00AC0832">
            <w:pPr>
              <w:pStyle w:val="CellColumn"/>
            </w:pPr>
            <w:r>
              <w:t>3383</w:t>
            </w:r>
          </w:p>
        </w:tc>
        <w:tc>
          <w:tcPr>
            <w:tcW w:w="1300" w:type="dxa"/>
          </w:tcPr>
          <w:p w:rsidR="00AC0832" w:rsidRDefault="00AC0832">
            <w:pPr>
              <w:pStyle w:val="CellColumn"/>
            </w:pPr>
            <w:r>
              <w:t>Vatrogasni vjesnik</w:t>
            </w:r>
          </w:p>
        </w:tc>
        <w:tc>
          <w:tcPr>
            <w:tcW w:w="1300" w:type="dxa"/>
          </w:tcPr>
          <w:p w:rsidR="00AC0832" w:rsidRDefault="00AC0832">
            <w:pPr>
              <w:pStyle w:val="CellColumn"/>
            </w:pPr>
            <w:r>
              <w:t>3400</w:t>
            </w:r>
          </w:p>
        </w:tc>
        <w:tc>
          <w:tcPr>
            <w:tcW w:w="1300" w:type="dxa"/>
          </w:tcPr>
          <w:p w:rsidR="00AC0832" w:rsidRDefault="00AC0832">
            <w:pPr>
              <w:pStyle w:val="CellColumn"/>
            </w:pPr>
            <w:r>
              <w:t>3800</w:t>
            </w:r>
          </w:p>
        </w:tc>
      </w:tr>
      <w:tr w:rsidR="00AC0832" w:rsidTr="00BE20ED">
        <w:trPr>
          <w:jc w:val="center"/>
        </w:trPr>
        <w:tc>
          <w:tcPr>
            <w:tcW w:w="1300" w:type="dxa"/>
          </w:tcPr>
          <w:p w:rsidR="00AC0832" w:rsidRDefault="00AC0832">
            <w:pPr>
              <w:pStyle w:val="CellColumn"/>
            </w:pPr>
            <w:r>
              <w:t>Povećanje broja sudionika na susretima organiziranih od HVZ</w:t>
            </w:r>
          </w:p>
        </w:tc>
        <w:tc>
          <w:tcPr>
            <w:tcW w:w="1300" w:type="dxa"/>
          </w:tcPr>
          <w:p w:rsidR="00AC0832" w:rsidRDefault="00AC0832">
            <w:pPr>
              <w:pStyle w:val="CellColumn"/>
            </w:pPr>
            <w:r>
              <w:t>Veći broj sudionika ukazuje na veći angažman vatrogasnog članstva</w:t>
            </w:r>
          </w:p>
        </w:tc>
        <w:tc>
          <w:tcPr>
            <w:tcW w:w="1300" w:type="dxa"/>
          </w:tcPr>
          <w:p w:rsidR="00AC0832" w:rsidRDefault="00AC0832">
            <w:pPr>
              <w:pStyle w:val="CellColumn"/>
            </w:pPr>
            <w:r>
              <w:t>broj</w:t>
            </w:r>
          </w:p>
        </w:tc>
        <w:tc>
          <w:tcPr>
            <w:tcW w:w="1300" w:type="dxa"/>
          </w:tcPr>
          <w:p w:rsidR="00AC0832" w:rsidRDefault="00AC0832">
            <w:pPr>
              <w:pStyle w:val="CellColumn"/>
            </w:pPr>
            <w:r>
              <w:t>6540</w:t>
            </w:r>
          </w:p>
        </w:tc>
        <w:tc>
          <w:tcPr>
            <w:tcW w:w="1300" w:type="dxa"/>
          </w:tcPr>
          <w:p w:rsidR="00AC0832" w:rsidRDefault="00AC0832">
            <w:pPr>
              <w:pStyle w:val="CellColumn"/>
            </w:pPr>
            <w:r>
              <w:t>Vatrogasni vjesnik</w:t>
            </w:r>
          </w:p>
        </w:tc>
        <w:tc>
          <w:tcPr>
            <w:tcW w:w="1300" w:type="dxa"/>
          </w:tcPr>
          <w:p w:rsidR="00AC0832" w:rsidRDefault="00AC0832">
            <w:pPr>
              <w:pStyle w:val="CellColumn"/>
            </w:pPr>
            <w:r>
              <w:t>6550</w:t>
            </w:r>
          </w:p>
        </w:tc>
        <w:tc>
          <w:tcPr>
            <w:tcW w:w="1300" w:type="dxa"/>
          </w:tcPr>
          <w:p w:rsidR="00AC0832" w:rsidRDefault="00AC0832">
            <w:pPr>
              <w:pStyle w:val="CellColumn"/>
            </w:pPr>
            <w:r>
              <w:t>7830</w:t>
            </w:r>
          </w:p>
        </w:tc>
      </w:tr>
    </w:tbl>
    <w:p w:rsidR="00AC0832" w:rsidRDefault="00AC0832">
      <w:pPr>
        <w:jc w:val="left"/>
      </w:pPr>
    </w:p>
    <w:p w:rsidR="00AC0832" w:rsidRDefault="00AC0832">
      <w:pPr>
        <w:pStyle w:val="Heading6"/>
      </w:pPr>
      <w:r>
        <w:t>A554004 OSPOSOBLJAVANJE I OPREMA ZA POTREBE VATROGASNIH INTERVENCIJA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A554004-OSPOSOBLJAVANJE I OPREMA ZA POTREBE VATROGASNIH INTERVENCIJA</w:t>
            </w:r>
          </w:p>
        </w:tc>
        <w:tc>
          <w:tcPr>
            <w:tcW w:w="2322" w:type="dxa"/>
          </w:tcPr>
          <w:p w:rsidR="00AC0832" w:rsidRDefault="00AC0832">
            <w:pPr>
              <w:pStyle w:val="CellColumn"/>
            </w:pPr>
            <w:r>
              <w:t>4.266.000</w:t>
            </w:r>
          </w:p>
        </w:tc>
        <w:tc>
          <w:tcPr>
            <w:tcW w:w="2322" w:type="dxa"/>
          </w:tcPr>
          <w:p w:rsidR="00AC0832" w:rsidRDefault="00AC0832">
            <w:pPr>
              <w:pStyle w:val="CellColumn"/>
            </w:pPr>
            <w:r>
              <w:t>3.387.506</w:t>
            </w:r>
          </w:p>
        </w:tc>
        <w:tc>
          <w:tcPr>
            <w:tcW w:w="2322" w:type="dxa"/>
          </w:tcPr>
          <w:p w:rsidR="00AC0832" w:rsidRDefault="00AC0832">
            <w:pPr>
              <w:pStyle w:val="CellColumn"/>
            </w:pPr>
            <w:r>
              <w:t>79,4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Hrvatska vatrogasna zajednica poduzima mjere i aktivnosti u svrhu  osiguranja  optimalne tehničko-tehnološke opremljenosti vatrogasnih postrojbi putem sufinanciranja vatrogasne tehnike i opreme te mjerama i aktivnostima u svrhu osposobljavanja i usavršavanja vatrogasaca, a sve zbog učinkovite provedbe vatrogasne djelatnosti, smanjenja šteta i broja stradalih.   </w:t>
      </w:r>
    </w:p>
    <w:p w:rsidR="00AC0832" w:rsidRDefault="00AC0832">
      <w:pPr>
        <w:pStyle w:val="Normal6"/>
      </w:pPr>
      <w:r>
        <w:t xml:space="preserve">Temeljem Zakona o vatrogastvu Društva za osiguranje  izdvajaju dio sredstava iz premija osiguranja od požara i doznačavaju ih vatrogasnim organizacijama. Putem ove aktivnosti ta se sredstva koriste za nabavu opreme i sredstava namijenjenih za vatrogasnu intervenciju, osposobljavanje vatrogasaca te pomaganje vatrogastva na područjima od posebne državne skrbi kako bi se što brže osigurala operativna sposobnost vatrogastva u manje razvijenim područjima. Hrvatska vatrogasna zajednica sudjeluje u oblikovanju i realizaciji Programa aktivnosti u provedbi posebnih mjera zaštite od požara od interesa za Republiku Hrvatsku. To se posebno odnosi na organizaciju i opremanje pričuvnih vatrogasnih snaga. </w:t>
      </w:r>
    </w:p>
    <w:p w:rsidR="00AC0832" w:rsidRDefault="00AC0832">
      <w:pPr>
        <w:pStyle w:val="Normal6"/>
      </w:pPr>
      <w:r>
        <w:t>U 2012. godini opremljen je broj vatrogasnih postrojbi u skladu s planiranim. Određeni problemi u svezi provedbe postupaka javne nabave dovele su do toga da količina nabave nije u skladu s očekivanim kod vatrogasnih postrojbi pa tako i s nabavama koje realizira Hrvatska vatrogasna zajednica direktno. To se očituje i u pokazatelju opremljenosti broja vatrogasaca s kontinenta za pričuvu gdje su neki natječaji poništeni a neki su nakon donošenja rješenja nastavljeni s realizacijom u 2013. godini jer se radi o sredstvima posebnih namjena koje se prenose u slijedeću godinu.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6"/>
        <w:gridCol w:w="1362"/>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Povećati broj opremljenih interventnih vatrogasaca s kontinenta  za pričuvu</w:t>
            </w:r>
          </w:p>
        </w:tc>
        <w:tc>
          <w:tcPr>
            <w:tcW w:w="1300" w:type="dxa"/>
          </w:tcPr>
          <w:p w:rsidR="00AC0832" w:rsidRDefault="00AC0832">
            <w:pPr>
              <w:pStyle w:val="CellColumn"/>
            </w:pPr>
            <w:r>
              <w:t>Bolja opremljenost uvjetuje veću sigurnost interventnih vatrogasaca</w:t>
            </w:r>
          </w:p>
        </w:tc>
        <w:tc>
          <w:tcPr>
            <w:tcW w:w="1300" w:type="dxa"/>
          </w:tcPr>
          <w:p w:rsidR="00AC0832" w:rsidRDefault="00AC0832">
            <w:pPr>
              <w:pStyle w:val="CellColumn"/>
            </w:pPr>
            <w:r>
              <w:t>broj</w:t>
            </w:r>
          </w:p>
        </w:tc>
        <w:tc>
          <w:tcPr>
            <w:tcW w:w="1300" w:type="dxa"/>
          </w:tcPr>
          <w:p w:rsidR="00AC0832" w:rsidRDefault="00AC0832">
            <w:pPr>
              <w:pStyle w:val="CellColumn"/>
            </w:pPr>
            <w:r>
              <w:t>140</w:t>
            </w:r>
          </w:p>
        </w:tc>
        <w:tc>
          <w:tcPr>
            <w:tcW w:w="1300" w:type="dxa"/>
          </w:tcPr>
          <w:p w:rsidR="00AC0832" w:rsidRDefault="00AC0832">
            <w:pPr>
              <w:pStyle w:val="CellColumn"/>
            </w:pPr>
            <w:r>
              <w:t>Izvješće o radu HVZ</w:t>
            </w:r>
          </w:p>
        </w:tc>
        <w:tc>
          <w:tcPr>
            <w:tcW w:w="1300" w:type="dxa"/>
          </w:tcPr>
          <w:p w:rsidR="00AC0832" w:rsidRDefault="00AC0832">
            <w:pPr>
              <w:pStyle w:val="CellColumn"/>
            </w:pPr>
            <w:r>
              <w:t>150</w:t>
            </w:r>
          </w:p>
        </w:tc>
        <w:tc>
          <w:tcPr>
            <w:tcW w:w="1300" w:type="dxa"/>
          </w:tcPr>
          <w:p w:rsidR="00AC0832" w:rsidRDefault="00AC0832">
            <w:pPr>
              <w:pStyle w:val="CellColumn"/>
            </w:pPr>
            <w:r>
              <w:t>125</w:t>
            </w:r>
          </w:p>
        </w:tc>
      </w:tr>
      <w:tr w:rsidR="00AC0832" w:rsidTr="00BE20ED">
        <w:trPr>
          <w:jc w:val="center"/>
        </w:trPr>
        <w:tc>
          <w:tcPr>
            <w:tcW w:w="1300" w:type="dxa"/>
          </w:tcPr>
          <w:p w:rsidR="00AC0832" w:rsidRDefault="00AC0832">
            <w:pPr>
              <w:pStyle w:val="CellColumn"/>
            </w:pPr>
            <w:r>
              <w:t>Pomaganje u nabavci vatrogasne tehnike i opreme</w:t>
            </w:r>
          </w:p>
        </w:tc>
        <w:tc>
          <w:tcPr>
            <w:tcW w:w="1300" w:type="dxa"/>
          </w:tcPr>
          <w:p w:rsidR="00AC0832" w:rsidRDefault="00AC0832">
            <w:pPr>
              <w:pStyle w:val="CellColumn"/>
            </w:pPr>
            <w:r>
              <w:t>S nabavkom nove vatrogasne tehnike i opreme povećat će se sigurnost vatrogasne intervencije</w:t>
            </w:r>
          </w:p>
        </w:tc>
        <w:tc>
          <w:tcPr>
            <w:tcW w:w="1300" w:type="dxa"/>
          </w:tcPr>
          <w:p w:rsidR="00AC0832" w:rsidRDefault="00AC0832">
            <w:pPr>
              <w:pStyle w:val="CellColumn"/>
            </w:pPr>
            <w:r>
              <w:t>broj</w:t>
            </w:r>
          </w:p>
        </w:tc>
        <w:tc>
          <w:tcPr>
            <w:tcW w:w="1300" w:type="dxa"/>
          </w:tcPr>
          <w:p w:rsidR="00AC0832" w:rsidRDefault="00AC0832">
            <w:pPr>
              <w:pStyle w:val="CellColumn"/>
            </w:pPr>
            <w:r>
              <w:t>210</w:t>
            </w:r>
          </w:p>
        </w:tc>
        <w:tc>
          <w:tcPr>
            <w:tcW w:w="1300" w:type="dxa"/>
          </w:tcPr>
          <w:p w:rsidR="00AC0832" w:rsidRDefault="00AC0832">
            <w:pPr>
              <w:pStyle w:val="CellColumn"/>
            </w:pPr>
            <w:r>
              <w:t>Financijsko izvješće HVZ</w:t>
            </w:r>
          </w:p>
        </w:tc>
        <w:tc>
          <w:tcPr>
            <w:tcW w:w="1300" w:type="dxa"/>
          </w:tcPr>
          <w:p w:rsidR="00AC0832" w:rsidRDefault="00AC0832">
            <w:pPr>
              <w:pStyle w:val="CellColumn"/>
            </w:pPr>
            <w:r>
              <w:t>215</w:t>
            </w:r>
          </w:p>
        </w:tc>
        <w:tc>
          <w:tcPr>
            <w:tcW w:w="1300" w:type="dxa"/>
          </w:tcPr>
          <w:p w:rsidR="00AC0832" w:rsidRDefault="00AC0832">
            <w:pPr>
              <w:pStyle w:val="CellColumn"/>
            </w:pPr>
            <w:r>
              <w:t>249</w:t>
            </w:r>
          </w:p>
        </w:tc>
      </w:tr>
      <w:tr w:rsidR="00AC0832" w:rsidTr="00BE20ED">
        <w:trPr>
          <w:jc w:val="center"/>
        </w:trPr>
        <w:tc>
          <w:tcPr>
            <w:tcW w:w="1300" w:type="dxa"/>
          </w:tcPr>
          <w:p w:rsidR="00AC0832" w:rsidRDefault="00AC0832">
            <w:pPr>
              <w:pStyle w:val="CellColumn"/>
            </w:pPr>
            <w:r>
              <w:t>Povećanje broja vatrogasnih postrojbi u manje razvijenim krajevima kojima je sufinancirana nabavka vatrogasne tehnike</w:t>
            </w:r>
          </w:p>
        </w:tc>
        <w:tc>
          <w:tcPr>
            <w:tcW w:w="1300" w:type="dxa"/>
          </w:tcPr>
          <w:p w:rsidR="00AC0832" w:rsidRDefault="00AC0832">
            <w:pPr>
              <w:pStyle w:val="CellColumn"/>
            </w:pPr>
            <w:r>
              <w:t>Povećat će se djelotvornost vatrogastva u manje razvijenim područjima</w:t>
            </w:r>
          </w:p>
        </w:tc>
        <w:tc>
          <w:tcPr>
            <w:tcW w:w="1300" w:type="dxa"/>
          </w:tcPr>
          <w:p w:rsidR="00AC0832" w:rsidRDefault="00AC0832">
            <w:pPr>
              <w:pStyle w:val="CellColumn"/>
            </w:pPr>
            <w:r>
              <w:t>broj</w:t>
            </w:r>
          </w:p>
        </w:tc>
        <w:tc>
          <w:tcPr>
            <w:tcW w:w="1300" w:type="dxa"/>
          </w:tcPr>
          <w:p w:rsidR="00AC0832" w:rsidRDefault="00AC0832">
            <w:pPr>
              <w:pStyle w:val="CellColumn"/>
            </w:pPr>
            <w:r>
              <w:t>20</w:t>
            </w:r>
          </w:p>
        </w:tc>
        <w:tc>
          <w:tcPr>
            <w:tcW w:w="1300" w:type="dxa"/>
          </w:tcPr>
          <w:p w:rsidR="00AC0832" w:rsidRDefault="00AC0832">
            <w:pPr>
              <w:pStyle w:val="CellColumn"/>
            </w:pPr>
            <w:r>
              <w:t>Izvješće o radu HVZ</w:t>
            </w:r>
          </w:p>
        </w:tc>
        <w:tc>
          <w:tcPr>
            <w:tcW w:w="1300" w:type="dxa"/>
          </w:tcPr>
          <w:p w:rsidR="00AC0832" w:rsidRDefault="00AC0832">
            <w:pPr>
              <w:pStyle w:val="CellColumn"/>
            </w:pPr>
            <w:r>
              <w:t>22</w:t>
            </w:r>
          </w:p>
        </w:tc>
        <w:tc>
          <w:tcPr>
            <w:tcW w:w="1300" w:type="dxa"/>
          </w:tcPr>
          <w:p w:rsidR="00AC0832" w:rsidRDefault="00AC0832">
            <w:pPr>
              <w:pStyle w:val="CellColumn"/>
            </w:pPr>
            <w:r>
              <w:t>25</w:t>
            </w:r>
          </w:p>
        </w:tc>
      </w:tr>
    </w:tbl>
    <w:p w:rsidR="00AC0832" w:rsidRDefault="00AC0832">
      <w:pPr>
        <w:jc w:val="left"/>
      </w:pPr>
    </w:p>
    <w:p w:rsidR="00AC0832" w:rsidRDefault="00AC0832">
      <w:pPr>
        <w:pStyle w:val="Heading6"/>
      </w:pPr>
      <w:r>
        <w:t>K554006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K554006-INFORMATIZACIJA</w:t>
            </w:r>
          </w:p>
        </w:tc>
        <w:tc>
          <w:tcPr>
            <w:tcW w:w="2322" w:type="dxa"/>
          </w:tcPr>
          <w:p w:rsidR="00AC0832" w:rsidRDefault="00AC0832">
            <w:pPr>
              <w:pStyle w:val="CellColumn"/>
            </w:pPr>
            <w:r>
              <w:t>175.000</w:t>
            </w:r>
          </w:p>
        </w:tc>
        <w:tc>
          <w:tcPr>
            <w:tcW w:w="2322" w:type="dxa"/>
          </w:tcPr>
          <w:p w:rsidR="00AC0832" w:rsidRDefault="00AC0832">
            <w:pPr>
              <w:pStyle w:val="CellColumn"/>
            </w:pPr>
            <w:r>
              <w:t>174.640</w:t>
            </w:r>
          </w:p>
        </w:tc>
        <w:tc>
          <w:tcPr>
            <w:tcW w:w="2322" w:type="dxa"/>
          </w:tcPr>
          <w:p w:rsidR="00AC0832" w:rsidRDefault="00AC0832">
            <w:pPr>
              <w:pStyle w:val="CellColumn"/>
            </w:pPr>
            <w:r>
              <w:t>99,8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Za praćenje stanja vatrogasne tehnike, članstva i aktivnosti vatrogasnih organizacija ustrojena je jedinstvena informacijska računalna internet-aplikacija  Hrvatske vatrogasne zajednice, te se razvija u skladu sa strategijom informatizacije vatrogasnih organizacija. Besplatni pristup jedinstvenom informacijskom sustavu ima 2.134 vatrogasnih operatera. U 2012. godini su napravljene obuke za operatere vatrogasne mreže u svim županijama  u RH. Upisani su podaci za većinu operativnih članova vatrogasne organizacije te sva vatrogasna vozila. Upis članova i vozila je preduvjet za upis podataka o vatrogasnim intervencijama a s obzirom da je mreža koncipirana tako da omogućava nadogradnju s različitim modulima  to je preduvjet za nadogradnju novih modula kao SMS uzbunjivanje, sustavno prikupljanje povijesnih dokumenata  te niz drugih operativnih aktivnosti, kao što su praćenje i pozicioniranje vatrogasnih vozila i vatrogasaca na vatrogasnim intervencijama, predviđanje širenja požara otvorenog prostora itd.  Sustav do kraja 2012. godine nije u potpunosti implementiran što je među ostalim uvjetovano i nizom organizacijskih problema u vatrogasnim organizacijama. Tijekom  2012. godine aplikacija je dorađivana i temeljem uočenih poteškoća u radu te temeljem zahtjeva iz vatrogasnih organizacija s terena.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1"/>
        <w:gridCol w:w="1562"/>
        <w:gridCol w:w="1244"/>
        <w:gridCol w:w="1264"/>
        <w:gridCol w:w="1328"/>
        <w:gridCol w:w="1264"/>
        <w:gridCol w:w="127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evidentiranih vatrogasnih operatera</w:t>
            </w:r>
          </w:p>
        </w:tc>
        <w:tc>
          <w:tcPr>
            <w:tcW w:w="1300" w:type="dxa"/>
          </w:tcPr>
          <w:p w:rsidR="00AC0832" w:rsidRDefault="00AC0832">
            <w:pPr>
              <w:pStyle w:val="CellColumn"/>
            </w:pPr>
            <w:r>
              <w:t>S povećanjem broja vatrogasnih operatera povećat će se broj unesenih podataka o vatrogasnim organizacijama</w:t>
            </w:r>
          </w:p>
        </w:tc>
        <w:tc>
          <w:tcPr>
            <w:tcW w:w="1300" w:type="dxa"/>
          </w:tcPr>
          <w:p w:rsidR="00AC0832" w:rsidRDefault="00AC0832">
            <w:pPr>
              <w:pStyle w:val="CellColumn"/>
            </w:pPr>
            <w:r>
              <w:t>broj</w:t>
            </w:r>
          </w:p>
        </w:tc>
        <w:tc>
          <w:tcPr>
            <w:tcW w:w="1300" w:type="dxa"/>
          </w:tcPr>
          <w:p w:rsidR="00AC0832" w:rsidRDefault="00AC0832">
            <w:pPr>
              <w:pStyle w:val="CellColumn"/>
            </w:pPr>
            <w:r>
              <w:t>1637</w:t>
            </w:r>
          </w:p>
        </w:tc>
        <w:tc>
          <w:tcPr>
            <w:tcW w:w="1300" w:type="dxa"/>
          </w:tcPr>
          <w:p w:rsidR="00AC0832" w:rsidRDefault="00AC0832">
            <w:pPr>
              <w:pStyle w:val="CellColumn"/>
            </w:pPr>
            <w:r>
              <w:t>Informacijski sustav HVZ</w:t>
            </w:r>
          </w:p>
        </w:tc>
        <w:tc>
          <w:tcPr>
            <w:tcW w:w="1300" w:type="dxa"/>
          </w:tcPr>
          <w:p w:rsidR="00AC0832" w:rsidRDefault="00AC0832">
            <w:pPr>
              <w:pStyle w:val="CellColumn"/>
            </w:pPr>
            <w:r>
              <w:t>2000</w:t>
            </w:r>
          </w:p>
        </w:tc>
        <w:tc>
          <w:tcPr>
            <w:tcW w:w="1300" w:type="dxa"/>
          </w:tcPr>
          <w:p w:rsidR="00AC0832" w:rsidRDefault="00AC0832">
            <w:pPr>
              <w:pStyle w:val="CellColumn"/>
            </w:pPr>
            <w:r>
              <w:t>2134</w:t>
            </w:r>
          </w:p>
        </w:tc>
      </w:tr>
      <w:tr w:rsidR="00AC0832" w:rsidTr="00BE20ED">
        <w:trPr>
          <w:jc w:val="center"/>
        </w:trPr>
        <w:tc>
          <w:tcPr>
            <w:tcW w:w="1300" w:type="dxa"/>
          </w:tcPr>
          <w:p w:rsidR="00AC0832" w:rsidRDefault="00AC0832">
            <w:pPr>
              <w:pStyle w:val="CellColumn"/>
            </w:pPr>
            <w:r>
              <w:t>Ustrojavanje sustava izvješćivanja s vatrogasnih intervencija</w:t>
            </w:r>
          </w:p>
        </w:tc>
        <w:tc>
          <w:tcPr>
            <w:tcW w:w="1300" w:type="dxa"/>
          </w:tcPr>
          <w:p w:rsidR="00AC0832" w:rsidRDefault="00AC0832">
            <w:pPr>
              <w:pStyle w:val="CellColumn"/>
            </w:pPr>
            <w:r>
              <w:t>Jedinstvenim sustavom izvješćivanja utvrdit će se točan broj vatrogasnih intervencija, te omogućiti statističke obrade</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Informacijski sustav HVZ</w:t>
            </w:r>
          </w:p>
        </w:tc>
        <w:tc>
          <w:tcPr>
            <w:tcW w:w="1300" w:type="dxa"/>
          </w:tcPr>
          <w:p w:rsidR="00AC0832" w:rsidRDefault="00AC0832">
            <w:pPr>
              <w:pStyle w:val="CellColumn"/>
            </w:pPr>
            <w:r>
              <w:t>80</w:t>
            </w:r>
          </w:p>
        </w:tc>
        <w:tc>
          <w:tcPr>
            <w:tcW w:w="1300" w:type="dxa"/>
          </w:tcPr>
          <w:p w:rsidR="00AC0832" w:rsidRDefault="00AC0832">
            <w:pPr>
              <w:pStyle w:val="CellColumn"/>
            </w:pPr>
            <w:r>
              <w:t>80</w:t>
            </w:r>
          </w:p>
        </w:tc>
      </w:tr>
    </w:tbl>
    <w:p w:rsidR="00AC0832" w:rsidRDefault="00AC0832">
      <w:pPr>
        <w:jc w:val="left"/>
      </w:pPr>
    </w:p>
    <w:p w:rsidR="00AC0832" w:rsidRDefault="00AC0832">
      <w:pPr>
        <w:pStyle w:val="Heading6"/>
      </w:pPr>
      <w:r>
        <w:t>K554010 POTPORA OPREMANJU DOBROVOLJNIH VATROGASNIH DRUŠTAVA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K554010-POTPORA OPREMANJU DOBROVOLJNIH VATROGASNIH DRUŠTAVA</w:t>
            </w:r>
          </w:p>
        </w:tc>
        <w:tc>
          <w:tcPr>
            <w:tcW w:w="2322" w:type="dxa"/>
          </w:tcPr>
          <w:p w:rsidR="00AC0832" w:rsidRDefault="00AC0832">
            <w:pPr>
              <w:pStyle w:val="CellColumn"/>
            </w:pPr>
            <w:r>
              <w:t>10.000</w:t>
            </w:r>
          </w:p>
        </w:tc>
        <w:tc>
          <w:tcPr>
            <w:tcW w:w="2322" w:type="dxa"/>
          </w:tcPr>
          <w:p w:rsidR="00AC0832" w:rsidRDefault="00AC0832">
            <w:pPr>
              <w:pStyle w:val="CellColumn"/>
            </w:pPr>
            <w:r>
              <w:t>10.000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svrhu  razvoja i osiguranja  optimalne tehničko-tehnološke opremljenosti vatrogasnih postrojbi ovim projektom Hrvatska vatrogasna zajednica u prvom redu daje potporu opremanju dobrovoljnih vatrogasnih društava koji nemaju mogućnosti osiguranja minimalnih sredstava na lokalnoj razini, a koji unatoč tome pokazuju značajne rezultate u svom radu. Tako se skromnim sredstvima u 2012. godini pomoglo opremanju tri dobrovoljna vatrogasna društva .</w:t>
      </w:r>
    </w:p>
    <w:p w:rsidR="00AC0832" w:rsidRDefault="00AC0832">
      <w:pPr>
        <w:pStyle w:val="Heading6"/>
      </w:pPr>
      <w:r>
        <w:t>K554011 IPA - IZGRADNJA, OPREMANJE I ODRŽAVANJE VATROGASNOG MUZEJA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K554011-IPA - IZGRADNJA, OPREMANJE I ODRŽAVANJE VATROGASNOG MUZEJA</w:t>
            </w:r>
          </w:p>
        </w:tc>
        <w:tc>
          <w:tcPr>
            <w:tcW w:w="2322" w:type="dxa"/>
          </w:tcPr>
          <w:p w:rsidR="00AC0832" w:rsidRDefault="00AC0832">
            <w:pPr>
              <w:pStyle w:val="CellColumn"/>
            </w:pPr>
            <w:r>
              <w:t>94.600</w:t>
            </w:r>
          </w:p>
        </w:tc>
        <w:tc>
          <w:tcPr>
            <w:tcW w:w="2322" w:type="dxa"/>
          </w:tcPr>
          <w:p w:rsidR="00AC0832" w:rsidRDefault="00AC0832">
            <w:pPr>
              <w:pStyle w:val="CellColumn"/>
            </w:pPr>
            <w:r>
              <w:t>86.700</w:t>
            </w:r>
          </w:p>
        </w:tc>
        <w:tc>
          <w:tcPr>
            <w:tcW w:w="2322" w:type="dxa"/>
          </w:tcPr>
          <w:p w:rsidR="00AC0832" w:rsidRDefault="00AC0832">
            <w:pPr>
              <w:pStyle w:val="CellColumn"/>
            </w:pPr>
            <w:r>
              <w:t>91,6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Hrvatska vatrogasna zajednica  jedna je od najstarijih europskih vatrogasnih organizacija koja je i u strukovnom pogledu među najistaknutijim europskim vatrogasnim organizacijama. Važnost ukupne vatrogasne organizacije potkrepljuje se i organiziranom mogućnošću  uvida u povijesni razvoj vatrogasne tehnike i opreme, putem povijesne dokumentacije kao i vođenjem brige o cjelokupnoj vatrogasnoj baštini odnosno povijesti hrvatskog vatrogastva i zaštite od požara. </w:t>
      </w:r>
    </w:p>
    <w:p w:rsidR="00AC0832" w:rsidRDefault="00AC0832">
      <w:pPr>
        <w:pStyle w:val="Normal6"/>
      </w:pPr>
      <w:r>
        <w:t>Muzej hrvatskoga vatrogastva uspostavljen je na prostoru Dobrovoljnog vatrogasnog društva Prvi hrvatski vatrogasni zbor u Varaždinu a Hrvatskoj vatrogasnoj zajednici je prostor dan na korištenje na 99 godina. Troškove tekućeg i investicijskog održavanja temeljem ugovora snosi Hrvatska vatrogasna zajednica. Tijekom 2012. godine obavljeni su radovi na dijelu krovišta površine 216 metara kvadratnih te odvajanje brojila za električnu energiju. Također su nastavljene aktivnosti na prikupljanju povijesne građe te je prikupljeno 595 komada različite povijesne građe iz područja vatrogastva i zaštite od požara.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1"/>
        <w:gridCol w:w="1362"/>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Izgrađenost Vatrogasnog muzeja</w:t>
            </w:r>
          </w:p>
        </w:tc>
        <w:tc>
          <w:tcPr>
            <w:tcW w:w="1300" w:type="dxa"/>
          </w:tcPr>
          <w:p w:rsidR="00AC0832" w:rsidRDefault="00AC0832">
            <w:pPr>
              <w:pStyle w:val="CellColumn"/>
            </w:pPr>
            <w:r>
              <w:t>Ustrojavanje centralne institucije za prikupljanje i bilježenje vatrogasne povijesne građe povećat će mogućnosti uvida u povijesni razvoj vatrogasnih organizacija, tehnike i opreme</w:t>
            </w:r>
          </w:p>
        </w:tc>
        <w:tc>
          <w:tcPr>
            <w:tcW w:w="1300" w:type="dxa"/>
          </w:tcPr>
          <w:p w:rsidR="00AC0832" w:rsidRDefault="00AC0832">
            <w:pPr>
              <w:pStyle w:val="CellColumn"/>
            </w:pPr>
            <w:r>
              <w:t>%</w:t>
            </w:r>
          </w:p>
        </w:tc>
        <w:tc>
          <w:tcPr>
            <w:tcW w:w="1300" w:type="dxa"/>
          </w:tcPr>
          <w:p w:rsidR="00AC0832" w:rsidRDefault="00AC0832">
            <w:pPr>
              <w:pStyle w:val="CellColumn"/>
            </w:pPr>
            <w:r>
              <w:t>75</w:t>
            </w:r>
          </w:p>
        </w:tc>
        <w:tc>
          <w:tcPr>
            <w:tcW w:w="1300" w:type="dxa"/>
          </w:tcPr>
          <w:p w:rsidR="00AC0832" w:rsidRDefault="00AC0832">
            <w:pPr>
              <w:pStyle w:val="CellColumn"/>
            </w:pPr>
            <w:r>
              <w:t>Izvješće o radu HVZ</w:t>
            </w:r>
          </w:p>
        </w:tc>
        <w:tc>
          <w:tcPr>
            <w:tcW w:w="1300" w:type="dxa"/>
          </w:tcPr>
          <w:p w:rsidR="00AC0832" w:rsidRDefault="00AC0832">
            <w:pPr>
              <w:pStyle w:val="CellColumn"/>
            </w:pPr>
            <w:r>
              <w:t>80</w:t>
            </w:r>
          </w:p>
        </w:tc>
        <w:tc>
          <w:tcPr>
            <w:tcW w:w="1300" w:type="dxa"/>
          </w:tcPr>
          <w:p w:rsidR="00AC0832" w:rsidRDefault="00AC0832">
            <w:pPr>
              <w:pStyle w:val="CellColumn"/>
            </w:pPr>
            <w:r>
              <w:t>80</w:t>
            </w:r>
          </w:p>
        </w:tc>
      </w:tr>
      <w:tr w:rsidR="00AC0832" w:rsidTr="00BE20ED">
        <w:trPr>
          <w:jc w:val="center"/>
        </w:trPr>
        <w:tc>
          <w:tcPr>
            <w:tcW w:w="1300" w:type="dxa"/>
          </w:tcPr>
          <w:p w:rsidR="00AC0832" w:rsidRDefault="00AC0832">
            <w:pPr>
              <w:pStyle w:val="CellColumn"/>
            </w:pPr>
            <w:r>
              <w:t>Povećanje količine  evidentirane vatrogasne povijesne arhivske građe</w:t>
            </w:r>
          </w:p>
        </w:tc>
        <w:tc>
          <w:tcPr>
            <w:tcW w:w="1300" w:type="dxa"/>
          </w:tcPr>
          <w:p w:rsidR="00AC0832" w:rsidRDefault="00AC0832">
            <w:pPr>
              <w:pStyle w:val="CellColumn"/>
            </w:pPr>
            <w:r>
              <w:t>Informatičko evidentiranje  povijesne arhivske građe olakšat će pretraživanje i korištenje iste</w:t>
            </w:r>
          </w:p>
        </w:tc>
        <w:tc>
          <w:tcPr>
            <w:tcW w:w="1300" w:type="dxa"/>
          </w:tcPr>
          <w:p w:rsidR="00AC0832" w:rsidRDefault="00AC0832">
            <w:pPr>
              <w:pStyle w:val="CellColumn"/>
            </w:pPr>
            <w:r>
              <w:t>broj</w:t>
            </w:r>
          </w:p>
        </w:tc>
        <w:tc>
          <w:tcPr>
            <w:tcW w:w="1300" w:type="dxa"/>
          </w:tcPr>
          <w:p w:rsidR="00AC0832" w:rsidRDefault="00AC0832">
            <w:pPr>
              <w:pStyle w:val="CellColumn"/>
            </w:pPr>
            <w:r>
              <w:t>500</w:t>
            </w:r>
          </w:p>
        </w:tc>
        <w:tc>
          <w:tcPr>
            <w:tcW w:w="1300" w:type="dxa"/>
          </w:tcPr>
          <w:p w:rsidR="00AC0832" w:rsidRDefault="00AC0832">
            <w:pPr>
              <w:pStyle w:val="CellColumn"/>
            </w:pPr>
            <w:r>
              <w:t>Izvješće o radu HVZ</w:t>
            </w:r>
          </w:p>
        </w:tc>
        <w:tc>
          <w:tcPr>
            <w:tcW w:w="1300" w:type="dxa"/>
          </w:tcPr>
          <w:p w:rsidR="00AC0832" w:rsidRDefault="00AC0832">
            <w:pPr>
              <w:pStyle w:val="CellColumn"/>
            </w:pPr>
            <w:r>
              <w:t>550</w:t>
            </w:r>
          </w:p>
        </w:tc>
        <w:tc>
          <w:tcPr>
            <w:tcW w:w="1300" w:type="dxa"/>
          </w:tcPr>
          <w:p w:rsidR="00AC0832" w:rsidRDefault="00AC0832">
            <w:pPr>
              <w:pStyle w:val="CellColumn"/>
            </w:pPr>
            <w:r>
              <w:t>595</w:t>
            </w:r>
          </w:p>
        </w:tc>
      </w:tr>
    </w:tbl>
    <w:p w:rsidR="00AC0832" w:rsidRDefault="00AC0832">
      <w:pPr>
        <w:jc w:val="left"/>
      </w:pPr>
    </w:p>
    <w:p w:rsidR="00AC0832" w:rsidRDefault="00AC0832">
      <w:pPr>
        <w:pStyle w:val="Heading6"/>
      </w:pPr>
      <w:r>
        <w:t>K554012 IPA- IZGRADNJA, OPREMANJE I ODRŽAVANJE VATROGASNOG VJEŽBALIŠTA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K554012-IPA- IZGRADNJA, OPREMANJE I ODRŽAVANJE VATROGASNOG VJEŽBALIŠTA</w:t>
            </w:r>
          </w:p>
        </w:tc>
        <w:tc>
          <w:tcPr>
            <w:tcW w:w="2322" w:type="dxa"/>
          </w:tcPr>
          <w:p w:rsidR="00AC0832" w:rsidRDefault="00AC0832">
            <w:pPr>
              <w:pStyle w:val="CellColumn"/>
            </w:pPr>
            <w:r>
              <w:t>10.000</w:t>
            </w:r>
          </w:p>
        </w:tc>
        <w:tc>
          <w:tcPr>
            <w:tcW w:w="2322" w:type="dxa"/>
          </w:tcPr>
          <w:p w:rsidR="00AC0832" w:rsidRDefault="00AC0832">
            <w:pPr>
              <w:pStyle w:val="CellColumn"/>
            </w:pPr>
            <w:r>
              <w:t>9.666</w:t>
            </w:r>
          </w:p>
        </w:tc>
        <w:tc>
          <w:tcPr>
            <w:tcW w:w="2322" w:type="dxa"/>
          </w:tcPr>
          <w:p w:rsidR="00AC0832" w:rsidRDefault="00AC0832">
            <w:pPr>
              <w:pStyle w:val="CellColumn"/>
            </w:pPr>
            <w:r>
              <w:t>96,7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svrhu unapređenja djelotvornosti sustava osposobljavanja, usavršavanja i obuke vatrogasaca Hrvatska vatrogasna zajednica je od Vlade RH dobila na korištenje prostor bivše vojarne „Slatina“ kod Donje Stubice koja  se za tu namjenu može koristiti nakon preuređenja. Hrvatska vatrogasna zajednica priprema potrebnu dokumentaciju i poduzima radnje kako bi se kandidirala za financiranje putem projekata EU. Tako je u 2012. godini ostvareno samo osnovno održavanje.</w:t>
      </w:r>
    </w:p>
    <w:p w:rsidR="00AC0832" w:rsidRDefault="00AC0832">
      <w:pPr>
        <w:pStyle w:val="Heading3"/>
      </w:pPr>
      <w:r>
        <w:t>28305 Državna uprava za zaštitu i spašavanje</w:t>
      </w:r>
    </w:p>
    <w:p w:rsidR="00AC0832" w:rsidRDefault="00AC0832">
      <w:pPr>
        <w:pStyle w:val="Heading4"/>
      </w:pPr>
      <w:r>
        <w:t>Uvod</w:t>
      </w:r>
    </w:p>
    <w:p w:rsidR="00AC0832" w:rsidRDefault="00AC0832">
      <w:pPr>
        <w:pStyle w:val="Normal5"/>
      </w:pPr>
      <w:r>
        <w:t xml:space="preserve">Državna uprava za zaštitu i spašavanje (DUZS) kao krovna organizacija sustava zaštite i spašavanja u Republici Hrvatskoj za ciljeve navedene u Strateškom planu osigurala je materijalna sredstva kroz koja su se isti i realizirali. </w:t>
      </w:r>
    </w:p>
    <w:p w:rsidR="00AC0832" w:rsidRDefault="00AC0832">
      <w:pPr>
        <w:pStyle w:val="Normal5"/>
      </w:pPr>
      <w:r>
        <w:t xml:space="preserve">Osnovni izvor financiranja sustava su proračunska sredstva koja su planiranjem u odnosu na  2011. godinu bila umanjena za oko 6 %.  </w:t>
      </w:r>
    </w:p>
    <w:p w:rsidR="00AC0832" w:rsidRDefault="00AC0832">
      <w:pPr>
        <w:pStyle w:val="Normal5"/>
      </w:pPr>
      <w:r>
        <w:t xml:space="preserve">Kako bi se povećala mogućnost rada na projektima vezanim uz osnovnu djelatnost, DUZS je tijekom 2012. godine bio korisnik međunarodnih projekata koristeći bespovratna financijska sredstva Europske unije (izvori sredstava 43 i 52). </w:t>
      </w:r>
    </w:p>
    <w:p w:rsidR="00AC0832" w:rsidRDefault="00AC0832">
      <w:pPr>
        <w:pStyle w:val="Normal5"/>
      </w:pPr>
      <w:r>
        <w:t xml:space="preserve">-Vlada Republike Hrvatske je prihvatila Memorandum o suglasnosti za realizaciju interoperativnog ePoziva iz vozila - „Pilot projekt usklađenog europskog hitnog poziva ( e Call) (HeERO), te je kao jedan od članova konzorcija određen DUZS za koordinatora aktivnosti na nacionalnoj razini za provedbu navedenog Memoranduma. </w:t>
      </w:r>
    </w:p>
    <w:p w:rsidR="00AC0832" w:rsidRDefault="00AC0832">
      <w:pPr>
        <w:pStyle w:val="Normal5"/>
      </w:pPr>
      <w:r>
        <w:t xml:space="preserve">- Državna uprava za zaštitu i spašavanje jedan je od sudionika u realizaciji međunarodnog projekta iz FP7 programa pod nazivom „Jačanje spremnosti na prijetnje od kemijskog, biološkog i radiološkog terorizma“ – IF REACT projekt, u okviru podprograma „Suradnja“, tematsko područje „Sigurnost“ koji je odobren od strane Europske Komisije krajem 2011. godine a čija implementacija je planirana za razdoblje od 01. siječnja 2012. do 31. prosinca 2014 </w:t>
      </w:r>
    </w:p>
    <w:p w:rsidR="00AC0832" w:rsidRDefault="00AC0832">
      <w:pPr>
        <w:pStyle w:val="Normal5"/>
      </w:pPr>
      <w:r>
        <w:t xml:space="preserve">- Tijekom 2012. godine uspješno je završen projekt u okviru IPA projekta "Suradnja na području civilne zaštite za države kandidatkinje i potencijalne kandidatkinje" koji je financirala Europska unija, a provodio ga je konzorcij koji čine Uprava za zaštitu i spašavanje Republike Slovenije, Državna uprava za zaštitu i spašavanje Republike Hrvatske, Agencija za tehničku potporu - THW Savezne Republike Njemačke i Agencija za izvanredne situacije - MSB Kraljevine Švedske.  </w:t>
      </w:r>
    </w:p>
    <w:p w:rsidR="00AC0832" w:rsidRDefault="00AC0832">
      <w:pPr>
        <w:pStyle w:val="Normal5"/>
      </w:pPr>
      <w:r>
        <w:t xml:space="preserve">U području regionalne suradnje posebno treba istaknuti aktivnosti Incijative za spremnost i prevenciju katastrofa tzv. DPPI. Tijekom 2012. godine u okviru Obuke za upravljanje u katastrofama predstavnici DUZS-a sudjelovali su na nizu tečajeva te se aktivnosti u okviru projekta za smanjivanje rizika od katastrofa – DRR planiraju nastaviti i u narednim godinama. </w:t>
      </w:r>
    </w:p>
    <w:p w:rsidR="00AC0832" w:rsidRDefault="00AC0832">
      <w:pPr>
        <w:pStyle w:val="Normal5"/>
      </w:pPr>
      <w:r>
        <w:t>Važno je istaknuti jaku međunarodnu aktivnost kroz bilateralnu suradnju sa Republikom Francuskom ( redovitu razmjenu stručnjaka tijekom ljetne sezone požara kao i održavanjem tečaja za KBRN) te susrete i suradnju s Republikom Srbijom, Državom Izrael i Republikom Slovenijom.</w:t>
      </w:r>
    </w:p>
    <w:p w:rsidR="00AC0832" w:rsidRDefault="00AC0832">
      <w:pPr>
        <w:pStyle w:val="Normal5"/>
      </w:pPr>
    </w:p>
    <w:p w:rsidR="00AC0832" w:rsidRDefault="00AC0832">
      <w:pPr>
        <w:pStyle w:val="Normal5"/>
      </w:pPr>
    </w:p>
    <w:p w:rsidR="00AC0832" w:rsidRDefault="00AC0832">
      <w:pPr>
        <w:pStyle w:val="Normal5"/>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28305-Državna uprava za zaštitu i spašavanje</w:t>
            </w:r>
          </w:p>
        </w:tc>
        <w:tc>
          <w:tcPr>
            <w:tcW w:w="2322" w:type="dxa"/>
          </w:tcPr>
          <w:p w:rsidR="00AC0832" w:rsidRDefault="00AC0832">
            <w:pPr>
              <w:pStyle w:val="CellColumn"/>
            </w:pPr>
            <w:r>
              <w:t>158.493.800</w:t>
            </w:r>
          </w:p>
        </w:tc>
        <w:tc>
          <w:tcPr>
            <w:tcW w:w="2322" w:type="dxa"/>
          </w:tcPr>
          <w:p w:rsidR="00AC0832" w:rsidRDefault="00AC0832">
            <w:pPr>
              <w:pStyle w:val="CellColumn"/>
            </w:pPr>
            <w:r>
              <w:t>160.225.040</w:t>
            </w:r>
          </w:p>
        </w:tc>
        <w:tc>
          <w:tcPr>
            <w:tcW w:w="2322" w:type="dxa"/>
          </w:tcPr>
          <w:p w:rsidR="00AC0832" w:rsidRDefault="00AC0832">
            <w:pPr>
              <w:pStyle w:val="CellColumn"/>
            </w:pPr>
            <w:r>
              <w:t>101,1</w:t>
            </w:r>
          </w:p>
        </w:tc>
      </w:tr>
      <w:tr w:rsidR="00AC0832" w:rsidTr="00BE20ED">
        <w:trPr>
          <w:jc w:val="center"/>
        </w:trPr>
        <w:tc>
          <w:tcPr>
            <w:tcW w:w="2322" w:type="dxa"/>
          </w:tcPr>
          <w:p w:rsidR="00AC0832" w:rsidRDefault="00AC0832">
            <w:pPr>
              <w:pStyle w:val="CellColumnSmall"/>
            </w:pPr>
            <w:r>
              <w:t>2603-ORGANIZIRANJE I PROVOĐENJE ZAŠTITE I SPAŠAVANJA</w:t>
            </w:r>
          </w:p>
        </w:tc>
        <w:tc>
          <w:tcPr>
            <w:tcW w:w="2322" w:type="dxa"/>
          </w:tcPr>
          <w:p w:rsidR="00AC0832" w:rsidRDefault="00AC0832">
            <w:pPr>
              <w:pStyle w:val="CellColumnSmall"/>
            </w:pPr>
            <w:r>
              <w:t>158.493.800</w:t>
            </w:r>
          </w:p>
        </w:tc>
        <w:tc>
          <w:tcPr>
            <w:tcW w:w="2322" w:type="dxa"/>
          </w:tcPr>
          <w:p w:rsidR="00AC0832" w:rsidRDefault="00AC0832">
            <w:pPr>
              <w:pStyle w:val="CellColumnSmall"/>
            </w:pPr>
            <w:r>
              <w:t>160.225.040</w:t>
            </w:r>
          </w:p>
        </w:tc>
        <w:tc>
          <w:tcPr>
            <w:tcW w:w="2322" w:type="dxa"/>
          </w:tcPr>
          <w:p w:rsidR="00AC0832" w:rsidRDefault="00AC0832">
            <w:pPr>
              <w:pStyle w:val="CellColumnSmall"/>
            </w:pPr>
            <w:r>
              <w:t>101,1</w:t>
            </w:r>
          </w:p>
        </w:tc>
      </w:tr>
    </w:tbl>
    <w:p w:rsidR="00AC0832" w:rsidRDefault="00AC0832">
      <w:pPr>
        <w:jc w:val="left"/>
      </w:pPr>
    </w:p>
    <w:p w:rsidR="00AC0832" w:rsidRDefault="00AC0832">
      <w:pPr>
        <w:pStyle w:val="Heading4"/>
      </w:pPr>
      <w:r>
        <w:t>OBRAZLOŽENJE PROGRAMA</w:t>
      </w:r>
    </w:p>
    <w:p w:rsidR="00AC0832" w:rsidRDefault="00AC0832">
      <w:pPr>
        <w:pStyle w:val="Heading5"/>
      </w:pPr>
      <w:r>
        <w:t>2603 ORGANIZIRANJE I PROVOĐENJE ZAŠTITE I SPAŠAVANJA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2603-ORGANIZIRANJE I PROVOĐENJE ZAŠTITE I SPAŠAVANJA</w:t>
            </w:r>
          </w:p>
        </w:tc>
        <w:tc>
          <w:tcPr>
            <w:tcW w:w="2322" w:type="dxa"/>
          </w:tcPr>
          <w:p w:rsidR="00AC0832" w:rsidRDefault="00AC0832">
            <w:pPr>
              <w:pStyle w:val="CellColumn"/>
            </w:pPr>
            <w:r>
              <w:t>158.493.800</w:t>
            </w:r>
          </w:p>
        </w:tc>
        <w:tc>
          <w:tcPr>
            <w:tcW w:w="2322" w:type="dxa"/>
          </w:tcPr>
          <w:p w:rsidR="00AC0832" w:rsidRDefault="00AC0832">
            <w:pPr>
              <w:pStyle w:val="CellColumn"/>
            </w:pPr>
            <w:r>
              <w:t>160.225.040</w:t>
            </w:r>
          </w:p>
        </w:tc>
        <w:tc>
          <w:tcPr>
            <w:tcW w:w="2322" w:type="dxa"/>
          </w:tcPr>
          <w:p w:rsidR="00AC0832" w:rsidRDefault="00AC0832">
            <w:pPr>
              <w:pStyle w:val="CellColumn"/>
            </w:pPr>
            <w:r>
              <w:t>101,1</w:t>
            </w:r>
          </w:p>
        </w:tc>
      </w:tr>
    </w:tbl>
    <w:p w:rsidR="00AC0832" w:rsidRDefault="00AC0832">
      <w:pPr>
        <w:jc w:val="left"/>
      </w:pPr>
    </w:p>
    <w:p w:rsidR="00AC0832" w:rsidRDefault="00AC0832">
      <w:pPr>
        <w:pStyle w:val="Heading6"/>
      </w:pPr>
      <w:r>
        <w:t>Opis programa</w:t>
      </w:r>
    </w:p>
    <w:p w:rsidR="00AC0832" w:rsidRDefault="00AC0832">
      <w:r>
        <w:t xml:space="preserve">U 2012. godini Program 2603 - Organiziranje i provođenje zaštite i spašavanja imao je za cilj uspostavu modernog sustava zaštite i spašavanja koji je sposoban odgovoriti svim potrebama u zaštiti ljudi, dobara i okoliša u ugrozama, stradanjima i drugim izazovima suvremenog društva. </w:t>
      </w:r>
    </w:p>
    <w:p w:rsidR="00AC0832" w:rsidRDefault="00AC0832">
      <w:r>
        <w:t xml:space="preserve">Odobrena sredstva za Program 2603 u Državnom proračunu za 2012. godinu su iznosila 158.493.800,00 kn, što u odnosu na prethodnu godinu iznosi umanjenje od gotovo 6%.  </w:t>
      </w:r>
    </w:p>
    <w:p w:rsidR="00AC0832" w:rsidRDefault="00AC0832">
      <w:r>
        <w:t xml:space="preserve">Najveći dio sredstava, oko 75 %, utrošilo se putem aktivnosti A553128 – Administracija i upravljanje. </w:t>
      </w:r>
    </w:p>
    <w:p w:rsidR="00AC0832" w:rsidRDefault="00AC0832">
      <w:r>
        <w:t>Specifičnost troškova DUZS-a čine rashodi Sektora vatrogastva namijenjenih za realizaciju Programa u provedbi posebnih mjera zaštite od požara kroz projekt K260089 za refundaciju javnim vatrogasnim postrojbama kao i dobrovoljnim vatrogasnim društvima čije operativne snage sudjeluju u provedbi Programa posebnih mjera zaštite od požara, te čine oko 60% ukupno realiziranih rashoda istog Programa, kao i financiranje redovne djelatnosti Hrvatske gorske službe spašavanja kao dijela sustava zaštite i spašavanja koji organizira, unapređuje i obavlja djelatnost spašavanja i zaštite ljudskih života u planinama i na nepristupačnim područjima kao i u drugim izvanrednim okolnostima.</w:t>
      </w:r>
    </w:p>
    <w:p w:rsidR="00AC0832" w:rsidRDefault="00AC0832">
      <w:pPr>
        <w:pStyle w:val="Heading6"/>
      </w:pPr>
      <w:r>
        <w:t>Zakonske i druge pravne osnove</w:t>
      </w:r>
    </w:p>
    <w:p w:rsidR="00AC0832" w:rsidRDefault="00AC0832">
      <w:r>
        <w:t>Zakon o zaštiti i spašavanju NN 174/04, Zakon o izmjenama i dopunama zakona o zaštiti i spašavanju NN 79/07, Zakon o izmjenama zakona o zaštiti i spašavanju NN 38/09, Zakon o dopuni zakona o zaštiti i spašavanju NN 127/10, Zakon o zaštiti od požara NN 92/10, Zakon o vatrogastvu NN 106/99, 117/01, 36/02, 96/03, 139/04, 174/04, Zakon o izmjenama zakona o vatrogastvu NN 38/09, Zakon o Hrvatskoj gorskoj službi spašavanja NN 79/06,Pravilnik o jedinstvenom europskom broju za hitne službe ( NN 82/09 ).</w:t>
      </w:r>
    </w:p>
    <w:p w:rsidR="00AC0832" w:rsidRDefault="00AC0832">
      <w:pPr>
        <w:pStyle w:val="Heading7"/>
      </w:pPr>
      <w:r>
        <w:t xml:space="preserve">Cilj 1. Izgradnja integriranog sustava zaštite i spašavanja </w:t>
      </w:r>
    </w:p>
    <w:p w:rsidR="00AC0832" w:rsidRDefault="00AC0832">
      <w:pPr>
        <w:pStyle w:val="Heading8"/>
        <w:jc w:val="left"/>
      </w:pPr>
      <w:r>
        <w:t>Opis provedbe cilja programa</w:t>
      </w:r>
    </w:p>
    <w:p w:rsidR="00AC0832" w:rsidRDefault="00AC0832">
      <w:pPr>
        <w:pStyle w:val="Normal6"/>
      </w:pPr>
      <w:r>
        <w:t>Program 2603-Organiziranje i provođenje zaštite i spašavanja ima za cilj izgradnju integriranog sustava zaštite i spašavanja. Uz postignutu racionalizaciju financijskih sredstava uspjelo se u nekim segmentima postići poboljšanje sustava što se očituje kroz povećani broj stručno obrazovanih vatrogasnih kadrova kroz prekvalifikacije, usavršavanje i osposobljavanje odraslih osoba i djece. Jačanje kapaciteta za djelovanje putem opremanja i interventnih specijalističkih postrojbi CZ RH kao i opremanje zonskih skladišta koja su u osnivanju, vrši se na zadanim razinama. Poseban naglasak dat je na nabavku IT opreme za potrebe zemljopisnog sustava zaštite i spašavanja ( GIS sustav) kao i na doradu i poboljšanje GIS aplikacije.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9"/>
        <w:gridCol w:w="2329"/>
        <w:gridCol w:w="1024"/>
        <w:gridCol w:w="1120"/>
        <w:gridCol w:w="1243"/>
        <w:gridCol w:w="1120"/>
        <w:gridCol w:w="117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Realizacija aktivnosti i ostvarena postignuća projekata u cilju izgradnje integriranog sustava ZIS</w:t>
            </w:r>
          </w:p>
        </w:tc>
        <w:tc>
          <w:tcPr>
            <w:tcW w:w="1300" w:type="dxa"/>
          </w:tcPr>
          <w:p w:rsidR="00AC0832" w:rsidRDefault="00AC0832">
            <w:pPr>
              <w:pStyle w:val="CellColumn"/>
            </w:pPr>
            <w:r>
              <w:t>Ustrojavanje operativno učinkovitog,integriranog sustava zaštite i spašavanja</w:t>
            </w:r>
          </w:p>
        </w:tc>
        <w:tc>
          <w:tcPr>
            <w:tcW w:w="1300" w:type="dxa"/>
          </w:tcPr>
          <w:p w:rsidR="00AC0832" w:rsidRDefault="00AC0832">
            <w:pPr>
              <w:pStyle w:val="CellColumn"/>
            </w:pPr>
            <w:r>
              <w:t>%</w:t>
            </w:r>
          </w:p>
        </w:tc>
        <w:tc>
          <w:tcPr>
            <w:tcW w:w="1300" w:type="dxa"/>
          </w:tcPr>
          <w:p w:rsidR="00AC0832" w:rsidRDefault="00AC0832">
            <w:pPr>
              <w:pStyle w:val="CellColumn"/>
            </w:pPr>
            <w:r>
              <w:t>65</w:t>
            </w:r>
          </w:p>
        </w:tc>
        <w:tc>
          <w:tcPr>
            <w:tcW w:w="1300" w:type="dxa"/>
          </w:tcPr>
          <w:p w:rsidR="00AC0832" w:rsidRDefault="00AC0832">
            <w:pPr>
              <w:pStyle w:val="CellColumn"/>
            </w:pPr>
            <w:r>
              <w:t>Strategija MUP-a i drugih institucija u funkciji zaštite i spašavanja 2012-2014</w:t>
            </w:r>
          </w:p>
        </w:tc>
        <w:tc>
          <w:tcPr>
            <w:tcW w:w="1300" w:type="dxa"/>
          </w:tcPr>
          <w:p w:rsidR="00AC0832" w:rsidRDefault="00AC0832">
            <w:pPr>
              <w:pStyle w:val="CellColumn"/>
            </w:pPr>
            <w:r>
              <w:t>68</w:t>
            </w:r>
          </w:p>
        </w:tc>
        <w:tc>
          <w:tcPr>
            <w:tcW w:w="1300" w:type="dxa"/>
          </w:tcPr>
          <w:p w:rsidR="00AC0832" w:rsidRDefault="00AC0832">
            <w:pPr>
              <w:pStyle w:val="CellColumn"/>
            </w:pPr>
            <w:r>
              <w:t>69</w:t>
            </w:r>
          </w:p>
        </w:tc>
      </w:tr>
    </w:tbl>
    <w:p w:rsidR="00AC0832" w:rsidRDefault="00AC0832">
      <w:pPr>
        <w:jc w:val="left"/>
      </w:pPr>
    </w:p>
    <w:p w:rsidR="00AC0832" w:rsidRDefault="00AC0832">
      <w:pPr>
        <w:pStyle w:val="Heading6"/>
      </w:pPr>
      <w:r>
        <w:t>A553128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A553128-ADMINISTRACIJA I UPRAVLJANJE</w:t>
            </w:r>
          </w:p>
        </w:tc>
        <w:tc>
          <w:tcPr>
            <w:tcW w:w="2322" w:type="dxa"/>
          </w:tcPr>
          <w:p w:rsidR="00AC0832" w:rsidRDefault="00AC0832">
            <w:pPr>
              <w:pStyle w:val="CellColumn"/>
            </w:pPr>
            <w:r>
              <w:t>117.111.200</w:t>
            </w:r>
          </w:p>
        </w:tc>
        <w:tc>
          <w:tcPr>
            <w:tcW w:w="2322" w:type="dxa"/>
          </w:tcPr>
          <w:p w:rsidR="00AC0832" w:rsidRDefault="00AC0832">
            <w:pPr>
              <w:pStyle w:val="CellColumn"/>
            </w:pPr>
            <w:r>
              <w:t>114.132.376</w:t>
            </w:r>
          </w:p>
        </w:tc>
        <w:tc>
          <w:tcPr>
            <w:tcW w:w="2322" w:type="dxa"/>
          </w:tcPr>
          <w:p w:rsidR="00AC0832" w:rsidRDefault="00AC0832">
            <w:pPr>
              <w:pStyle w:val="CellColumn"/>
            </w:pPr>
            <w:r>
              <w:t>97,5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Aktivnost A553128 Administracija i upravljanje obuhvaća rashode poslovanja Državne uprave za zaštitu i spašavanje koji  osiguravaju osnovne preduvjete za nesmetano funkcioniranje svih sektora.  </w:t>
      </w:r>
    </w:p>
    <w:p w:rsidR="00AC0832" w:rsidRDefault="00AC0832">
      <w:pPr>
        <w:pStyle w:val="Normal6"/>
      </w:pPr>
      <w:r>
        <w:t xml:space="preserve">U okviru navedene aktivnosti planira se i realizira međunarodna suradnja, promidžbena djelatnost, te se osiguravaju osnovni preduvjeti za djelatnost operativnih sektora - Učilišta vatrogastva, zaštite i spašavanja, Vatrogastva, Civilne zaštite i Državnog informacijskog i komunikacijskog sustava.  </w:t>
      </w:r>
    </w:p>
    <w:p w:rsidR="00AC0832" w:rsidRDefault="00AC0832">
      <w:pPr>
        <w:pStyle w:val="Normal6"/>
      </w:pPr>
      <w:r>
        <w:t xml:space="preserve">Najveći dio rashoda u 2012. godini ( kao i svim prethodnim  godinama ) – oko 25%, odnosi se na  fiksne materijalne rashode  koji su uvjet za normalno funkcioniranje DUZS-a, poput - komunalnih usluga (voda, smeće, deratizacija, ekološke usluge, usluge čuvanja imovine i sl); energija, usluge telefona, pošte i prijevoza, najamnine i zakupnine. U odnosu na 2011. godinu rashodi skupine 32 manji su za oko 15%. </w:t>
      </w:r>
    </w:p>
    <w:p w:rsidR="00AC0832" w:rsidRDefault="00AC0832">
      <w:pPr>
        <w:pStyle w:val="Normal6"/>
      </w:pPr>
      <w:r>
        <w:t>Rashodi za 679 zaposlenika  ( 92.444.013,84 kn ) čine oko 55% ukupnog proračuna DUZS-a u 2012. godini i čak 75% ukupnih rashoda  aktivnosti A553128.</w:t>
      </w:r>
    </w:p>
    <w:p w:rsidR="00AC0832" w:rsidRDefault="00AC0832">
      <w:pPr>
        <w:pStyle w:val="Heading6"/>
      </w:pPr>
      <w:r>
        <w:t>K260089 PROGRAM U PROVEDBI POSEBNIH MJERA ZA ZAŠTITU OD POŽARA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K260089-PROGRAM U PROVEDBI POSEBNIH MJERA ZA ZAŠTITU OD POŽARA</w:t>
            </w:r>
          </w:p>
        </w:tc>
        <w:tc>
          <w:tcPr>
            <w:tcW w:w="2322" w:type="dxa"/>
          </w:tcPr>
          <w:p w:rsidR="00AC0832" w:rsidRDefault="00AC0832">
            <w:pPr>
              <w:pStyle w:val="CellColumn"/>
            </w:pPr>
            <w:r>
              <w:t>28.300.000</w:t>
            </w:r>
          </w:p>
        </w:tc>
        <w:tc>
          <w:tcPr>
            <w:tcW w:w="2322" w:type="dxa"/>
          </w:tcPr>
          <w:p w:rsidR="00AC0832" w:rsidRDefault="00AC0832">
            <w:pPr>
              <w:pStyle w:val="CellColumn"/>
            </w:pPr>
            <w:r>
              <w:t>26.388.893</w:t>
            </w:r>
          </w:p>
        </w:tc>
        <w:tc>
          <w:tcPr>
            <w:tcW w:w="2322" w:type="dxa"/>
          </w:tcPr>
          <w:p w:rsidR="00AC0832" w:rsidRDefault="00AC0832">
            <w:pPr>
              <w:pStyle w:val="CellColumn"/>
            </w:pPr>
            <w:r>
              <w:t>93,2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Vladinim Programom aktivnosti u provedbi posebnih mjera zaštite od požara od interesa za Republiku Hrvatsku u 2012. godini K260089 (Program aktivnosti) propisani su zadaci i operativne aktivnosti sa rokovima izvršenja za sve sudionike u provedbi posebnih mjera zaštite od požara, kako bi se na taj način utjecalo na smanjenje mogućnosti nastanka, odnosno širenja nastalog požara na otvorenom prostoru priobalja i kontinentalnog dijela Republike Hrvatske.  </w:t>
      </w:r>
    </w:p>
    <w:p w:rsidR="00AC0832" w:rsidRDefault="00AC0832">
      <w:pPr>
        <w:pStyle w:val="Normal6"/>
      </w:pPr>
      <w:r>
        <w:t xml:space="preserve">Uslijed racionalizacije troškova, razina ukupnih rashoda Programa aktivnosti u odnosu na prethodnu 2011. godinu umanjena je za oko 23%, dok je realizacija u odnosu na plan oko 93%. </w:t>
      </w:r>
    </w:p>
    <w:p w:rsidR="00AC0832" w:rsidRDefault="00AC0832">
      <w:pPr>
        <w:pStyle w:val="Normal6"/>
      </w:pPr>
      <w:r>
        <w:t xml:space="preserve">U 2012. godini na području RH je bilo 7.870 požara otvorenog prostora odnosno 80.252 ha zemlje. U odnosu na 2011. godinu u kojoj je opožareno oko 50.000 ha površine, 2012. godina bilježi znatno povećanje požarišta od čak 37%.  </w:t>
      </w:r>
    </w:p>
    <w:p w:rsidR="00AC0832" w:rsidRDefault="00AC0832">
      <w:pPr>
        <w:pStyle w:val="Normal6"/>
      </w:pPr>
      <w:r>
        <w:t xml:space="preserve">S obzirom na porast broja i intenziteta požara u ljetnom razdoblju na priobalju, temeljem Programa aktivnosti, angažirane su i dodatne snage kao pomoć redovnim (domicilnim) vatrogasnim postrojbama, koje su čak 84% opožarene površine, svojom učinkovitošću, uspjele svesti na manje od 5 ha ugrožene površine.  </w:t>
      </w:r>
    </w:p>
    <w:p w:rsidR="00AC0832" w:rsidRDefault="00AC0832">
      <w:pPr>
        <w:pStyle w:val="Normal6"/>
      </w:pPr>
      <w:r>
        <w:t xml:space="preserve">S tim u vezi tijekom 2012. godine na priobalje je dislocirano oko 120 vatrogasaca po smjeni, te 42 vatrogasna vozila u 6 smjena po 15 dana, u razdoblju od 27. lipnja do 30. rujna. Kao i u prethodnim godinama sedma smjena za dislocirane vatrogasce je također bila aktivna i u 2012. godini, ali je znatno smanjena kako u ljudstvu tako i u trajanju. Tako je za smještaj i prehranu dislociranih vatrogasaca 2012. godine utrošeno oko 50% manje financijskih sredstava u odnosu na 2011. godinu. </w:t>
      </w:r>
    </w:p>
    <w:p w:rsidR="00AC0832" w:rsidRDefault="00AC0832">
      <w:pPr>
        <w:pStyle w:val="Normal6"/>
      </w:pPr>
      <w:r>
        <w:t xml:space="preserve">Tijekom 2012. godine u ljetnom razdoblju od 1. lipnja do 30. rujna na području priobalja dodatno je bilo zaposleno 1.053 sezonskih vatrogasaca koji su raspoređeni po priobalnim županijama.  </w:t>
      </w:r>
    </w:p>
    <w:p w:rsidR="00AC0832" w:rsidRDefault="00AC0832">
      <w:pPr>
        <w:pStyle w:val="Normal6"/>
      </w:pPr>
      <w:r>
        <w:t xml:space="preserve">Najveća stavka rashoda za Program aktivnosti su refundacije sredstava javnim vatrogasnim postrojbama, kojima je isplaćen iznos od 3.299.437,29 kn sa skupine 36-pomoći dane u inozemstvo i unutar opće države (cca 15% manje u odnosu na 2011.god.), te za refundaciju rashoda vatrogasnih zajednica i dobrovoljnih vatrogasnih društava na skupini 38 – ostali rashodi, utrošena su sredstva u iznosu od 15.997.499,45 kn (cca 14% manje u odnosu na 2011.god.), čije operativne snage sa tehnikom i ljudstvom sudjeluju u provedbi Programa aktivnosti. </w:t>
      </w:r>
    </w:p>
    <w:p w:rsidR="00AC0832" w:rsidRDefault="00AC0832">
      <w:pPr>
        <w:pStyle w:val="Normal6"/>
      </w:pPr>
      <w:r>
        <w:t xml:space="preserve">Za potrebe požarne sezone izvršena je nabava zaštitne odjeće, obuće, kaciga i kombinezona za gašenje šumskih požara sa skupine 32 materijalnih rashoda u iznosu od 1.995.713,88 kn, što je oko 26% manje u odnosu na iznos u 2011. godini.  </w:t>
      </w:r>
    </w:p>
    <w:p w:rsidR="00AC0832" w:rsidRDefault="00AC0832">
      <w:pPr>
        <w:pStyle w:val="Normal6"/>
      </w:pPr>
      <w:r>
        <w:t>Sa skupine 42-rashodi za nabavu proizvedene dugotrajne imovine za 2012. godinu, a u svrhu opremanja pripadnika državnih intervencijskih postrojbi i interventnih vatrogasnih postrojbi (npr. gumeni spremnici za gašenje sa helikopterom, plivajuće i potopne pumpe, aparati za disanje, itd.) utrošeno je 1.568.913,75 kn, što je u odnosu na 2011. godinu manje za 28%.</w:t>
      </w:r>
    </w:p>
    <w:p w:rsidR="00AC0832" w:rsidRDefault="00AC0832">
      <w:pPr>
        <w:pStyle w:val="Heading6"/>
      </w:pPr>
      <w:r>
        <w:t>K553130 INTEGRIRANI SUSTAV 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K553130-INTEGRIRANI SUSTAV 112</w:t>
            </w:r>
          </w:p>
        </w:tc>
        <w:tc>
          <w:tcPr>
            <w:tcW w:w="2322" w:type="dxa"/>
          </w:tcPr>
          <w:p w:rsidR="00AC0832" w:rsidRDefault="00AC0832">
            <w:pPr>
              <w:pStyle w:val="CellColumn"/>
            </w:pPr>
            <w:r>
              <w:t>2.080.600</w:t>
            </w:r>
          </w:p>
        </w:tc>
        <w:tc>
          <w:tcPr>
            <w:tcW w:w="2322" w:type="dxa"/>
          </w:tcPr>
          <w:p w:rsidR="00AC0832" w:rsidRDefault="00AC0832">
            <w:pPr>
              <w:pStyle w:val="CellColumn"/>
            </w:pPr>
            <w:r>
              <w:t>1.529.456</w:t>
            </w:r>
          </w:p>
        </w:tc>
        <w:tc>
          <w:tcPr>
            <w:tcW w:w="2322" w:type="dxa"/>
          </w:tcPr>
          <w:p w:rsidR="00AC0832" w:rsidRDefault="00AC0832">
            <w:pPr>
              <w:pStyle w:val="CellColumn"/>
            </w:pPr>
            <w:r>
              <w:t>73,5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Integrirani sustav 112 K553130 je projekt od važnosti za nesmetano funkcioniranje sustava 112, koji obuhvaća nabavu, održavanje, razvijanje i ugovore iz djelokruga informacijsko komunikacijske tehnologije. </w:t>
      </w:r>
    </w:p>
    <w:p w:rsidR="00AC0832" w:rsidRDefault="00AC0832">
      <w:pPr>
        <w:pStyle w:val="Normal6"/>
      </w:pPr>
      <w:r>
        <w:t xml:space="preserve">Poseban naglasak u ostvarenju projekta K553130 kroz 2012. godinu stavljen je na nabavu IT opreme u centrima 112 te obnavljenje i proširenje IT opreme u ustrojstvenim jedinicama DUZS-a. Poseban značaj dat je nabavi IT opreme za potrebe zemljopisnog sustava zaštite i spašavanja. </w:t>
      </w:r>
    </w:p>
    <w:p w:rsidR="00AC0832" w:rsidRDefault="00AC0832">
      <w:pPr>
        <w:pStyle w:val="Normal6"/>
      </w:pPr>
      <w:r>
        <w:t>Na održavanje sustava za žurne pozive, telekomunikacijske opreme, računalno komunikacijske opreme, radio komunikacijske opreme, antenskih sustava, poslovnih programskih sustava i održavanje agregata UPS-ova utrošeno je 890.971,23 kn, dok je za nabavku računala, računalne i komunikacijske opreme utrošeno 705.000,00 kn.</w:t>
      </w:r>
    </w:p>
    <w:p w:rsidR="00AC0832" w:rsidRDefault="00AC0832">
      <w:pPr>
        <w:pStyle w:val="Heading6"/>
      </w:pPr>
      <w:r>
        <w:t>K553134 OPREMANJE SUSTAVA ZA ZAŠTITU I SPAŠAVANJE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K553134-OPREMANJE SUSTAVA ZA ZAŠTITU I SPAŠAVANJE</w:t>
            </w:r>
          </w:p>
        </w:tc>
        <w:tc>
          <w:tcPr>
            <w:tcW w:w="2322" w:type="dxa"/>
          </w:tcPr>
          <w:p w:rsidR="00AC0832" w:rsidRDefault="00AC0832">
            <w:pPr>
              <w:pStyle w:val="CellColumn"/>
            </w:pPr>
            <w:r>
              <w:t>2.270.000</w:t>
            </w:r>
          </w:p>
        </w:tc>
        <w:tc>
          <w:tcPr>
            <w:tcW w:w="2322" w:type="dxa"/>
          </w:tcPr>
          <w:p w:rsidR="00AC0832" w:rsidRDefault="00AC0832">
            <w:pPr>
              <w:pStyle w:val="CellColumn"/>
            </w:pPr>
            <w:r>
              <w:t>2.101.959</w:t>
            </w:r>
          </w:p>
        </w:tc>
        <w:tc>
          <w:tcPr>
            <w:tcW w:w="2322" w:type="dxa"/>
          </w:tcPr>
          <w:p w:rsidR="00AC0832" w:rsidRDefault="00AC0832">
            <w:pPr>
              <w:pStyle w:val="CellColumn"/>
            </w:pPr>
            <w:r>
              <w:t>92,6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Opremanje sustava za zaštitu i spašavanje K553134 obuhvaća opremanje i funkcioniranje Sektora za civilnu zaštitu i Učilišta vatrogastva, zaštite i spašavanja, te sanaciju i adaptaciju poslovnih prostora Državne uprave za zaštitu i spašavanje.        </w:t>
      </w:r>
    </w:p>
    <w:p w:rsidR="00AC0832" w:rsidRDefault="00AC0832">
      <w:pPr>
        <w:pStyle w:val="Normal6"/>
      </w:pPr>
      <w:r>
        <w:t xml:space="preserve">Najveći dio rashoda u 2012. godini odnosio se na nabavu opreme i sredstava te provođenje specijalističkih vježbi za obuku Državnih interventnih postrojbi civilne zaštite (u daljnjem tekstu DIP CZ RH) za slučaje velikih katastrofa i nesreća. Istaknutije vježbe, obuke i osposobljavanje DIP CZ RH u 2012. godini su bile međunarodna terenska vježba „IPA CRO FLOODS 2012“, vježba „Poplava 2012“ te obuka i osposobljavanje RKBN postrojbi (postrojbe za radiološko kemijsko biološko nuklearnu zaštitu) kroz obuku na „ROTA“ tečaju. </w:t>
      </w:r>
    </w:p>
    <w:p w:rsidR="00AC0832" w:rsidRDefault="00AC0832">
      <w:pPr>
        <w:pStyle w:val="Normal6"/>
      </w:pPr>
      <w:r>
        <w:t xml:space="preserve">Sredstva su u prvom redu utrošena na prioritetnu, a nedostajuću opremu za funkcionalnost postrojbi DIP CZ RH te  popunjavanje neophodne opreme nužne za funkcioniranje timova u sve četiri Zone: PUZS Zagreb, Osijek, Rijeka i Split (Odluka ravnatelja ožujak 2013.) poput službene odore, zaštitne radne odjeće - kombinezoni, zapovjednih šatora, šatora, kreveta, vreća za spavanje, logističke opreme - za pripremu i podjelu hrane, obroka i sl. </w:t>
      </w:r>
    </w:p>
    <w:p w:rsidR="00AC0832" w:rsidRDefault="00AC0832">
      <w:pPr>
        <w:pStyle w:val="Normal6"/>
      </w:pPr>
      <w:r>
        <w:t xml:space="preserve">U 2012. godini stavljen je naglasak i na promidžbu i informiranje ljudi o potrebnoj osobnoj i uzajamnoj zaštiti, dijelom kroz „Natječaj za odabir radova djece PŠ i OŠ sa posebnim potrebama“, a djelom kroz projekte koje organizira i provodi DUZS - Hrvatskla Platforma za smanjenje rizika od katastrofa. Također je ukupno 315 djece prošlo edukaciju na Učilištu vatrogastva, zaštite i spašavanja. </w:t>
      </w:r>
    </w:p>
    <w:p w:rsidR="00AC0832" w:rsidRDefault="00AC0832">
      <w:pPr>
        <w:pStyle w:val="Normal6"/>
      </w:pPr>
      <w:r>
        <w:t>Kroz 2012. godinu „Učilište vatrogastva, zaštite i spašavanja“ (u daljnjem tekstu Učilište) u svrhu ostvarenja strateških ciljeva DUZS-a za područje obrazovanja nabavilo je opremu poput stabilnog kompresora, zračnih jastuka za podizanje tereta, raznih električnih i ručnih alata, instrumenata za mjerenje te cijevnih dišnih aparata, radi unaprjeđenja i poboljšanje kvalitete obrazovanja svih struktura uključenih u proces. Procesom obrazovanja u 2012. godini na Učilištu bili su obuhvaćeni polaznici prekvalifikacija za vatrogasna zanimanja (ukupno 120) , pripadnici dobrovoljnih i profesionalnih struktura  operativnih snaga zaštite i spašavanja (558 pripadnika), te ostali sudionici sustava zaštite i spašavanja (231 pripadnik).</w:t>
      </w:r>
    </w:p>
    <w:p w:rsidR="00AC0832" w:rsidRDefault="00AC0832">
      <w:pPr>
        <w:pStyle w:val="Heading2"/>
      </w:pPr>
      <w:r>
        <w:t>04035 Hrvatski centar za razminiranje</w:t>
      </w:r>
    </w:p>
    <w:p w:rsidR="00AC0832" w:rsidRDefault="00AC0832">
      <w:pPr>
        <w:pStyle w:val="Heading4"/>
      </w:pPr>
      <w:r>
        <w:t>Uvod</w:t>
      </w:r>
    </w:p>
    <w:p w:rsidR="00AC0832" w:rsidRDefault="00AC0832">
      <w:pPr>
        <w:pStyle w:val="Normal3"/>
      </w:pPr>
      <w:r>
        <w:t>Hrvatski Centar za razminiranje je javna ustanova koju je uredbom osnovala Vlada Republike Hrvatske u veljači 1998. godine. Osnovna zadaća Hrvatskog centra za razminiranje je rukovođenje i koordiniranje svih aktivnosti u sustavu protuminskog djelovanja. Protuminsko djelovanje sadrži sljedeće aktivnosti: poslove humanitarnog razminiranja, edukaciju stanovništva o opasnostima od mina, pomoć minskim žrtvama i reintegracija. Aktivnosti Hrvatskog centra za razminiranje se provode u skladu s Zakonom o humanitarnom razminiranju (NN 153/05). Predloženi financijski plan je sačinjen u skladu s zadanim okvirima iz Uputa za izradu Državnog proračuna Republike Hrvatske za razdoblje 2012.-2014. godine. Hrvatski Sabor je 24. rujna 2009. godine jednoglasno prihvatio Nacionalni program protuminsko djelovanja 2009-2019. godine koji je u skladu s produžetkom roka izvršenja obveza iz Ottawske konvencije koji je istekao u ožujku 2009. godine, a produžen je za 10 godina. Nacionalnim programom je definirana veličina minskog problema, određeni su ciljevi za razdoblje 2009-2019, te su utvrđena potrebna financijska sredstva za provedbu Nacionalnog programa. Proračun Hrvatskog centra za razminiranje, kao glavni i najveći izvor sredstava za provedbu Nacionalnog programa, je sačinjen u skladu s zadanim okvirima iz Uputa za izradu Državnog proračuna Republike Hrvatske za razdoblje 2012.-2014. godina, međutim predviđena veličina sredstava nije dovoljna za provedbu svih planiranih aktivnosti, odnosno za ispunjenje obveza preuzetih potpisivanjem Ottawske konvencije. Specifičnost proračuna Hrvatskog centra za razminiranje je da se oko 80% proračunskih sredstava odnosi na sredstva za plaćanje radova razminiranja koje sukladno Zakonu o humanitarnom razminiranju i drugim podzakonskim aktima obavljaju komercijalne tvrtke ovlaštene od Ministarstva unutarnjih poslova za obavljanje poslova razminiranja.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04035-Hrvatski centar za razminiranje</w:t>
            </w:r>
          </w:p>
        </w:tc>
        <w:tc>
          <w:tcPr>
            <w:tcW w:w="2322" w:type="dxa"/>
          </w:tcPr>
          <w:p w:rsidR="00AC0832" w:rsidRDefault="00AC0832">
            <w:pPr>
              <w:pStyle w:val="CellColumn"/>
            </w:pPr>
            <w:r>
              <w:t>243.671.544</w:t>
            </w:r>
          </w:p>
        </w:tc>
        <w:tc>
          <w:tcPr>
            <w:tcW w:w="2322" w:type="dxa"/>
          </w:tcPr>
          <w:p w:rsidR="00AC0832" w:rsidRDefault="00AC0832">
            <w:pPr>
              <w:pStyle w:val="CellColumn"/>
            </w:pPr>
            <w:r>
              <w:t>249.963.044</w:t>
            </w:r>
          </w:p>
        </w:tc>
        <w:tc>
          <w:tcPr>
            <w:tcW w:w="2322" w:type="dxa"/>
          </w:tcPr>
          <w:p w:rsidR="00AC0832" w:rsidRDefault="00AC0832">
            <w:pPr>
              <w:pStyle w:val="CellColumn"/>
            </w:pPr>
            <w:r>
              <w:t>102,6</w:t>
            </w:r>
          </w:p>
        </w:tc>
      </w:tr>
      <w:tr w:rsidR="00AC0832" w:rsidTr="00BE20ED">
        <w:trPr>
          <w:jc w:val="center"/>
        </w:trPr>
        <w:tc>
          <w:tcPr>
            <w:tcW w:w="2322" w:type="dxa"/>
          </w:tcPr>
          <w:p w:rsidR="00AC0832" w:rsidRDefault="00AC0832">
            <w:pPr>
              <w:pStyle w:val="CellColumnSmall"/>
            </w:pPr>
            <w:r>
              <w:t>2604-PROTUMINSKO DJELOVANJE</w:t>
            </w:r>
          </w:p>
        </w:tc>
        <w:tc>
          <w:tcPr>
            <w:tcW w:w="2322" w:type="dxa"/>
          </w:tcPr>
          <w:p w:rsidR="00AC0832" w:rsidRDefault="00AC0832">
            <w:pPr>
              <w:pStyle w:val="CellColumnSmall"/>
            </w:pPr>
            <w:r>
              <w:t>243.671.544</w:t>
            </w:r>
          </w:p>
        </w:tc>
        <w:tc>
          <w:tcPr>
            <w:tcW w:w="2322" w:type="dxa"/>
          </w:tcPr>
          <w:p w:rsidR="00AC0832" w:rsidRDefault="00AC0832">
            <w:pPr>
              <w:pStyle w:val="CellColumnSmall"/>
            </w:pPr>
            <w:r>
              <w:t>249.963.044</w:t>
            </w:r>
          </w:p>
        </w:tc>
        <w:tc>
          <w:tcPr>
            <w:tcW w:w="2322" w:type="dxa"/>
          </w:tcPr>
          <w:p w:rsidR="00AC0832" w:rsidRDefault="00AC0832">
            <w:pPr>
              <w:pStyle w:val="CellColumnSmall"/>
            </w:pPr>
            <w:r>
              <w:t>102,6</w:t>
            </w:r>
          </w:p>
        </w:tc>
      </w:tr>
    </w:tbl>
    <w:p w:rsidR="00AC0832" w:rsidRDefault="00AC0832">
      <w:pPr>
        <w:jc w:val="left"/>
      </w:pPr>
    </w:p>
    <w:p w:rsidR="00AC0832" w:rsidRDefault="00AC0832">
      <w:pPr>
        <w:pStyle w:val="Heading4"/>
      </w:pPr>
      <w:r>
        <w:t>OBRAZLOŽENJE PROGRAMA</w:t>
      </w:r>
    </w:p>
    <w:p w:rsidR="00AC0832" w:rsidRDefault="00AC0832">
      <w:pPr>
        <w:pStyle w:val="Heading5"/>
      </w:pPr>
      <w:r>
        <w:t>2604 PROTUMINSKO DJELOVANJE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2604-PROTUMINSKO DJELOVANJE</w:t>
            </w:r>
          </w:p>
        </w:tc>
        <w:tc>
          <w:tcPr>
            <w:tcW w:w="2322" w:type="dxa"/>
          </w:tcPr>
          <w:p w:rsidR="00AC0832" w:rsidRDefault="00AC0832">
            <w:pPr>
              <w:pStyle w:val="CellColumn"/>
            </w:pPr>
            <w:r>
              <w:t>243.671.544</w:t>
            </w:r>
          </w:p>
        </w:tc>
        <w:tc>
          <w:tcPr>
            <w:tcW w:w="2322" w:type="dxa"/>
          </w:tcPr>
          <w:p w:rsidR="00AC0832" w:rsidRDefault="00AC0832">
            <w:pPr>
              <w:pStyle w:val="CellColumn"/>
            </w:pPr>
            <w:r>
              <w:t>249.963.044</w:t>
            </w:r>
          </w:p>
        </w:tc>
        <w:tc>
          <w:tcPr>
            <w:tcW w:w="2322" w:type="dxa"/>
          </w:tcPr>
          <w:p w:rsidR="00AC0832" w:rsidRDefault="00AC0832">
            <w:pPr>
              <w:pStyle w:val="CellColumn"/>
            </w:pPr>
            <w:r>
              <w:t>102,6</w:t>
            </w:r>
          </w:p>
        </w:tc>
      </w:tr>
    </w:tbl>
    <w:p w:rsidR="00AC0832" w:rsidRDefault="00AC0832">
      <w:pPr>
        <w:jc w:val="left"/>
      </w:pPr>
    </w:p>
    <w:p w:rsidR="00AC0832" w:rsidRDefault="00AC0832">
      <w:pPr>
        <w:pStyle w:val="Heading6"/>
      </w:pPr>
      <w:r>
        <w:t>Opis programa</w:t>
      </w:r>
    </w:p>
    <w:p w:rsidR="00AC0832" w:rsidRDefault="00AC0832">
      <w:pPr>
        <w:pStyle w:val="Normal5"/>
      </w:pPr>
      <w:r>
        <w:t>Cilj ovog programa je u potpunosti ukloniti minsku opasnost s teritorija Republike Hrvatske u skladu sa "Zakonom o humanitarnom razminiranju" te u skladu s Nacionalnim programom protuminskog djelovanja 2009-2019 i Ottawskom konvencijom. Sa 1. siječnjom 2012. godine minski problem se prostirao na području veličine 753 km2 na kojem se prema zapisnicima miniranosti koje posjeduje HCR još nalazi 86.000 mina i nedefiniran broj neeksplodiranih ubojnih sredstava. Prema prihvaćenom Nacionalnom programu za ispunjenje ovog cilja potrebno je osigurati 4.000.000.000,00 kuna od čega se najveći dio odnosno 2.500.000.000,00 kn odnosi na izdvajanje iz državnog proračuna.</w:t>
      </w:r>
    </w:p>
    <w:p w:rsidR="00AC0832" w:rsidRDefault="00AC0832">
      <w:pPr>
        <w:pStyle w:val="Heading6"/>
      </w:pPr>
      <w:r>
        <w:t>Zakonske i druge pravne osnove</w:t>
      </w:r>
    </w:p>
    <w:p w:rsidR="00AC0832" w:rsidRDefault="00AC0832">
      <w:pPr>
        <w:pStyle w:val="Normal5"/>
      </w:pPr>
      <w:r>
        <w:t>Program se provodi na temelju Zakona o humanitarnom razminiranju (NN 153/05), Pravilnika o načinu obavljanja poslova razminiranja (NN 79/00,87/02,94/02,149/02,138/03,123/05), Nacionalnog programa protuminskog djelovanja 2009-2019(NN 120/09), Zakona o zabrani uporabe, stvaranja zaliha, proizvodnje i prijenosa protupješačkih mina i njihovom uništenju (NN 141/04) Ottawske konvencije o zabrani proizvodnje, prijevoza, upotrebe i skladištenju protupješačkih mina, te o njihovom uništavanju.</w:t>
      </w:r>
    </w:p>
    <w:p w:rsidR="00AC0832" w:rsidRDefault="00AC0832">
      <w:pPr>
        <w:pStyle w:val="Heading7"/>
      </w:pPr>
      <w:r>
        <w:t xml:space="preserve">Cilj 1. Smanjenje veličine minski sumnjivih prostora </w:t>
      </w:r>
    </w:p>
    <w:p w:rsidR="00AC0832" w:rsidRDefault="00AC0832">
      <w:pPr>
        <w:pStyle w:val="Heading8"/>
        <w:jc w:val="left"/>
      </w:pPr>
      <w:r>
        <w:t>Opis provedbe cilja programa</w:t>
      </w:r>
    </w:p>
    <w:p w:rsidR="00AC0832" w:rsidRDefault="00AC0832">
      <w:pPr>
        <w:pStyle w:val="Normal6"/>
      </w:pPr>
      <w:r>
        <w:t xml:space="preserve">Poslovima razminiravanja kroz 254 idejnih projekata pretraživanja i razminiranja uklonjena je minska opasnost s površine od 30.491.455 m2. </w:t>
      </w:r>
    </w:p>
    <w:p w:rsidR="00AC0832" w:rsidRDefault="00AC0832">
      <w:pPr>
        <w:pStyle w:val="Normal6"/>
      </w:pPr>
      <w:r>
        <w:t xml:space="preserve">Općim izviđanjem u cilju izrade projektne dokumentacije i ažuriranja minski sumnjivih područja, ista su smanjena za  36.787.326 m2. </w:t>
      </w:r>
    </w:p>
    <w:p w:rsidR="00AC0832" w:rsidRDefault="00AC0832">
      <w:pPr>
        <w:pStyle w:val="Normal6"/>
      </w:pPr>
      <w:r>
        <w:t>Tijekom realizacije na projektima na kojima je proveden stručni nadzor nad obavljenim poslovima pretraživanja i/ili razminiranja pronađeno i uništeno 2.150 protupješačkih mina, 2.331 protuoklopnih mina, odnosno ukupno 4.481 mina i 4.371 komada NUS-a. Pored uništenih mina, analizom svih dostupnih podataka na realiziranim projektima, te provedbom općeg izviđanja procjenjuje se da je prostor RH na dan 31.12.2012. još uvjek zagađen sa oko 76.000 mina.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6"/>
        <w:gridCol w:w="1551"/>
        <w:gridCol w:w="1223"/>
        <w:gridCol w:w="1250"/>
        <w:gridCol w:w="1243"/>
        <w:gridCol w:w="1250"/>
        <w:gridCol w:w="126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Veličina razminirane minski sumnjive površine</w:t>
            </w:r>
          </w:p>
        </w:tc>
        <w:tc>
          <w:tcPr>
            <w:tcW w:w="1300" w:type="dxa"/>
          </w:tcPr>
          <w:p w:rsidR="00AC0832" w:rsidRDefault="00AC0832">
            <w:pPr>
              <w:pStyle w:val="CellColumn"/>
            </w:pPr>
            <w:r>
              <w:t>Povećanjem razminiravanja povećava se veličina površine koju je moguće privesti namjeni</w:t>
            </w:r>
          </w:p>
        </w:tc>
        <w:tc>
          <w:tcPr>
            <w:tcW w:w="1300" w:type="dxa"/>
          </w:tcPr>
          <w:p w:rsidR="00AC0832" w:rsidRDefault="00AC0832">
            <w:pPr>
              <w:pStyle w:val="CellColumn"/>
            </w:pPr>
            <w:r>
              <w:t>km2</w:t>
            </w:r>
          </w:p>
        </w:tc>
        <w:tc>
          <w:tcPr>
            <w:tcW w:w="1300" w:type="dxa"/>
          </w:tcPr>
          <w:p w:rsidR="00AC0832" w:rsidRDefault="00AC0832">
            <w:pPr>
              <w:pStyle w:val="CellColumn"/>
            </w:pPr>
            <w:r>
              <w:t>0</w:t>
            </w:r>
          </w:p>
        </w:tc>
        <w:tc>
          <w:tcPr>
            <w:tcW w:w="1300" w:type="dxa"/>
          </w:tcPr>
          <w:p w:rsidR="00AC0832" w:rsidRDefault="00AC0832">
            <w:pPr>
              <w:pStyle w:val="CellColumn"/>
            </w:pPr>
            <w:r>
              <w:t>HCR</w:t>
            </w:r>
          </w:p>
        </w:tc>
        <w:tc>
          <w:tcPr>
            <w:tcW w:w="1300" w:type="dxa"/>
          </w:tcPr>
          <w:p w:rsidR="00AC0832" w:rsidRDefault="00AC0832">
            <w:pPr>
              <w:pStyle w:val="CellColumn"/>
            </w:pPr>
            <w:r>
              <w:t>69,0</w:t>
            </w:r>
          </w:p>
        </w:tc>
        <w:tc>
          <w:tcPr>
            <w:tcW w:w="1300" w:type="dxa"/>
          </w:tcPr>
          <w:p w:rsidR="00AC0832" w:rsidRDefault="00AC0832">
            <w:pPr>
              <w:pStyle w:val="CellColumn"/>
            </w:pPr>
            <w:r>
              <w:t>30,5</w:t>
            </w:r>
          </w:p>
        </w:tc>
      </w:tr>
      <w:tr w:rsidR="00AC0832" w:rsidTr="00BE20ED">
        <w:trPr>
          <w:jc w:val="center"/>
        </w:trPr>
        <w:tc>
          <w:tcPr>
            <w:tcW w:w="1300" w:type="dxa"/>
          </w:tcPr>
          <w:p w:rsidR="00AC0832" w:rsidRDefault="00AC0832">
            <w:pPr>
              <w:pStyle w:val="CellColumn"/>
            </w:pPr>
            <w:r>
              <w:t>Zagađenost minama i eksplozivnim sredstvima</w:t>
            </w:r>
          </w:p>
        </w:tc>
        <w:tc>
          <w:tcPr>
            <w:tcW w:w="1300" w:type="dxa"/>
          </w:tcPr>
          <w:p w:rsidR="00AC0832" w:rsidRDefault="00AC0832">
            <w:pPr>
              <w:pStyle w:val="CellColumn"/>
            </w:pPr>
            <w:r>
              <w:t>Pronalaženjem i uništavanjem mina i eksplozivnih sredstava povećava se razina opće sigurnosti i smanjuje zagađenost tla</w:t>
            </w:r>
          </w:p>
        </w:tc>
        <w:tc>
          <w:tcPr>
            <w:tcW w:w="1300" w:type="dxa"/>
          </w:tcPr>
          <w:p w:rsidR="00AC0832" w:rsidRDefault="00AC0832">
            <w:pPr>
              <w:pStyle w:val="CellColumn"/>
            </w:pPr>
            <w:r>
              <w:t>broj</w:t>
            </w:r>
          </w:p>
        </w:tc>
        <w:tc>
          <w:tcPr>
            <w:tcW w:w="1300" w:type="dxa"/>
          </w:tcPr>
          <w:p w:rsidR="00AC0832" w:rsidRDefault="00AC0832">
            <w:pPr>
              <w:pStyle w:val="CellColumn"/>
            </w:pPr>
            <w:r>
              <w:t>86.000</w:t>
            </w:r>
          </w:p>
        </w:tc>
        <w:tc>
          <w:tcPr>
            <w:tcW w:w="1300" w:type="dxa"/>
          </w:tcPr>
          <w:p w:rsidR="00AC0832" w:rsidRDefault="00AC0832">
            <w:pPr>
              <w:pStyle w:val="CellColumn"/>
            </w:pPr>
            <w:r>
              <w:t>HCR</w:t>
            </w:r>
          </w:p>
        </w:tc>
        <w:tc>
          <w:tcPr>
            <w:tcW w:w="1300" w:type="dxa"/>
          </w:tcPr>
          <w:p w:rsidR="00AC0832" w:rsidRDefault="00AC0832">
            <w:pPr>
              <w:pStyle w:val="CellColumn"/>
            </w:pPr>
            <w:r>
              <w:t>80.000</w:t>
            </w:r>
          </w:p>
        </w:tc>
        <w:tc>
          <w:tcPr>
            <w:tcW w:w="1300" w:type="dxa"/>
          </w:tcPr>
          <w:p w:rsidR="00AC0832" w:rsidRDefault="00AC0832">
            <w:pPr>
              <w:pStyle w:val="CellColumn"/>
            </w:pPr>
            <w:r>
              <w:t>76.000</w:t>
            </w:r>
          </w:p>
        </w:tc>
      </w:tr>
      <w:tr w:rsidR="00AC0832" w:rsidTr="00BE20ED">
        <w:trPr>
          <w:jc w:val="center"/>
        </w:trPr>
        <w:tc>
          <w:tcPr>
            <w:tcW w:w="1300" w:type="dxa"/>
          </w:tcPr>
          <w:p w:rsidR="00AC0832" w:rsidRDefault="00AC0832">
            <w:pPr>
              <w:pStyle w:val="CellColumn"/>
            </w:pPr>
            <w:r>
              <w:t>Veličina smanjene minski sumnjive površine provedbom općeg izviđanja</w:t>
            </w:r>
          </w:p>
        </w:tc>
        <w:tc>
          <w:tcPr>
            <w:tcW w:w="1300" w:type="dxa"/>
          </w:tcPr>
          <w:p w:rsidR="00AC0832" w:rsidRDefault="00AC0832">
            <w:pPr>
              <w:pStyle w:val="CellColumn"/>
            </w:pPr>
            <w:r>
              <w:t>Isključenje površina iz minski sumnjivih općim izviđanjem znatno ubrzava i pojeftinjuje proces humanitarnog razminiravanja</w:t>
            </w:r>
          </w:p>
        </w:tc>
        <w:tc>
          <w:tcPr>
            <w:tcW w:w="1300" w:type="dxa"/>
          </w:tcPr>
          <w:p w:rsidR="00AC0832" w:rsidRDefault="00AC0832">
            <w:pPr>
              <w:pStyle w:val="CellColumn"/>
            </w:pPr>
            <w:r>
              <w:t>km2</w:t>
            </w:r>
          </w:p>
        </w:tc>
        <w:tc>
          <w:tcPr>
            <w:tcW w:w="1300" w:type="dxa"/>
          </w:tcPr>
          <w:p w:rsidR="00AC0832" w:rsidRDefault="00AC0832">
            <w:pPr>
              <w:pStyle w:val="CellColumn"/>
            </w:pPr>
            <w:r>
              <w:t>0</w:t>
            </w:r>
          </w:p>
        </w:tc>
        <w:tc>
          <w:tcPr>
            <w:tcW w:w="1300" w:type="dxa"/>
          </w:tcPr>
          <w:p w:rsidR="00AC0832" w:rsidRDefault="00AC0832">
            <w:pPr>
              <w:pStyle w:val="CellColumn"/>
            </w:pPr>
            <w:r>
              <w:t>HCR</w:t>
            </w:r>
          </w:p>
        </w:tc>
        <w:tc>
          <w:tcPr>
            <w:tcW w:w="1300" w:type="dxa"/>
          </w:tcPr>
          <w:p w:rsidR="00AC0832" w:rsidRDefault="00AC0832">
            <w:pPr>
              <w:pStyle w:val="CellColumn"/>
            </w:pPr>
            <w:r>
              <w:t>65,0</w:t>
            </w:r>
          </w:p>
        </w:tc>
        <w:tc>
          <w:tcPr>
            <w:tcW w:w="1300" w:type="dxa"/>
          </w:tcPr>
          <w:p w:rsidR="00AC0832" w:rsidRDefault="00AC0832">
            <w:pPr>
              <w:pStyle w:val="CellColumn"/>
            </w:pPr>
            <w:r>
              <w:t>36,8</w:t>
            </w:r>
          </w:p>
        </w:tc>
      </w:tr>
      <w:tr w:rsidR="00AC0832" w:rsidTr="00BE20ED">
        <w:trPr>
          <w:jc w:val="center"/>
        </w:trPr>
        <w:tc>
          <w:tcPr>
            <w:tcW w:w="1300" w:type="dxa"/>
          </w:tcPr>
          <w:p w:rsidR="00AC0832" w:rsidRDefault="00AC0832">
            <w:pPr>
              <w:pStyle w:val="CellColumn"/>
            </w:pPr>
            <w:r>
              <w:t>Izvršenje sveobuhvatnih analiza cjelovitih minski sumnjivih poligona</w:t>
            </w:r>
          </w:p>
        </w:tc>
        <w:tc>
          <w:tcPr>
            <w:tcW w:w="1300" w:type="dxa"/>
          </w:tcPr>
          <w:p w:rsidR="00AC0832" w:rsidRDefault="00AC0832">
            <w:pPr>
              <w:pStyle w:val="CellColumn"/>
            </w:pPr>
            <w:r>
              <w:t>Povećanjem broja sveobuhvatnih analiza povećava se nivo kvalitete pokazatelja minske zagađenosti</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HCR</w:t>
            </w:r>
          </w:p>
        </w:tc>
        <w:tc>
          <w:tcPr>
            <w:tcW w:w="1300" w:type="dxa"/>
          </w:tcPr>
          <w:p w:rsidR="00AC0832" w:rsidRDefault="00AC0832">
            <w:pPr>
              <w:pStyle w:val="CellColumn"/>
            </w:pPr>
            <w:r>
              <w:t>12</w:t>
            </w:r>
          </w:p>
        </w:tc>
        <w:tc>
          <w:tcPr>
            <w:tcW w:w="1300" w:type="dxa"/>
          </w:tcPr>
          <w:p w:rsidR="00AC0832" w:rsidRDefault="00AC0832">
            <w:pPr>
              <w:pStyle w:val="CellColumn"/>
            </w:pPr>
            <w:r>
              <w:t>12</w:t>
            </w:r>
          </w:p>
        </w:tc>
      </w:tr>
    </w:tbl>
    <w:p w:rsidR="00AC0832" w:rsidRDefault="00AC0832">
      <w:pPr>
        <w:jc w:val="left"/>
      </w:pPr>
    </w:p>
    <w:p w:rsidR="00AC0832" w:rsidRDefault="00AC0832">
      <w:pPr>
        <w:pStyle w:val="Heading7"/>
      </w:pPr>
      <w:r>
        <w:t xml:space="preserve">Cilj 2. U cijelosti ukloniti minsku opasnost s područja namjenjenih obnovi i povratku raseljenih osoba, te s većine oranica  </w:t>
      </w:r>
    </w:p>
    <w:p w:rsidR="00AC0832" w:rsidRDefault="00AC0832">
      <w:pPr>
        <w:pStyle w:val="Heading8"/>
        <w:jc w:val="left"/>
      </w:pPr>
      <w:r>
        <w:t>Opis provedbe cilja programa</w:t>
      </w:r>
    </w:p>
    <w:p w:rsidR="00AC0832" w:rsidRDefault="00AC0832">
      <w:pPr>
        <w:pStyle w:val="Normal6"/>
      </w:pPr>
      <w:r>
        <w:t>U 2012. godini je ukupno smanjen MSP na oranicama za 28,2 km2, a unutar JU PP Kopački rit za 1,8 km2.</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3"/>
        <w:gridCol w:w="1761"/>
        <w:gridCol w:w="1230"/>
        <w:gridCol w:w="1254"/>
        <w:gridCol w:w="1248"/>
        <w:gridCol w:w="1254"/>
        <w:gridCol w:w="126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Smanjenje minski sumnjive površine prioritetne skupine- oranice</w:t>
            </w:r>
          </w:p>
        </w:tc>
        <w:tc>
          <w:tcPr>
            <w:tcW w:w="1300" w:type="dxa"/>
          </w:tcPr>
          <w:p w:rsidR="00AC0832" w:rsidRDefault="00AC0832">
            <w:pPr>
              <w:pStyle w:val="CellColumn"/>
            </w:pPr>
            <w:r>
              <w:t>Ucjelosti izvršenim razminiravanjem oranica omogućit će se pokretanje poljoprivredne proizvodnje na područjma posebne državne skrbi i smanjiti mogućnost stradavanja lokalnog stanovništva - poljoprivrednika</w:t>
            </w:r>
          </w:p>
        </w:tc>
        <w:tc>
          <w:tcPr>
            <w:tcW w:w="1300" w:type="dxa"/>
          </w:tcPr>
          <w:p w:rsidR="00AC0832" w:rsidRDefault="00AC0832">
            <w:pPr>
              <w:pStyle w:val="CellColumn"/>
            </w:pPr>
            <w:r>
              <w:t>km2</w:t>
            </w:r>
          </w:p>
        </w:tc>
        <w:tc>
          <w:tcPr>
            <w:tcW w:w="1300" w:type="dxa"/>
          </w:tcPr>
          <w:p w:rsidR="00AC0832" w:rsidRDefault="00AC0832">
            <w:pPr>
              <w:pStyle w:val="CellColumn"/>
            </w:pPr>
            <w:r>
              <w:t>101</w:t>
            </w:r>
          </w:p>
        </w:tc>
        <w:tc>
          <w:tcPr>
            <w:tcW w:w="1300" w:type="dxa"/>
          </w:tcPr>
          <w:p w:rsidR="00AC0832" w:rsidRDefault="00AC0832">
            <w:pPr>
              <w:pStyle w:val="CellColumn"/>
            </w:pPr>
            <w:r>
              <w:t>HCR</w:t>
            </w:r>
          </w:p>
        </w:tc>
        <w:tc>
          <w:tcPr>
            <w:tcW w:w="1300" w:type="dxa"/>
          </w:tcPr>
          <w:p w:rsidR="00AC0832" w:rsidRDefault="00AC0832">
            <w:pPr>
              <w:pStyle w:val="CellColumn"/>
            </w:pPr>
            <w:r>
              <w:t>67,0</w:t>
            </w:r>
          </w:p>
        </w:tc>
        <w:tc>
          <w:tcPr>
            <w:tcW w:w="1300" w:type="dxa"/>
          </w:tcPr>
          <w:p w:rsidR="00AC0832" w:rsidRDefault="00AC0832">
            <w:pPr>
              <w:pStyle w:val="CellColumn"/>
            </w:pPr>
            <w:r>
              <w:t>72,8</w:t>
            </w:r>
          </w:p>
        </w:tc>
      </w:tr>
      <w:tr w:rsidR="00AC0832" w:rsidTr="00BE20ED">
        <w:trPr>
          <w:jc w:val="center"/>
        </w:trPr>
        <w:tc>
          <w:tcPr>
            <w:tcW w:w="1300" w:type="dxa"/>
          </w:tcPr>
          <w:p w:rsidR="00AC0832" w:rsidRDefault="00AC0832">
            <w:pPr>
              <w:pStyle w:val="CellColumn"/>
            </w:pPr>
            <w:r>
              <w:t>Smanjenje minski sumnjive površine prioritetne skupine-zaštićena područja</w:t>
            </w:r>
          </w:p>
        </w:tc>
        <w:tc>
          <w:tcPr>
            <w:tcW w:w="1300" w:type="dxa"/>
          </w:tcPr>
          <w:p w:rsidR="00AC0832" w:rsidRDefault="00AC0832">
            <w:pPr>
              <w:pStyle w:val="CellColumn"/>
            </w:pPr>
            <w:r>
              <w:t>Razminiravanjem većeg dijela močvarnog područja unutar Parka prirode Kopački rit omogućit će se pristup staništima ptica, provođenje nadzora i uzimanje uzorak, te u slučaju pojave epidemije djelovanje sanitarnim ekipama</w:t>
            </w:r>
          </w:p>
        </w:tc>
        <w:tc>
          <w:tcPr>
            <w:tcW w:w="1300" w:type="dxa"/>
          </w:tcPr>
          <w:p w:rsidR="00AC0832" w:rsidRDefault="00AC0832">
            <w:pPr>
              <w:pStyle w:val="CellColumn"/>
            </w:pPr>
            <w:r>
              <w:t>km2</w:t>
            </w:r>
          </w:p>
        </w:tc>
        <w:tc>
          <w:tcPr>
            <w:tcW w:w="1300" w:type="dxa"/>
          </w:tcPr>
          <w:p w:rsidR="00AC0832" w:rsidRDefault="00AC0832">
            <w:pPr>
              <w:pStyle w:val="CellColumn"/>
            </w:pPr>
            <w:r>
              <w:t>0</w:t>
            </w:r>
          </w:p>
        </w:tc>
        <w:tc>
          <w:tcPr>
            <w:tcW w:w="1300" w:type="dxa"/>
          </w:tcPr>
          <w:p w:rsidR="00AC0832" w:rsidRDefault="00AC0832">
            <w:pPr>
              <w:pStyle w:val="CellColumn"/>
            </w:pPr>
            <w:r>
              <w:t>HCR</w:t>
            </w:r>
          </w:p>
        </w:tc>
        <w:tc>
          <w:tcPr>
            <w:tcW w:w="1300" w:type="dxa"/>
          </w:tcPr>
          <w:p w:rsidR="00AC0832" w:rsidRDefault="00AC0832">
            <w:pPr>
              <w:pStyle w:val="CellColumn"/>
            </w:pPr>
            <w:r>
              <w:t>0,5</w:t>
            </w:r>
          </w:p>
        </w:tc>
        <w:tc>
          <w:tcPr>
            <w:tcW w:w="1300" w:type="dxa"/>
          </w:tcPr>
          <w:p w:rsidR="00AC0832" w:rsidRDefault="00AC0832">
            <w:pPr>
              <w:pStyle w:val="CellColumn"/>
            </w:pPr>
            <w:r>
              <w:t>1,8</w:t>
            </w:r>
          </w:p>
        </w:tc>
      </w:tr>
    </w:tbl>
    <w:p w:rsidR="00AC0832" w:rsidRDefault="00AC0832">
      <w:pPr>
        <w:jc w:val="left"/>
      </w:pPr>
    </w:p>
    <w:p w:rsidR="00AC0832" w:rsidRDefault="00AC0832">
      <w:pPr>
        <w:pStyle w:val="Heading7"/>
      </w:pPr>
      <w:r>
        <w:t>Cilj 3. Održati obilježenost cjelokupnog minski sumnjivog prostora</w:t>
      </w:r>
    </w:p>
    <w:p w:rsidR="00AC0832" w:rsidRDefault="00AC0832">
      <w:pPr>
        <w:pStyle w:val="Heading8"/>
        <w:jc w:val="left"/>
      </w:pPr>
      <w:r>
        <w:t>Opis provedbe cilja programa</w:t>
      </w:r>
    </w:p>
    <w:p w:rsidR="00AC0832" w:rsidRDefault="00AC0832">
      <w:pPr>
        <w:pStyle w:val="Normal6"/>
      </w:pPr>
      <w:r>
        <w:t xml:space="preserve">Usporedno s provedbom općeg izvida i poslova pretraživanja i razminiravanja, provodila se kontrola obilježenosti i, prema potrebi, dodatna obilježavanja minski sumnjivog područja, radi stvaranja jasne granice između sigurne i minski sumnjive površine.  </w:t>
      </w:r>
    </w:p>
    <w:p w:rsidR="00AC0832" w:rsidRDefault="00AC0832">
      <w:pPr>
        <w:pStyle w:val="Normal6"/>
      </w:pPr>
      <w:r>
        <w:t>Položaj oznaka o opasnostima od mina jedan je od temeljnih elemenata informacijskog sustava o miniranosti prikazan na zemljovidima miniranosti koji su dostavljeni tijelima državne uprave, jedinicama lokalne i regionalne samouprave, policijskim upravama i drugim fizičkim i pravnim osobama po zahtjevu.</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1551"/>
        <w:gridCol w:w="1277"/>
        <w:gridCol w:w="1285"/>
        <w:gridCol w:w="1283"/>
        <w:gridCol w:w="1285"/>
        <w:gridCol w:w="129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minimalno izvršenih kontrola tabli koje ukazuju na opasnost od mina i ograda koje priječe ulazak u minski sumnjiv prostor</w:t>
            </w:r>
          </w:p>
        </w:tc>
        <w:tc>
          <w:tcPr>
            <w:tcW w:w="1300" w:type="dxa"/>
          </w:tcPr>
          <w:p w:rsidR="00AC0832" w:rsidRDefault="00AC0832">
            <w:pPr>
              <w:pStyle w:val="CellColumn"/>
            </w:pPr>
            <w:r>
              <w:t>Kontrolom sustava obilježenosti smanjuje se mogućnost minskih incidenata</w:t>
            </w:r>
          </w:p>
        </w:tc>
        <w:tc>
          <w:tcPr>
            <w:tcW w:w="1300" w:type="dxa"/>
          </w:tcPr>
          <w:p w:rsidR="00AC0832" w:rsidRDefault="00AC0832">
            <w:pPr>
              <w:pStyle w:val="CellColumn"/>
            </w:pPr>
            <w:r>
              <w:t>Broj</w:t>
            </w:r>
          </w:p>
        </w:tc>
        <w:tc>
          <w:tcPr>
            <w:tcW w:w="1300" w:type="dxa"/>
          </w:tcPr>
          <w:p w:rsidR="00AC0832" w:rsidRDefault="00AC0832">
            <w:pPr>
              <w:pStyle w:val="CellColumn"/>
            </w:pPr>
            <w:r>
              <w:t>1</w:t>
            </w:r>
          </w:p>
        </w:tc>
        <w:tc>
          <w:tcPr>
            <w:tcW w:w="1300" w:type="dxa"/>
          </w:tcPr>
          <w:p w:rsidR="00AC0832" w:rsidRDefault="00AC0832">
            <w:pPr>
              <w:pStyle w:val="CellColumn"/>
            </w:pPr>
            <w:r>
              <w:t>HCR</w:t>
            </w:r>
          </w:p>
        </w:tc>
        <w:tc>
          <w:tcPr>
            <w:tcW w:w="1300" w:type="dxa"/>
          </w:tcPr>
          <w:p w:rsidR="00AC0832" w:rsidRDefault="00AC0832">
            <w:pPr>
              <w:pStyle w:val="CellColumn"/>
            </w:pPr>
            <w:r>
              <w:t>1</w:t>
            </w:r>
          </w:p>
        </w:tc>
        <w:tc>
          <w:tcPr>
            <w:tcW w:w="1300" w:type="dxa"/>
          </w:tcPr>
          <w:p w:rsidR="00AC0832" w:rsidRDefault="00AC0832">
            <w:pPr>
              <w:pStyle w:val="CellColumn"/>
            </w:pPr>
            <w:r>
              <w:t>1</w:t>
            </w:r>
          </w:p>
        </w:tc>
      </w:tr>
      <w:tr w:rsidR="00AC0832" w:rsidTr="00BE20ED">
        <w:trPr>
          <w:jc w:val="center"/>
        </w:trPr>
        <w:tc>
          <w:tcPr>
            <w:tcW w:w="1300" w:type="dxa"/>
          </w:tcPr>
          <w:p w:rsidR="00AC0832" w:rsidRDefault="00AC0832">
            <w:pPr>
              <w:pStyle w:val="CellColumn"/>
            </w:pPr>
            <w:r>
              <w:t>Broj minimalno dostavljanih zemljovida miniranosti s prikazom obilježenosti minski sumnjivog prostora županijama</w:t>
            </w:r>
          </w:p>
        </w:tc>
        <w:tc>
          <w:tcPr>
            <w:tcW w:w="1300" w:type="dxa"/>
          </w:tcPr>
          <w:p w:rsidR="00AC0832" w:rsidRDefault="00AC0832">
            <w:pPr>
              <w:pStyle w:val="CellColumn"/>
            </w:pPr>
            <w:r>
              <w:t>Upoznavanjem stanovništva s položajem oznaka koje ukazuju na opasnost od mina i eksplozivnih sredstava povećava se kvaliteta i svrhovitost obilježavanja</w:t>
            </w:r>
          </w:p>
        </w:tc>
        <w:tc>
          <w:tcPr>
            <w:tcW w:w="1300" w:type="dxa"/>
          </w:tcPr>
          <w:p w:rsidR="00AC0832" w:rsidRDefault="00AC0832">
            <w:pPr>
              <w:pStyle w:val="CellColumn"/>
            </w:pPr>
            <w:r>
              <w:t>Broj</w:t>
            </w:r>
          </w:p>
        </w:tc>
        <w:tc>
          <w:tcPr>
            <w:tcW w:w="1300" w:type="dxa"/>
          </w:tcPr>
          <w:p w:rsidR="00AC0832" w:rsidRDefault="00AC0832">
            <w:pPr>
              <w:pStyle w:val="CellColumn"/>
            </w:pPr>
            <w:r>
              <w:t>1</w:t>
            </w:r>
          </w:p>
        </w:tc>
        <w:tc>
          <w:tcPr>
            <w:tcW w:w="1300" w:type="dxa"/>
          </w:tcPr>
          <w:p w:rsidR="00AC0832" w:rsidRDefault="00AC0832">
            <w:pPr>
              <w:pStyle w:val="CellColumn"/>
            </w:pPr>
            <w:r>
              <w:t>HCR</w:t>
            </w:r>
          </w:p>
        </w:tc>
        <w:tc>
          <w:tcPr>
            <w:tcW w:w="1300" w:type="dxa"/>
          </w:tcPr>
          <w:p w:rsidR="00AC0832" w:rsidRDefault="00AC0832">
            <w:pPr>
              <w:pStyle w:val="CellColumn"/>
            </w:pPr>
            <w:r>
              <w:t>1</w:t>
            </w:r>
          </w:p>
        </w:tc>
        <w:tc>
          <w:tcPr>
            <w:tcW w:w="1300" w:type="dxa"/>
          </w:tcPr>
          <w:p w:rsidR="00AC0832" w:rsidRDefault="00AC0832">
            <w:pPr>
              <w:pStyle w:val="CellColumn"/>
            </w:pPr>
            <w:r>
              <w:t>1</w:t>
            </w:r>
          </w:p>
        </w:tc>
      </w:tr>
    </w:tbl>
    <w:p w:rsidR="00AC0832" w:rsidRDefault="00AC0832">
      <w:pPr>
        <w:jc w:val="left"/>
      </w:pPr>
    </w:p>
    <w:p w:rsidR="00AC0832" w:rsidRDefault="00AC0832">
      <w:pPr>
        <w:pStyle w:val="Heading7"/>
      </w:pPr>
      <w:r>
        <w:t xml:space="preserve">Cilj 4. Edukacija stanovništva od opasnosti od mina </w:t>
      </w:r>
    </w:p>
    <w:p w:rsidR="00AC0832" w:rsidRDefault="00AC0832">
      <w:pPr>
        <w:pStyle w:val="Heading8"/>
        <w:jc w:val="left"/>
      </w:pPr>
      <w:r>
        <w:t>Opis provedbe cilja programa</w:t>
      </w:r>
    </w:p>
    <w:p w:rsidR="00AC0832" w:rsidRDefault="00AC0832">
      <w:pPr>
        <w:pStyle w:val="Normal6"/>
      </w:pPr>
      <w:r>
        <w:t>Sukladno Zakonu o humanitarnom razminiranju, edukacija o opasnostima od mina provođena je tijekom 2012. godine uz koordinativnu ulogu Hrvatskog centra za razminiranje i u suradnji s Ministarstvom unutarnjih poslova, Hrvatskim crvenim križem, Zajednice udruga hrvatskih civilnih stradalnika iz Domovinskog rata Republike Hrvatske, Hrvatskim lovačkim savezom, Zakladom Hrvatska bez mina i dr.</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3"/>
        <w:gridCol w:w="1384"/>
        <w:gridCol w:w="1109"/>
        <w:gridCol w:w="1176"/>
        <w:gridCol w:w="1158"/>
        <w:gridCol w:w="1176"/>
        <w:gridCol w:w="121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izvršenih koordinacijskih sastanaka</w:t>
            </w:r>
          </w:p>
        </w:tc>
        <w:tc>
          <w:tcPr>
            <w:tcW w:w="1300" w:type="dxa"/>
          </w:tcPr>
          <w:p w:rsidR="00AC0832" w:rsidRDefault="00AC0832">
            <w:pPr>
              <w:pStyle w:val="CellColumn"/>
            </w:pPr>
            <w:r>
              <w:t>Informiranost svih subjekata koji učestvuju u edukaciji o opasnostima od mina doprinosi poboljšanju kvalitete edukacije</w:t>
            </w:r>
          </w:p>
        </w:tc>
        <w:tc>
          <w:tcPr>
            <w:tcW w:w="1300" w:type="dxa"/>
          </w:tcPr>
          <w:p w:rsidR="00AC0832" w:rsidRDefault="00AC0832">
            <w:pPr>
              <w:pStyle w:val="CellColumn"/>
            </w:pPr>
            <w:r>
              <w:t>Broj</w:t>
            </w:r>
          </w:p>
        </w:tc>
        <w:tc>
          <w:tcPr>
            <w:tcW w:w="1300" w:type="dxa"/>
          </w:tcPr>
          <w:p w:rsidR="00AC0832" w:rsidRDefault="00AC0832">
            <w:pPr>
              <w:pStyle w:val="CellColumn"/>
            </w:pPr>
            <w:r>
              <w:t>2</w:t>
            </w:r>
          </w:p>
        </w:tc>
        <w:tc>
          <w:tcPr>
            <w:tcW w:w="1300" w:type="dxa"/>
          </w:tcPr>
          <w:p w:rsidR="00AC0832" w:rsidRDefault="00AC0832">
            <w:pPr>
              <w:pStyle w:val="CellColumn"/>
            </w:pPr>
            <w:r>
              <w:t>HCR</w:t>
            </w:r>
          </w:p>
        </w:tc>
        <w:tc>
          <w:tcPr>
            <w:tcW w:w="1300" w:type="dxa"/>
          </w:tcPr>
          <w:p w:rsidR="00AC0832" w:rsidRDefault="00AC0832">
            <w:pPr>
              <w:pStyle w:val="CellColumn"/>
            </w:pPr>
            <w:r>
              <w:t>2</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Udio održanih tribina u minski zagađenim gradovima/općinama obzirom na ukupan broj minski zagađenih</w:t>
            </w:r>
          </w:p>
        </w:tc>
        <w:tc>
          <w:tcPr>
            <w:tcW w:w="1300" w:type="dxa"/>
          </w:tcPr>
          <w:p w:rsidR="00AC0832" w:rsidRDefault="00AC0832">
            <w:pPr>
              <w:pStyle w:val="CellColumn"/>
            </w:pPr>
            <w:r>
              <w:t>Povećanjem broja održanih tribina jača se svijest djece o opasnosti od mina i sprečava stradavanja djece</w:t>
            </w:r>
          </w:p>
        </w:tc>
        <w:tc>
          <w:tcPr>
            <w:tcW w:w="1300" w:type="dxa"/>
          </w:tcPr>
          <w:p w:rsidR="00AC0832" w:rsidRDefault="00AC0832">
            <w:pPr>
              <w:pStyle w:val="CellColumn"/>
            </w:pPr>
            <w:r>
              <w:t>%</w:t>
            </w:r>
          </w:p>
        </w:tc>
        <w:tc>
          <w:tcPr>
            <w:tcW w:w="1300" w:type="dxa"/>
          </w:tcPr>
          <w:p w:rsidR="00AC0832" w:rsidRDefault="00AC0832">
            <w:pPr>
              <w:pStyle w:val="CellColumn"/>
            </w:pPr>
            <w:r>
              <w:t>80</w:t>
            </w:r>
          </w:p>
        </w:tc>
        <w:tc>
          <w:tcPr>
            <w:tcW w:w="1300" w:type="dxa"/>
          </w:tcPr>
          <w:p w:rsidR="00AC0832" w:rsidRDefault="00AC0832">
            <w:pPr>
              <w:pStyle w:val="CellColumn"/>
            </w:pPr>
            <w:r>
              <w:t>HCR</w:t>
            </w:r>
          </w:p>
        </w:tc>
        <w:tc>
          <w:tcPr>
            <w:tcW w:w="1300" w:type="dxa"/>
          </w:tcPr>
          <w:p w:rsidR="00AC0832" w:rsidRDefault="00AC0832">
            <w:pPr>
              <w:pStyle w:val="CellColumn"/>
            </w:pPr>
            <w:r>
              <w:t>90</w:t>
            </w:r>
          </w:p>
        </w:tc>
        <w:tc>
          <w:tcPr>
            <w:tcW w:w="1300" w:type="dxa"/>
          </w:tcPr>
          <w:p w:rsidR="00AC0832" w:rsidRDefault="00AC0832">
            <w:pPr>
              <w:pStyle w:val="CellColumn"/>
            </w:pPr>
            <w:r>
              <w:t>90</w:t>
            </w:r>
          </w:p>
        </w:tc>
      </w:tr>
    </w:tbl>
    <w:p w:rsidR="00AC0832" w:rsidRDefault="00AC0832">
      <w:pPr>
        <w:jc w:val="left"/>
      </w:pPr>
    </w:p>
    <w:p w:rsidR="00AC0832" w:rsidRDefault="00AC0832">
      <w:pPr>
        <w:pStyle w:val="Heading7"/>
      </w:pPr>
      <w:r>
        <w:t xml:space="preserve">Cilj 5. Koordinirati aktivnosti vezane uz skrb, rehabilitaciju i ekonosmku reintegraciju svih žrtava mina </w:t>
      </w:r>
    </w:p>
    <w:p w:rsidR="00AC0832" w:rsidRDefault="00AC0832">
      <w:pPr>
        <w:pStyle w:val="Heading8"/>
        <w:jc w:val="left"/>
      </w:pPr>
      <w:r>
        <w:t>Opis provedbe cilja programa</w:t>
      </w:r>
    </w:p>
    <w:p w:rsidR="00AC0832" w:rsidRDefault="00AC0832">
      <w:pPr>
        <w:pStyle w:val="Normal6"/>
      </w:pPr>
      <w:r>
        <w:t xml:space="preserve">U 2012. godini pomoć žrtvama mina se vršila sukladno zakonskim propisima kroz tijela državne uprave i nevladine organizacije uz koordinativnu ulogu Hrvatskog centra za razminiranje. Nastavljena je distribucija prošle godine izdane brošure „Mogućnosti i prava“ namijenjene osobama s invaliditetom - osobama stradalim od minskoeksplozivnih sredstava.  </w:t>
      </w:r>
    </w:p>
    <w:p w:rsidR="00AC0832" w:rsidRDefault="00AC0832">
      <w:pPr>
        <w:pStyle w:val="Normal6"/>
      </w:pPr>
      <w:r>
        <w:t xml:space="preserve">Tijekom 2012. godine nastavljeno je s pružanjem savjetodavne pomoći osobama stradalim od mina, te njihovim obiteljima.  </w:t>
      </w:r>
    </w:p>
    <w:p w:rsidR="00AC0832" w:rsidRDefault="00AC0832">
      <w:pPr>
        <w:pStyle w:val="Normal6"/>
      </w:pPr>
      <w:r>
        <w:t xml:space="preserve">U 2012. godini je nastavljen proces prikupljanja podataka o stradalima od mina, a tijekom provođenja revizija općih izvida u bazu podataka stradalih uvršteni su i novoprikupljeni podaci. </w:t>
      </w:r>
    </w:p>
    <w:p w:rsidR="00AC0832" w:rsidRDefault="00AC0832">
      <w:pPr>
        <w:pStyle w:val="Normal6"/>
      </w:pPr>
      <w:r>
        <w:t>U svibnju 2012. godine u organizaciji udruge „Mine aid“ održan je dvodnevni seminar u Taborištu kraj Petrinje, koji je predstavljao završnicu rada na projektu Osnaživanje-Sinergija-Integracija koji je bio financiran od strane Ministarstva zdravstva i socijalne skrbi, a potom od Ministarstva socijalne politike i mladih.</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8"/>
        <w:gridCol w:w="1384"/>
        <w:gridCol w:w="1264"/>
        <w:gridCol w:w="1277"/>
        <w:gridCol w:w="1274"/>
        <w:gridCol w:w="1277"/>
        <w:gridCol w:w="128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izvršenih koordinacijskih sastanaka</w:t>
            </w:r>
          </w:p>
        </w:tc>
        <w:tc>
          <w:tcPr>
            <w:tcW w:w="1300" w:type="dxa"/>
          </w:tcPr>
          <w:p w:rsidR="00AC0832" w:rsidRDefault="00AC0832">
            <w:pPr>
              <w:pStyle w:val="CellColumn"/>
            </w:pPr>
            <w:r>
              <w:t>Informiranost svih subjekata koji učestvuju u pomoći žrtvama mina doprinosi poboljšanju kvalitete pomoći</w:t>
            </w:r>
          </w:p>
        </w:tc>
        <w:tc>
          <w:tcPr>
            <w:tcW w:w="1300" w:type="dxa"/>
          </w:tcPr>
          <w:p w:rsidR="00AC0832" w:rsidRDefault="00AC0832">
            <w:pPr>
              <w:pStyle w:val="CellColumn"/>
            </w:pPr>
            <w:r>
              <w:t>Broj</w:t>
            </w:r>
          </w:p>
        </w:tc>
        <w:tc>
          <w:tcPr>
            <w:tcW w:w="1300" w:type="dxa"/>
          </w:tcPr>
          <w:p w:rsidR="00AC0832" w:rsidRDefault="00AC0832">
            <w:pPr>
              <w:pStyle w:val="CellColumn"/>
            </w:pPr>
            <w:r>
              <w:t>3</w:t>
            </w:r>
          </w:p>
        </w:tc>
        <w:tc>
          <w:tcPr>
            <w:tcW w:w="1300" w:type="dxa"/>
          </w:tcPr>
          <w:p w:rsidR="00AC0832" w:rsidRDefault="00AC0832">
            <w:pPr>
              <w:pStyle w:val="CellColumn"/>
            </w:pPr>
            <w:r>
              <w:t>HCR</w:t>
            </w:r>
          </w:p>
        </w:tc>
        <w:tc>
          <w:tcPr>
            <w:tcW w:w="1300" w:type="dxa"/>
          </w:tcPr>
          <w:p w:rsidR="00AC0832" w:rsidRDefault="00AC0832">
            <w:pPr>
              <w:pStyle w:val="CellColumn"/>
            </w:pPr>
            <w:r>
              <w:t>3</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7"/>
      </w:pPr>
      <w:r>
        <w:t xml:space="preserve">Cilj 6. Pozicionirati i promovirati hrvatski sustav protuminskog djelovanja međunarodnoj zajednici </w:t>
      </w:r>
    </w:p>
    <w:p w:rsidR="00AC0832" w:rsidRDefault="00AC0832">
      <w:pPr>
        <w:pStyle w:val="Heading8"/>
        <w:jc w:val="left"/>
      </w:pPr>
      <w:r>
        <w:t>Opis provedbe cilja programa</w:t>
      </w:r>
    </w:p>
    <w:p w:rsidR="00AC0832" w:rsidRDefault="00AC0832">
      <w:pPr>
        <w:pStyle w:val="Normal6"/>
      </w:pPr>
      <w:r>
        <w:t>Hrvatski centar za razminiranje nastoji međunarodnom suradnjom uspostaviti suradnju i partnerski odnos sa svim relevantnim međunarodnim subjektima u protuminskom djelovanju. Cilj suradnje je razmjena iskustava i informacija u sustavu protuminskog djelovanja te usklađivanje Standardnih operativnih postupaka. Isto tako, kvalitetnim programima i sustavom protuminskog djelovanja, želimo konkurirati na svjetskoj razini svim srodnim organizacijama.</w:t>
      </w: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7"/>
        <w:gridCol w:w="1617"/>
        <w:gridCol w:w="1230"/>
        <w:gridCol w:w="1254"/>
        <w:gridCol w:w="1248"/>
        <w:gridCol w:w="1254"/>
        <w:gridCol w:w="126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potpisanih sporazuma o suradnji na području protuminskog djelovanja</w:t>
            </w:r>
          </w:p>
        </w:tc>
        <w:tc>
          <w:tcPr>
            <w:tcW w:w="1300" w:type="dxa"/>
          </w:tcPr>
          <w:p w:rsidR="00AC0832" w:rsidRDefault="00AC0832">
            <w:pPr>
              <w:pStyle w:val="CellColumn"/>
            </w:pPr>
            <w:r>
              <w:t>Povećanjem broja zemalja s kojima se potpišu sporazumi jača se pozicija Republike Hrvatske na međunarodnom tržištu.</w:t>
            </w:r>
          </w:p>
        </w:tc>
        <w:tc>
          <w:tcPr>
            <w:tcW w:w="1300" w:type="dxa"/>
          </w:tcPr>
          <w:p w:rsidR="00AC0832" w:rsidRDefault="00AC0832">
            <w:pPr>
              <w:pStyle w:val="CellColumn"/>
            </w:pPr>
            <w:r>
              <w:t>Broj</w:t>
            </w:r>
          </w:p>
        </w:tc>
        <w:tc>
          <w:tcPr>
            <w:tcW w:w="1300" w:type="dxa"/>
          </w:tcPr>
          <w:p w:rsidR="00AC0832" w:rsidRDefault="00AC0832">
            <w:pPr>
              <w:pStyle w:val="CellColumn"/>
            </w:pPr>
            <w:r>
              <w:t>5</w:t>
            </w:r>
          </w:p>
        </w:tc>
        <w:tc>
          <w:tcPr>
            <w:tcW w:w="1300" w:type="dxa"/>
          </w:tcPr>
          <w:p w:rsidR="00AC0832" w:rsidRDefault="00AC0832">
            <w:pPr>
              <w:pStyle w:val="CellColumn"/>
            </w:pPr>
            <w:r>
              <w:t>HCR</w:t>
            </w:r>
          </w:p>
        </w:tc>
        <w:tc>
          <w:tcPr>
            <w:tcW w:w="1300" w:type="dxa"/>
          </w:tcPr>
          <w:p w:rsidR="00AC0832" w:rsidRDefault="00AC0832">
            <w:pPr>
              <w:pStyle w:val="CellColumn"/>
            </w:pPr>
            <w:r>
              <w:t>6</w:t>
            </w:r>
          </w:p>
        </w:tc>
        <w:tc>
          <w:tcPr>
            <w:tcW w:w="1300" w:type="dxa"/>
          </w:tcPr>
          <w:p w:rsidR="00AC0832" w:rsidRDefault="00AC0832">
            <w:pPr>
              <w:pStyle w:val="CellColumn"/>
            </w:pPr>
            <w:r>
              <w:t>6</w:t>
            </w:r>
          </w:p>
        </w:tc>
      </w:tr>
    </w:tbl>
    <w:p w:rsidR="00AC0832" w:rsidRDefault="00AC0832">
      <w:pPr>
        <w:jc w:val="left"/>
      </w:pPr>
    </w:p>
    <w:p w:rsidR="00AC0832" w:rsidRDefault="00AC0832">
      <w:pPr>
        <w:pStyle w:val="Heading1"/>
      </w:pPr>
      <w:r>
        <w:t>041 MINISTARSTVO BRANITELJA</w:t>
      </w:r>
    </w:p>
    <w:p w:rsidR="00AC0832" w:rsidRDefault="00AC0832">
      <w:pPr>
        <w:pStyle w:val="Heading4"/>
      </w:pPr>
      <w:r>
        <w:t>Uvod</w:t>
      </w:r>
    </w:p>
    <w:p w:rsidR="00AC0832" w:rsidRDefault="00AC0832">
      <w:pPr>
        <w:pStyle w:val="Normal3"/>
      </w:pPr>
      <w:r>
        <w:t xml:space="preserve">Djelokrug rada i osnovnih zadaća Ministarstva branitelja propisan je u članku 20. Zakona o ustrojstvu i djelokrugu središnjih tijela državne uprave ("Narodne novine", broj:150/2011). </w:t>
      </w:r>
    </w:p>
    <w:p w:rsidR="00AC0832" w:rsidRDefault="00AC0832">
      <w:pPr>
        <w:pStyle w:val="Normal3"/>
      </w:pPr>
      <w:r>
        <w:t xml:space="preserve">U Financijskom planu Ministarstva prema organizacijskoj klasifikaciji unutar razdjela 041 postoje glava 05 Ministarstvo branitelja. Prema programskoj klasifikaciji Ministarstvo branitelja sadrži 4 programa sa 22 aktivnosti i 4 projekata. </w:t>
      </w:r>
    </w:p>
    <w:p w:rsidR="00AC0832" w:rsidRDefault="00AC0832">
      <w:pPr>
        <w:pStyle w:val="Normal3"/>
      </w:pPr>
      <w:r>
        <w:t xml:space="preserve">Ministarstvo branitelja obavlja upravne i druge poslove koji se odnose na pravni položaj, rješavanje pravnog položaja, statusa i drugih pitanja hrvatskih branitelja iz Domovinskog rata, hrvatskih ratnih vojnih invalida iz Domovinskog rata, hrvatskih branitelja iz Domovinskog rata i članova njihovih obitelji, statusa člana obitelji smrtno stradalog, zatočenog ili nestalog hrvatskog branitelja iz Domovinskog rata, osim poslova koji ulaze u djelokrug drugih ministarstava, kao i upravne i druge poslove koji se odnose na zaštitu civilnih žrtava iz Domovinskog rata, zaštitu sudionika Drugog svjetskog rata, zaštitu vojnih i civilnih invalida  Drugog svjetskog rata, zaštitu osoba stradalih u obavljanju obvezne vojne službe od 15. svibnja 1945. godine na dalje i  članova njihovih obitelji, osoba stradalih pri obavljanju vojnih i redarstvenih dužnosti u stranoj zemlji u okviru mirovnih snaga i mirovnih misija ako ih je na tu dužnost uputilo nadležno tijelo u okviru međunarodnih obveza poslije 15. svibnja 1945. godine, kao i zaštitu članova obitelji smrtno stradalih osoba pod navedenim okolnostima.   </w:t>
      </w:r>
    </w:p>
    <w:p w:rsidR="00AC0832" w:rsidRDefault="00AC0832">
      <w:pPr>
        <w:pStyle w:val="Normal3"/>
      </w:pPr>
      <w:r>
        <w:t xml:space="preserve">Ministarstvo obavlja stručne poslove usmjerene promicanju vrijednosti Domovinskog rata i očuvanju digniteta njegovih sudionika i stradalnika, unaprjeđenju opsega sveobuhvatne skrbi, poticanju zakonskih projekata u cilju poboljšanja kvalitete življenja, povećanju stupnja obrazovanja i konkurentnosti hrvatskih branitelja i članova njihovih obitelji te upoznavanju šire javnosti sa svim značajnim događajima i mjestima iz Domovinskog rata. </w:t>
      </w:r>
    </w:p>
    <w:p w:rsidR="00AC0832" w:rsidRDefault="00AC0832">
      <w:pPr>
        <w:pStyle w:val="Normal3"/>
      </w:pPr>
      <w:r>
        <w:t xml:space="preserve">U djelokrugu Ministarstva obavljaju se stručni i drugi poslovi koji se odnose na traženje nestalih osoba iz Domovinskog rata, organizaciju ekshumacija masovnih i pojedinačnih grobnica na području Republike Hrvatske, prikupljanje i obradu podataka o ekshumiranim žrtvama u cilju identifikacije, te organizaciju identifikacije posmrtnih ostataka žrtava i njihovu sahranu. Ministarstvo obavlja i poslove koji se odnose na očuvanje spomena na žrtve Drugog svjetskog rata i poraća. </w:t>
      </w:r>
    </w:p>
    <w:p w:rsidR="00AC0832" w:rsidRDefault="00AC0832">
      <w:pPr>
        <w:pStyle w:val="Normal3"/>
      </w:pPr>
      <w:r>
        <w:t>Unutarnje ustrojstvo Ministarstva čini Kabinet ministra, Glavno tajništvo ministarstva, Samostalni odjel za unutarnju reviziju i 3 uprave.</w:t>
      </w:r>
      <w:r>
        <w:tab/>
        <w:t xml:space="preserve"> </w:t>
      </w:r>
    </w:p>
    <w:p w:rsidR="00AC0832" w:rsidRDefault="00AC0832">
      <w:pPr>
        <w:pStyle w:val="Normal3"/>
      </w:pPr>
      <w:r>
        <w:t xml:space="preserve">U Financijskom planu glave 04105 Ministarstvo branitelja za provođenje četiri programa osigurana su sredstva u iznosu od 1.178.438.034 kuna u 2012. godini, 1.189.597.804 kuna u 2013. godini i 1.201.809.303 kuna u 2014. godini. </w:t>
      </w:r>
    </w:p>
    <w:p w:rsidR="00AC0832" w:rsidRDefault="00AC0832">
      <w:pPr>
        <w:pStyle w:val="Normal3"/>
      </w:pPr>
      <w:r>
        <w:t xml:space="preserve">U odnosu na 2011. godinu prijedlog plana za 2012. godinu povećan je za 8.509.463,00 kuna, indeks 2012./2011. 100,73. </w:t>
      </w:r>
    </w:p>
    <w:p w:rsidR="00AC0832" w:rsidRDefault="00AC0832">
      <w:pPr>
        <w:pStyle w:val="Normal3"/>
      </w:pPr>
      <w:r>
        <w:t xml:space="preserve">U 2013. godini prijedlog plana je povećan za 11.159.770,00 kuna, indeks rasta iznosi 100,95.  </w:t>
      </w:r>
    </w:p>
    <w:p w:rsidR="00AC0832" w:rsidRDefault="00AC0832">
      <w:pPr>
        <w:pStyle w:val="Normal3"/>
      </w:pPr>
      <w:r>
        <w:t>U 2014. godini planirana sredstva se povećavanju u odnosu na 2013. godinu za 12.211.499,00 kuna, indeks 101,03.</w:t>
      </w:r>
    </w:p>
    <w:p w:rsidR="00AC0832" w:rsidRDefault="00AC0832">
      <w:pPr>
        <w:pStyle w:val="Normal3"/>
      </w:pPr>
    </w:p>
    <w:p w:rsidR="00AC0832" w:rsidRDefault="00AC0832">
      <w:pPr>
        <w:pStyle w:val="Normal3"/>
      </w:pPr>
    </w:p>
    <w:p w:rsidR="00AC0832" w:rsidRDefault="00AC0832">
      <w:pPr>
        <w:pStyle w:val="Normal3"/>
      </w:pPr>
    </w:p>
    <w:p w:rsidR="00AC0832" w:rsidRDefault="00AC0832">
      <w:pPr>
        <w:pStyle w:val="Normal3"/>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04105-Ministarstvo branitelja</w:t>
            </w:r>
          </w:p>
        </w:tc>
        <w:tc>
          <w:tcPr>
            <w:tcW w:w="2322" w:type="dxa"/>
          </w:tcPr>
          <w:p w:rsidR="00AC0832" w:rsidRDefault="00AC0832">
            <w:pPr>
              <w:pStyle w:val="CellColumn"/>
            </w:pPr>
            <w:r>
              <w:t>1.116.038.034</w:t>
            </w:r>
          </w:p>
        </w:tc>
        <w:tc>
          <w:tcPr>
            <w:tcW w:w="2322" w:type="dxa"/>
          </w:tcPr>
          <w:p w:rsidR="00AC0832" w:rsidRDefault="00AC0832">
            <w:pPr>
              <w:pStyle w:val="CellColumn"/>
            </w:pPr>
            <w:r>
              <w:t>1.092.865.716</w:t>
            </w:r>
          </w:p>
        </w:tc>
        <w:tc>
          <w:tcPr>
            <w:tcW w:w="2322" w:type="dxa"/>
          </w:tcPr>
          <w:p w:rsidR="00AC0832" w:rsidRDefault="00AC0832">
            <w:pPr>
              <w:pStyle w:val="CellColumn"/>
            </w:pPr>
            <w:r>
              <w:t>97,9</w:t>
            </w:r>
          </w:p>
        </w:tc>
      </w:tr>
      <w:tr w:rsidR="00AC0832" w:rsidTr="00BE20ED">
        <w:trPr>
          <w:jc w:val="center"/>
        </w:trPr>
        <w:tc>
          <w:tcPr>
            <w:tcW w:w="2322" w:type="dxa"/>
            <w:shd w:val="clear" w:color="auto" w:fill="B5C0D8"/>
          </w:tcPr>
          <w:p w:rsidR="00AC0832" w:rsidRDefault="00AC0832">
            <w:pPr>
              <w:pStyle w:val="CellColumn"/>
            </w:pPr>
            <w:r>
              <w:t>Ukupno 041-MINISTARSTVO BRANITELJA</w:t>
            </w:r>
          </w:p>
        </w:tc>
        <w:tc>
          <w:tcPr>
            <w:tcW w:w="2322" w:type="dxa"/>
            <w:shd w:val="clear" w:color="auto" w:fill="B5C0D8"/>
          </w:tcPr>
          <w:p w:rsidR="00AC0832" w:rsidRDefault="00AC0832">
            <w:pPr>
              <w:pStyle w:val="CellColumn"/>
            </w:pPr>
            <w:r>
              <w:t>1.116.038.034</w:t>
            </w:r>
          </w:p>
        </w:tc>
        <w:tc>
          <w:tcPr>
            <w:tcW w:w="2322" w:type="dxa"/>
            <w:shd w:val="clear" w:color="auto" w:fill="B5C0D8"/>
          </w:tcPr>
          <w:p w:rsidR="00AC0832" w:rsidRDefault="00AC0832">
            <w:pPr>
              <w:pStyle w:val="CellColumn"/>
            </w:pPr>
            <w:r>
              <w:t>1.092.865.716</w:t>
            </w:r>
          </w:p>
        </w:tc>
        <w:tc>
          <w:tcPr>
            <w:tcW w:w="2322" w:type="dxa"/>
            <w:shd w:val="clear" w:color="auto" w:fill="B5C0D8"/>
          </w:tcPr>
          <w:p w:rsidR="00AC0832" w:rsidRDefault="00AC0832">
            <w:pPr>
              <w:pStyle w:val="CellColumn"/>
            </w:pPr>
            <w:r>
              <w:t>97,9</w:t>
            </w:r>
          </w:p>
        </w:tc>
      </w:tr>
    </w:tbl>
    <w:p w:rsidR="00AC0832" w:rsidRDefault="00AC0832">
      <w:pPr>
        <w:jc w:val="left"/>
      </w:pPr>
    </w:p>
    <w:p w:rsidR="00AC0832" w:rsidRDefault="00AC0832">
      <w:pPr>
        <w:pStyle w:val="Heading2"/>
      </w:pPr>
      <w:r>
        <w:t>04105 Ministarstvo branitelja</w:t>
      </w:r>
    </w:p>
    <w:p w:rsidR="00AC0832" w:rsidRDefault="00AC0832">
      <w:pPr>
        <w:pStyle w:val="Heading4"/>
      </w:pPr>
      <w:r>
        <w:t>Uvod</w:t>
      </w:r>
    </w:p>
    <w:p w:rsidR="00AC0832" w:rsidRDefault="00AC0832">
      <w:pPr>
        <w:pStyle w:val="Normal3"/>
      </w:pPr>
      <w:r>
        <w:t xml:space="preserve">Ministarstvo branitelja obavlja upravne i druge poslove koji se odnose na pravni položaj, rješavanje pravnog položaja, statusa i drugih pitanja hrvatskih branitelja iz Domovinskog rata, hrvatskih ratnih vojnih invalida iz Domovinskog rata, hrvatskih branitelja iz Domovinskog rata i članova njihovih obitelji, statusa člana obitelji smrtno stradalog, zatočenog ili nestalog hrvatskog branitelja iz Domovinskog rata, osim poslova koji ulaze u djelokrug drugih ministarstava, kao i upravne i druge poslove koji se odnose na zaštitu civilnih žrtava iz Domovinskog rata, zaštitu sudionika Drugog svjetskog rata, zaštitu vojnih i civilnih invalida  Drugog svjetskog rata, zaštitu osoba stradalih u obavljanju obvezne vojne službe od 15. svibnja 1945. godine na dalje i  članova njihovih obitelji, osoba stradalih pri obavljanju vojnih i redarstvenih dužnosti u stranoj zemlji u okviru mirovnih snaga i mirovnih misija ako ih je na tu dužnost uputilo nadležno tijelo u okviru međunarodnih obveza poslije 15. svibnja 1945. godine, kao i zaštitu članova obitelji smrtno stradalih osoba pod navedenim okolnostima. </w:t>
      </w:r>
    </w:p>
    <w:p w:rsidR="00AC0832" w:rsidRDefault="00AC0832">
      <w:pPr>
        <w:pStyle w:val="Normal3"/>
      </w:pPr>
      <w:r>
        <w:t xml:space="preserve">Ministarstvo tradicionalno obilježava obljetnice, odavanjem počasti poginulim hrvatskim braniteljima te održavanjem prigodnih programa. Izgradnjom spomen obilježja na mjestima masovnih grobnica iz Domovinskog rata kao i pružanjem potpore podizanju spomenika hrvatskim braniteljima poginulim u Domovinskom ratu, Ministarstvo štiti temeljne vrijednosti i dignitet domovinskog rata. </w:t>
      </w:r>
    </w:p>
    <w:p w:rsidR="00AC0832" w:rsidRDefault="00AC0832">
      <w:pPr>
        <w:pStyle w:val="Normal3"/>
      </w:pPr>
      <w:r>
        <w:t>Ministarstvo obavlja stručne i druge poslove koji se odnose na traženje zatočenih i nestalih, organizaciju ekshumacija masovnih i pojedinačnih grobnica na teritoriju Republike Hrvatske, prikuplja i obrađuje podatke o ekshumiranim žrtvama u cilju identifikacije, te organizira identifikaciju posmrtnih ostataka žrtava.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04105-Ministarstvo branitelja</w:t>
            </w:r>
          </w:p>
        </w:tc>
        <w:tc>
          <w:tcPr>
            <w:tcW w:w="2322" w:type="dxa"/>
          </w:tcPr>
          <w:p w:rsidR="00AC0832" w:rsidRDefault="00AC0832">
            <w:pPr>
              <w:pStyle w:val="CellColumn"/>
            </w:pPr>
            <w:r>
              <w:t>1.116.038.034</w:t>
            </w:r>
          </w:p>
        </w:tc>
        <w:tc>
          <w:tcPr>
            <w:tcW w:w="2322" w:type="dxa"/>
          </w:tcPr>
          <w:p w:rsidR="00AC0832" w:rsidRDefault="00AC0832">
            <w:pPr>
              <w:pStyle w:val="CellColumn"/>
            </w:pPr>
            <w:r>
              <w:t>1.092.865.716</w:t>
            </w:r>
          </w:p>
        </w:tc>
        <w:tc>
          <w:tcPr>
            <w:tcW w:w="2322" w:type="dxa"/>
          </w:tcPr>
          <w:p w:rsidR="00AC0832" w:rsidRDefault="00AC0832">
            <w:pPr>
              <w:pStyle w:val="CellColumn"/>
            </w:pPr>
            <w:r>
              <w:t>97,9</w:t>
            </w:r>
          </w:p>
        </w:tc>
      </w:tr>
      <w:tr w:rsidR="00AC0832" w:rsidTr="00BE20ED">
        <w:trPr>
          <w:jc w:val="center"/>
        </w:trPr>
        <w:tc>
          <w:tcPr>
            <w:tcW w:w="2322" w:type="dxa"/>
          </w:tcPr>
          <w:p w:rsidR="00AC0832" w:rsidRDefault="00AC0832">
            <w:pPr>
              <w:pStyle w:val="CellColumnSmall"/>
            </w:pPr>
            <w:r>
              <w:t>3911-OBILJEŽAVANJE MJESTA STRADAVANJA U DOMOVINSKOM RATU</w:t>
            </w:r>
          </w:p>
        </w:tc>
        <w:tc>
          <w:tcPr>
            <w:tcW w:w="2322" w:type="dxa"/>
          </w:tcPr>
          <w:p w:rsidR="00AC0832" w:rsidRDefault="00AC0832">
            <w:pPr>
              <w:pStyle w:val="CellColumnSmall"/>
            </w:pPr>
            <w:r>
              <w:t>6.680.000</w:t>
            </w:r>
          </w:p>
        </w:tc>
        <w:tc>
          <w:tcPr>
            <w:tcW w:w="2322" w:type="dxa"/>
          </w:tcPr>
          <w:p w:rsidR="00AC0832" w:rsidRDefault="00AC0832">
            <w:pPr>
              <w:pStyle w:val="CellColumnSmall"/>
            </w:pPr>
            <w:r>
              <w:t>5.121.571</w:t>
            </w:r>
          </w:p>
        </w:tc>
        <w:tc>
          <w:tcPr>
            <w:tcW w:w="2322" w:type="dxa"/>
          </w:tcPr>
          <w:p w:rsidR="00AC0832" w:rsidRDefault="00AC0832">
            <w:pPr>
              <w:pStyle w:val="CellColumnSmall"/>
            </w:pPr>
            <w:r>
              <w:t>76,7</w:t>
            </w:r>
          </w:p>
        </w:tc>
      </w:tr>
      <w:tr w:rsidR="00AC0832" w:rsidTr="00BE20ED">
        <w:trPr>
          <w:jc w:val="center"/>
        </w:trPr>
        <w:tc>
          <w:tcPr>
            <w:tcW w:w="2322" w:type="dxa"/>
          </w:tcPr>
          <w:p w:rsidR="00AC0832" w:rsidRDefault="00AC0832">
            <w:pPr>
              <w:pStyle w:val="CellColumnSmall"/>
            </w:pPr>
            <w:r>
              <w:t>4007-SKRB ZA HRVATSKE BRANITELJE IZ DOMOVINSKOG RATA</w:t>
            </w:r>
          </w:p>
        </w:tc>
        <w:tc>
          <w:tcPr>
            <w:tcW w:w="2322" w:type="dxa"/>
          </w:tcPr>
          <w:p w:rsidR="00AC0832" w:rsidRDefault="00AC0832">
            <w:pPr>
              <w:pStyle w:val="CellColumnSmall"/>
            </w:pPr>
            <w:r>
              <w:t>886.550.534</w:t>
            </w:r>
          </w:p>
        </w:tc>
        <w:tc>
          <w:tcPr>
            <w:tcW w:w="2322" w:type="dxa"/>
          </w:tcPr>
          <w:p w:rsidR="00AC0832" w:rsidRDefault="00AC0832">
            <w:pPr>
              <w:pStyle w:val="CellColumnSmall"/>
            </w:pPr>
            <w:r>
              <w:t>868.242.280</w:t>
            </w:r>
          </w:p>
        </w:tc>
        <w:tc>
          <w:tcPr>
            <w:tcW w:w="2322" w:type="dxa"/>
          </w:tcPr>
          <w:p w:rsidR="00AC0832" w:rsidRDefault="00AC0832">
            <w:pPr>
              <w:pStyle w:val="CellColumnSmall"/>
            </w:pPr>
            <w:r>
              <w:t>97,9</w:t>
            </w:r>
          </w:p>
        </w:tc>
      </w:tr>
      <w:tr w:rsidR="00AC0832" w:rsidTr="00BE20ED">
        <w:trPr>
          <w:jc w:val="center"/>
        </w:trPr>
        <w:tc>
          <w:tcPr>
            <w:tcW w:w="2322" w:type="dxa"/>
          </w:tcPr>
          <w:p w:rsidR="00AC0832" w:rsidRDefault="00AC0832">
            <w:pPr>
              <w:pStyle w:val="CellColumnSmall"/>
            </w:pPr>
            <w:r>
              <w:t>4008-ZATOČENI I NESTALI</w:t>
            </w:r>
          </w:p>
        </w:tc>
        <w:tc>
          <w:tcPr>
            <w:tcW w:w="2322" w:type="dxa"/>
          </w:tcPr>
          <w:p w:rsidR="00AC0832" w:rsidRDefault="00AC0832">
            <w:pPr>
              <w:pStyle w:val="CellColumnSmall"/>
            </w:pPr>
            <w:r>
              <w:t>9.602.500</w:t>
            </w:r>
          </w:p>
        </w:tc>
        <w:tc>
          <w:tcPr>
            <w:tcW w:w="2322" w:type="dxa"/>
          </w:tcPr>
          <w:p w:rsidR="00AC0832" w:rsidRDefault="00AC0832">
            <w:pPr>
              <w:pStyle w:val="CellColumnSmall"/>
            </w:pPr>
            <w:r>
              <w:t>7.103.651</w:t>
            </w:r>
          </w:p>
        </w:tc>
        <w:tc>
          <w:tcPr>
            <w:tcW w:w="2322" w:type="dxa"/>
          </w:tcPr>
          <w:p w:rsidR="00AC0832" w:rsidRDefault="00AC0832">
            <w:pPr>
              <w:pStyle w:val="CellColumnSmall"/>
            </w:pPr>
            <w:r>
              <w:t>74,0</w:t>
            </w:r>
          </w:p>
        </w:tc>
      </w:tr>
      <w:tr w:rsidR="00AC0832" w:rsidTr="00BE20ED">
        <w:trPr>
          <w:jc w:val="center"/>
        </w:trPr>
        <w:tc>
          <w:tcPr>
            <w:tcW w:w="2322" w:type="dxa"/>
          </w:tcPr>
          <w:p w:rsidR="00AC0832" w:rsidRDefault="00AC0832">
            <w:pPr>
              <w:pStyle w:val="CellColumnSmall"/>
            </w:pPr>
            <w:r>
              <w:t>4013-SOCIJALNE POMOĆI I NAKNADE SUDIONICIMA I ŽRTVAMA RATA</w:t>
            </w:r>
          </w:p>
        </w:tc>
        <w:tc>
          <w:tcPr>
            <w:tcW w:w="2322" w:type="dxa"/>
          </w:tcPr>
          <w:p w:rsidR="00AC0832" w:rsidRDefault="00AC0832">
            <w:pPr>
              <w:pStyle w:val="CellColumnSmall"/>
            </w:pPr>
            <w:r>
              <w:t>213.205.000</w:t>
            </w:r>
          </w:p>
        </w:tc>
        <w:tc>
          <w:tcPr>
            <w:tcW w:w="2322" w:type="dxa"/>
          </w:tcPr>
          <w:p w:rsidR="00AC0832" w:rsidRDefault="00AC0832">
            <w:pPr>
              <w:pStyle w:val="CellColumnSmall"/>
            </w:pPr>
            <w:r>
              <w:t>212.398.214</w:t>
            </w:r>
          </w:p>
        </w:tc>
        <w:tc>
          <w:tcPr>
            <w:tcW w:w="2322" w:type="dxa"/>
          </w:tcPr>
          <w:p w:rsidR="00AC0832" w:rsidRDefault="00AC0832">
            <w:pPr>
              <w:pStyle w:val="CellColumnSmall"/>
            </w:pPr>
            <w:r>
              <w:t>99,6</w:t>
            </w:r>
          </w:p>
        </w:tc>
      </w:tr>
    </w:tbl>
    <w:p w:rsidR="00AC0832" w:rsidRDefault="00AC0832">
      <w:pPr>
        <w:jc w:val="left"/>
      </w:pPr>
    </w:p>
    <w:p w:rsidR="00AC0832" w:rsidRDefault="00AC0832">
      <w:pPr>
        <w:pStyle w:val="Heading4"/>
      </w:pPr>
      <w:r>
        <w:t>OBRAZLOŽENJE PROGRAMA</w:t>
      </w:r>
    </w:p>
    <w:p w:rsidR="00AC0832" w:rsidRDefault="00AC0832">
      <w:pPr>
        <w:pStyle w:val="Heading5"/>
      </w:pPr>
      <w:r>
        <w:t>3911 OBILJEŽAVANJE MJESTA STRADAVANJA U DOMOVINSKOM RATU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3911-OBILJEŽAVANJE MJESTA STRADAVANJA U DOMOVINSKOM RATU</w:t>
            </w:r>
          </w:p>
        </w:tc>
        <w:tc>
          <w:tcPr>
            <w:tcW w:w="2322" w:type="dxa"/>
          </w:tcPr>
          <w:p w:rsidR="00AC0832" w:rsidRDefault="00AC0832">
            <w:pPr>
              <w:pStyle w:val="CellColumn"/>
            </w:pPr>
            <w:r>
              <w:t>6.680.000</w:t>
            </w:r>
          </w:p>
        </w:tc>
        <w:tc>
          <w:tcPr>
            <w:tcW w:w="2322" w:type="dxa"/>
          </w:tcPr>
          <w:p w:rsidR="00AC0832" w:rsidRDefault="00AC0832">
            <w:pPr>
              <w:pStyle w:val="CellColumn"/>
            </w:pPr>
            <w:r>
              <w:t>5.121.571</w:t>
            </w:r>
          </w:p>
        </w:tc>
        <w:tc>
          <w:tcPr>
            <w:tcW w:w="2322" w:type="dxa"/>
          </w:tcPr>
          <w:p w:rsidR="00AC0832" w:rsidRDefault="00AC0832">
            <w:pPr>
              <w:pStyle w:val="CellColumn"/>
            </w:pPr>
            <w:r>
              <w:t>76,7</w:t>
            </w:r>
          </w:p>
        </w:tc>
      </w:tr>
    </w:tbl>
    <w:p w:rsidR="00AC0832" w:rsidRDefault="00AC0832">
      <w:pPr>
        <w:jc w:val="left"/>
      </w:pPr>
    </w:p>
    <w:p w:rsidR="00AC0832" w:rsidRDefault="00AC0832">
      <w:pPr>
        <w:pStyle w:val="Heading6"/>
      </w:pPr>
      <w:r>
        <w:t>Opis programa</w:t>
      </w:r>
    </w:p>
    <w:p w:rsidR="00AC0832" w:rsidRDefault="00AC0832">
      <w:pPr>
        <w:pStyle w:val="Normal5"/>
      </w:pPr>
      <w:r>
        <w:t xml:space="preserve">U znak trajnog sjećanja na sve pobjede u Domovinskom ratu i odavanje počasti svim žrtvama Domovinskog rata, Ministarstvo sufinancira izgradnju, postavljanje ili uređenje spomen-obilježja žrtvama stradalim u Domovinskom ratu, obilježava mjesta masovnih grobnica, vodi protokolarnu i administrativnu skrb o Memorijalnom groblju žrtava iz Domovinskog rata u Vukovaru te sufinancira projekte udruga proisteklih iz Domovinskog rata s ciljem očuvanja povijesnih vrednota Domovinskog rata.  </w:t>
      </w:r>
    </w:p>
    <w:p w:rsidR="00AC0832" w:rsidRDefault="00AC0832">
      <w:pPr>
        <w:pStyle w:val="Normal5"/>
      </w:pPr>
      <w:r>
        <w:t xml:space="preserve">S obzirom da u Republici Hrvatskoj postoje teritorijalne jedinice u kojima nije postavljeno dostojanstveno spomen-obilježje žrtvama stradalima u Domovinskom ratu te postoje neobilježene masovne grobnice, aktivnosti Ministarstva bit će usmjerene na rješavanje ovih pitanja, s ciljem da se nemjerljive žrtve hrvatskog naroda, na kojima se temelji neovisnost suverene Republike Hrvatske, nikad ne zaborave. </w:t>
      </w:r>
    </w:p>
    <w:p w:rsidR="00AC0832" w:rsidRDefault="00AC0832">
      <w:pPr>
        <w:pStyle w:val="Normal5"/>
      </w:pPr>
      <w:r>
        <w:t xml:space="preserve">Vlada  Republike  Hrvatske  je  dijelu  groblja  “Dubrava”  u  Vukovaru  utvrdila  status “Memorijalnog groblja žrtava iz Domovinskog rata”, te Ministarstvo kroz protokolarnu i administrativnu skrb o groblju čuva moralni dignitet hrvatskoga naroda i svih građana Republike Hrvatske. </w:t>
      </w:r>
    </w:p>
    <w:p w:rsidR="00AC0832" w:rsidRDefault="00AC0832">
      <w:pPr>
        <w:pStyle w:val="Normal5"/>
      </w:pPr>
      <w:r>
        <w:t>«Izgradnja, postavljanje i uređenje spomen obilježja žrtvama stradalim u Domovinskom ratu» način je ostvarenja 6.3.4. posebnog cilja 6.3. «Očuvanje i zaštita digniteta hrvatskih branitelja iz Domovinskog rata i ublažavanje posljedica Domovinskog rata u društvu» koji  pridonosi  jačanju  socijalne  pravednosti  kao  jednom  od  općih  ciljeva  Strategije Vladinih programa za razdoblje od 2012. – 2014. godine.</w:t>
      </w:r>
    </w:p>
    <w:p w:rsidR="00AC0832" w:rsidRDefault="00AC0832">
      <w:pPr>
        <w:pStyle w:val="Heading6"/>
      </w:pPr>
      <w:r>
        <w:t>Zakonske i druge pravne osnove</w:t>
      </w:r>
    </w:p>
    <w:p w:rsidR="00AC0832" w:rsidRDefault="00AC0832">
      <w:pPr>
        <w:pStyle w:val="Normal5"/>
      </w:pPr>
      <w:r>
        <w:t xml:space="preserve">Zakon o pravima hrvatskih branitelja iz Domovinskog rata i članova njihovih obitelji (“N.N.” 174/04., 92/05., 02/07., 107/07., 65/09., 137/09, 146/10 i 55/11.) </w:t>
      </w:r>
    </w:p>
    <w:p w:rsidR="00AC0832" w:rsidRDefault="00AC0832">
      <w:pPr>
        <w:pStyle w:val="Normal5"/>
      </w:pPr>
      <w:r>
        <w:t xml:space="preserve">Zakon o obilježavanju mjesta masovnih grobnica žrtava iz Domovinskog rata („N.N.“ br. 100/96) </w:t>
      </w:r>
    </w:p>
    <w:p w:rsidR="00AC0832" w:rsidRDefault="00AC0832">
      <w:pPr>
        <w:pStyle w:val="Normal5"/>
      </w:pPr>
      <w:r>
        <w:t xml:space="preserve">Zakon o sustavu državne uprave ("N.N." broj 150/11) </w:t>
      </w:r>
    </w:p>
    <w:p w:rsidR="00AC0832" w:rsidRDefault="00AC0832">
      <w:pPr>
        <w:pStyle w:val="Normal5"/>
      </w:pPr>
      <w:r>
        <w:t xml:space="preserve">Zaključak Vlade Republike Hrvatske (Klasa: 564-02/00-01/03, Urbroj: 5030104-00-4)  Memorijalno groblje žrtava iz Domovinskog rata u Vukovaru </w:t>
      </w:r>
    </w:p>
    <w:p w:rsidR="00AC0832" w:rsidRDefault="00AC0832">
      <w:pPr>
        <w:pStyle w:val="Normal5"/>
      </w:pPr>
      <w:r>
        <w:t>Program Vlade 2011-2015</w:t>
      </w:r>
    </w:p>
    <w:p w:rsidR="00AC0832" w:rsidRDefault="00AC0832">
      <w:pPr>
        <w:pStyle w:val="Heading7"/>
      </w:pPr>
      <w:r>
        <w:t>Cilj 1. Izgradnja, postavljanje i uređenje spomen obilježja žrtvama stradalim u Domovinskom ratu</w:t>
      </w:r>
    </w:p>
    <w:p w:rsidR="00AC0832" w:rsidRDefault="00AC0832">
      <w:pPr>
        <w:pStyle w:val="Heading8"/>
        <w:jc w:val="left"/>
      </w:pPr>
      <w:r>
        <w:t>Opis provedbe cilja programa</w:t>
      </w:r>
    </w:p>
    <w:p w:rsidR="00AC0832" w:rsidRDefault="00AC0832">
      <w:pPr>
        <w:pStyle w:val="Normal6"/>
      </w:pPr>
      <w:r>
        <w:t xml:space="preserve">Sufinanciranjem izgradnje, postavljanja ili uređenja spomen-obilježja žrtvama stradalim u Domovinskom ratu, na području Republike Hrvatske te obilježavanjem blagdana i godišnjica vezanih za Domovinski rat, ratne postrojbe, stradanja branitelja i/ili civila, kako na državnoj tako na lokalnoj razini, čuvaju se stečevine i štiti dignitet Domovinskog rata. Prednost u odobravanju sredstava sufinanciranja izgradnje spomenika imaju oni projekti na područjima lokalne ili područne (regionalne) samouprave u kojima nema izgrađenog spomenika odnosno oni projekti koji su vezani za određene događaje, osobe ili postrojbe iz Domovinskog rata za koje do danas nije izgrađen spomenik. Sufinancirani projekti moraju udovoljavati estetskim, arhitektonskim, urbanističkim i ostalim stručnim uvjetima. </w:t>
      </w:r>
    </w:p>
    <w:p w:rsidR="00AC0832" w:rsidRDefault="00AC0832">
      <w:pPr>
        <w:pStyle w:val="Normal6"/>
      </w:pPr>
      <w:r>
        <w:t xml:space="preserve">Interes Ministarstva je podizanje kvalitete idejnih rješenja spomen-obilježja i njihove izvedbe, kao i poticanje sustavnog pristupanja gradnji spomen-obilježja i ozbiljnog planiranja potrebnih sredstava. </w:t>
      </w:r>
    </w:p>
    <w:p w:rsidR="00AC0832" w:rsidRDefault="00AC0832">
      <w:pPr>
        <w:pStyle w:val="Normal6"/>
      </w:pPr>
      <w:r>
        <w:t xml:space="preserve">Mjesta masovnih grobnica žrtava iz Domovinskog rata obilježavaju se sukladno Zakonu o obilježavanju mjesta masovnih grobnica žrtava iz Domovinskog rata i Zakonu o pravima hrvatskih branitelja iz Domovinskog rata i članova njihovih obitelji, a radi trajnog očuvanja uspomene na žrtve iz Domovinskog rata stradale tijekom agresije na Republiku Hrvatsku. Obilježavanje se u pravilu obavlja na mjestu ekshumacije ili na najbližoj prikladnoj lokaciji. Spomen-obilježje je jednako za sva mjesta masovnih grobnica, a mijenja se samo podatak o broju i statusu žrtava i vremenu stradavanja. </w:t>
      </w:r>
    </w:p>
    <w:p w:rsidR="00AC0832" w:rsidRDefault="00AC0832">
      <w:pPr>
        <w:pStyle w:val="Normal6"/>
      </w:pPr>
      <w:r>
        <w:t xml:space="preserve">Krajnji interes Ministarstva je obilježiti sva mjesta ekshumacije, odnosno stalno smanjenje broja neobilježenih mjesta masovnih grobnica žrtava iz Domovinskog rata. </w:t>
      </w:r>
    </w:p>
    <w:p w:rsidR="00AC0832" w:rsidRDefault="00AC0832">
      <w:pPr>
        <w:pStyle w:val="Normal6"/>
      </w:pPr>
      <w:r>
        <w:t>U prosincu 2012. godine Ministarstvo je s ciljem očuvanja digniteta Domovinskog rata objavilo Registar hrvatskih branitelja.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29"/>
        <w:gridCol w:w="2099"/>
        <w:gridCol w:w="617"/>
        <w:gridCol w:w="1285"/>
        <w:gridCol w:w="1283"/>
        <w:gridCol w:w="1285"/>
        <w:gridCol w:w="1290"/>
      </w:tblGrid>
      <w:tr w:rsidR="00AC0832" w:rsidTr="00595050">
        <w:trPr>
          <w:jc w:val="center"/>
        </w:trPr>
        <w:tc>
          <w:tcPr>
            <w:tcW w:w="1429" w:type="dxa"/>
            <w:shd w:val="clear" w:color="auto" w:fill="B5C0D8"/>
          </w:tcPr>
          <w:p w:rsidR="00AC0832" w:rsidRPr="00BE20ED" w:rsidRDefault="00AC0832">
            <w:pPr>
              <w:rPr>
                <w:sz w:val="20"/>
                <w:lang w:eastAsia="hr-HR"/>
              </w:rPr>
            </w:pPr>
            <w:r w:rsidRPr="00BE20ED">
              <w:rPr>
                <w:sz w:val="20"/>
                <w:lang w:eastAsia="hr-HR"/>
              </w:rPr>
              <w:t>Pokazatelj učinka</w:t>
            </w:r>
          </w:p>
        </w:tc>
        <w:tc>
          <w:tcPr>
            <w:tcW w:w="2099" w:type="dxa"/>
            <w:shd w:val="clear" w:color="auto" w:fill="B5C0D8"/>
          </w:tcPr>
          <w:p w:rsidR="00AC0832" w:rsidRDefault="00AC0832">
            <w:pPr>
              <w:pStyle w:val="CellHeader"/>
            </w:pPr>
            <w:r>
              <w:t>Definicija</w:t>
            </w:r>
          </w:p>
        </w:tc>
        <w:tc>
          <w:tcPr>
            <w:tcW w:w="617" w:type="dxa"/>
            <w:shd w:val="clear" w:color="auto" w:fill="B5C0D8"/>
          </w:tcPr>
          <w:p w:rsidR="00AC0832" w:rsidRDefault="00AC0832">
            <w:pPr>
              <w:pStyle w:val="CellHeader"/>
            </w:pPr>
            <w:r>
              <w:t>Jedinica</w:t>
            </w:r>
          </w:p>
        </w:tc>
        <w:tc>
          <w:tcPr>
            <w:tcW w:w="1285" w:type="dxa"/>
            <w:shd w:val="clear" w:color="auto" w:fill="B5C0D8"/>
          </w:tcPr>
          <w:p w:rsidR="00AC0832" w:rsidRDefault="00AC0832">
            <w:pPr>
              <w:pStyle w:val="CellHeader"/>
            </w:pPr>
            <w:r>
              <w:t>Polazna vrijednost</w:t>
            </w:r>
          </w:p>
        </w:tc>
        <w:tc>
          <w:tcPr>
            <w:tcW w:w="1283" w:type="dxa"/>
            <w:shd w:val="clear" w:color="auto" w:fill="B5C0D8"/>
          </w:tcPr>
          <w:p w:rsidR="00AC0832" w:rsidRDefault="00AC0832">
            <w:pPr>
              <w:pStyle w:val="CellHeader"/>
            </w:pPr>
            <w:r>
              <w:t>Izvor podataka</w:t>
            </w:r>
          </w:p>
        </w:tc>
        <w:tc>
          <w:tcPr>
            <w:tcW w:w="1285" w:type="dxa"/>
            <w:shd w:val="clear" w:color="auto" w:fill="B5C0D8"/>
          </w:tcPr>
          <w:p w:rsidR="00AC0832" w:rsidRDefault="00AC0832">
            <w:pPr>
              <w:pStyle w:val="CellHeader"/>
            </w:pPr>
            <w:r>
              <w:t>Ciljana vrijednost (2012.)</w:t>
            </w:r>
          </w:p>
        </w:tc>
        <w:tc>
          <w:tcPr>
            <w:tcW w:w="1290" w:type="dxa"/>
            <w:shd w:val="clear" w:color="auto" w:fill="B5C0D8"/>
          </w:tcPr>
          <w:p w:rsidR="00AC0832" w:rsidRDefault="00AC0832">
            <w:pPr>
              <w:pStyle w:val="CellHeader"/>
            </w:pPr>
            <w:r>
              <w:t>Ostvarena vrijednost (2012.)</w:t>
            </w:r>
          </w:p>
        </w:tc>
      </w:tr>
      <w:tr w:rsidR="00AC0832" w:rsidTr="00595050">
        <w:trPr>
          <w:jc w:val="center"/>
        </w:trPr>
        <w:tc>
          <w:tcPr>
            <w:tcW w:w="1429" w:type="dxa"/>
          </w:tcPr>
          <w:p w:rsidR="00AC0832" w:rsidRDefault="00AC0832">
            <w:pPr>
              <w:pStyle w:val="CellColumn"/>
            </w:pPr>
            <w:r>
              <w:t>Povećanje broja aktivnosti s ciljem očuvanja digniteta Domovinskog rata u odnosu na broj realiziranih aktivnosti</w:t>
            </w:r>
          </w:p>
        </w:tc>
        <w:tc>
          <w:tcPr>
            <w:tcW w:w="2099" w:type="dxa"/>
          </w:tcPr>
          <w:p w:rsidR="00AC0832" w:rsidRDefault="00AC0832">
            <w:pPr>
              <w:pStyle w:val="CellColumn"/>
            </w:pPr>
            <w:r>
              <w:t>Kontinuiranim djelovanjem kroz njegovanje kulturnih i povijesnih vrijednosti povećava se broj aktivnosti sa svrhom očuvanja digniteta i promicanja vrijednosti Domovinskog rata.</w:t>
            </w:r>
          </w:p>
        </w:tc>
        <w:tc>
          <w:tcPr>
            <w:tcW w:w="617" w:type="dxa"/>
          </w:tcPr>
          <w:p w:rsidR="00AC0832" w:rsidRDefault="00AC0832">
            <w:pPr>
              <w:pStyle w:val="CellColumn"/>
            </w:pPr>
            <w:r>
              <w:t>broj</w:t>
            </w:r>
          </w:p>
        </w:tc>
        <w:tc>
          <w:tcPr>
            <w:tcW w:w="1285" w:type="dxa"/>
          </w:tcPr>
          <w:p w:rsidR="00AC0832" w:rsidRDefault="00AC0832">
            <w:pPr>
              <w:pStyle w:val="CellColumn"/>
            </w:pPr>
            <w:r>
              <w:t>7</w:t>
            </w:r>
          </w:p>
        </w:tc>
        <w:tc>
          <w:tcPr>
            <w:tcW w:w="1283" w:type="dxa"/>
          </w:tcPr>
          <w:p w:rsidR="00AC0832" w:rsidRDefault="00AC0832">
            <w:pPr>
              <w:pStyle w:val="CellColumn"/>
            </w:pPr>
            <w:r>
              <w:t>MB</w:t>
            </w:r>
          </w:p>
        </w:tc>
        <w:tc>
          <w:tcPr>
            <w:tcW w:w="1285" w:type="dxa"/>
          </w:tcPr>
          <w:p w:rsidR="00AC0832" w:rsidRDefault="00AC0832">
            <w:pPr>
              <w:pStyle w:val="CellColumn"/>
            </w:pPr>
            <w:r>
              <w:t>8</w:t>
            </w:r>
          </w:p>
        </w:tc>
        <w:tc>
          <w:tcPr>
            <w:tcW w:w="1290" w:type="dxa"/>
          </w:tcPr>
          <w:p w:rsidR="00AC0832" w:rsidRDefault="00AC0832">
            <w:pPr>
              <w:pStyle w:val="CellColumn"/>
            </w:pPr>
            <w:r>
              <w:t>8</w:t>
            </w:r>
          </w:p>
        </w:tc>
      </w:tr>
    </w:tbl>
    <w:p w:rsidR="00AC0832" w:rsidRDefault="00AC0832">
      <w:pPr>
        <w:jc w:val="left"/>
      </w:pPr>
    </w:p>
    <w:p w:rsidR="00AC0832" w:rsidRDefault="00AC0832">
      <w:pPr>
        <w:pStyle w:val="Heading6"/>
      </w:pPr>
      <w:r>
        <w:t>A522021 OBILJEŽAVANJE OBLJETNICA RATNIH DOGAĐANJA I STRADAVANJA U DOMOVINSKOM RATU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A522021-OBILJEŽAVANJE OBLJETNICA RATNIH DOGAĐANJA I STRADAVANJA U DOMOVINSKOM RATU</w:t>
            </w:r>
          </w:p>
        </w:tc>
        <w:tc>
          <w:tcPr>
            <w:tcW w:w="2322" w:type="dxa"/>
          </w:tcPr>
          <w:p w:rsidR="00AC0832" w:rsidRDefault="00AC0832">
            <w:pPr>
              <w:pStyle w:val="CellColumn"/>
            </w:pPr>
            <w:r>
              <w:t>1.570.000</w:t>
            </w:r>
          </w:p>
        </w:tc>
        <w:tc>
          <w:tcPr>
            <w:tcW w:w="2322" w:type="dxa"/>
          </w:tcPr>
          <w:p w:rsidR="00AC0832" w:rsidRDefault="00AC0832">
            <w:pPr>
              <w:pStyle w:val="CellColumn"/>
            </w:pPr>
            <w:r>
              <w:t>1.239.246</w:t>
            </w:r>
          </w:p>
        </w:tc>
        <w:tc>
          <w:tcPr>
            <w:tcW w:w="2322" w:type="dxa"/>
          </w:tcPr>
          <w:p w:rsidR="00AC0832" w:rsidRDefault="00AC0832">
            <w:pPr>
              <w:pStyle w:val="CellColumn"/>
            </w:pPr>
            <w:r>
              <w:t>78,9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Ministarstvo nastavlja obilježavanje obljetnica, odavanje počasti poginulim hrvatskim braniteljima, organizaciju održavanja prigodnih programa i svečanosti.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8"/>
        <w:gridCol w:w="1428"/>
        <w:gridCol w:w="1281"/>
        <w:gridCol w:w="1287"/>
        <w:gridCol w:w="1286"/>
        <w:gridCol w:w="1287"/>
        <w:gridCol w:w="1291"/>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obilježenih obljetnica događaja iz Domovinskog rata</w:t>
            </w:r>
          </w:p>
        </w:tc>
        <w:tc>
          <w:tcPr>
            <w:tcW w:w="1300" w:type="dxa"/>
          </w:tcPr>
          <w:p w:rsidR="00AC0832" w:rsidRDefault="00AC0832">
            <w:pPr>
              <w:pStyle w:val="CellColumn"/>
            </w:pPr>
            <w:r>
              <w:t>Povećanje broja obilježenih obljetnica događaja iz Domovinskog rata doprinosi upoznavanju javnosti s mjestima i događajima iz Domovinskog rata.</w:t>
            </w:r>
          </w:p>
        </w:tc>
        <w:tc>
          <w:tcPr>
            <w:tcW w:w="1300" w:type="dxa"/>
          </w:tcPr>
          <w:p w:rsidR="00AC0832" w:rsidRDefault="00AC0832">
            <w:pPr>
              <w:pStyle w:val="CellColumn"/>
            </w:pPr>
            <w:r>
              <w:t>broj</w:t>
            </w:r>
          </w:p>
        </w:tc>
        <w:tc>
          <w:tcPr>
            <w:tcW w:w="1300" w:type="dxa"/>
          </w:tcPr>
          <w:p w:rsidR="00AC0832" w:rsidRDefault="00AC0832">
            <w:pPr>
              <w:pStyle w:val="CellColumn"/>
            </w:pPr>
            <w:r>
              <w:t>8</w:t>
            </w:r>
          </w:p>
        </w:tc>
        <w:tc>
          <w:tcPr>
            <w:tcW w:w="1300" w:type="dxa"/>
          </w:tcPr>
          <w:p w:rsidR="00AC0832" w:rsidRDefault="00AC0832">
            <w:pPr>
              <w:pStyle w:val="CellColumn"/>
            </w:pPr>
            <w:r>
              <w:t>MB</w:t>
            </w:r>
          </w:p>
        </w:tc>
        <w:tc>
          <w:tcPr>
            <w:tcW w:w="1300" w:type="dxa"/>
          </w:tcPr>
          <w:p w:rsidR="00AC0832" w:rsidRDefault="00AC0832">
            <w:pPr>
              <w:pStyle w:val="CellColumn"/>
            </w:pPr>
            <w:r>
              <w:t>10</w:t>
            </w:r>
          </w:p>
        </w:tc>
        <w:tc>
          <w:tcPr>
            <w:tcW w:w="1300" w:type="dxa"/>
          </w:tcPr>
          <w:p w:rsidR="00AC0832" w:rsidRDefault="00AC0832">
            <w:pPr>
              <w:pStyle w:val="CellColumn"/>
            </w:pPr>
            <w:r>
              <w:t>30</w:t>
            </w:r>
          </w:p>
        </w:tc>
      </w:tr>
    </w:tbl>
    <w:p w:rsidR="00AC0832" w:rsidRDefault="00AC0832">
      <w:pPr>
        <w:jc w:val="left"/>
      </w:pPr>
    </w:p>
    <w:p w:rsidR="00AC0832" w:rsidRDefault="00AC0832">
      <w:pPr>
        <w:pStyle w:val="Heading6"/>
      </w:pPr>
      <w:r>
        <w:t>A753011 MEMORIJALNO GROBLJE ŽRTAVA IZ DOMOVINSKOG RATA VUKOVAR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A753011-MEMORIJALNO GROBLJE ŽRTAVA IZ DOMOVINSKOG RATA VUKOVAR</w:t>
            </w:r>
          </w:p>
        </w:tc>
        <w:tc>
          <w:tcPr>
            <w:tcW w:w="2322" w:type="dxa"/>
          </w:tcPr>
          <w:p w:rsidR="00AC0832" w:rsidRDefault="00AC0832">
            <w:pPr>
              <w:pStyle w:val="CellColumn"/>
            </w:pPr>
            <w:r>
              <w:t>2.550.000</w:t>
            </w:r>
          </w:p>
        </w:tc>
        <w:tc>
          <w:tcPr>
            <w:tcW w:w="2322" w:type="dxa"/>
          </w:tcPr>
          <w:p w:rsidR="00AC0832" w:rsidRDefault="00AC0832">
            <w:pPr>
              <w:pStyle w:val="CellColumn"/>
            </w:pPr>
            <w:r>
              <w:t>2.031.561</w:t>
            </w:r>
          </w:p>
        </w:tc>
        <w:tc>
          <w:tcPr>
            <w:tcW w:w="2322" w:type="dxa"/>
          </w:tcPr>
          <w:p w:rsidR="00AC0832" w:rsidRDefault="00AC0832">
            <w:pPr>
              <w:pStyle w:val="CellColumn"/>
            </w:pPr>
            <w:r>
              <w:t>79,7</w:t>
            </w:r>
          </w:p>
        </w:tc>
      </w:tr>
    </w:tbl>
    <w:p w:rsidR="00AC0832" w:rsidRDefault="00AC0832">
      <w:pPr>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 xml:space="preserve">Zaključkom Vlade Republike Hrvatske od 16. studenoga 2000. godine, dijelu groblja “Dubrava” u Vukovaru utvrđen je status „Memorijalnog groblja žrtava iz Domovinskog rata”. Kroz protokolarnu i administrativnu skrb o groblju čuva se dignitet Domovinskog rata i svih stradalih hrvatskih branitelja i civila. </w:t>
      </w:r>
    </w:p>
    <w:p w:rsidR="00AC0832" w:rsidRDefault="00AC0832">
      <w:pPr>
        <w:pStyle w:val="Normal6"/>
      </w:pPr>
      <w:r>
        <w:t xml:space="preserve">Kontinuiranim nadzorom nad uslugama i radovima na održavanju, čuvanju i zaštiti Memorijalnog groblja održava se postojeća razina izgleda i uređenosti Memorijalnog groblja, što utječe na povećanje interesa javnosti i posjećenošću, kako od strane medija tako i od strane pojedinaca, što u konačnici pridonosi trajnom očuvanju digniteta Domovinskog rata. </w:t>
      </w:r>
    </w:p>
    <w:p w:rsidR="00AC0832" w:rsidRDefault="00AC0832">
      <w:pPr>
        <w:pStyle w:val="Normal6"/>
      </w:pPr>
      <w:r>
        <w:t xml:space="preserve">U 2012. godini Memorijalno groblje posjetilo je 158.070 posjetitelja u organiziranim skupinama. </w:t>
      </w:r>
    </w:p>
    <w:p w:rsidR="00AC0832" w:rsidRDefault="00AC0832">
      <w:pPr>
        <w:pStyle w:val="Normal6"/>
      </w:pPr>
      <w:r>
        <w:t xml:space="preserve">Najveći broj posjetitelja zabilježen je uoči i nakon obljetnice pada Vukovara 18. studenoga 2012. godine.  </w:t>
      </w:r>
    </w:p>
    <w:p w:rsidR="00AC0832" w:rsidRDefault="00AC0832">
      <w:pPr>
        <w:pStyle w:val="Normal6"/>
      </w:pPr>
      <w:r>
        <w:t>Broj službenih snimanja i fotografiranja Memorijalnog groblja u 2012. godini bio je 48 u koji nije uračunat broj službenih snimanja i fotografiranja s obzirom da tri televizijske postaje (HTV, NOVA i RTL) od 2012. godine imaju dozvolu trajnog snimanja te nisu obvezne zatražiti zahtjev za snimanjem.</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1417"/>
        <w:gridCol w:w="1287"/>
        <w:gridCol w:w="1291"/>
        <w:gridCol w:w="1290"/>
        <w:gridCol w:w="1291"/>
        <w:gridCol w:w="129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posjetitelja Memorijalnog groblja u organiziranim grupama</w:t>
            </w:r>
          </w:p>
        </w:tc>
        <w:tc>
          <w:tcPr>
            <w:tcW w:w="1300" w:type="dxa"/>
          </w:tcPr>
          <w:p w:rsidR="00AC0832" w:rsidRDefault="00AC0832">
            <w:pPr>
              <w:pStyle w:val="CellColumn"/>
            </w:pPr>
            <w:r>
              <w:t>Povećanje broja posjetitelja u organiziranim grupama</w:t>
            </w:r>
          </w:p>
        </w:tc>
        <w:tc>
          <w:tcPr>
            <w:tcW w:w="1300" w:type="dxa"/>
          </w:tcPr>
          <w:p w:rsidR="00AC0832" w:rsidRDefault="00AC0832">
            <w:pPr>
              <w:pStyle w:val="CellColumn"/>
            </w:pPr>
            <w:r>
              <w:t>broj</w:t>
            </w:r>
          </w:p>
        </w:tc>
        <w:tc>
          <w:tcPr>
            <w:tcW w:w="1300" w:type="dxa"/>
          </w:tcPr>
          <w:p w:rsidR="00AC0832" w:rsidRDefault="00AC0832">
            <w:pPr>
              <w:pStyle w:val="CellColumn"/>
            </w:pPr>
            <w:r>
              <w:t>81.000</w:t>
            </w:r>
          </w:p>
        </w:tc>
        <w:tc>
          <w:tcPr>
            <w:tcW w:w="1300" w:type="dxa"/>
          </w:tcPr>
          <w:p w:rsidR="00AC0832" w:rsidRDefault="00AC0832">
            <w:pPr>
              <w:pStyle w:val="CellColumn"/>
            </w:pPr>
            <w:r>
              <w:t>MB</w:t>
            </w:r>
          </w:p>
        </w:tc>
        <w:tc>
          <w:tcPr>
            <w:tcW w:w="1300" w:type="dxa"/>
          </w:tcPr>
          <w:p w:rsidR="00AC0832" w:rsidRDefault="00AC0832">
            <w:pPr>
              <w:pStyle w:val="CellColumn"/>
            </w:pPr>
            <w:r>
              <w:t>86.000</w:t>
            </w:r>
          </w:p>
        </w:tc>
        <w:tc>
          <w:tcPr>
            <w:tcW w:w="1300" w:type="dxa"/>
          </w:tcPr>
          <w:p w:rsidR="00AC0832" w:rsidRDefault="00AC0832">
            <w:pPr>
              <w:pStyle w:val="CellColumn"/>
            </w:pPr>
            <w:r>
              <w:t>158.070</w:t>
            </w:r>
          </w:p>
        </w:tc>
      </w:tr>
      <w:tr w:rsidR="00AC0832" w:rsidTr="00BE20ED">
        <w:trPr>
          <w:jc w:val="center"/>
        </w:trPr>
        <w:tc>
          <w:tcPr>
            <w:tcW w:w="1300" w:type="dxa"/>
          </w:tcPr>
          <w:p w:rsidR="00AC0832" w:rsidRDefault="00AC0832">
            <w:pPr>
              <w:pStyle w:val="CellColumn"/>
            </w:pPr>
            <w:r>
              <w:t>Broj službenih snimanja i fotografiranja Memorijalnog groblja</w:t>
            </w:r>
          </w:p>
        </w:tc>
        <w:tc>
          <w:tcPr>
            <w:tcW w:w="1300" w:type="dxa"/>
          </w:tcPr>
          <w:p w:rsidR="00AC0832" w:rsidRDefault="00AC0832">
            <w:pPr>
              <w:pStyle w:val="CellColumn"/>
            </w:pPr>
            <w:r>
              <w:t>Povećanje broja snimanja i fotografiranja Memorijalnog groblja</w:t>
            </w:r>
          </w:p>
        </w:tc>
        <w:tc>
          <w:tcPr>
            <w:tcW w:w="1300" w:type="dxa"/>
          </w:tcPr>
          <w:p w:rsidR="00AC0832" w:rsidRDefault="00AC0832">
            <w:pPr>
              <w:pStyle w:val="CellColumn"/>
            </w:pPr>
            <w:r>
              <w:t>broj</w:t>
            </w:r>
          </w:p>
        </w:tc>
        <w:tc>
          <w:tcPr>
            <w:tcW w:w="1300" w:type="dxa"/>
          </w:tcPr>
          <w:p w:rsidR="00AC0832" w:rsidRDefault="00AC0832">
            <w:pPr>
              <w:pStyle w:val="CellColumn"/>
            </w:pPr>
            <w:r>
              <w:t>60</w:t>
            </w:r>
          </w:p>
        </w:tc>
        <w:tc>
          <w:tcPr>
            <w:tcW w:w="1300" w:type="dxa"/>
          </w:tcPr>
          <w:p w:rsidR="00AC0832" w:rsidRDefault="00AC0832">
            <w:pPr>
              <w:pStyle w:val="CellColumn"/>
            </w:pPr>
            <w:r>
              <w:t>MB</w:t>
            </w:r>
          </w:p>
        </w:tc>
        <w:tc>
          <w:tcPr>
            <w:tcW w:w="1300" w:type="dxa"/>
          </w:tcPr>
          <w:p w:rsidR="00AC0832" w:rsidRDefault="00AC0832">
            <w:pPr>
              <w:pStyle w:val="CellColumn"/>
            </w:pPr>
            <w:r>
              <w:t>65</w:t>
            </w:r>
          </w:p>
        </w:tc>
        <w:tc>
          <w:tcPr>
            <w:tcW w:w="1300" w:type="dxa"/>
          </w:tcPr>
          <w:p w:rsidR="00AC0832" w:rsidRDefault="00AC0832">
            <w:pPr>
              <w:pStyle w:val="CellColumn"/>
            </w:pPr>
            <w:r>
              <w:t>48</w:t>
            </w:r>
          </w:p>
        </w:tc>
      </w:tr>
    </w:tbl>
    <w:p w:rsidR="00AC0832" w:rsidRDefault="00AC0832">
      <w:pPr>
        <w:jc w:val="left"/>
      </w:pPr>
    </w:p>
    <w:p w:rsidR="00AC0832" w:rsidRDefault="00AC0832">
      <w:pPr>
        <w:pStyle w:val="Heading6"/>
      </w:pPr>
      <w:r>
        <w:t>K558037 OBILJEŽAVANJE MJESTA MASOVNIH GROBNICA ŽRTAVA IZ DOMOVINSKOG RATA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K558037-OBILJEŽAVANJE MJESTA MASOVNIH GROBNICA ŽRTAVA IZ DOMOVINSKOG RATA</w:t>
            </w:r>
          </w:p>
        </w:tc>
        <w:tc>
          <w:tcPr>
            <w:tcW w:w="2322" w:type="dxa"/>
          </w:tcPr>
          <w:p w:rsidR="00AC0832" w:rsidRDefault="00AC0832">
            <w:pPr>
              <w:pStyle w:val="CellColumn"/>
            </w:pPr>
            <w:r>
              <w:t>1.410.000</w:t>
            </w:r>
          </w:p>
        </w:tc>
        <w:tc>
          <w:tcPr>
            <w:tcW w:w="2322" w:type="dxa"/>
          </w:tcPr>
          <w:p w:rsidR="00AC0832" w:rsidRDefault="00AC0832">
            <w:pPr>
              <w:pStyle w:val="CellColumn"/>
            </w:pPr>
            <w:r>
              <w:t>740.764</w:t>
            </w:r>
          </w:p>
        </w:tc>
        <w:tc>
          <w:tcPr>
            <w:tcW w:w="2322" w:type="dxa"/>
          </w:tcPr>
          <w:p w:rsidR="00AC0832" w:rsidRDefault="00AC0832">
            <w:pPr>
              <w:pStyle w:val="CellColumn"/>
            </w:pPr>
            <w:r>
              <w:t>52,5</w:t>
            </w:r>
          </w:p>
        </w:tc>
      </w:tr>
    </w:tbl>
    <w:p w:rsidR="00AC0832" w:rsidRDefault="00AC0832">
      <w:pPr>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 xml:space="preserve">Ministarstvo branitelja izgradnjom spomen-obilježja na mjestima masovnih grobnica iz Domovinskog rata kao i pružanjem potpore podizanju spomenika hrvatskim braniteljima poginulim u Domovinskom ratu štiti temeljne vrijednosti i dignitet Domovinskog rata. </w:t>
      </w:r>
    </w:p>
    <w:p w:rsidR="00AC0832" w:rsidRDefault="00AC0832">
      <w:pPr>
        <w:pStyle w:val="Normal6"/>
      </w:pPr>
      <w:r>
        <w:t>Tijekom 2012. godine otkriveno je spomen-obilježje mjesta masovne grobnice Nova ulica u Vukovaru.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06"/>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opsega teritorijalne pokrivenosti spomen obilježjima</w:t>
            </w:r>
          </w:p>
        </w:tc>
        <w:tc>
          <w:tcPr>
            <w:tcW w:w="1300" w:type="dxa"/>
          </w:tcPr>
          <w:p w:rsidR="00AC0832" w:rsidRDefault="00AC0832">
            <w:pPr>
              <w:pStyle w:val="CellColumn"/>
            </w:pPr>
            <w:r>
              <w:t>Povećanje teritorijalne pokrivenosti spomen-obilježjima osigurava sustavno pristupanje gradnji i ozbiljno planiranje potrebnih sredstava</w:t>
            </w:r>
          </w:p>
        </w:tc>
        <w:tc>
          <w:tcPr>
            <w:tcW w:w="1300" w:type="dxa"/>
          </w:tcPr>
          <w:p w:rsidR="00AC0832" w:rsidRDefault="00AC0832">
            <w:pPr>
              <w:pStyle w:val="CellColumn"/>
            </w:pPr>
            <w:r>
              <w:t>%</w:t>
            </w:r>
          </w:p>
        </w:tc>
        <w:tc>
          <w:tcPr>
            <w:tcW w:w="1300" w:type="dxa"/>
          </w:tcPr>
          <w:p w:rsidR="00AC0832" w:rsidRDefault="00AC0832">
            <w:pPr>
              <w:pStyle w:val="CellColumn"/>
            </w:pPr>
            <w:r>
              <w:t>80</w:t>
            </w:r>
          </w:p>
        </w:tc>
        <w:tc>
          <w:tcPr>
            <w:tcW w:w="1300" w:type="dxa"/>
          </w:tcPr>
          <w:p w:rsidR="00AC0832" w:rsidRDefault="00AC0832">
            <w:pPr>
              <w:pStyle w:val="CellColumn"/>
            </w:pPr>
            <w:r>
              <w:t>MB</w:t>
            </w:r>
          </w:p>
        </w:tc>
        <w:tc>
          <w:tcPr>
            <w:tcW w:w="1300" w:type="dxa"/>
          </w:tcPr>
          <w:p w:rsidR="00AC0832" w:rsidRDefault="00AC0832">
            <w:pPr>
              <w:pStyle w:val="CellColumn"/>
            </w:pPr>
            <w:r>
              <w:t>82</w:t>
            </w:r>
          </w:p>
        </w:tc>
        <w:tc>
          <w:tcPr>
            <w:tcW w:w="1300" w:type="dxa"/>
          </w:tcPr>
          <w:p w:rsidR="00AC0832" w:rsidRDefault="00AC0832">
            <w:pPr>
              <w:pStyle w:val="CellColumn"/>
            </w:pPr>
            <w:r>
              <w:t>81</w:t>
            </w:r>
          </w:p>
        </w:tc>
      </w:tr>
      <w:tr w:rsidR="00AC0832" w:rsidTr="00BE20ED">
        <w:trPr>
          <w:jc w:val="center"/>
        </w:trPr>
        <w:tc>
          <w:tcPr>
            <w:tcW w:w="1300" w:type="dxa"/>
          </w:tcPr>
          <w:p w:rsidR="00AC0832" w:rsidRDefault="00AC0832">
            <w:pPr>
              <w:pStyle w:val="CellColumn"/>
            </w:pPr>
            <w:r>
              <w:t>Broj obilježenih mjesta masovnih grobnica u odnosu na otkrivene</w:t>
            </w:r>
          </w:p>
        </w:tc>
        <w:tc>
          <w:tcPr>
            <w:tcW w:w="1300" w:type="dxa"/>
          </w:tcPr>
          <w:p w:rsidR="00AC0832" w:rsidRDefault="00AC0832">
            <w:pPr>
              <w:pStyle w:val="CellColumn"/>
            </w:pPr>
            <w:r>
              <w:t>Održavanje kontinuiteta obilježavanja mjesta masovnih grobnica u odnosu na broj ekshumiranih masovnih grobnica</w:t>
            </w:r>
          </w:p>
        </w:tc>
        <w:tc>
          <w:tcPr>
            <w:tcW w:w="1300" w:type="dxa"/>
          </w:tcPr>
          <w:p w:rsidR="00AC0832" w:rsidRDefault="00AC0832">
            <w:pPr>
              <w:pStyle w:val="CellColumn"/>
            </w:pPr>
            <w:r>
              <w:t>broj</w:t>
            </w:r>
          </w:p>
        </w:tc>
        <w:tc>
          <w:tcPr>
            <w:tcW w:w="1300" w:type="dxa"/>
          </w:tcPr>
          <w:p w:rsidR="00AC0832" w:rsidRDefault="00AC0832">
            <w:pPr>
              <w:pStyle w:val="CellColumn"/>
            </w:pPr>
            <w:r>
              <w:t>3</w:t>
            </w:r>
          </w:p>
        </w:tc>
        <w:tc>
          <w:tcPr>
            <w:tcW w:w="1300" w:type="dxa"/>
          </w:tcPr>
          <w:p w:rsidR="00AC0832" w:rsidRDefault="00AC0832">
            <w:pPr>
              <w:pStyle w:val="CellColumn"/>
            </w:pPr>
            <w:r>
              <w:t>MB</w:t>
            </w:r>
          </w:p>
        </w:tc>
        <w:tc>
          <w:tcPr>
            <w:tcW w:w="1300" w:type="dxa"/>
          </w:tcPr>
          <w:p w:rsidR="00AC0832" w:rsidRDefault="00AC0832">
            <w:pPr>
              <w:pStyle w:val="CellColumn"/>
            </w:pPr>
            <w:r>
              <w:t>3</w:t>
            </w:r>
          </w:p>
        </w:tc>
        <w:tc>
          <w:tcPr>
            <w:tcW w:w="1300" w:type="dxa"/>
          </w:tcPr>
          <w:p w:rsidR="00AC0832" w:rsidRDefault="00AC0832">
            <w:pPr>
              <w:pStyle w:val="CellColumn"/>
            </w:pPr>
            <w:r>
              <w:t>1</w:t>
            </w:r>
          </w:p>
        </w:tc>
      </w:tr>
    </w:tbl>
    <w:p w:rsidR="00AC0832" w:rsidRDefault="00AC0832">
      <w:pPr>
        <w:jc w:val="left"/>
      </w:pPr>
    </w:p>
    <w:p w:rsidR="00AC0832" w:rsidRDefault="00AC0832">
      <w:pPr>
        <w:pStyle w:val="Heading6"/>
      </w:pPr>
      <w:r>
        <w:t>K754007 SPOMEN OBILJEŽJE ŽRTVAMA STRADALIM U DOMOVINSKOM RATU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K754007-SPOMEN OBILJEŽJE ŽRTVAMA STRADALIM U DOMOVINSKOM RATU</w:t>
            </w:r>
          </w:p>
        </w:tc>
        <w:tc>
          <w:tcPr>
            <w:tcW w:w="2322" w:type="dxa"/>
          </w:tcPr>
          <w:p w:rsidR="00AC0832" w:rsidRDefault="00AC0832">
            <w:pPr>
              <w:pStyle w:val="CellColumn"/>
            </w:pPr>
            <w:r>
              <w:t>1.150.000</w:t>
            </w:r>
          </w:p>
        </w:tc>
        <w:tc>
          <w:tcPr>
            <w:tcW w:w="2322" w:type="dxa"/>
          </w:tcPr>
          <w:p w:rsidR="00AC0832" w:rsidRDefault="00AC0832">
            <w:pPr>
              <w:pStyle w:val="CellColumn"/>
            </w:pPr>
            <w:r>
              <w:t>1.110.000</w:t>
            </w:r>
          </w:p>
        </w:tc>
        <w:tc>
          <w:tcPr>
            <w:tcW w:w="2322" w:type="dxa"/>
          </w:tcPr>
          <w:p w:rsidR="00AC0832" w:rsidRDefault="00AC0832">
            <w:pPr>
              <w:pStyle w:val="CellColumn"/>
            </w:pPr>
            <w:r>
              <w:t>96,5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Zahtjeve za sufinanciranje spomen-obilježja podnose županije te Ministarstvo nema utjecaja na broj zaprimljenih zahtjeva. U 2012. godini odobreno je ukupno 13 projekata od kojih se tri nalaze u Zadarskoj županiji u kojoj u prethodnim godinama nije bilo sufinanciranja spomen-obilježja.</w:t>
      </w:r>
    </w:p>
    <w:p w:rsidR="00AC0832" w:rsidRDefault="00AC0832">
      <w:pPr>
        <w:pStyle w:val="Heading5"/>
      </w:pPr>
      <w:r>
        <w:t>4007 SKRB ZA HRVATSKE BRANITELJE IZ DOMOVINSKOG RATA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4007-SKRB ZA HRVATSKE BRANITELJE IZ DOMOVINSKOG RATA</w:t>
            </w:r>
          </w:p>
        </w:tc>
        <w:tc>
          <w:tcPr>
            <w:tcW w:w="2322" w:type="dxa"/>
          </w:tcPr>
          <w:p w:rsidR="00AC0832" w:rsidRDefault="00AC0832">
            <w:pPr>
              <w:pStyle w:val="CellColumn"/>
            </w:pPr>
            <w:r>
              <w:t>886.550.534</w:t>
            </w:r>
          </w:p>
        </w:tc>
        <w:tc>
          <w:tcPr>
            <w:tcW w:w="2322" w:type="dxa"/>
          </w:tcPr>
          <w:p w:rsidR="00AC0832" w:rsidRDefault="00AC0832">
            <w:pPr>
              <w:pStyle w:val="CellColumn"/>
            </w:pPr>
            <w:r>
              <w:t>868.242.280</w:t>
            </w:r>
          </w:p>
        </w:tc>
        <w:tc>
          <w:tcPr>
            <w:tcW w:w="2322" w:type="dxa"/>
          </w:tcPr>
          <w:p w:rsidR="00AC0832" w:rsidRDefault="00AC0832">
            <w:pPr>
              <w:pStyle w:val="CellColumn"/>
            </w:pPr>
            <w:r>
              <w:t>97,9</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Programom „Skrb za hrvatske branitelje“ osiguravaju se sredstva za ostvarivanje prava na osnovi oštećenja organizma, na osnovi gubitka, zatočenja ili nestanka člana obitelji i na osnovi materijalnih i drugih potreba hrvatskih branitelja iz Domovinskog rata i članova njihovih obitelji. </w:t>
      </w:r>
    </w:p>
    <w:p w:rsidR="00AC0832" w:rsidRDefault="00AC0832">
      <w:pPr>
        <w:pStyle w:val="Normal5"/>
      </w:pPr>
      <w:r>
        <w:t xml:space="preserve">Ministarstvo branitelja nastoji postići smanjenje broja  nezaposlenih  hrvatskih  branitelja  i  djece  smrtno  stradalih  hrvatskih  branitelja, povećati konkurentnost hrvatskih branitelja te djece smrtno stradalih hrvatskih branitelja iz Domovinskog rata na tržištu rada, smanjiti broj socijalno ugroženih  hrvatskih  branitelja  i  članova  obitelji  smrtno stradaloga hrvatskog branitelja iz Domovinskog rata, smanjiti broj ratom traumatiziranih osoba u vidu različitih oblika potpore i rehabilitacije, smanjiti utjecaj sekundarne viktimizacije i unaprijediti neovisnost življenja u zajednici hrvatskim ratnim vojnim invalidima. </w:t>
      </w:r>
    </w:p>
    <w:p w:rsidR="00AC0832" w:rsidRDefault="00AC0832">
      <w:pPr>
        <w:pStyle w:val="Normal5"/>
      </w:pPr>
      <w:r>
        <w:t xml:space="preserve">Ciljevi programa utvrđeni su u «Strategiji Vladinih programa za razdoblje 2012.-2014.», opći cilj 6. «Jačanje socijalne pravednosti», posebni cilj 6.3. «Očuvanje i zaštita digniteta hrvatskih branitelja iz Domovinskog rata i ublažavanje posljedica Domovinskog rata u društvu». </w:t>
      </w:r>
    </w:p>
    <w:p w:rsidR="00AC0832" w:rsidRDefault="00AC0832">
      <w:pPr>
        <w:pStyle w:val="Normal5"/>
      </w:pPr>
      <w:r>
        <w:t xml:space="preserve">Načini ostvarivanja ovog posebnog cilja su: 6.3.1. „Skrb za hrvatske branitelje iz Domovinskog rata i članove njihovih obitelji“, 6.3.2. „Realizacija Programa stručnog osposobljavanja i zapošljavanja hrvatskih branitelja iz Domovinskog rata i djece smrtno stradalih, zatočenih i nestalih hrvatskih branitelja iz Domovinskog rata kroz sedam Mjera“. </w:t>
      </w:r>
    </w:p>
    <w:p w:rsidR="00AC0832" w:rsidRDefault="00AC0832">
      <w:pPr>
        <w:pStyle w:val="Normal5"/>
      </w:pPr>
      <w:r>
        <w:t>U okviru ovog programa planirana su sredstva za ostvarivanje prava utvrđenih Zakonom o pravima hrvatskih branitelja iz Domovinskog rata i članova njihovih obitelji (u daljnjem tekstu Zakon) i nacionalnim programima koje je donijela Vlada Republike Hrvatske.</w:t>
      </w:r>
    </w:p>
    <w:p w:rsidR="00AC0832" w:rsidRDefault="00AC0832">
      <w:pPr>
        <w:pStyle w:val="Heading6"/>
      </w:pPr>
      <w:r>
        <w:t>Zakonske i druge pravne osnove</w:t>
      </w:r>
    </w:p>
    <w:p w:rsidR="00AC0832" w:rsidRDefault="00AC0832">
      <w:pPr>
        <w:pStyle w:val="Normal5"/>
      </w:pPr>
      <w:r>
        <w:t xml:space="preserve">Zakon o pravima hrvatskih branitelja iz Domovinskog rata i članova njihovih obitelji (“N.N.” 174/04., 92/05., 02/07., 107/07., 65/09., 137/09, 146/10 i 55/11.) </w:t>
      </w:r>
    </w:p>
    <w:p w:rsidR="00AC0832" w:rsidRDefault="00AC0832">
      <w:pPr>
        <w:pStyle w:val="Normal5"/>
      </w:pPr>
      <w:r>
        <w:t xml:space="preserve">Zakon o zaštiti vojnih i civilnih invalida rata (»N.N.«, broj 33/92, 77/92, 58/93, 2/94, 76/94, 108/95, 82/01, 103/03) </w:t>
      </w:r>
    </w:p>
    <w:p w:rsidR="00AC0832" w:rsidRDefault="00AC0832">
      <w:pPr>
        <w:pStyle w:val="Normal5"/>
      </w:pPr>
      <w:r>
        <w:t xml:space="preserve">Zakon o humanitarnom razminiranju ("N.N. BROJ 153/05, 63/07, 152/08) </w:t>
      </w:r>
    </w:p>
    <w:p w:rsidR="00AC0832" w:rsidRDefault="00AC0832">
      <w:pPr>
        <w:pStyle w:val="Normal5"/>
      </w:pPr>
      <w:r>
        <w:t xml:space="preserve">Program stručnog osposobljavanja i zapošljavanja hrvatskih branitelja i djece smrtno stradalih, zatočenih ili nestalih hrvatskih branitelja  </w:t>
      </w:r>
    </w:p>
    <w:p w:rsidR="00AC0832" w:rsidRDefault="00AC0832">
      <w:pPr>
        <w:pStyle w:val="Normal5"/>
      </w:pPr>
      <w:r>
        <w:t xml:space="preserve">Nacionalni program psihosocijalne i zdravstvene pomoći sudionicima i stradalnicima iz Domovinskog rata - Zaključak Vlade Republike Hrvatske, Klasa: 550-01/99-03/01, Urbroj: 5030108-05-1, iz 2005. godine </w:t>
      </w:r>
    </w:p>
    <w:p w:rsidR="00AC0832" w:rsidRDefault="00AC0832">
      <w:pPr>
        <w:pStyle w:val="Normal5"/>
      </w:pPr>
      <w:r>
        <w:t xml:space="preserve">Zakon o sustavu državne uprave ("N.N." broj 150/11) </w:t>
      </w:r>
    </w:p>
    <w:p w:rsidR="00AC0832" w:rsidRDefault="00AC0832">
      <w:pPr>
        <w:pStyle w:val="Normal5"/>
      </w:pPr>
      <w:r>
        <w:t>Zakon o udrugama („N.N.“ 88/01, NN 11/02)</w:t>
      </w:r>
    </w:p>
    <w:p w:rsidR="00AC0832" w:rsidRDefault="00AC0832">
      <w:pPr>
        <w:pStyle w:val="Heading7"/>
      </w:pPr>
      <w:r>
        <w:t>Cilj 1. Skrb za hrvatske branitelje iz Domovinskog rata i članove njihovih obitelji</w:t>
      </w:r>
    </w:p>
    <w:p w:rsidR="00AC0832" w:rsidRDefault="00AC0832">
      <w:pPr>
        <w:pStyle w:val="Heading8"/>
        <w:jc w:val="left"/>
      </w:pPr>
      <w:r>
        <w:t>Opis provedbe cilja programa</w:t>
      </w:r>
    </w:p>
    <w:p w:rsidR="00AC0832" w:rsidRDefault="00AC0832">
      <w:pPr>
        <w:pStyle w:val="Normal6"/>
      </w:pPr>
      <w:r>
        <w:t xml:space="preserve">Provođenje sveobuhvatne skrbi s ciljem očuvanja digniteta Domovinskog rata; psihosocijalne, savjetodavne te zdravstvene pomoći ratom traumatiziranim osobama, programa stambenog zbrinjavanja stradalnika iz Domovinskog rata, osiguravanje zakonitog ostvarenja propisanih prava hrvatskim braniteljima, obiteljima poginulih i stradalnicima Domovinskog rata kao i mirnodopskih vojnih invalida, stradalim pirotehničarima te članovima njihovih obitelji te provođenje revizije, kao oblika kontrole zakonitosti prvostupanjskih rješenja od strane drugostupanjskog tijela. </w:t>
      </w:r>
    </w:p>
    <w:p w:rsidR="00AC0832" w:rsidRDefault="00AC0832">
      <w:pPr>
        <w:pStyle w:val="Normal6"/>
      </w:pPr>
      <w:r>
        <w:t xml:space="preserve">Ministarstvo osigurava kontinuiranu psihosocijalnu i zdravstvenu pomoć kao dio integrativne skrbi za sudionike i stradalnike rata na području cijele Hrvatske, te svim članovima njihovih obitelji. U cilju dostupnosti različitih oblika psihosocijalne pomoći i potpore Ministarstvo ih najvećim dijelom organizira u životnoj sredini korisnika, uz mogućnost posjeta stručnih timova domu i obitelji korisnika. </w:t>
      </w:r>
    </w:p>
    <w:p w:rsidR="00AC0832" w:rsidRDefault="00AC0832">
      <w:pPr>
        <w:pStyle w:val="Normal6"/>
      </w:pPr>
      <w:r>
        <w:t xml:space="preserve">Okosnicu Nacionalnog programa psihosocijalne i zdravstvene skrbi predstavljaju županijski Centri za psihosocijalnu pomoć, dok se zdravstveni dio Nacionalnog programa provodi u Regionalnim centrima za psihotraumu (Zagreb, Rijeka, Split i Osijek), Centru za krizna stanja i ostalim ovlaštenim zdravstvenim ustanovama u Republici Hrvatskoj. </w:t>
      </w:r>
    </w:p>
    <w:p w:rsidR="00AC0832" w:rsidRDefault="00AC0832">
      <w:pPr>
        <w:pStyle w:val="Normal6"/>
      </w:pPr>
      <w:r>
        <w:t xml:space="preserve">U svrhu provođenja sveobuhvatne skrbi, odobravaju se sredstva pri nabavi neophodnih ortopedskih i ostalih medicinskih pomagala hrvatskim ratnim vojnim invalidima iz Domovinskog rata s najtežom vrstom i stupnjem invaliditeta; priznaje se pravo na naknadu plaće i prava iz mirovinskog i zdravstvenog osiguranja; doplatak za djecu i prava za vrijeme nezaposlenosti osobama sa statusom njegovatelja invalida 100% I skupine; provodi se Projekt rješavanja pristupačnosti objektima osoba s invaliditetom; pruža se zdravstvena zaštita iznad standarda zdravstvenog osiguranja i smještaja HRVI-a u zdravstvene ustanove radi liječenja u hiperbaričnoj komori i medicinske rehabilitacije; osigurava se korištenje prilagođenih ustanova za skrb i boravak hrvatskih branitelja iz Domovinskog rata u teškoj socioekonomskoj situaciji; odobravaju se jednokratne novčane pomoći pri teškoj materijalnoj situaciji; dodjeljuju se osobni automobil s ugrađenim odgovarajućim prilagodbama hrvatskim ratnim vojnim invalidima iz Domovinskog rata s oštećenjem organizma 100% I. skupine; plaća se nabava udžbenika za djecu hrvatskih branitelja i sufinanciraju se troškovi pripremnih tečajeva za polaganje ispita državne mature i upis na studijske programe; isplaćuju se osigurnine; pokrivaju se troškovi organizacije pokopa uz vojne počasti za smrtno stradale hrvatske branitelje iz Domovinskog rata, umrle hrvatske ratne vojne invalide iz Domovinskog rata i hrvatske branitelje iz Domovinskog rata te se financiraju projekti udruga iz Domovinskog rata koji su usmjereni poboljšanju kvalitete života dijela osoba iz ciljne skupine, njihovoj edukaciji, zapošljavanju, prevladavanju posljedica Domovinskog rata te pozitivnom utjecaju, kako na lokalne zajednice tako i društvo u cjelini. </w:t>
      </w:r>
    </w:p>
    <w:p w:rsidR="00AC0832" w:rsidRDefault="00AC0832">
      <w:pPr>
        <w:pStyle w:val="Normal6"/>
      </w:pPr>
      <w:r>
        <w:t xml:space="preserve">Osobama koje ostvaruju pravo prema Zakonu, a nemaju riješeno stambeno pitanje ili je  riješeno na neodgovarajući način Ministarstvo je osiguralo u 2012. godini kupnju stanova po pristupačnijim uvjetima od tržišnih u pogledu kamata i rokova otplate (113 stanova) te dodjelu stambenog  kredita  za  dogradnju,  nastavak  izgradnje  i  dovršenje  obiteljske  kuće, kredite za razliku u površini stana i kredite za poboljšanje uvjeta stanovanja (173 kredita) čime se unapređuje kvaliteta stanovanja. </w:t>
      </w:r>
    </w:p>
    <w:p w:rsidR="00AC0832" w:rsidRDefault="00AC0832">
      <w:pPr>
        <w:pStyle w:val="Normal6"/>
      </w:pPr>
      <w:r>
        <w:t xml:space="preserve">Ministarstvo je u 2012. godini provodilo reviziju prvostupanjskih rješenja kojima se utvrđuje status člana obitelji smrtno stradaloga hrvatskog branitelja iz Domovinskog rata i pravo na obiteljsku invalidninu, pravo na povećanu obiteljsku invalidninu i pravo na uvećanu obiteljsku invalidninu, status člana obitelji nestaloga ili zatočenog hrvatskog branitelja iz Domovinskog rata i novčanu naknadu u iznosu obiteljske invalidnine, povećane i uvećane obiteljske invalidnine, statusa HRVI iz Domovinskog rata i pravo na osobnu invalidninu, doplatak za njegu i pomoć druge osobe, ortopedski doplatak, posebni doplatak, opskrbninu, doplatak za pripomoć u kući i rješenja kojima se dodjeljivao osobni automobil HRVI iz Domovinskog rata I. skupine. </w:t>
      </w:r>
    </w:p>
    <w:p w:rsidR="00AC0832" w:rsidRDefault="00AC0832">
      <w:pPr>
        <w:pStyle w:val="Normal6"/>
      </w:pPr>
      <w:r>
        <w:t xml:space="preserve">Od 32.765 podnesena zahtjeva za priznavanje statusa HRVI iz Domovinskog rata s osnove bolesti do završetka roka za podnošenje zahtjeva  31. prosinca 2005. godine, provedena je revizija 30.642 prvostupanjskih rješenja te je u okviru revizije pribavljen nalaz i mišljenje Drugostupanjskog liječničkog povjerenstva (DLP). </w:t>
      </w:r>
    </w:p>
    <w:p w:rsidR="00AC0832" w:rsidRDefault="00AC0832">
      <w:pPr>
        <w:pStyle w:val="Normal6"/>
      </w:pPr>
      <w:r>
        <w:t xml:space="preserve">U prosincu 2012. godine bilo je priznato 57.212 HRVI iz Domovinskog rata s pravom na osobnu invalidninu, 10.262 korisnika obiteljske invalidnine kao članova obitelji smrtno stradalih hrvatskih branitelja iz Domovinskog rata, 437 s pravom na povećanu obiteljsku invalidninu i 664 s pravom na uvećanu obiteljsku invalidninu, 561 korisnika novčane naknade u iznosu obiteljske invalidnine, povećane i uvećane, kao članova obitelji zatočenog ili nestaloga hrvatskog branitelja iz Domovinskog rata i 5.636 hrvatskih branitelja iz Domovinskog rata sa pravom na opskrbninu. </w:t>
      </w:r>
    </w:p>
    <w:p w:rsidR="00AC0832" w:rsidRDefault="00AC0832">
      <w:pPr>
        <w:pStyle w:val="Normal6"/>
      </w:pPr>
      <w:r>
        <w:t xml:space="preserve">U 2012. godini obavljena je ocjena zakonitosti prvostupanjskih rješenja u revizijskom postupku ili žalbenom postupku u 12.375 upravnih predmeta. Najviše upravnih predmeta u postupku revizije, odnosno revizije i žalbe riješeno je u postupku priznavanja statusa HRVI – 4.183 upravna spisa, u postupku priznavanja statusa člana obitelji smrtno stradalog hrvatskog branitelja iz Domovinskog rata i prava na obiteljsku invalidninu – 1.064, i u postupku priznavanja prava na opskrbninu 6.902. Manji broj predmeta u postupku revizije ili revizije i žalbe odnosi se na priznavanje prava članovima obitelji zatočenih ili nestalih hrvatskih branitelja iz Domovinskog rata, dodjelu osobnih automobila HRVI iz Domovinskog rata I. skupine sa 100% oštećenja organizma, pravo na dodjelu besplatnih udžbenika, prava mirnodopskih vojnih invalida, prava stradalih pirotehničara. </w:t>
      </w:r>
    </w:p>
    <w:p w:rsidR="00AC0832" w:rsidRDefault="00AC0832">
      <w:pPr>
        <w:pStyle w:val="Normal6"/>
      </w:pPr>
      <w:r>
        <w:t>Drugostupanjsko liječničko povjerenstvo je u 2012. godini donijelo nalaz i mišljenje u 5.563 upravna predmeta iz svoje nadležnosti - 4.588 ocjena oštećenja organizma HRVI od čega 152 ocjena oštećenja organizma hrvatskim braniteljima iz Domovinskog rata s osnove prvotnog zahtjeva za priznavanje statusa HRVI iz Domovinskog rata; 711 predmeta opskrbnina (666 u kojima je utvrđena nesposobnost za privređivanje i 45 u kojima je utvrđivana sposobnost za privređivanje) i 112 upravna predmeta obiteljskih invalidnina (u 69 utvrđena uzročno-posljedična veza, a u 43 predmeta ta je veza isključena).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869"/>
        <w:gridCol w:w="1004"/>
        <w:gridCol w:w="1278"/>
        <w:gridCol w:w="1275"/>
        <w:gridCol w:w="1278"/>
        <w:gridCol w:w="1285"/>
      </w:tblGrid>
      <w:tr w:rsidR="00AC0832" w:rsidTr="00595050">
        <w:trPr>
          <w:jc w:val="center"/>
        </w:trPr>
        <w:tc>
          <w:tcPr>
            <w:tcW w:w="1299" w:type="dxa"/>
            <w:shd w:val="clear" w:color="auto" w:fill="B5C0D8"/>
          </w:tcPr>
          <w:p w:rsidR="00AC0832" w:rsidRPr="00BE20ED" w:rsidRDefault="00AC0832">
            <w:pPr>
              <w:rPr>
                <w:sz w:val="20"/>
                <w:lang w:eastAsia="hr-HR"/>
              </w:rPr>
            </w:pPr>
            <w:r w:rsidRPr="00BE20ED">
              <w:rPr>
                <w:sz w:val="20"/>
                <w:lang w:eastAsia="hr-HR"/>
              </w:rPr>
              <w:t>Pokazatelj učinka</w:t>
            </w:r>
          </w:p>
        </w:tc>
        <w:tc>
          <w:tcPr>
            <w:tcW w:w="1869" w:type="dxa"/>
            <w:shd w:val="clear" w:color="auto" w:fill="B5C0D8"/>
          </w:tcPr>
          <w:p w:rsidR="00AC0832" w:rsidRDefault="00AC0832">
            <w:pPr>
              <w:pStyle w:val="CellHeader"/>
            </w:pPr>
            <w:r>
              <w:t>Definicija</w:t>
            </w:r>
          </w:p>
        </w:tc>
        <w:tc>
          <w:tcPr>
            <w:tcW w:w="1004" w:type="dxa"/>
            <w:shd w:val="clear" w:color="auto" w:fill="B5C0D8"/>
          </w:tcPr>
          <w:p w:rsidR="00AC0832" w:rsidRDefault="00AC0832">
            <w:pPr>
              <w:pStyle w:val="CellHeader"/>
            </w:pPr>
            <w:r>
              <w:t>Jedinica</w:t>
            </w:r>
          </w:p>
        </w:tc>
        <w:tc>
          <w:tcPr>
            <w:tcW w:w="1278" w:type="dxa"/>
            <w:shd w:val="clear" w:color="auto" w:fill="B5C0D8"/>
          </w:tcPr>
          <w:p w:rsidR="00AC0832" w:rsidRDefault="00AC0832">
            <w:pPr>
              <w:pStyle w:val="CellHeader"/>
            </w:pPr>
            <w:r>
              <w:t>Polazna vrijednost</w:t>
            </w:r>
          </w:p>
        </w:tc>
        <w:tc>
          <w:tcPr>
            <w:tcW w:w="1275" w:type="dxa"/>
            <w:shd w:val="clear" w:color="auto" w:fill="B5C0D8"/>
          </w:tcPr>
          <w:p w:rsidR="00AC0832" w:rsidRDefault="00AC0832">
            <w:pPr>
              <w:pStyle w:val="CellHeader"/>
            </w:pPr>
            <w:r>
              <w:t>Izvor podataka</w:t>
            </w:r>
          </w:p>
        </w:tc>
        <w:tc>
          <w:tcPr>
            <w:tcW w:w="1278" w:type="dxa"/>
            <w:shd w:val="clear" w:color="auto" w:fill="B5C0D8"/>
          </w:tcPr>
          <w:p w:rsidR="00AC0832" w:rsidRDefault="00AC0832">
            <w:pPr>
              <w:pStyle w:val="CellHeader"/>
            </w:pPr>
            <w:r>
              <w:t>Ciljana vrijednost (2012.)</w:t>
            </w:r>
          </w:p>
        </w:tc>
        <w:tc>
          <w:tcPr>
            <w:tcW w:w="1285" w:type="dxa"/>
            <w:shd w:val="clear" w:color="auto" w:fill="B5C0D8"/>
          </w:tcPr>
          <w:p w:rsidR="00AC0832" w:rsidRDefault="00AC0832">
            <w:pPr>
              <w:pStyle w:val="CellHeader"/>
            </w:pPr>
            <w:r>
              <w:t>Ostvarena vrijednost (2012.)</w:t>
            </w:r>
          </w:p>
        </w:tc>
      </w:tr>
      <w:tr w:rsidR="00AC0832" w:rsidTr="00595050">
        <w:trPr>
          <w:jc w:val="center"/>
        </w:trPr>
        <w:tc>
          <w:tcPr>
            <w:tcW w:w="1299" w:type="dxa"/>
          </w:tcPr>
          <w:p w:rsidR="00AC0832" w:rsidRDefault="00AC0832">
            <w:pPr>
              <w:pStyle w:val="CellColumn"/>
            </w:pPr>
            <w:r>
              <w:t>Udio riješenih upita korisnika unutar zakonski određenog roka u odnosu na ukupan broj zaprimljenih upita</w:t>
            </w:r>
          </w:p>
        </w:tc>
        <w:tc>
          <w:tcPr>
            <w:tcW w:w="1869" w:type="dxa"/>
          </w:tcPr>
          <w:p w:rsidR="00AC0832" w:rsidRDefault="00AC0832">
            <w:pPr>
              <w:pStyle w:val="CellColumn"/>
            </w:pPr>
            <w:r>
              <w:t>Skraćivanjem vremenskog roka za obradu upita korisnika povećava se transparentnost rješavanja upita i održava visoka razina komunikacije s korisnicima te održava postojeća razina skrbi (godišnja vrijednost)</w:t>
            </w:r>
          </w:p>
        </w:tc>
        <w:tc>
          <w:tcPr>
            <w:tcW w:w="1004" w:type="dxa"/>
          </w:tcPr>
          <w:p w:rsidR="00AC0832" w:rsidRDefault="00AC0832">
            <w:pPr>
              <w:pStyle w:val="CellColumn"/>
            </w:pPr>
            <w:r>
              <w:t>%</w:t>
            </w:r>
          </w:p>
        </w:tc>
        <w:tc>
          <w:tcPr>
            <w:tcW w:w="1278" w:type="dxa"/>
          </w:tcPr>
          <w:p w:rsidR="00AC0832" w:rsidRDefault="00AC0832">
            <w:pPr>
              <w:pStyle w:val="CellColumn"/>
            </w:pPr>
            <w:r>
              <w:t>95</w:t>
            </w:r>
          </w:p>
        </w:tc>
        <w:tc>
          <w:tcPr>
            <w:tcW w:w="1275" w:type="dxa"/>
          </w:tcPr>
          <w:p w:rsidR="00AC0832" w:rsidRDefault="00AC0832">
            <w:pPr>
              <w:pStyle w:val="CellColumn"/>
            </w:pPr>
            <w:r>
              <w:t>MB</w:t>
            </w:r>
          </w:p>
        </w:tc>
        <w:tc>
          <w:tcPr>
            <w:tcW w:w="1278" w:type="dxa"/>
          </w:tcPr>
          <w:p w:rsidR="00AC0832" w:rsidRDefault="00AC0832">
            <w:pPr>
              <w:pStyle w:val="CellColumn"/>
            </w:pPr>
            <w:r>
              <w:t>97,8</w:t>
            </w:r>
          </w:p>
        </w:tc>
        <w:tc>
          <w:tcPr>
            <w:tcW w:w="1285" w:type="dxa"/>
          </w:tcPr>
          <w:p w:rsidR="00AC0832" w:rsidRDefault="00AC0832">
            <w:pPr>
              <w:pStyle w:val="CellColumn"/>
            </w:pPr>
            <w:r>
              <w:t>98,2</w:t>
            </w:r>
          </w:p>
        </w:tc>
      </w:tr>
    </w:tbl>
    <w:p w:rsidR="00AC0832" w:rsidRDefault="00AC0832">
      <w:pPr>
        <w:jc w:val="left"/>
      </w:pPr>
    </w:p>
    <w:p w:rsidR="00AC0832" w:rsidRDefault="00AC0832">
      <w:pPr>
        <w:pStyle w:val="Heading7"/>
      </w:pPr>
      <w:r>
        <w:t>Cilj 2. Realizacija Programa stručnog osposobljavanja i zapošljavanja hrvatskih branitelja iz Domovinskog rata i djece smrtno stradalih, zatočenih i nestalih hrvatskih branitelja iz Domovinskog rata kroz sedam Mjera</w:t>
      </w:r>
    </w:p>
    <w:p w:rsidR="00AC0832" w:rsidRDefault="00AC0832">
      <w:pPr>
        <w:pStyle w:val="Heading8"/>
        <w:jc w:val="left"/>
      </w:pPr>
      <w:r>
        <w:t>Opis provedbe cilja programa</w:t>
      </w:r>
    </w:p>
    <w:p w:rsidR="00AC0832" w:rsidRDefault="00AC0832">
      <w:pPr>
        <w:pStyle w:val="Normal6"/>
      </w:pPr>
      <w:r>
        <w:t xml:space="preserve">Ciljnu skupinu Programa čine nezaposleni hrvatski branitelji iz Domovinskog rata i nezaposlena djeca smrtno stradalih, zatočenih ili nestalih hrvatskih branitelja iz Domovinskog rata, a osnovni ciljevi Programa su podizanje obrazovne razine nezaposlenih hrvatskih branitelja i djece smrtno stradalih, zatočenih ili nestalih hrvatskih branitelja, osposobljavanje za zanimanja za kojima postoji potreba na lokalnim tržištima rada, kao i proširivanje formalne naobrazbe nezaposlenih hrvatskih branitelja sukladno novim tehnološkim zahtjevima te davanje novčanih potpora hrvatskim braniteljima koji se odlučuju na razne oblike samozapošljavanja, bilo samostalno ili okupljeni u zadruge. </w:t>
      </w:r>
    </w:p>
    <w:p w:rsidR="00AC0832" w:rsidRDefault="00AC0832">
      <w:pPr>
        <w:pStyle w:val="Normal6"/>
      </w:pPr>
      <w:r>
        <w:t>Trenutna vrijednost pokazatelja je 3,98%. U izračun je uključen broj osoba kojima je omogućeno zapošljavanje putem Programa stručnog osposobljavanja i zapošljavanja hrvatskih branitelja iz Domovinskog rata i djece smrtno stradalih, zatočenih i nestalih hrvatskih branitelja iz Domovinskog rata za razdoblje od 2011. do 2013. godine (422), te ukupan broj hrvatskih branitelja iz Domovinskog rata koji su iz statusa nezaposlene osobe prešli u status zaposlene osobe na Hrvatskom zavodu za zapošljavanje (10.597), sukladno statističkim podacima HZZ-a o broju nezaposlenih hrvatskih branitelja i broju hrvatskih branitelja koji su prešli iz statusa nezaposlene u status zaposlene osobe, na dan 31. prosinca 2012. godine.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8"/>
        <w:gridCol w:w="1317"/>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Udjel hrvatskih branitelja iz Domovinskog rata koji su prešli iz statusa nezaposlene osobe u status zaposlene osobe, a u odnosu na ukupan broj nezaposlenih hrvatskih branitelja prijavljenih na HZZ</w:t>
            </w:r>
          </w:p>
        </w:tc>
        <w:tc>
          <w:tcPr>
            <w:tcW w:w="1300" w:type="dxa"/>
          </w:tcPr>
          <w:p w:rsidR="00AC0832" w:rsidRDefault="00AC0832">
            <w:pPr>
              <w:pStyle w:val="CellColumn"/>
            </w:pPr>
            <w:r>
              <w:t>Potpuna realizacija Programa i suradnja Ministarstva s interesnim institucijama pridonose ostvarenju posebnog cilja.</w:t>
            </w:r>
          </w:p>
        </w:tc>
        <w:tc>
          <w:tcPr>
            <w:tcW w:w="1300" w:type="dxa"/>
          </w:tcPr>
          <w:p w:rsidR="00AC0832" w:rsidRDefault="00AC0832">
            <w:pPr>
              <w:pStyle w:val="CellColumn"/>
            </w:pPr>
            <w:r>
              <w:t>%</w:t>
            </w:r>
          </w:p>
        </w:tc>
        <w:tc>
          <w:tcPr>
            <w:tcW w:w="1300" w:type="dxa"/>
          </w:tcPr>
          <w:p w:rsidR="00AC0832" w:rsidRDefault="00AC0832">
            <w:pPr>
              <w:pStyle w:val="CellColumn"/>
            </w:pPr>
            <w:r>
              <w:t>2,6</w:t>
            </w:r>
          </w:p>
        </w:tc>
        <w:tc>
          <w:tcPr>
            <w:tcW w:w="1300" w:type="dxa"/>
          </w:tcPr>
          <w:p w:rsidR="00AC0832" w:rsidRDefault="00AC0832">
            <w:pPr>
              <w:pStyle w:val="CellColumn"/>
            </w:pPr>
            <w:r>
              <w:t>MB</w:t>
            </w:r>
          </w:p>
        </w:tc>
        <w:tc>
          <w:tcPr>
            <w:tcW w:w="1300" w:type="dxa"/>
          </w:tcPr>
          <w:p w:rsidR="00AC0832" w:rsidRDefault="00AC0832">
            <w:pPr>
              <w:pStyle w:val="CellColumn"/>
            </w:pPr>
            <w:r>
              <w:t>2,7</w:t>
            </w:r>
          </w:p>
        </w:tc>
        <w:tc>
          <w:tcPr>
            <w:tcW w:w="1300" w:type="dxa"/>
          </w:tcPr>
          <w:p w:rsidR="00AC0832" w:rsidRDefault="00AC0832">
            <w:pPr>
              <w:pStyle w:val="CellColumn"/>
            </w:pPr>
            <w:r>
              <w:t>3,98</w:t>
            </w:r>
          </w:p>
        </w:tc>
      </w:tr>
    </w:tbl>
    <w:p w:rsidR="00AC0832" w:rsidRDefault="00AC0832">
      <w:pPr>
        <w:jc w:val="left"/>
      </w:pPr>
    </w:p>
    <w:p w:rsidR="00AC0832" w:rsidRDefault="00AC0832">
      <w:pPr>
        <w:pStyle w:val="Heading6"/>
      </w:pPr>
      <w:r>
        <w:t>A558043 JEDNOKRATNA PRAVA IZ ZAKONA I OSTALE NAKNADE HRVATSKIM BRANITELJIMA IZ DOMOVINSKOG RATA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A558043-JEDNOKRATNA PRAVA IZ ZAKONA I OSTALE NAKNADE HRVATSKIM BRANITELJIMA IZ DOMOVINSKOG RATA</w:t>
            </w:r>
          </w:p>
        </w:tc>
        <w:tc>
          <w:tcPr>
            <w:tcW w:w="2322" w:type="dxa"/>
          </w:tcPr>
          <w:p w:rsidR="00AC0832" w:rsidRDefault="00AC0832">
            <w:pPr>
              <w:pStyle w:val="CellColumn"/>
            </w:pPr>
            <w:r>
              <w:t>55.236.000</w:t>
            </w:r>
          </w:p>
        </w:tc>
        <w:tc>
          <w:tcPr>
            <w:tcW w:w="2322" w:type="dxa"/>
          </w:tcPr>
          <w:p w:rsidR="00AC0832" w:rsidRDefault="00AC0832">
            <w:pPr>
              <w:pStyle w:val="CellColumn"/>
            </w:pPr>
            <w:r>
              <w:t>50.401.499</w:t>
            </w:r>
          </w:p>
        </w:tc>
        <w:tc>
          <w:tcPr>
            <w:tcW w:w="2322" w:type="dxa"/>
          </w:tcPr>
          <w:p w:rsidR="00AC0832" w:rsidRDefault="00AC0832">
            <w:pPr>
              <w:pStyle w:val="CellColumn"/>
            </w:pPr>
            <w:r>
              <w:t>91,2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Zakon o pravima hrvatskih branitelja iz Domovinskog rata i članova njihovih obitelji i Uredba o uvjetima i postupku ostvarivanja prava na jednokratnu novčanu pomoć članova obitelji smrtno stradalog hrvatskog branitelja iz Domovinskog rata, hrvatskih ratnih vojnih invalida iz Domovinskog rata i hrvatskih branitelja iz Domovinskog rata propisuju pravo na jednokratnu novčanu pomoć u maksimalnoj visini do iznosa dvije proračunske osnovice.  </w:t>
      </w:r>
    </w:p>
    <w:p w:rsidR="00AC0832" w:rsidRDefault="00AC0832">
      <w:pPr>
        <w:pStyle w:val="Normal6"/>
      </w:pPr>
      <w:r>
        <w:t xml:space="preserve">Sukladno Zakonu o pravima hrvatskih branitelja iz Domovinskog rata i članova njihovih obitelji i Uredbe o uvjetima i postupku ostvarivanja carinskih i poreznih olakšica hrvatskih branitelja i članova njihovih obitelji, Ministarstvo dodjeljuje u vlasništvo hrvatskim ratnim vojnim invalidima iz Domovinskog rata s oštećenjem organizma 100% I. skupine osobni automobil s ugrađenim odgovarajućim prilagodbama. Dodjelom osobnog automobila s ugrađenim prilagodbama hrvatskim ratnim vojnim invalidima iz Domovinskog rata 100% I. skupine omogućuje se kvalitetnije življenje i lakše uključivanje u svakodnevni život, a radi se o jedinoj mogućnosti mobilnosti i pokretljivosti za najteže invalide iz Domovinskog rata. </w:t>
      </w:r>
    </w:p>
    <w:p w:rsidR="00AC0832" w:rsidRDefault="00AC0832">
      <w:pPr>
        <w:pStyle w:val="Normal6"/>
      </w:pPr>
      <w:r>
        <w:t xml:space="preserve">Zakon o pravima hrvatskih branitelja iz Domovinskog rata i članova njihovih obitelji propisuje pravo na besplatne udžbenike za djecu smrtno stradalog, zatočenog ili nestalog hrvatskog branitelja iz Domovinskog rata, HRVI iz Domovinskog rata i njihovu djecu i hrvatske branitelje iz Domovinskog rata za potrebe redovitog ili izvanrednog školovanja u osnovnim i srednjim školama, te na visokim učilištima, dok su Pravilnikom o dodjeli besplatnih udžbenika utvrđeni uvjeti i mjerila za ostvarivanje prava na besplatne udžbenike. Isplatom naknada za besplatne udžbenike Ministarstvo osigurava osnovne preduvjete za obrazovanje, odnosno čini ga dostupnijim svim osobama iz ciljne skupine sa slabijim imovinskim statusom koje pravo ostvaruju sukladno Pravilniku. S obzirom na opredijeljenost Hrvatske kao „društva znanja“, Ministarstvo provedbom programa sufinanciranja udžbenika za navedene osobe doprinosi pružanju jednake mogućnosti na obrazovanje. Pravo na besplatne udžbenike odnosno pravo na isplatu naknade ostvarilo je ukupno 18.410 korisnika u 2012. godini.  </w:t>
      </w:r>
    </w:p>
    <w:p w:rsidR="00AC0832" w:rsidRDefault="00AC0832">
      <w:pPr>
        <w:pStyle w:val="Normal6"/>
      </w:pPr>
      <w:r>
        <w:t xml:space="preserve">Temeljem Odluke o financiranju pripremnih tečajeva za polaganje ispita državne mature i upis na studijske programe u školskoj godini 2012./2013. godini (KLASA: 602-01/12-001/8, URBROJ: 519-03/1-1-12-2 od 23. travnja 2012. godine), Ministarstvo branitelja osigurava sredstva i sufinancira troškove u visini do 2.000,00 kuna za pripreme za polaganje razredbenog ispita za svakog zainteresiranog kandidata. U 2012. godini Ministarstvo je financiralo pripremne tečajeve za 36 korisnika koji su se prijavili na Javni poziv i ispunili propisane uvjete. </w:t>
      </w:r>
    </w:p>
    <w:p w:rsidR="00AC0832" w:rsidRDefault="00AC0832">
      <w:pPr>
        <w:pStyle w:val="Normal6"/>
      </w:pPr>
      <w:r>
        <w:t xml:space="preserve">Sukladno Zakonu o pravima hrvatskih branitelja iz Domovinskog rata i članova njihovih obitelji, Ministarstvo je u 2012. godini pokrilo troškove organizacije pokopa uz vojne počasti za 2.619 smrtno stradalih hrvatskih branitelja iz Domovinskog rata, umrlih hrvatskih ratnih vojnih invalida iz Domovinskog rata i hrvatskih branitelja iz Domovinskog rata. </w:t>
      </w:r>
    </w:p>
    <w:p w:rsidR="00AC0832" w:rsidRDefault="00AC0832">
      <w:pPr>
        <w:pStyle w:val="Normal6"/>
      </w:pPr>
      <w:r>
        <w:t xml:space="preserve">U izvještajnom razdoblju pravo na osobni automobil s ugrađenim odgovarajućim prilagodbama ostvarilo je 93 HRVI iz Domovinskog rata 100% I. skupine. </w:t>
      </w:r>
    </w:p>
    <w:p w:rsidR="00AC0832" w:rsidRDefault="00AC0832">
      <w:pPr>
        <w:pStyle w:val="Normal6"/>
      </w:pPr>
      <w:r>
        <w:t>U 2012. godini povjerenstva za jednokratnu novčanu pomoć pozitivno su riješila 770 zahtjeva (novčana pomoć može iznositi najviše 6.652,00 kune). Visina iznosa jednokratne novčane pomoći ovisi o mnogim čimbenicima: broju članova obitelji podnositelja zahtjeva, broju maloljetnih članova, težini bolesti potkrijepljenoj medicinskom dokumentacijom, smrtnom slučaju, elementarnoj nepogodi i ostalo. Sredstva iz Državnog proračuna utrošena su na zahtjeve zaprimljene do 20. prosinca 2012. godine.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8"/>
        <w:gridCol w:w="1540"/>
        <w:gridCol w:w="1286"/>
        <w:gridCol w:w="1291"/>
        <w:gridCol w:w="1289"/>
        <w:gridCol w:w="1291"/>
        <w:gridCol w:w="129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automobila dodijeljenih HRVI 100% I. skupine</w:t>
            </w:r>
          </w:p>
        </w:tc>
        <w:tc>
          <w:tcPr>
            <w:tcW w:w="1300" w:type="dxa"/>
          </w:tcPr>
          <w:p w:rsidR="00AC0832" w:rsidRDefault="00AC0832">
            <w:pPr>
              <w:pStyle w:val="CellColumn"/>
            </w:pPr>
            <w:r>
              <w:t>Dodjelom automobila s ugrađenim prilagodbama HRVI iz Domovinskog rata 100% I. Skupine omogućuje se kvalitetnije življenje i uključivanje u sve oblike svakodnevnice</w:t>
            </w:r>
          </w:p>
        </w:tc>
        <w:tc>
          <w:tcPr>
            <w:tcW w:w="1300" w:type="dxa"/>
          </w:tcPr>
          <w:p w:rsidR="00AC0832" w:rsidRDefault="00AC0832">
            <w:pPr>
              <w:pStyle w:val="CellColumn"/>
            </w:pPr>
            <w:r>
              <w:t>broj</w:t>
            </w:r>
          </w:p>
        </w:tc>
        <w:tc>
          <w:tcPr>
            <w:tcW w:w="1300" w:type="dxa"/>
          </w:tcPr>
          <w:p w:rsidR="00AC0832" w:rsidRDefault="00AC0832">
            <w:pPr>
              <w:pStyle w:val="CellColumn"/>
            </w:pPr>
            <w:r>
              <w:t>25</w:t>
            </w:r>
          </w:p>
        </w:tc>
        <w:tc>
          <w:tcPr>
            <w:tcW w:w="1300" w:type="dxa"/>
          </w:tcPr>
          <w:p w:rsidR="00AC0832" w:rsidRDefault="00AC0832">
            <w:pPr>
              <w:pStyle w:val="CellColumn"/>
            </w:pPr>
            <w:r>
              <w:t>MB</w:t>
            </w:r>
          </w:p>
        </w:tc>
        <w:tc>
          <w:tcPr>
            <w:tcW w:w="1300" w:type="dxa"/>
          </w:tcPr>
          <w:p w:rsidR="00AC0832" w:rsidRDefault="00AC0832">
            <w:pPr>
              <w:pStyle w:val="CellColumn"/>
            </w:pPr>
            <w:r>
              <w:t>93</w:t>
            </w:r>
          </w:p>
        </w:tc>
        <w:tc>
          <w:tcPr>
            <w:tcW w:w="1300" w:type="dxa"/>
          </w:tcPr>
          <w:p w:rsidR="00AC0832" w:rsidRDefault="00AC0832">
            <w:pPr>
              <w:pStyle w:val="CellColumn"/>
            </w:pPr>
            <w:r>
              <w:t>93</w:t>
            </w:r>
          </w:p>
        </w:tc>
      </w:tr>
      <w:tr w:rsidR="00AC0832" w:rsidTr="00BE20ED">
        <w:trPr>
          <w:jc w:val="center"/>
        </w:trPr>
        <w:tc>
          <w:tcPr>
            <w:tcW w:w="1300" w:type="dxa"/>
          </w:tcPr>
          <w:p w:rsidR="00AC0832" w:rsidRDefault="00AC0832">
            <w:pPr>
              <w:pStyle w:val="CellColumn"/>
            </w:pPr>
            <w:r>
              <w:t>Broj odobrenih zahtjeva za jednokratnu novčanu pomoć</w:t>
            </w:r>
          </w:p>
        </w:tc>
        <w:tc>
          <w:tcPr>
            <w:tcW w:w="1300" w:type="dxa"/>
          </w:tcPr>
          <w:p w:rsidR="00AC0832" w:rsidRDefault="00AC0832">
            <w:pPr>
              <w:pStyle w:val="CellColumn"/>
            </w:pPr>
            <w:r>
              <w:t>Odobravanjem jednokratne pomoći Ministarstvo pomaže u slučajevima težih zdravstvenih oboljenja osoba koje ostvaruju pravo kao i užih članova njihove obitelji te podmirenju osnovnih životnih potreba</w:t>
            </w:r>
          </w:p>
        </w:tc>
        <w:tc>
          <w:tcPr>
            <w:tcW w:w="1300" w:type="dxa"/>
          </w:tcPr>
          <w:p w:rsidR="00AC0832" w:rsidRDefault="00AC0832">
            <w:pPr>
              <w:pStyle w:val="CellColumn"/>
            </w:pPr>
            <w:r>
              <w:t>broj</w:t>
            </w:r>
          </w:p>
        </w:tc>
        <w:tc>
          <w:tcPr>
            <w:tcW w:w="1300" w:type="dxa"/>
          </w:tcPr>
          <w:p w:rsidR="00AC0832" w:rsidRDefault="00AC0832">
            <w:pPr>
              <w:pStyle w:val="CellColumn"/>
            </w:pPr>
            <w:r>
              <w:t>760</w:t>
            </w:r>
          </w:p>
        </w:tc>
        <w:tc>
          <w:tcPr>
            <w:tcW w:w="1300" w:type="dxa"/>
          </w:tcPr>
          <w:p w:rsidR="00AC0832" w:rsidRDefault="00AC0832">
            <w:pPr>
              <w:pStyle w:val="CellColumn"/>
            </w:pPr>
            <w:r>
              <w:t>MB</w:t>
            </w:r>
          </w:p>
        </w:tc>
        <w:tc>
          <w:tcPr>
            <w:tcW w:w="1300" w:type="dxa"/>
          </w:tcPr>
          <w:p w:rsidR="00AC0832" w:rsidRDefault="00AC0832">
            <w:pPr>
              <w:pStyle w:val="CellColumn"/>
            </w:pPr>
            <w:r>
              <w:t>780</w:t>
            </w:r>
          </w:p>
        </w:tc>
        <w:tc>
          <w:tcPr>
            <w:tcW w:w="1300" w:type="dxa"/>
          </w:tcPr>
          <w:p w:rsidR="00AC0832" w:rsidRDefault="00AC0832">
            <w:pPr>
              <w:pStyle w:val="CellColumn"/>
            </w:pPr>
            <w:r>
              <w:t>770</w:t>
            </w:r>
          </w:p>
        </w:tc>
      </w:tr>
      <w:tr w:rsidR="00AC0832" w:rsidTr="00BE20ED">
        <w:trPr>
          <w:jc w:val="center"/>
        </w:trPr>
        <w:tc>
          <w:tcPr>
            <w:tcW w:w="1300" w:type="dxa"/>
          </w:tcPr>
          <w:p w:rsidR="00AC0832" w:rsidRDefault="00AC0832">
            <w:pPr>
              <w:pStyle w:val="CellColumn"/>
            </w:pPr>
            <w:r>
              <w:t>Broj korisnika prava na besplatne udžbenike koji ispunjavaju uvjete iz Zakona</w:t>
            </w:r>
          </w:p>
        </w:tc>
        <w:tc>
          <w:tcPr>
            <w:tcW w:w="1300" w:type="dxa"/>
          </w:tcPr>
          <w:p w:rsidR="00AC0832" w:rsidRDefault="00AC0832">
            <w:pPr>
              <w:pStyle w:val="CellColumn"/>
            </w:pPr>
            <w:r>
              <w:t>Održavanje kontinuiteta isplaćivanja naknade za besplatne udžbenike svim osobama utvrđenim Pravilnikom, koji su slabijeg imovinskog statusa, čime se osiguravaju osnovni preduvjeti obrazovanja</w:t>
            </w:r>
          </w:p>
        </w:tc>
        <w:tc>
          <w:tcPr>
            <w:tcW w:w="1300" w:type="dxa"/>
          </w:tcPr>
          <w:p w:rsidR="00AC0832" w:rsidRDefault="00AC0832">
            <w:pPr>
              <w:pStyle w:val="CellColumn"/>
            </w:pPr>
            <w:r>
              <w:t>broj</w:t>
            </w:r>
          </w:p>
        </w:tc>
        <w:tc>
          <w:tcPr>
            <w:tcW w:w="1300" w:type="dxa"/>
          </w:tcPr>
          <w:p w:rsidR="00AC0832" w:rsidRDefault="00AC0832">
            <w:pPr>
              <w:pStyle w:val="CellColumn"/>
            </w:pPr>
            <w:r>
              <w:t>20.956</w:t>
            </w:r>
          </w:p>
        </w:tc>
        <w:tc>
          <w:tcPr>
            <w:tcW w:w="1300" w:type="dxa"/>
          </w:tcPr>
          <w:p w:rsidR="00AC0832" w:rsidRDefault="00AC0832">
            <w:pPr>
              <w:pStyle w:val="CellColumn"/>
            </w:pPr>
            <w:r>
              <w:t>MB</w:t>
            </w:r>
          </w:p>
        </w:tc>
        <w:tc>
          <w:tcPr>
            <w:tcW w:w="1300" w:type="dxa"/>
          </w:tcPr>
          <w:p w:rsidR="00AC0832" w:rsidRDefault="00AC0832">
            <w:pPr>
              <w:pStyle w:val="CellColumn"/>
            </w:pPr>
            <w:r>
              <w:t>21.000</w:t>
            </w:r>
          </w:p>
        </w:tc>
        <w:tc>
          <w:tcPr>
            <w:tcW w:w="1300" w:type="dxa"/>
          </w:tcPr>
          <w:p w:rsidR="00AC0832" w:rsidRDefault="00AC0832">
            <w:pPr>
              <w:pStyle w:val="CellColumn"/>
            </w:pPr>
            <w:r>
              <w:t>18.410</w:t>
            </w:r>
          </w:p>
        </w:tc>
      </w:tr>
    </w:tbl>
    <w:p w:rsidR="00AC0832" w:rsidRDefault="00AC0832">
      <w:pPr>
        <w:jc w:val="left"/>
      </w:pPr>
    </w:p>
    <w:p w:rsidR="00AC0832" w:rsidRDefault="00AC0832">
      <w:pPr>
        <w:pStyle w:val="Heading6"/>
      </w:pPr>
      <w:r>
        <w:t>A753008 TRAJNA PRAVA ( OSOBNA INVALIDNINA, OBITELJSKA INVALIDNINA, NAKNADE I DRUGO)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A753008-TRAJNA PRAVA ( OSOBNA INVALIDNINA, OBITELJSKA INVALIDNINA, NAKNADE I DRUGO)</w:t>
            </w:r>
          </w:p>
        </w:tc>
        <w:tc>
          <w:tcPr>
            <w:tcW w:w="2322" w:type="dxa"/>
          </w:tcPr>
          <w:p w:rsidR="00AC0832" w:rsidRDefault="00AC0832">
            <w:pPr>
              <w:pStyle w:val="CellColumn"/>
            </w:pPr>
            <w:r>
              <w:t>701.679.000</w:t>
            </w:r>
          </w:p>
        </w:tc>
        <w:tc>
          <w:tcPr>
            <w:tcW w:w="2322" w:type="dxa"/>
          </w:tcPr>
          <w:p w:rsidR="00AC0832" w:rsidRDefault="00AC0832">
            <w:pPr>
              <w:pStyle w:val="CellColumn"/>
            </w:pPr>
            <w:r>
              <w:t>701.208.587</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Radi isplate zakonitih, točnih i pravovremenih iznosa priznatih trajnih prava hrvatskim braniteljima iz Domovinskog rata i članovima njihovih obitelji na osnovi izvršnih rješenja, Ministarstvo je u okviru svoje nadležnosti propisane Zakonom o pravima hrvatskih branitelja iz Domovinskog rata i članova njihovih obitelji, provelo kontrolu zakonitosti prvostupanjskih rješenja kojima se priznaje status člana obitelji smrtno stradaloga hrvatskog branitelja iz Domovinskog rata i pravo na obiteljsku invalidninu, pravo na povećanu obiteljsku invalidninu i pravo na uvećanu obiteljsku invalidninu, status člana obitelji nestaloga ili zatočenog hrvatskog branitelja iz Domovinskog rata i novčanu naknadu u iznosu obiteljske invalidnine, povećane i uvećane obiteljske invalidnine, statusa HRVI iz Domovinskog rata i pravo na osobnu invalidninu, doplatak za njegu i pomoć druge osobe, ortopedski doplatak, posebni doplatak, opskrbninu, doplatak za pripomoć u kući i rješenja kojima se dodjeljivao osobni automobil HRVI iz Domovinskog rata I. skupine. </w:t>
      </w:r>
    </w:p>
    <w:p w:rsidR="00AC0832" w:rsidRDefault="00AC0832">
      <w:pPr>
        <w:pStyle w:val="Normal6"/>
      </w:pPr>
      <w:r>
        <w:t xml:space="preserve">Revizija kao oblik kontrole zakonitosti prvostupanjskih rješenja od strane drugostupanjskog tijela ima za cilj da prije izvršnosti rješenja otkloni eventualne greške u nadležnosti, postupku i formi upravnog akta, materijalnoj povredi zakona, činjeničnom stanju i cilju i svrsi koja se želi postići. </w:t>
      </w:r>
    </w:p>
    <w:p w:rsidR="00AC0832" w:rsidRDefault="00AC0832">
      <w:pPr>
        <w:pStyle w:val="Normal6"/>
      </w:pPr>
      <w:r>
        <w:t xml:space="preserve">Ministarstvo je rješavalo i u žalbenim postupcima kao i u obnovi postupaka po zahtjevu hrvatskih branitelja iz Domovinskog rata i članova njihovih obitelji kao i po službenoj dužnosti. Zakonitost u ostvarivanju i korištenju prava se kontinuirano pratila, te čim se saznalo za neku od osnova za obnovu postupka ili postupanje po drugom izvanrednom pravnom lijeku, započeo je upravni postupak radi otklanjanja nezakonitosti te ako je nastala šteta za Državni proračun Republike Hrvatske dostavljeno je prijedlog nadležnom državnom odvjetništvu za naknadu štete zbog eventualno protupravno primljenih novčanih iznosa ukoliko sa strankom nije postignut sporazum oko toga. U 2012. godini, bilo je 22 obnovljena postupaka, te tamo gdje postoji osnova u postupku naknade štete zatražiti će se povrat protupravno primljenih novčanih iznosa. </w:t>
      </w:r>
    </w:p>
    <w:p w:rsidR="00AC0832" w:rsidRDefault="00AC0832">
      <w:pPr>
        <w:pStyle w:val="Normal6"/>
      </w:pPr>
      <w:r>
        <w:t xml:space="preserve">Postignut je cilj smanjena poništenih drugostupanjskih rješenja u upravnom sporu pred Upravnim sudom Republike Hrvatske sa 54% u 2005. godini, na 11,68% u 2012. godini (od ukupno 1.600 presuda i rješenja vraćenih sa Visokog upravnog suda i Upravnih sudova uvaženo je 187 tužba, odbijeno je 1.331 tužbi, rješenjem je obustavljeno 58 postupaka te je u 24 tužba odbačena). </w:t>
      </w:r>
    </w:p>
    <w:p w:rsidR="00AC0832" w:rsidRDefault="00AC0832">
      <w:pPr>
        <w:pStyle w:val="Normal6"/>
      </w:pPr>
      <w:r>
        <w:t>Smanjen je broja poništenih prvostupanjskih rješenja u tijeku revizije i žalbe u odnosu na broj izdanih rješenja – od 12.375 poništeno je 1.130 prvostupanjska rješenja odnosno 9,13% (planirano 12%).</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9"/>
        <w:gridCol w:w="1829"/>
        <w:gridCol w:w="1081"/>
        <w:gridCol w:w="1157"/>
        <w:gridCol w:w="1136"/>
        <w:gridCol w:w="1157"/>
        <w:gridCol w:w="119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Udio broja poništenih prvostupanjskih rješenja o priznavanju statusa i prava hrvatskim braniteljima iz Domovinskog rata i članovima njihovih obitelji</w:t>
            </w:r>
          </w:p>
        </w:tc>
        <w:tc>
          <w:tcPr>
            <w:tcW w:w="1300" w:type="dxa"/>
          </w:tcPr>
          <w:p w:rsidR="00AC0832" w:rsidRDefault="00AC0832">
            <w:pPr>
              <w:pStyle w:val="CellColumn"/>
            </w:pPr>
            <w:r>
              <w:t>Putem nadzora nad zakonitošću rada i edukacije djelatnika prvostupanjskih tijela smanjiti broj nezakonito priznatih statusa i prava hrvatskim braniteljima iz Domovinskog rata i članovima njihovih obitelji</w:t>
            </w:r>
          </w:p>
        </w:tc>
        <w:tc>
          <w:tcPr>
            <w:tcW w:w="1300" w:type="dxa"/>
          </w:tcPr>
          <w:p w:rsidR="00AC0832" w:rsidRDefault="00AC0832">
            <w:pPr>
              <w:pStyle w:val="CellColumn"/>
            </w:pPr>
            <w:r>
              <w:t>%</w:t>
            </w:r>
          </w:p>
        </w:tc>
        <w:tc>
          <w:tcPr>
            <w:tcW w:w="1300" w:type="dxa"/>
          </w:tcPr>
          <w:p w:rsidR="00AC0832" w:rsidRDefault="00AC0832">
            <w:pPr>
              <w:pStyle w:val="CellColumn"/>
            </w:pPr>
            <w:r>
              <w:t>14</w:t>
            </w:r>
          </w:p>
        </w:tc>
        <w:tc>
          <w:tcPr>
            <w:tcW w:w="1300" w:type="dxa"/>
          </w:tcPr>
          <w:p w:rsidR="00AC0832" w:rsidRDefault="00AC0832">
            <w:pPr>
              <w:pStyle w:val="CellColumn"/>
            </w:pPr>
            <w:r>
              <w:t>MB</w:t>
            </w:r>
          </w:p>
        </w:tc>
        <w:tc>
          <w:tcPr>
            <w:tcW w:w="1300" w:type="dxa"/>
          </w:tcPr>
          <w:p w:rsidR="00AC0832" w:rsidRDefault="00AC0832">
            <w:pPr>
              <w:pStyle w:val="CellColumn"/>
            </w:pPr>
            <w:r>
              <w:t>12</w:t>
            </w:r>
          </w:p>
        </w:tc>
        <w:tc>
          <w:tcPr>
            <w:tcW w:w="1300" w:type="dxa"/>
          </w:tcPr>
          <w:p w:rsidR="00AC0832" w:rsidRDefault="00AC0832">
            <w:pPr>
              <w:pStyle w:val="CellColumn"/>
            </w:pPr>
            <w:r>
              <w:t>9,13</w:t>
            </w:r>
          </w:p>
        </w:tc>
      </w:tr>
      <w:tr w:rsidR="00AC0832" w:rsidTr="00BE20ED">
        <w:trPr>
          <w:jc w:val="center"/>
        </w:trPr>
        <w:tc>
          <w:tcPr>
            <w:tcW w:w="1300" w:type="dxa"/>
          </w:tcPr>
          <w:p w:rsidR="00AC0832" w:rsidRDefault="00AC0832">
            <w:pPr>
              <w:pStyle w:val="CellColumn"/>
            </w:pPr>
            <w:r>
              <w:t>Udio broja poništenih drugostupanjskih rješenja  u upravnom sporu</w:t>
            </w:r>
          </w:p>
        </w:tc>
        <w:tc>
          <w:tcPr>
            <w:tcW w:w="1300" w:type="dxa"/>
          </w:tcPr>
          <w:p w:rsidR="00AC0832" w:rsidRDefault="00AC0832">
            <w:pPr>
              <w:pStyle w:val="CellColumn"/>
            </w:pPr>
            <w:r>
              <w:t>Pojačati kontrolu nad radom Drugostupanjskog liječničkog povjerenstva radi donošenja nalaza i mišljenja sukladno zakonskim i provedbenim propisima te pojačati kontrolu zakonitosti drugostupanjskih rješenja od strane nadređenih državnih službenika</w:t>
            </w:r>
          </w:p>
        </w:tc>
        <w:tc>
          <w:tcPr>
            <w:tcW w:w="1300" w:type="dxa"/>
          </w:tcPr>
          <w:p w:rsidR="00AC0832" w:rsidRDefault="00AC0832">
            <w:pPr>
              <w:pStyle w:val="CellColumn"/>
            </w:pPr>
            <w:r>
              <w:t>%</w:t>
            </w:r>
          </w:p>
        </w:tc>
        <w:tc>
          <w:tcPr>
            <w:tcW w:w="1300" w:type="dxa"/>
          </w:tcPr>
          <w:p w:rsidR="00AC0832" w:rsidRDefault="00AC0832">
            <w:pPr>
              <w:pStyle w:val="CellColumn"/>
            </w:pPr>
            <w:r>
              <w:t>12</w:t>
            </w:r>
          </w:p>
        </w:tc>
        <w:tc>
          <w:tcPr>
            <w:tcW w:w="1300" w:type="dxa"/>
          </w:tcPr>
          <w:p w:rsidR="00AC0832" w:rsidRDefault="00AC0832">
            <w:pPr>
              <w:pStyle w:val="CellColumn"/>
            </w:pPr>
            <w:r>
              <w:t>MB</w:t>
            </w:r>
          </w:p>
        </w:tc>
        <w:tc>
          <w:tcPr>
            <w:tcW w:w="1300" w:type="dxa"/>
          </w:tcPr>
          <w:p w:rsidR="00AC0832" w:rsidRDefault="00AC0832">
            <w:pPr>
              <w:pStyle w:val="CellColumn"/>
            </w:pPr>
            <w:r>
              <w:t>12</w:t>
            </w:r>
          </w:p>
        </w:tc>
        <w:tc>
          <w:tcPr>
            <w:tcW w:w="1300" w:type="dxa"/>
          </w:tcPr>
          <w:p w:rsidR="00AC0832" w:rsidRDefault="00AC0832">
            <w:pPr>
              <w:pStyle w:val="CellColumn"/>
            </w:pPr>
            <w:r>
              <w:t>11,68</w:t>
            </w:r>
          </w:p>
        </w:tc>
      </w:tr>
    </w:tbl>
    <w:p w:rsidR="00AC0832" w:rsidRDefault="00AC0832">
      <w:pPr>
        <w:jc w:val="left"/>
      </w:pPr>
    </w:p>
    <w:p w:rsidR="00AC0832" w:rsidRDefault="00AC0832">
      <w:pPr>
        <w:pStyle w:val="Heading6"/>
      </w:pPr>
      <w:r>
        <w:t>A753009 ZAPOŠLJAVANJE HRVATSKIH BRANITELJA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A753009-ZAPOŠLJAVANJE HRVATSKIH BRANITELJA</w:t>
            </w:r>
          </w:p>
        </w:tc>
        <w:tc>
          <w:tcPr>
            <w:tcW w:w="2322" w:type="dxa"/>
          </w:tcPr>
          <w:p w:rsidR="00AC0832" w:rsidRDefault="00AC0832">
            <w:pPr>
              <w:pStyle w:val="CellColumn"/>
            </w:pPr>
            <w:r>
              <w:t>20.285.000</w:t>
            </w:r>
          </w:p>
        </w:tc>
        <w:tc>
          <w:tcPr>
            <w:tcW w:w="2322" w:type="dxa"/>
          </w:tcPr>
          <w:p w:rsidR="00AC0832" w:rsidRDefault="00AC0832">
            <w:pPr>
              <w:pStyle w:val="CellColumn"/>
            </w:pPr>
            <w:r>
              <w:t>12.704.270</w:t>
            </w:r>
          </w:p>
        </w:tc>
        <w:tc>
          <w:tcPr>
            <w:tcW w:w="2322" w:type="dxa"/>
          </w:tcPr>
          <w:p w:rsidR="00AC0832" w:rsidRDefault="00AC0832">
            <w:pPr>
              <w:pStyle w:val="CellColumn"/>
            </w:pPr>
            <w:r>
              <w:t>62,6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Navedena aktivnost provodila se temeljem Zaključka Vlade Republike Hrvatske od 12. travnja 2012. godine kojim je usvojen Program stručnog osposobljavanja i zapošljavanja hrvatskih branitelja i djece smrtno stradalih, zatočenih ili nestalih hrvatskih branitelja za razdoblje od 2012. do 2013. godine (Klasa: 131-01/12-01/01, Urbroj: 5030106-12-1, NN 43/12). </w:t>
      </w:r>
    </w:p>
    <w:p w:rsidR="00AC0832" w:rsidRDefault="00AC0832">
      <w:pPr>
        <w:pStyle w:val="Normal6"/>
      </w:pPr>
      <w:r>
        <w:t xml:space="preserve">Zahtjevi za korištenje poticajnih mjera Programa zaprimljeni su po objavi Javnih poziva za svaku pojedinu mjeru, a o istima je odlučivao Stručni tim za odlučivanje o mogućnosti korištenja mjera Programa stručnog osposobljavanja i zapošljavanja nezaposlenih hrvatskih branitelja i djece smrtno stradalih, zatočenih ili nestalih hrvatskih branitelja. </w:t>
      </w:r>
    </w:p>
    <w:p w:rsidR="00AC0832" w:rsidRDefault="00AC0832">
      <w:pPr>
        <w:pStyle w:val="Normal6"/>
      </w:pPr>
      <w:r>
        <w:t xml:space="preserve">Realizacija ovog Programa odvijala se kroz ukupno  sedam mjera: </w:t>
      </w:r>
    </w:p>
    <w:p w:rsidR="00AC0832" w:rsidRDefault="00AC0832">
      <w:pPr>
        <w:pStyle w:val="Normal6"/>
      </w:pPr>
      <w:r>
        <w:t xml:space="preserve">1. Mjera stručnog osposobljavanja </w:t>
      </w:r>
    </w:p>
    <w:p w:rsidR="00AC0832" w:rsidRDefault="00AC0832">
      <w:pPr>
        <w:pStyle w:val="Normal6"/>
      </w:pPr>
      <w:r>
        <w:t xml:space="preserve">Primjena ove mjere utječe na poboljšanje obrazovne strukture nezaposlenih osoba iz ciljne skupine i podizanje njihove konkurentnosti na tržištu rada. </w:t>
      </w:r>
    </w:p>
    <w:p w:rsidR="00AC0832" w:rsidRDefault="00AC0832">
      <w:pPr>
        <w:pStyle w:val="Normal6"/>
      </w:pPr>
      <w:r>
        <w:t xml:space="preserve">Obrazovne aktivnosti koje omogućava primjena mjere jesu stjecanje prvog zanimanja, prekvalifikacija i dokvalifikacija (potpora do 7.000,00 kuna), te stjecanje dodatnih znanja i vještina i polaganje majstorskih ispita (do 4.000,00 kuna). </w:t>
      </w:r>
    </w:p>
    <w:p w:rsidR="00AC0832" w:rsidRDefault="00AC0832">
      <w:pPr>
        <w:pStyle w:val="Normal6"/>
      </w:pPr>
      <w:r>
        <w:t xml:space="preserve">U 2012. godini objavljen je Javni poziv za Mjeru stručnog osposobljavanja za koju je zaprimljeno 49 zahtjeva, od kojih su 32 pozitivno riješena. Za financiranje ove mjere utrošeno je 170.794,00 kuna. </w:t>
      </w:r>
    </w:p>
    <w:p w:rsidR="00AC0832" w:rsidRDefault="00AC0832">
      <w:pPr>
        <w:pStyle w:val="Normal6"/>
      </w:pPr>
      <w:r>
        <w:t xml:space="preserve">2. Mjera samozapošljavanja </w:t>
      </w:r>
    </w:p>
    <w:p w:rsidR="00AC0832" w:rsidRDefault="00AC0832">
      <w:pPr>
        <w:pStyle w:val="Normal6"/>
      </w:pPr>
      <w:r>
        <w:t xml:space="preserve">Osobama iz ciljne skupine koje se namjeravaju zaposliti obavljanjem samostalne poduzetničke djelatnosti Ministarstvo može odobriti isplatu poticaja u iznosu od 30.000,00 kuna. Poticaj se isplaćuje u dva dijela: prvi dio poticaja u iznosu od 15.000,00 kuna isplaćuje se po odobravanju mjere, a drugi dio poticaja u iznosu od 15.000,00 kuna po ispunjenju dijela ugovornih obveza. </w:t>
      </w:r>
    </w:p>
    <w:p w:rsidR="00AC0832" w:rsidRDefault="00AC0832">
      <w:pPr>
        <w:pStyle w:val="Normal6"/>
      </w:pPr>
      <w:r>
        <w:t xml:space="preserve">U 2012. godini bila su objavljena dva Javna poziva za navedenu mjeru temeljem kojeg je zaprimljen 121 zahtjev od kojih je odobreno 78 zahtjeva. Za financiranje ove mjere utrošeno je 2.250.000,00 kuna. </w:t>
      </w:r>
    </w:p>
    <w:p w:rsidR="00AC0832" w:rsidRDefault="00AC0832">
      <w:pPr>
        <w:pStyle w:val="Normal6"/>
      </w:pPr>
      <w:r>
        <w:t xml:space="preserve">3. Mjera potpore za proširenje postojeće djelatnosti </w:t>
      </w:r>
    </w:p>
    <w:p w:rsidR="00AC0832" w:rsidRDefault="00AC0832">
      <w:pPr>
        <w:pStyle w:val="Normal6"/>
      </w:pPr>
      <w:r>
        <w:t xml:space="preserve">Ministarstvo podupire poduzetnike koji namjeravaju proširiti postojeću djelatnost zapošljavanjem osoba iz ciljne skupine jednokratnim novčanim poticajom u iznosu od 45.000,00 kuna po zaposlenoj osobi, a najviše za zapošljavanje tri osobe iz ciljne skupine.  </w:t>
      </w:r>
    </w:p>
    <w:p w:rsidR="00AC0832" w:rsidRDefault="00AC0832">
      <w:pPr>
        <w:pStyle w:val="Normal6"/>
      </w:pPr>
      <w:r>
        <w:t xml:space="preserve">U 2012. godini bila su objavljena dva Javna poziva temeljem kojih su zaprimljena 53 zahtjeva, od kojih su odobrena 33 zahtjeva. Za financiranje ove mjere utrošeno je 1.800.000,00 kuna. </w:t>
      </w:r>
    </w:p>
    <w:p w:rsidR="00AC0832" w:rsidRDefault="00AC0832">
      <w:pPr>
        <w:pStyle w:val="Normal6"/>
      </w:pPr>
      <w:r>
        <w:t xml:space="preserve">4. Mjera potpore zapošljavanja djece smrtno stradalih, zatočenih ili nestalih hrvatskih branitelja bez radnog iskustva </w:t>
      </w:r>
    </w:p>
    <w:p w:rsidR="00AC0832" w:rsidRDefault="00AC0832">
      <w:pPr>
        <w:pStyle w:val="Normal6"/>
      </w:pPr>
      <w:r>
        <w:t xml:space="preserve">Ministarstvo potiče poslodavce da zaposle djecu smrtno stradalih, zatočenih ili nestalih hrvatskih branitelja koja nemaju radnog iskustva, iznosom od 25.000,00 kuna. U 2012. godini bila su objavljena dva Javna poziva za navedenu mjeru. U prvom Javnom pozivu nije zaprimljen niti jedan zahtjev, a u drugom Javnom pozivu zaprimljena su dva zahtjeva te su oba pozitivno riješena. Za financiranje ove mjere utrošeno je 50.000,00 kuna. </w:t>
      </w:r>
    </w:p>
    <w:p w:rsidR="00AC0832" w:rsidRDefault="00AC0832">
      <w:pPr>
        <w:pStyle w:val="Normal6"/>
      </w:pPr>
      <w:r>
        <w:t xml:space="preserve">5. Mjera kreditiranja malog i srednjeg poduzetništva </w:t>
      </w:r>
    </w:p>
    <w:p w:rsidR="00AC0832" w:rsidRDefault="00AC0832">
      <w:pPr>
        <w:pStyle w:val="Normal6"/>
      </w:pPr>
      <w:r>
        <w:t xml:space="preserve">Ministarstvo otplaćuje obveze preuzete u prethodnom razdoblju, subvencioniranjem 2% kamatne stope na poduzetničke kredite realizirane u poslovnim bankama kroz Program „Lokalni projekti razvoja-poduzetnik-branitelj“ za 508 korisnika iz 21 županije. Od ukupno 508 korisnika subvencije, otplaćeno je 228 obveza po kreditima, 31 korisniku je ukinuto pravo na subvenciju te Ministarstvo nastavlja izvršavati obvezu subvencioniranja kamatne stope u iznosu od 2% u narednom razdoblju. U 2012. godini za ovu mjeru isplaćeno je 2.114.616,85 kuna.  </w:t>
      </w:r>
    </w:p>
    <w:p w:rsidR="00AC0832" w:rsidRDefault="00AC0832">
      <w:pPr>
        <w:pStyle w:val="Normal6"/>
      </w:pPr>
      <w:r>
        <w:t xml:space="preserve">6. Mjera  potpore radu zadruga hrvatskih branitelja  </w:t>
      </w:r>
    </w:p>
    <w:p w:rsidR="00AC0832" w:rsidRDefault="00AC0832">
      <w:pPr>
        <w:pStyle w:val="Normal6"/>
      </w:pPr>
      <w:r>
        <w:t xml:space="preserve">Ministarstvo daje novčanu i drugu potporu za rad zadruga, kao posebnog oblika malog poduzetništva, koje omogućava organizirano i stručno vođeno obavljanje djelatnosti te zajednički nastup na tržištu. O dodjeli novčane potpore za početak rada zadruga odlučuje Stručni tim temeljem dostavljene dokumentacije i uvjeta iz Javnog poziva te po dostavljenom mišljenju referalnih centara Ministarstva. Ministarstvo po navedenoj mjeri zadruzi isplaćuje poticaj u iznosu 150.000,00 kuna. U 2012. godini objavljena su dva Javna poziva temeljem kojih je zaprimljeno 66 zahtjeva od kojih su 23 zahtjeva pozitivno riješena. Za financiranje ove mjere utrošeno je 3.450.000,00 kuna. </w:t>
      </w:r>
    </w:p>
    <w:p w:rsidR="00AC0832" w:rsidRDefault="00AC0832">
      <w:pPr>
        <w:pStyle w:val="Normal6"/>
      </w:pPr>
      <w:r>
        <w:t xml:space="preserve">7. Mjera potpore projektima zadruga hrvatskih branitelja  </w:t>
      </w:r>
    </w:p>
    <w:p w:rsidR="00AC0832" w:rsidRDefault="00AC0832">
      <w:pPr>
        <w:pStyle w:val="Normal6"/>
      </w:pPr>
      <w:r>
        <w:t xml:space="preserve">Zadruzi koja je svojim dosadašnjim poslovanjem pokazala uspješnost i profitabilnost Ministarstvo pomaže u realizaciji projekta i nabavi strojeva, opreme ili zemljišta kojim se proširuje postojeća djelatnost ili razvija novi projekt zadruge dodjeljivanjem novčanog poticaja u iznosu od 100.000,00 kuna. </w:t>
      </w:r>
    </w:p>
    <w:p w:rsidR="00AC0832" w:rsidRDefault="00AC0832">
      <w:pPr>
        <w:pStyle w:val="Normal6"/>
      </w:pPr>
      <w:r>
        <w:t xml:space="preserve">U izvještajnom razdoblju objavljena su dva Javna poziva temeljem kojih su zaprimljena 42 zahtjeva, od kojih su 22 zahtjeva pozitivno riješena. Za financiranje ove mjere utrošeno je 2.260.000,00 kuna. Od navedenog broja tri zadruge su imale certifikat o ekološkoj proizvodnji te je njima isplaćeno 120.000,00 kuna potpore (odnosno 20% uvećan iznos potpore). </w:t>
      </w:r>
    </w:p>
    <w:p w:rsidR="00AC0832" w:rsidRDefault="00AC0832">
      <w:pPr>
        <w:pStyle w:val="Normal6"/>
      </w:pPr>
      <w:r>
        <w:t xml:space="preserve">Radi pružanja pomoći na terenu, utvrđivanja stanja zadruga te za provedbu Mjere potpore radu zadruga hrvatskih branitelja i Mjere potpore projektima zadruga hrvatskih branitelja, Ministarstvo je raspisalo Javni poziv za izbor tri Referalna centra (za tri geografske regije) kojima je ukupno isplaćeno 450.000,00 kuna, tj. pojedinačno 150.000,00 kuna.  </w:t>
      </w:r>
    </w:p>
    <w:p w:rsidR="00AC0832" w:rsidRDefault="00AC0832">
      <w:pPr>
        <w:pStyle w:val="Normal6"/>
      </w:pPr>
      <w:r>
        <w:t xml:space="preserve">Tri Referalna centra imala su obvezu obilaska svih braniteljskih zadruga koje su osnovane od 2004. godine do danas. Referalni centri Modrozelena, Tompojevci i Uskok obišli su 275 braniteljskih zadruga, održali 39 okruglih stolova i radionica, 62 sastanka vezanih uz provedbu mjera Ministarstva branitelja, 25 sastanaka vezanih za međunarodnu i prekograničnu suradnju, sudjelovali su u organiziranju pet sajmova braniteljskih zadruga te deset obilježavanja obljetnica iz Domovinskog rata.  </w:t>
      </w:r>
    </w:p>
    <w:p w:rsidR="00AC0832" w:rsidRDefault="00AC0832">
      <w:pPr>
        <w:pStyle w:val="Normal6"/>
      </w:pPr>
      <w:r>
        <w:t xml:space="preserve"> </w:t>
      </w:r>
    </w:p>
    <w:p w:rsidR="00AC0832" w:rsidRDefault="00AC0832">
      <w:pPr>
        <w:pStyle w:val="Normal6"/>
      </w:pPr>
      <w:r>
        <w:t xml:space="preserve">U 2012. godini provedbom Programa dodijeljena je potpora za ukupno 190 korisnika temeljem kojih su zaposlena ukupno 422 hrvatska branitelja iz Domovinskog rata i djeteta smrtno stradalog, zatočenog ili nestalog hrvatskog branitelja iz Domovinskog rata. </w:t>
      </w:r>
    </w:p>
    <w:p w:rsidR="00AC0832" w:rsidRDefault="00AC0832">
      <w:pPr>
        <w:pStyle w:val="Normal6"/>
      </w:pPr>
      <w:r>
        <w:t xml:space="preserve">Ministarstvo će nastojati utjecati na povećanje dostupnosti informacija o poticajnim mjerama Programa, koje su trenutno dostupne na internetskim stranicama Ministarstva, područnim jedinicama Ministarstva i županijskim centrima za psihosocijalnu pomoć, putem telefona, promidžbenih spotova i slično, kako bi se pozitivno utjecalo na informiranje korisnika, te nastavno na povećanje udjela isplaćenih poticaja u odnosu na odobrene zahtjeve. </w:t>
      </w:r>
    </w:p>
    <w:p w:rsidR="00AC0832" w:rsidRDefault="00AC0832">
      <w:pPr>
        <w:pStyle w:val="Normal6"/>
      </w:pPr>
      <w:r>
        <w:t xml:space="preserve">Ministarstvo je nastavilo pružati savjetodavnu i stručnu pomoć zadrugama hrvatskih branitelja te posredovati između zadruga hrvatskih branitelja i drugih pravnih i fizičkih osoba u cilju ostvarivanja međusobne suradnje te je takvim oblicima suradnje zadrugama hrvatskih branitelja omogućilo otkup proizvoda. Ministarstvo je surađivalo s ministarstvom nadležnim za poduzetništvo i obrt te ostalim tijelima državne uprave, jedinicama lokalne i područne (regionalne) samouprave te drugim pravnim i fizičkim osobama, kao i prerađivačkim industrijama u svrhu otkupa i prerade proizvoda zadruga hrvatskih branitelja. </w:t>
      </w:r>
    </w:p>
    <w:p w:rsidR="00AC0832" w:rsidRDefault="00AC0832">
      <w:pPr>
        <w:pStyle w:val="Normal6"/>
      </w:pPr>
      <w:r>
        <w:t xml:space="preserve">Ministarstvo je tijekom 2012. godine organiziralo četiri sajma zadruga hrvatskih branitelja; u Splitu, Zagrebu, Osijeku i Kninu, na kojima su branitelji pokazali rad svojih zadruga i prezentirati svoje proizvode i usluge. </w:t>
      </w:r>
    </w:p>
    <w:p w:rsidR="00AC0832" w:rsidRDefault="00AC0832">
      <w:pPr>
        <w:pStyle w:val="Normal6"/>
      </w:pPr>
      <w:r>
        <w:t>Radi nastavka suradnje, u 2012. godini potpisan je novi Sporazum između Ministarstva i Podravke. Ovim sporazumom povećava se plasman domaćih proizvoda čime se u konačnici smanjuje uvoz. Također će se, kao rezultat, povećati kako broj zadrugara, tako i broj kooperanata braniteljskih zadruga te time smanjiti udio nezaposlenih branitelja u ukupnom broju nezaposlenih osoba u Republici Hrvatskoj. Podravka d.d. je ugovorila proizvodnju u 2012. godini sa četiri braniteljske zadruge. Vrijednost tih ugovora iznosi 457.100 kuna, a njima je reguliran otkup ukupno 163 tone sirovina.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658"/>
        <w:gridCol w:w="1070"/>
        <w:gridCol w:w="1300"/>
        <w:gridCol w:w="1300"/>
        <w:gridCol w:w="1300"/>
        <w:gridCol w:w="1300"/>
      </w:tblGrid>
      <w:tr w:rsidR="00AC0832" w:rsidTr="00595050">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658" w:type="dxa"/>
            <w:shd w:val="clear" w:color="auto" w:fill="B5C0D8"/>
          </w:tcPr>
          <w:p w:rsidR="00AC0832" w:rsidRDefault="00AC0832">
            <w:pPr>
              <w:pStyle w:val="CellHeader"/>
            </w:pPr>
            <w:r>
              <w:t>Definicija</w:t>
            </w:r>
          </w:p>
        </w:tc>
        <w:tc>
          <w:tcPr>
            <w:tcW w:w="107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595050">
        <w:trPr>
          <w:jc w:val="center"/>
        </w:trPr>
        <w:tc>
          <w:tcPr>
            <w:tcW w:w="1300" w:type="dxa"/>
          </w:tcPr>
          <w:p w:rsidR="00AC0832" w:rsidRDefault="00AC0832">
            <w:pPr>
              <w:pStyle w:val="CellColumn"/>
            </w:pPr>
            <w:r>
              <w:t>Udio isplaćenih poticaja u ukupnom broju odobrenih poticaja Programa</w:t>
            </w:r>
          </w:p>
        </w:tc>
        <w:tc>
          <w:tcPr>
            <w:tcW w:w="1658" w:type="dxa"/>
          </w:tcPr>
          <w:p w:rsidR="00AC0832" w:rsidRDefault="00AC0832">
            <w:pPr>
              <w:pStyle w:val="CellColumn"/>
            </w:pPr>
            <w:r>
              <w:t>Edukacijom i informiranjem ciljne skupine te povećanjem dostupnosti informacija o Programu, povećava se broj korisnika koji imaju potpuni uvid u obveze koje isplata poticaja donosi čime se sprečava odustajanje od poticajnih sredstava.</w:t>
            </w:r>
          </w:p>
        </w:tc>
        <w:tc>
          <w:tcPr>
            <w:tcW w:w="1070" w:type="dxa"/>
          </w:tcPr>
          <w:p w:rsidR="00AC0832" w:rsidRDefault="00AC0832">
            <w:pPr>
              <w:pStyle w:val="CellColumn"/>
            </w:pPr>
            <w:r>
              <w:t>%</w:t>
            </w:r>
          </w:p>
        </w:tc>
        <w:tc>
          <w:tcPr>
            <w:tcW w:w="1300" w:type="dxa"/>
          </w:tcPr>
          <w:p w:rsidR="00AC0832" w:rsidRDefault="00AC0832">
            <w:pPr>
              <w:pStyle w:val="CellColumn"/>
            </w:pPr>
            <w:r>
              <w:t>91,1</w:t>
            </w:r>
          </w:p>
        </w:tc>
        <w:tc>
          <w:tcPr>
            <w:tcW w:w="1300" w:type="dxa"/>
          </w:tcPr>
          <w:p w:rsidR="00AC0832" w:rsidRDefault="00AC0832">
            <w:pPr>
              <w:pStyle w:val="CellColumn"/>
            </w:pPr>
            <w:r>
              <w:t>MB</w:t>
            </w:r>
          </w:p>
        </w:tc>
        <w:tc>
          <w:tcPr>
            <w:tcW w:w="1300" w:type="dxa"/>
          </w:tcPr>
          <w:p w:rsidR="00AC0832" w:rsidRDefault="00AC0832">
            <w:pPr>
              <w:pStyle w:val="CellColumn"/>
            </w:pPr>
            <w:r>
              <w:t>94,3</w:t>
            </w:r>
          </w:p>
        </w:tc>
        <w:tc>
          <w:tcPr>
            <w:tcW w:w="1300" w:type="dxa"/>
          </w:tcPr>
          <w:p w:rsidR="00AC0832" w:rsidRDefault="00AC0832">
            <w:pPr>
              <w:pStyle w:val="CellColumn"/>
            </w:pPr>
            <w:r>
              <w:t>97,86</w:t>
            </w:r>
          </w:p>
        </w:tc>
      </w:tr>
      <w:tr w:rsidR="00AC0832" w:rsidTr="00595050">
        <w:trPr>
          <w:jc w:val="center"/>
        </w:trPr>
        <w:tc>
          <w:tcPr>
            <w:tcW w:w="1300" w:type="dxa"/>
          </w:tcPr>
          <w:p w:rsidR="00AC0832" w:rsidRDefault="00AC0832">
            <w:pPr>
              <w:pStyle w:val="CellColumn"/>
            </w:pPr>
            <w:r>
              <w:t>Broj održanih aktivnosti Referalnih centara</w:t>
            </w:r>
          </w:p>
        </w:tc>
        <w:tc>
          <w:tcPr>
            <w:tcW w:w="1658" w:type="dxa"/>
          </w:tcPr>
          <w:p w:rsidR="00AC0832" w:rsidRDefault="00AC0832">
            <w:pPr>
              <w:pStyle w:val="CellColumn"/>
            </w:pPr>
            <w:r>
              <w:t>Edukacijom i informiranjem članova zadruga, povećava se broj korisnika koji imaju potpuni uvid u obveze koje isplata poticaja donosi čime se osigurava izvršavanje ugovornih obveza korisnika.</w:t>
            </w:r>
          </w:p>
        </w:tc>
        <w:tc>
          <w:tcPr>
            <w:tcW w:w="1070" w:type="dxa"/>
          </w:tcPr>
          <w:p w:rsidR="00AC0832" w:rsidRDefault="00AC0832">
            <w:pPr>
              <w:pStyle w:val="CellColumn"/>
            </w:pPr>
            <w:r>
              <w:t>broj</w:t>
            </w:r>
          </w:p>
        </w:tc>
        <w:tc>
          <w:tcPr>
            <w:tcW w:w="1300" w:type="dxa"/>
          </w:tcPr>
          <w:p w:rsidR="00AC0832" w:rsidRDefault="00AC0832">
            <w:pPr>
              <w:pStyle w:val="CellColumn"/>
            </w:pPr>
            <w:r>
              <w:t>37</w:t>
            </w:r>
          </w:p>
        </w:tc>
        <w:tc>
          <w:tcPr>
            <w:tcW w:w="1300" w:type="dxa"/>
          </w:tcPr>
          <w:p w:rsidR="00AC0832" w:rsidRDefault="00AC0832">
            <w:pPr>
              <w:pStyle w:val="CellColumn"/>
            </w:pPr>
            <w:r>
              <w:t>MB</w:t>
            </w:r>
          </w:p>
        </w:tc>
        <w:tc>
          <w:tcPr>
            <w:tcW w:w="1300" w:type="dxa"/>
          </w:tcPr>
          <w:p w:rsidR="00AC0832" w:rsidRDefault="00AC0832">
            <w:pPr>
              <w:pStyle w:val="CellColumn"/>
            </w:pPr>
            <w:r>
              <w:t>50</w:t>
            </w:r>
          </w:p>
        </w:tc>
        <w:tc>
          <w:tcPr>
            <w:tcW w:w="1300" w:type="dxa"/>
          </w:tcPr>
          <w:p w:rsidR="00AC0832" w:rsidRDefault="00AC0832">
            <w:pPr>
              <w:pStyle w:val="CellColumn"/>
            </w:pPr>
            <w:r>
              <w:t>416</w:t>
            </w:r>
          </w:p>
        </w:tc>
      </w:tr>
    </w:tbl>
    <w:p w:rsidR="00AC0832" w:rsidRDefault="00AC0832">
      <w:pPr>
        <w:jc w:val="left"/>
      </w:pPr>
    </w:p>
    <w:p w:rsidR="00AC0832" w:rsidRDefault="00AC0832">
      <w:pPr>
        <w:pStyle w:val="Heading6"/>
      </w:pPr>
      <w:r>
        <w:t>A753014 NACIONALNI PROGRAM PSIHOSOCIJALNE I ZDRAVSTVENE POMOĆI SUDIONICIMA I STRADALNICIMA DOMOVINSKOG RATA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A753014-NACIONALNI PROGRAM PSIHOSOCIJALNE I ZDRAVSTVENE POMOĆI SUDIONICIMA I STRADALNICIMA DOMOVINSKOG RATA</w:t>
            </w:r>
          </w:p>
        </w:tc>
        <w:tc>
          <w:tcPr>
            <w:tcW w:w="2322" w:type="dxa"/>
          </w:tcPr>
          <w:p w:rsidR="00AC0832" w:rsidRDefault="00AC0832">
            <w:pPr>
              <w:pStyle w:val="CellColumn"/>
            </w:pPr>
            <w:r>
              <w:t>10.770.500</w:t>
            </w:r>
          </w:p>
        </w:tc>
        <w:tc>
          <w:tcPr>
            <w:tcW w:w="2322" w:type="dxa"/>
          </w:tcPr>
          <w:p w:rsidR="00AC0832" w:rsidRDefault="00AC0832">
            <w:pPr>
              <w:pStyle w:val="CellColumn"/>
            </w:pPr>
            <w:r>
              <w:t>9.042.046</w:t>
            </w:r>
          </w:p>
        </w:tc>
        <w:tc>
          <w:tcPr>
            <w:tcW w:w="2322" w:type="dxa"/>
          </w:tcPr>
          <w:p w:rsidR="00AC0832" w:rsidRDefault="00AC0832">
            <w:pPr>
              <w:pStyle w:val="CellColumn"/>
            </w:pPr>
            <w:r>
              <w:t>84,0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Okosnicu Nacionalnog programa psihosocijalne pomoći sudionicima i stradalnicima iz Domovinskog rata predstavljaju županijski Centri za psihosocijalnu pomoć, dok se zdravstveni dio Nacionalnog programa provodi u Regionalnim centrima za psihotraumu (Zagreb, Rijeka, Split i Osijek) i Centru za krizna stanja. </w:t>
      </w:r>
    </w:p>
    <w:p w:rsidR="00AC0832" w:rsidRDefault="00AC0832">
      <w:pPr>
        <w:pStyle w:val="Normal6"/>
      </w:pPr>
      <w:r>
        <w:t xml:space="preserve">Pružanje kontinuirane psihosocijalne pomoći provodi se na području cijele Republike Hrvatske. Centri za psihosocijalnu pomoć primarno razvijaju i provode programe psihosocijalne prevencije i potpore: stacionarno (kroz svakodnevno organizirana dežurstva u prostorijama centra) i mobilno (timske posjete domu i obitelji stradalnika u slučaju kriznih intervencija). </w:t>
      </w:r>
    </w:p>
    <w:p w:rsidR="00AC0832" w:rsidRDefault="00AC0832">
      <w:pPr>
        <w:pStyle w:val="Normal6"/>
      </w:pPr>
      <w:r>
        <w:t xml:space="preserve">Temeljem Nacionalnog programa Ministarstvo financira rad djelatnika i sredstva za rad, a županije i gradovi dužni su osigurati prostor za rad županijskih Centara za psihosocijalnu pomoć. U okviru Nacionalnog programa danas djeluje 21 Centar za psihosocijalnu pomoć; u svakoj županiji po jedan, uz iznimku Brodsko-posavske županije na čijem su području aktivna dva centra (u Slavonskom Brodu i Novoj Gradiški).  </w:t>
      </w:r>
    </w:p>
    <w:p w:rsidR="00AC0832" w:rsidRDefault="00AC0832">
      <w:pPr>
        <w:pStyle w:val="Normal6"/>
      </w:pPr>
      <w:r>
        <w:t xml:space="preserve">Pružanjem kontinuirane psihosocijalne i zdravstvene pomoći sudionicima i stradalnicima iz Domovinskog rata nastoji se smanjiti broj suicida, podići opća kvaliteta življenja te stvoriti uvjete za što uspješnije uključivanje osoba iz ciljnih skupina u društvo. </w:t>
      </w:r>
    </w:p>
    <w:p w:rsidR="00AC0832" w:rsidRDefault="00AC0832">
      <w:pPr>
        <w:pStyle w:val="Normal6"/>
      </w:pPr>
      <w:r>
        <w:t xml:space="preserve">U okviru Nacionalnog programa psihosocijalne i zdravstvene pomoći sudionicima i stradalnicima iz Domovinskog rata u 21 županijskom Centru za psihosocijalnu pomoć u 2012. godini pruženo je 44.972 intervencija od toga 2.946 mobilno, za ukupno 37.347 korisnika. U Centrima za psihosocijalnu pomoć djelovalo je 90 honorarnih suradnika i 16 stalno zaposlenih stručnih suradnika. </w:t>
      </w:r>
    </w:p>
    <w:p w:rsidR="00AC0832" w:rsidRDefault="00AC0832">
      <w:pPr>
        <w:pStyle w:val="Normal6"/>
      </w:pPr>
      <w:r>
        <w:t xml:space="preserve">Nacionalni program nastavio se provoditi i u Regionalnim centrima (Zagreb, Rijeka, Split i Osijek) te Centru za krizna stanja, za čije provođenje su obnovljeni Ugovori o reguliranju međusobnih odnosa u svezi s provedbom Nacionalnog programa s pet kliničkih bolnica te su tako Regionalni centri za psihotraumu i Centar za krizna stanja nastavili s radom u okviru kojeg je u 2012. godini pruženo 202.650 intervencija za 58.224 korisnika. Ministarstvo se obvezalo financirati angažman 28 djelatnika u Regionalnim Centrima za psihotraumu i Centru za krizna stanja (psihijatri, socijalni radnici, liječnik, psiholozi i medicinske sestre). </w:t>
      </w:r>
    </w:p>
    <w:p w:rsidR="00AC0832" w:rsidRDefault="00AC0832">
      <w:pPr>
        <w:pStyle w:val="Normal6"/>
      </w:pPr>
      <w:r>
        <w:t xml:space="preserve">Za razliku od povećanog broja intervencija u prvoj polovici 2012. godine (78 kriznih intervencija), u drugoj polovici došlo je do smanjena ukupnog broja kriznih intervencija (48 kriznih intervencija).  </w:t>
      </w:r>
    </w:p>
    <w:p w:rsidR="00AC0832" w:rsidRDefault="00AC0832">
      <w:pPr>
        <w:pStyle w:val="Normal6"/>
      </w:pPr>
      <w:r>
        <w:t>Broj mobilnih intervencija smanjio se s 4.050 u 2011. godini na 2.946 tijekom 2012. godine, a broj kriznih intervencija s 174 na 126 u 2012. godini. Međutim, navedeno smanjenje nije bilo dovoljno da bi se ostvario plan za 2012. godinu, a razlog tomu je teška socio-ekonomska situacija u Republici Hrvatskoj koja utječe na povećanje broja kriznih intervencija u odnosu na ukupan broj korisnika.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73"/>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Udio kriznih intervencija u ukupnom broju izvršenih intervencija</w:t>
            </w:r>
          </w:p>
        </w:tc>
        <w:tc>
          <w:tcPr>
            <w:tcW w:w="1300" w:type="dxa"/>
          </w:tcPr>
          <w:p w:rsidR="00AC0832" w:rsidRDefault="00AC0832">
            <w:pPr>
              <w:pStyle w:val="CellColumn"/>
            </w:pPr>
            <w:r>
              <w:t>Smanjenje udjela kriznih intervencija u ukupnom broju izvršenih intervencija kao posljedica pružanja kvalitetne psihosocijalne pomoći</w:t>
            </w:r>
          </w:p>
        </w:tc>
        <w:tc>
          <w:tcPr>
            <w:tcW w:w="1300" w:type="dxa"/>
          </w:tcPr>
          <w:p w:rsidR="00AC0832" w:rsidRDefault="00AC0832">
            <w:pPr>
              <w:pStyle w:val="CellColumn"/>
            </w:pPr>
            <w:r>
              <w:t>%</w:t>
            </w:r>
          </w:p>
        </w:tc>
        <w:tc>
          <w:tcPr>
            <w:tcW w:w="1300" w:type="dxa"/>
          </w:tcPr>
          <w:p w:rsidR="00AC0832" w:rsidRDefault="00AC0832">
            <w:pPr>
              <w:pStyle w:val="CellColumn"/>
            </w:pPr>
            <w:r>
              <w:t>4,29</w:t>
            </w:r>
          </w:p>
        </w:tc>
        <w:tc>
          <w:tcPr>
            <w:tcW w:w="1300" w:type="dxa"/>
          </w:tcPr>
          <w:p w:rsidR="00AC0832" w:rsidRDefault="00AC0832">
            <w:pPr>
              <w:pStyle w:val="CellColumn"/>
            </w:pPr>
            <w:r>
              <w:t>MB</w:t>
            </w:r>
          </w:p>
        </w:tc>
        <w:tc>
          <w:tcPr>
            <w:tcW w:w="1300" w:type="dxa"/>
          </w:tcPr>
          <w:p w:rsidR="00AC0832" w:rsidRDefault="00AC0832">
            <w:pPr>
              <w:pStyle w:val="CellColumn"/>
            </w:pPr>
            <w:r>
              <w:t>4,27</w:t>
            </w:r>
          </w:p>
        </w:tc>
        <w:tc>
          <w:tcPr>
            <w:tcW w:w="1300" w:type="dxa"/>
          </w:tcPr>
          <w:p w:rsidR="00AC0832" w:rsidRDefault="00AC0832">
            <w:pPr>
              <w:pStyle w:val="CellColumn"/>
            </w:pPr>
            <w:r>
              <w:t>4,28</w:t>
            </w:r>
          </w:p>
        </w:tc>
      </w:tr>
    </w:tbl>
    <w:p w:rsidR="00AC0832" w:rsidRDefault="00AC0832">
      <w:pPr>
        <w:jc w:val="left"/>
      </w:pPr>
    </w:p>
    <w:p w:rsidR="00AC0832" w:rsidRDefault="00AC0832">
      <w:pPr>
        <w:pStyle w:val="Heading5"/>
      </w:pPr>
      <w:r>
        <w:t>4008 ZATOČENI I NESTALI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4008-ZATOČENI I NESTALI</w:t>
            </w:r>
          </w:p>
        </w:tc>
        <w:tc>
          <w:tcPr>
            <w:tcW w:w="2322" w:type="dxa"/>
          </w:tcPr>
          <w:p w:rsidR="00AC0832" w:rsidRDefault="00AC0832">
            <w:pPr>
              <w:pStyle w:val="CellColumn"/>
            </w:pPr>
            <w:r>
              <w:t>9.602.500</w:t>
            </w:r>
          </w:p>
        </w:tc>
        <w:tc>
          <w:tcPr>
            <w:tcW w:w="2322" w:type="dxa"/>
          </w:tcPr>
          <w:p w:rsidR="00AC0832" w:rsidRDefault="00AC0832">
            <w:pPr>
              <w:pStyle w:val="CellColumn"/>
            </w:pPr>
            <w:r>
              <w:t>7.103.651</w:t>
            </w:r>
          </w:p>
        </w:tc>
        <w:tc>
          <w:tcPr>
            <w:tcW w:w="2322" w:type="dxa"/>
          </w:tcPr>
          <w:p w:rsidR="00AC0832" w:rsidRDefault="00AC0832">
            <w:pPr>
              <w:pStyle w:val="CellColumn"/>
            </w:pPr>
            <w:r>
              <w:t>74,0</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Programom „Zatočeni i nestali“ osiguravaju se sredstva za traženje nestalih osoba i posmrtnih ostataka tijekom Domovinskoga rata, ekshumaciju masovnih, pojedinačnih  i zajedničkih grobnica,  obradu posmrtnih ostataka klasičnim sudsko-medicinskim metodama i metodom analize DNA, prikupljanje  podataka  o  žrtvama, organizaciju konačne identifikacije posmrtnih ostataka žrtava stradalnika rata, te njihovu dostojnu sahranu sukladno željama obitelji.  </w:t>
      </w:r>
    </w:p>
    <w:p w:rsidR="00AC0832" w:rsidRDefault="00AC0832">
      <w:pPr>
        <w:pStyle w:val="Normal5"/>
      </w:pPr>
      <w:r>
        <w:t xml:space="preserve">«Rješavanje sudbine nestalih osoba u Domovinskom ratu» način je ostvarenja posebnog cilja  6.3.  «Očuvanje  i  zaštita  digniteta  hrvatskih  branitelja  iz  Domovinskog  rata  i ublažavanje   posljedica Domovinskog rata u društvu» koji pridonosi jačanju socijalne pravednosti kao  jednom  od općih ciljeva Strategije Vladinih programa za razdoblje od 2012. – 2014. godine. </w:t>
      </w:r>
    </w:p>
    <w:p w:rsidR="00AC0832" w:rsidRDefault="00AC0832">
      <w:pPr>
        <w:pStyle w:val="Normal5"/>
      </w:pPr>
      <w:r>
        <w:t>Planirani iznos sredstava za 2012. i 2013. godinu ne odstupa od usvojenih projekcija za iste godine.</w:t>
      </w:r>
    </w:p>
    <w:p w:rsidR="00AC0832" w:rsidRDefault="00AC0832">
      <w:pPr>
        <w:pStyle w:val="Heading6"/>
      </w:pPr>
      <w:r>
        <w:t>Zakonske i druge pravne osnove</w:t>
      </w:r>
    </w:p>
    <w:p w:rsidR="00AC0832" w:rsidRDefault="00AC0832">
      <w:pPr>
        <w:pStyle w:val="Normal5"/>
      </w:pPr>
      <w:r>
        <w:t>Ženevska konvencija  za  zaštitu  žrtava  rata  (1949.)  i  Dopunski  protokoli  („Narodne novine – Međunarodni ugovori“ br. 1/92).</w:t>
      </w:r>
    </w:p>
    <w:p w:rsidR="00AC0832" w:rsidRDefault="00AC0832">
      <w:pPr>
        <w:pStyle w:val="Heading7"/>
      </w:pPr>
      <w:r>
        <w:t xml:space="preserve">Cilj 1. Rješavanje  sudbine  osoba  nestalih  u  Domovinskom  ratu </w:t>
      </w:r>
    </w:p>
    <w:p w:rsidR="00AC0832" w:rsidRDefault="00AC0832">
      <w:pPr>
        <w:pStyle w:val="Heading8"/>
        <w:jc w:val="left"/>
      </w:pPr>
      <w:r>
        <w:t>Opis provedbe cilja programa</w:t>
      </w:r>
    </w:p>
    <w:p w:rsidR="00AC0832" w:rsidRDefault="00AC0832">
      <w:pPr>
        <w:pStyle w:val="Normal6"/>
      </w:pPr>
      <w:r>
        <w:t>Program uključuje niz aktivnosti značajnih za ostvarivanje statusnih pitanja te utvrđivanje pravnih i povijesnih činjenica u svezi s Domovinskim ratom kao:  prikupljanje i obrada podataka te vođenje evidencija o osobama koje su bile u zatočeništvu tijekom Domovinskoga rata, o nestalim osobama i posmrtnim ostacima ekshumiranim iz masovnih i pojedinačnih grobnica, kao i prikupljanje dokumentacije o svim provedenim ekshumacijama masovnih i pojedinačnih grobnica, koja se osobito koristi za rad pravosudnih tijela.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28"/>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udjela riješenih slučajeva u odnosu na podnijete zahtjeve za traženje nestalih osoba i posmrtnih ostataka</w:t>
            </w:r>
          </w:p>
        </w:tc>
        <w:tc>
          <w:tcPr>
            <w:tcW w:w="1300" w:type="dxa"/>
          </w:tcPr>
          <w:p w:rsidR="00AC0832" w:rsidRDefault="00AC0832">
            <w:pPr>
              <w:pStyle w:val="CellColumn"/>
            </w:pPr>
            <w:r>
              <w:t>Konačno utvrđivanje sudbine nestalih osoba doprinosi rješavanju humanitarnih, pravnih i povijesnih pitanja u svezi s Domovniskim ratom</w:t>
            </w:r>
          </w:p>
        </w:tc>
        <w:tc>
          <w:tcPr>
            <w:tcW w:w="1300" w:type="dxa"/>
          </w:tcPr>
          <w:p w:rsidR="00AC0832" w:rsidRDefault="00AC0832">
            <w:pPr>
              <w:pStyle w:val="CellColumn"/>
            </w:pPr>
            <w:r>
              <w:t>%</w:t>
            </w:r>
          </w:p>
        </w:tc>
        <w:tc>
          <w:tcPr>
            <w:tcW w:w="1300" w:type="dxa"/>
          </w:tcPr>
          <w:p w:rsidR="00AC0832" w:rsidRDefault="00AC0832">
            <w:pPr>
              <w:pStyle w:val="CellColumn"/>
            </w:pPr>
            <w:r>
              <w:t>56</w:t>
            </w:r>
          </w:p>
        </w:tc>
        <w:tc>
          <w:tcPr>
            <w:tcW w:w="1300" w:type="dxa"/>
          </w:tcPr>
          <w:p w:rsidR="00AC0832" w:rsidRDefault="00AC0832">
            <w:pPr>
              <w:pStyle w:val="CellColumn"/>
            </w:pPr>
            <w:r>
              <w:t>MB</w:t>
            </w:r>
          </w:p>
        </w:tc>
        <w:tc>
          <w:tcPr>
            <w:tcW w:w="1300" w:type="dxa"/>
          </w:tcPr>
          <w:p w:rsidR="00AC0832" w:rsidRDefault="00AC0832">
            <w:pPr>
              <w:pStyle w:val="CellColumn"/>
            </w:pPr>
            <w:r>
              <w:t>57.6</w:t>
            </w:r>
          </w:p>
        </w:tc>
        <w:tc>
          <w:tcPr>
            <w:tcW w:w="1300" w:type="dxa"/>
          </w:tcPr>
          <w:p w:rsidR="00AC0832" w:rsidRDefault="00AC0832">
            <w:pPr>
              <w:pStyle w:val="CellColumn"/>
            </w:pPr>
            <w:r>
              <w:t>58</w:t>
            </w:r>
          </w:p>
        </w:tc>
      </w:tr>
    </w:tbl>
    <w:p w:rsidR="00AC0832" w:rsidRDefault="00AC0832">
      <w:pPr>
        <w:jc w:val="left"/>
      </w:pPr>
    </w:p>
    <w:p w:rsidR="00AC0832" w:rsidRDefault="00AC0832">
      <w:pPr>
        <w:pStyle w:val="Heading6"/>
      </w:pPr>
      <w:r>
        <w:t>A522014 EKSHUMACIJA, IDENTIFIKACIJA I SAHRANA ŽRTAVA IZ DOMOVINSKOG RATA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A522014-EKSHUMACIJA, IDENTIFIKACIJA I SAHRANA ŽRTAVA IZ DOMOVINSKOG RATA</w:t>
            </w:r>
          </w:p>
        </w:tc>
        <w:tc>
          <w:tcPr>
            <w:tcW w:w="2322" w:type="dxa"/>
          </w:tcPr>
          <w:p w:rsidR="00AC0832" w:rsidRDefault="00AC0832">
            <w:pPr>
              <w:pStyle w:val="CellColumn"/>
            </w:pPr>
            <w:r>
              <w:t>6.681.000</w:t>
            </w:r>
          </w:p>
        </w:tc>
        <w:tc>
          <w:tcPr>
            <w:tcW w:w="2322" w:type="dxa"/>
          </w:tcPr>
          <w:p w:rsidR="00AC0832" w:rsidRDefault="00AC0832">
            <w:pPr>
              <w:pStyle w:val="CellColumn"/>
            </w:pPr>
            <w:r>
              <w:t>4.539.814</w:t>
            </w:r>
          </w:p>
        </w:tc>
        <w:tc>
          <w:tcPr>
            <w:tcW w:w="2322" w:type="dxa"/>
          </w:tcPr>
          <w:p w:rsidR="00AC0832" w:rsidRDefault="00AC0832">
            <w:pPr>
              <w:pStyle w:val="CellColumn"/>
            </w:pPr>
            <w:r>
              <w:t>68,0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Najznačajnija aktivnost u programu „zatočeni i nestali“ jest proces ekshumacija masovnih i pojedinačnih grobnica, te identifikacija ekshumiranih posmrtnih ostataka. U procesu ekshumacija, kojeg organizira koordinira Uprava za zatočene i nestale, sudjeluju Ministarstvo unutarnjih poslova, nadležna pravosudna tijela (sudovi i državna odvjetništva), znanstvene i medicinske ustanove te Ministarstvo obrane s kojim je zaključen Sporazum o obavljanju poslova za potrebe Uprave za zatočene i nestale ovoga Ministarstva. Radi ostvarenja što veće ekonomičnosti, te skrbeći o ustroju drugih nadležnih tijela uključenih u proces ekshumacija, probna iskapanja i ekshumacije se organiziraju prema županijskom ustroju. </w:t>
      </w:r>
    </w:p>
    <w:p w:rsidR="00AC0832" w:rsidRDefault="00AC0832">
      <w:pPr>
        <w:pStyle w:val="Normal6"/>
      </w:pPr>
      <w:r>
        <w:t xml:space="preserve"> Tijekom 2012. godine, u 10 navrata su organizirana terenska istraživanja i  ekshumacije, koje su obuhvaćale devet (9) županija. Terenski je istraženo ukupno 101 neregistrirano mjesto za koja su postojale indicije da su moguća mjesta masovnih i pojedinačnih grobnica. Otkrivene su 3 masovne grobnice s 13 tijela, 31 pojedinačna grobnica iz kojih su ekshumirani posmrtni ostaci 34 osobe, dok na 67 istraženih lokacija posmrtni ostaci nisu pronađeni. Pored istraživanja i ekshumacija posmrtnih ostataka iz neregistriranih grobnih mjesta, provedena je i ekshumacija posmrtnih ostataka 59 osoba koje su bile sahranjene u zajedničkim grobnicama u Šibeniku i Rajiću, čime su sveukupno u izvještajnom razdoblju ekshumirani posmrtni ostaci 106 osoba. </w:t>
      </w:r>
    </w:p>
    <w:p w:rsidR="00AC0832" w:rsidRDefault="00AC0832">
      <w:pPr>
        <w:pStyle w:val="Normal6"/>
      </w:pPr>
      <w:r>
        <w:t xml:space="preserve">Obradu ekshumiranih posmrtnih ostataka klasičnim sudsko-medicinskim metodama i metodom analize DNA, s ciljem utvrđivanja njihovog identiteta ali i uzorka i mehanizama smrti, za potrebe Uprave za zatočene i nestale ovoga Ministarstva provode znanstveno- medicinske ustanove, temeljem godišnjih ugovora. Pored toga, Uprava za zatočene i nestale s Međunarodnom komisijom za nestale osobe provodi Zajednički projekt identifikacija metodom analize DNA, zaključen 2004. godine. Rezultat opisanih aktivnosti u izvještajnom razdoblju jest preliminarno utvrđen identitet 99 osoba i to: 93 osobe ekshumirane iz masovnih i pojedinačnih grobnica u Republici Hrvatskoj, te šest osoba čiji su posmrtni ostaci pronađeni i preuzeti iz Republike Srbije i Bosne i Hercegovine i ranije okupiranih područja. Obitelji osoba čiji je identitet preliminarno utvrđen pozvane su na identifikaciju, koje su tijekom 2012. godine, organizirane u šest (6) navrata, a odazvale su im se obitelji 88 osoba koje su i potvrdile identifikaciju. </w:t>
      </w:r>
    </w:p>
    <w:p w:rsidR="00AC0832" w:rsidRDefault="00AC0832">
      <w:pPr>
        <w:pStyle w:val="Normal6"/>
      </w:pPr>
      <w:r>
        <w:t>Za 88 identificiranih osoba naručena je pogrebna oprema te organiziran prijevoz posmrtnih ostataka do mjesta sahrane sukladno željama obitelji, odnosno do odgovarajućeg graničnog prijelaza kada su obitelji izrazile želju za pogrebom izvan Republike Hrvatske. Sedam (7) osoba je isporučeno u BiH i Srbiju jer nisu državljani RH.</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6"/>
        <w:gridCol w:w="1484"/>
        <w:gridCol w:w="1214"/>
        <w:gridCol w:w="1244"/>
        <w:gridCol w:w="1236"/>
        <w:gridCol w:w="1244"/>
        <w:gridCol w:w="126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Zadržavanje udjela istraženih grobnih mjesta u odnosu na prikupljena saznanja o mogućim mjestima masovnih i pojedinačnih grobnica</w:t>
            </w:r>
          </w:p>
        </w:tc>
        <w:tc>
          <w:tcPr>
            <w:tcW w:w="1300" w:type="dxa"/>
          </w:tcPr>
          <w:p w:rsidR="00AC0832" w:rsidRDefault="00AC0832">
            <w:pPr>
              <w:pStyle w:val="CellColumn"/>
            </w:pPr>
            <w:r>
              <w:t>Terenskim istraživanjem i provjerom prikupljenih saznanja omogućiti će se pronalazak neregistriranih masovnih i pojedinačnih grobnica</w:t>
            </w:r>
          </w:p>
        </w:tc>
        <w:tc>
          <w:tcPr>
            <w:tcW w:w="1300" w:type="dxa"/>
          </w:tcPr>
          <w:p w:rsidR="00AC0832" w:rsidRDefault="00AC0832">
            <w:pPr>
              <w:pStyle w:val="CellColumn"/>
            </w:pPr>
            <w:r>
              <w:t>%</w:t>
            </w:r>
          </w:p>
        </w:tc>
        <w:tc>
          <w:tcPr>
            <w:tcW w:w="1300" w:type="dxa"/>
          </w:tcPr>
          <w:p w:rsidR="00AC0832" w:rsidRDefault="00AC0832">
            <w:pPr>
              <w:pStyle w:val="CellColumn"/>
            </w:pPr>
            <w:r>
              <w:t>95</w:t>
            </w:r>
          </w:p>
        </w:tc>
        <w:tc>
          <w:tcPr>
            <w:tcW w:w="1300" w:type="dxa"/>
          </w:tcPr>
          <w:p w:rsidR="00AC0832" w:rsidRDefault="00AC0832">
            <w:pPr>
              <w:pStyle w:val="CellColumn"/>
            </w:pPr>
            <w:r>
              <w:t>MB</w:t>
            </w:r>
          </w:p>
        </w:tc>
        <w:tc>
          <w:tcPr>
            <w:tcW w:w="1300" w:type="dxa"/>
          </w:tcPr>
          <w:p w:rsidR="00AC0832" w:rsidRDefault="00AC0832">
            <w:pPr>
              <w:pStyle w:val="CellColumn"/>
            </w:pPr>
            <w:r>
              <w:t>95</w:t>
            </w:r>
          </w:p>
        </w:tc>
        <w:tc>
          <w:tcPr>
            <w:tcW w:w="1300" w:type="dxa"/>
          </w:tcPr>
          <w:p w:rsidR="00AC0832" w:rsidRDefault="00AC0832">
            <w:pPr>
              <w:pStyle w:val="CellColumn"/>
            </w:pPr>
            <w:r>
              <w:t>95</w:t>
            </w:r>
          </w:p>
        </w:tc>
      </w:tr>
      <w:tr w:rsidR="00AC0832" w:rsidTr="00BE20ED">
        <w:trPr>
          <w:jc w:val="center"/>
        </w:trPr>
        <w:tc>
          <w:tcPr>
            <w:tcW w:w="1300" w:type="dxa"/>
          </w:tcPr>
          <w:p w:rsidR="00AC0832" w:rsidRDefault="00AC0832">
            <w:pPr>
              <w:pStyle w:val="CellColumn"/>
            </w:pPr>
            <w:r>
              <w:t>Povećanje udjela obrađenih posmrtnih ostataka u odnosu na broj neidentificiranih posmrtnih ostataka</w:t>
            </w:r>
          </w:p>
        </w:tc>
        <w:tc>
          <w:tcPr>
            <w:tcW w:w="1300" w:type="dxa"/>
          </w:tcPr>
          <w:p w:rsidR="00AC0832" w:rsidRDefault="00AC0832">
            <w:pPr>
              <w:pStyle w:val="CellColumn"/>
            </w:pPr>
            <w:r>
              <w:t>Obrada posmrtnih ostataka klasičnim sudsko-medicinskim metodama i metodom analize DNA osigurati će utvrđivanje identiteta ekshumiranih posmrtnih ostataka, te mehanizama i uzroka smrti</w:t>
            </w:r>
          </w:p>
        </w:tc>
        <w:tc>
          <w:tcPr>
            <w:tcW w:w="1300" w:type="dxa"/>
          </w:tcPr>
          <w:p w:rsidR="00AC0832" w:rsidRDefault="00AC0832">
            <w:pPr>
              <w:pStyle w:val="CellColumn"/>
            </w:pPr>
            <w:r>
              <w:t>%</w:t>
            </w:r>
          </w:p>
        </w:tc>
        <w:tc>
          <w:tcPr>
            <w:tcW w:w="1300" w:type="dxa"/>
          </w:tcPr>
          <w:p w:rsidR="00AC0832" w:rsidRDefault="00AC0832">
            <w:pPr>
              <w:pStyle w:val="CellColumn"/>
            </w:pPr>
            <w:r>
              <w:t>78</w:t>
            </w:r>
          </w:p>
        </w:tc>
        <w:tc>
          <w:tcPr>
            <w:tcW w:w="1300" w:type="dxa"/>
          </w:tcPr>
          <w:p w:rsidR="00AC0832" w:rsidRDefault="00AC0832">
            <w:pPr>
              <w:pStyle w:val="CellColumn"/>
            </w:pPr>
            <w:r>
              <w:t>MB</w:t>
            </w:r>
          </w:p>
        </w:tc>
        <w:tc>
          <w:tcPr>
            <w:tcW w:w="1300" w:type="dxa"/>
          </w:tcPr>
          <w:p w:rsidR="00AC0832" w:rsidRDefault="00AC0832">
            <w:pPr>
              <w:pStyle w:val="CellColumn"/>
            </w:pPr>
            <w:r>
              <w:t>84</w:t>
            </w:r>
          </w:p>
        </w:tc>
        <w:tc>
          <w:tcPr>
            <w:tcW w:w="1300" w:type="dxa"/>
          </w:tcPr>
          <w:p w:rsidR="00AC0832" w:rsidRDefault="00AC0832">
            <w:pPr>
              <w:pStyle w:val="CellColumn"/>
            </w:pPr>
            <w:r>
              <w:t>85,6</w:t>
            </w:r>
          </w:p>
        </w:tc>
      </w:tr>
      <w:tr w:rsidR="00AC0832" w:rsidTr="00BE20ED">
        <w:trPr>
          <w:jc w:val="center"/>
        </w:trPr>
        <w:tc>
          <w:tcPr>
            <w:tcW w:w="1300" w:type="dxa"/>
          </w:tcPr>
          <w:p w:rsidR="00AC0832" w:rsidRDefault="00AC0832">
            <w:pPr>
              <w:pStyle w:val="CellColumn"/>
            </w:pPr>
            <w:r>
              <w:t>Zadržavanje udjela sahranjenih osoba sukladno željama obitelji  u  odnosu  na broj identificiranih posmrtnih ostataka</w:t>
            </w:r>
          </w:p>
        </w:tc>
        <w:tc>
          <w:tcPr>
            <w:tcW w:w="1300" w:type="dxa"/>
          </w:tcPr>
          <w:p w:rsidR="00AC0832" w:rsidRDefault="00AC0832">
            <w:pPr>
              <w:pStyle w:val="CellColumn"/>
            </w:pPr>
            <w:r>
              <w:t>Dostojna sahrana svih identificiranih žrtava Domovinskog rata, sukladno željama njihovih obitelji</w:t>
            </w:r>
          </w:p>
        </w:tc>
        <w:tc>
          <w:tcPr>
            <w:tcW w:w="1300" w:type="dxa"/>
          </w:tcPr>
          <w:p w:rsidR="00AC0832" w:rsidRDefault="00AC0832">
            <w:pPr>
              <w:pStyle w:val="CellColumn"/>
            </w:pPr>
            <w:r>
              <w:t>%</w:t>
            </w:r>
          </w:p>
        </w:tc>
        <w:tc>
          <w:tcPr>
            <w:tcW w:w="1300" w:type="dxa"/>
          </w:tcPr>
          <w:p w:rsidR="00AC0832" w:rsidRDefault="00AC0832">
            <w:pPr>
              <w:pStyle w:val="CellColumn"/>
            </w:pPr>
            <w:r>
              <w:t>100</w:t>
            </w:r>
          </w:p>
        </w:tc>
        <w:tc>
          <w:tcPr>
            <w:tcW w:w="1300" w:type="dxa"/>
          </w:tcPr>
          <w:p w:rsidR="00AC0832" w:rsidRDefault="00AC0832">
            <w:pPr>
              <w:pStyle w:val="CellColumn"/>
            </w:pPr>
            <w:r>
              <w:t>MB</w:t>
            </w:r>
          </w:p>
        </w:tc>
        <w:tc>
          <w:tcPr>
            <w:tcW w:w="1300" w:type="dxa"/>
          </w:tcPr>
          <w:p w:rsidR="00AC0832" w:rsidRDefault="00AC0832">
            <w:pPr>
              <w:pStyle w:val="CellColumn"/>
            </w:pPr>
            <w:r>
              <w:t>100</w:t>
            </w:r>
          </w:p>
        </w:tc>
        <w:tc>
          <w:tcPr>
            <w:tcW w:w="1300" w:type="dxa"/>
          </w:tcPr>
          <w:p w:rsidR="00AC0832" w:rsidRDefault="00AC0832">
            <w:pPr>
              <w:pStyle w:val="CellColumn"/>
            </w:pPr>
            <w:r>
              <w:t>100</w:t>
            </w:r>
          </w:p>
        </w:tc>
      </w:tr>
    </w:tbl>
    <w:p w:rsidR="00AC0832" w:rsidRDefault="00AC0832">
      <w:pPr>
        <w:jc w:val="left"/>
      </w:pPr>
    </w:p>
    <w:p w:rsidR="00AC0832" w:rsidRDefault="00AC0832">
      <w:pPr>
        <w:pStyle w:val="Heading5"/>
      </w:pPr>
      <w:r>
        <w:t>4013 SOCIJALNE POMOĆI I NAKNADE SUDIONICIMA I ŽRTVAMA RATA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4013-SOCIJALNE POMOĆI I NAKNADE SUDIONICIMA I ŽRTVAMA RATA</w:t>
            </w:r>
          </w:p>
        </w:tc>
        <w:tc>
          <w:tcPr>
            <w:tcW w:w="2322" w:type="dxa"/>
          </w:tcPr>
          <w:p w:rsidR="00AC0832" w:rsidRDefault="00AC0832">
            <w:pPr>
              <w:pStyle w:val="CellColumn"/>
            </w:pPr>
            <w:r>
              <w:t>213.205.000</w:t>
            </w:r>
          </w:p>
        </w:tc>
        <w:tc>
          <w:tcPr>
            <w:tcW w:w="2322" w:type="dxa"/>
          </w:tcPr>
          <w:p w:rsidR="00AC0832" w:rsidRDefault="00AC0832">
            <w:pPr>
              <w:pStyle w:val="CellColumn"/>
            </w:pPr>
            <w:r>
              <w:t>212.398.214</w:t>
            </w:r>
          </w:p>
        </w:tc>
        <w:tc>
          <w:tcPr>
            <w:tcW w:w="2322" w:type="dxa"/>
          </w:tcPr>
          <w:p w:rsidR="00AC0832" w:rsidRDefault="00AC0832">
            <w:pPr>
              <w:pStyle w:val="CellColumn"/>
            </w:pPr>
            <w:r>
              <w:t>99,6</w:t>
            </w:r>
          </w:p>
        </w:tc>
      </w:tr>
    </w:tbl>
    <w:p w:rsidR="00AC0832" w:rsidRDefault="00AC0832">
      <w:pPr>
        <w:jc w:val="left"/>
      </w:pPr>
    </w:p>
    <w:p w:rsidR="00AC0832" w:rsidRDefault="00AC0832">
      <w:pPr>
        <w:pStyle w:val="Heading6"/>
      </w:pPr>
      <w:r>
        <w:t>Opis programa</w:t>
      </w:r>
    </w:p>
    <w:p w:rsidR="00AC0832" w:rsidRDefault="00AC0832">
      <w:pPr>
        <w:pStyle w:val="Normal5"/>
      </w:pPr>
      <w:r>
        <w:t>Republika Hrvatska posebnu zaštitu osigurava ratnim vojnim invalidima Drugog svjetskog rata, mirnodopskim invalidima, civilnim invalidima Domovinskog rata i Drugog svjetskog rata, sudionicima Drugog svjetskog rata te članovima njihovih obitelji i osobama stradalim u vojnim i redarstvenim dužnostima u stranoj zemlji u okviru mirovnih snaga i mirovnih misija. To su prava po osnovi oštećenja organizma, po osnovi gubitka člana obitelji i prava po osnovi materijalnih i drugih potreba korisnika. Sustavna politika na području zaštite ranjivih društvenih skupina, kao što su osobe s invaliditetom i na području brige za stradalnike rata usmjerena je daljnjem napretku i snaženju zaštite njihovih prava.</w:t>
      </w:r>
    </w:p>
    <w:p w:rsidR="00AC0832" w:rsidRDefault="00AC0832">
      <w:pPr>
        <w:pStyle w:val="Heading6"/>
      </w:pPr>
      <w:r>
        <w:t>Zakonske i druge pravne osnove</w:t>
      </w:r>
    </w:p>
    <w:p w:rsidR="00AC0832" w:rsidRDefault="00AC0832">
      <w:pPr>
        <w:pStyle w:val="Normal5"/>
      </w:pPr>
      <w:r>
        <w:t>Zakon o zaštiti vojnih i civilnih invalida rata, Narodne novine, broj 33/92 , 77/92 , 58/93 , 2/94 , 76/94 , 108/95 , 82/01 , 103/03</w:t>
      </w:r>
    </w:p>
    <w:p w:rsidR="00AC0832" w:rsidRDefault="00AC0832">
      <w:pPr>
        <w:pStyle w:val="Heading7"/>
      </w:pPr>
      <w:r>
        <w:t>Cilj 1. Skrb za ratne vojne i civilne invalide Drugog svjetskog rata i poraća te civilne invalide Domovinskog rata</w:t>
      </w:r>
    </w:p>
    <w:p w:rsidR="00AC0832" w:rsidRDefault="00AC0832">
      <w:pPr>
        <w:pStyle w:val="Heading8"/>
        <w:jc w:val="left"/>
      </w:pPr>
      <w:r>
        <w:t>Opis provedbe cilja programa</w:t>
      </w:r>
    </w:p>
    <w:p w:rsidR="00AC0832" w:rsidRDefault="00AC0832">
      <w:pPr>
        <w:pStyle w:val="Normal6"/>
      </w:pPr>
      <w:r>
        <w:t>Kako se radi o osobama stradalim usred ratnih okolnosti i članovima njihovih obitelji, cilj je provođenje sveobuhvatne zaštite i posebne skrbi za te kategorije stradalnika kao i  skrb o osobama stradalim u vojnim i redarstvenim službama u stranim zemljama u okviru mirovnih snaga i mirovnih misija, te zadržavanje razine pripadajućih novčanih primanja koja mora biti adekvatna i primjerena potrebama korisnika.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29"/>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Zadržana razina naknada za ratne invalide i stradalnike</w:t>
            </w:r>
          </w:p>
        </w:tc>
        <w:tc>
          <w:tcPr>
            <w:tcW w:w="1300" w:type="dxa"/>
          </w:tcPr>
          <w:p w:rsidR="00AC0832" w:rsidRDefault="00AC0832">
            <w:pPr>
              <w:pStyle w:val="CellColumn"/>
            </w:pPr>
            <w:r>
              <w:t>Smanjenje potrebnih sredstava uz zadržavanje iste razine naknada za ratne invalide i stradalnike rata</w:t>
            </w:r>
          </w:p>
        </w:tc>
        <w:tc>
          <w:tcPr>
            <w:tcW w:w="1300" w:type="dxa"/>
          </w:tcPr>
          <w:p w:rsidR="00AC0832" w:rsidRDefault="00AC0832">
            <w:pPr>
              <w:pStyle w:val="CellColumn"/>
            </w:pPr>
            <w:r>
              <w:t>%</w:t>
            </w:r>
          </w:p>
        </w:tc>
        <w:tc>
          <w:tcPr>
            <w:tcW w:w="1300" w:type="dxa"/>
          </w:tcPr>
          <w:p w:rsidR="00AC0832" w:rsidRDefault="00AC0832">
            <w:pPr>
              <w:pStyle w:val="CellColumn"/>
            </w:pPr>
            <w:r>
              <w:t>245.000.000</w:t>
            </w:r>
          </w:p>
        </w:tc>
        <w:tc>
          <w:tcPr>
            <w:tcW w:w="1300" w:type="dxa"/>
          </w:tcPr>
          <w:p w:rsidR="00AC0832" w:rsidRDefault="00AC0832">
            <w:pPr>
              <w:pStyle w:val="CellColumn"/>
            </w:pPr>
            <w:r>
              <w:t>MB</w:t>
            </w:r>
          </w:p>
        </w:tc>
        <w:tc>
          <w:tcPr>
            <w:tcW w:w="1300" w:type="dxa"/>
          </w:tcPr>
          <w:p w:rsidR="00AC0832" w:rsidRDefault="00AC0832">
            <w:pPr>
              <w:pStyle w:val="CellColumn"/>
            </w:pPr>
            <w:r>
              <w:t>2</w:t>
            </w:r>
          </w:p>
        </w:tc>
        <w:tc>
          <w:tcPr>
            <w:tcW w:w="1300" w:type="dxa"/>
          </w:tcPr>
          <w:p w:rsidR="00AC0832" w:rsidRDefault="00AC0832">
            <w:pPr>
              <w:pStyle w:val="CellColumn"/>
            </w:pPr>
            <w:r>
              <w:t>0,38</w:t>
            </w:r>
          </w:p>
        </w:tc>
      </w:tr>
    </w:tbl>
    <w:p w:rsidR="00AC0832" w:rsidRDefault="00AC0832">
      <w:pPr>
        <w:jc w:val="left"/>
      </w:pPr>
    </w:p>
    <w:p w:rsidR="00AC0832" w:rsidRDefault="00AC0832">
      <w:pPr>
        <w:pStyle w:val="Heading6"/>
      </w:pPr>
      <w:r>
        <w:t>A583009 SUDIONICI I ŽRTVE II. SVJETSKOG RATA I PORAĆA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A583009-SUDIONICI I ŽRTVE II. SVJETSKOG RATA I PORAĆA</w:t>
            </w:r>
          </w:p>
        </w:tc>
        <w:tc>
          <w:tcPr>
            <w:tcW w:w="2322" w:type="dxa"/>
          </w:tcPr>
          <w:p w:rsidR="00AC0832" w:rsidRDefault="00AC0832">
            <w:pPr>
              <w:pStyle w:val="CellColumn"/>
            </w:pPr>
            <w:r>
              <w:t>180.960.000</w:t>
            </w:r>
          </w:p>
        </w:tc>
        <w:tc>
          <w:tcPr>
            <w:tcW w:w="2322" w:type="dxa"/>
          </w:tcPr>
          <w:p w:rsidR="00AC0832" w:rsidRDefault="00AC0832">
            <w:pPr>
              <w:pStyle w:val="CellColumn"/>
            </w:pPr>
            <w:r>
              <w:t>180.486.187</w:t>
            </w:r>
          </w:p>
        </w:tc>
        <w:tc>
          <w:tcPr>
            <w:tcW w:w="2322" w:type="dxa"/>
          </w:tcPr>
          <w:p w:rsidR="00AC0832" w:rsidRDefault="00AC0832">
            <w:pPr>
              <w:pStyle w:val="CellColumn"/>
            </w:pPr>
            <w:r>
              <w:t>99,7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izvještajnom razdoblju sredstva s pozicije „ Socijalne pomoći i naknade sudionicima i žrtvama rata“  omogućila su realizaciju Zakonom utvrđenih prava za 2.060 ratnih vojnih invalida (1.770 partizana i 290 domobrana ), 1.718 civilnih invalida iz II. svjetskog rata, 2.333 civilnih invalida iz Domovinskog rata, 2.317 mirnodopskih vojnih invalida, 2.645 članova obitelji (1.420 iza partizana, 496 iza domobrana, 59 iza civila Drugog svjetskog rata, 351 iza mirnodopskog vojnog invalida, 319 iza civila iz Domovinskog rata), 1.055 sudionika rata (553 partizana, 502 domobrana), 1.641 članova obitelji sudionika rata ( 392 iza partizana, 1249 iza domobrana), te 3 posebna dodatka.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9"/>
        <w:gridCol w:w="1362"/>
        <w:gridCol w:w="1213"/>
        <w:gridCol w:w="1244"/>
        <w:gridCol w:w="1236"/>
        <w:gridCol w:w="1244"/>
        <w:gridCol w:w="126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prvostupanjskih i drugostupanjskih rješenja o  priznavanju statusa i prava stradalnicima rata</w:t>
            </w:r>
          </w:p>
        </w:tc>
        <w:tc>
          <w:tcPr>
            <w:tcW w:w="1300" w:type="dxa"/>
          </w:tcPr>
          <w:p w:rsidR="00AC0832" w:rsidRDefault="00AC0832">
            <w:pPr>
              <w:pStyle w:val="CellColumn"/>
            </w:pPr>
            <w:r>
              <w:t>Broj ukupnih korisničkih prava odnosno pravomoćnih rješenja donesenih u revizijskom postupku</w:t>
            </w:r>
          </w:p>
        </w:tc>
        <w:tc>
          <w:tcPr>
            <w:tcW w:w="1300" w:type="dxa"/>
          </w:tcPr>
          <w:p w:rsidR="00AC0832" w:rsidRDefault="00AC0832">
            <w:pPr>
              <w:pStyle w:val="CellColumn"/>
            </w:pPr>
            <w:r>
              <w:t>broj</w:t>
            </w:r>
          </w:p>
        </w:tc>
        <w:tc>
          <w:tcPr>
            <w:tcW w:w="1300" w:type="dxa"/>
          </w:tcPr>
          <w:p w:rsidR="00AC0832" w:rsidRDefault="00AC0832">
            <w:pPr>
              <w:pStyle w:val="CellColumn"/>
            </w:pPr>
            <w:r>
              <w:t>24.297</w:t>
            </w:r>
          </w:p>
        </w:tc>
        <w:tc>
          <w:tcPr>
            <w:tcW w:w="1300" w:type="dxa"/>
          </w:tcPr>
          <w:p w:rsidR="00AC0832" w:rsidRDefault="00AC0832">
            <w:pPr>
              <w:pStyle w:val="CellColumn"/>
            </w:pPr>
            <w:r>
              <w:t>MB</w:t>
            </w:r>
          </w:p>
        </w:tc>
        <w:tc>
          <w:tcPr>
            <w:tcW w:w="1300" w:type="dxa"/>
          </w:tcPr>
          <w:p w:rsidR="00AC0832" w:rsidRDefault="00AC0832">
            <w:pPr>
              <w:pStyle w:val="CellColumn"/>
            </w:pPr>
            <w:r>
              <w:t>22.497</w:t>
            </w:r>
          </w:p>
        </w:tc>
        <w:tc>
          <w:tcPr>
            <w:tcW w:w="1300" w:type="dxa"/>
          </w:tcPr>
          <w:p w:rsidR="00AC0832" w:rsidRDefault="00AC0832">
            <w:pPr>
              <w:pStyle w:val="CellColumn"/>
            </w:pPr>
            <w:r>
              <w:t>21.629</w:t>
            </w:r>
          </w:p>
        </w:tc>
      </w:tr>
      <w:tr w:rsidR="00AC0832" w:rsidTr="00BE20ED">
        <w:trPr>
          <w:jc w:val="center"/>
        </w:trPr>
        <w:tc>
          <w:tcPr>
            <w:tcW w:w="1300" w:type="dxa"/>
          </w:tcPr>
          <w:p w:rsidR="00AC0832" w:rsidRDefault="00AC0832">
            <w:pPr>
              <w:pStyle w:val="CellColumn"/>
            </w:pPr>
            <w:r>
              <w:t>Broj poništenih odnosno izmijenjenih prvostupanjskih rješenja</w:t>
            </w:r>
          </w:p>
        </w:tc>
        <w:tc>
          <w:tcPr>
            <w:tcW w:w="1300" w:type="dxa"/>
          </w:tcPr>
          <w:p w:rsidR="00AC0832" w:rsidRDefault="00AC0832">
            <w:pPr>
              <w:pStyle w:val="CellColumn"/>
            </w:pPr>
            <w:r>
              <w:t>Vršenjem nadzora nad zakonitošću rada i edukacijom državnih službenika smanjiti broj nezakonito provedenih upravnih postupaka</w:t>
            </w:r>
          </w:p>
        </w:tc>
        <w:tc>
          <w:tcPr>
            <w:tcW w:w="1300" w:type="dxa"/>
          </w:tcPr>
          <w:p w:rsidR="00AC0832" w:rsidRDefault="00AC0832">
            <w:pPr>
              <w:pStyle w:val="CellColumn"/>
            </w:pPr>
            <w:r>
              <w:t>broj</w:t>
            </w:r>
          </w:p>
        </w:tc>
        <w:tc>
          <w:tcPr>
            <w:tcW w:w="1300" w:type="dxa"/>
          </w:tcPr>
          <w:p w:rsidR="00AC0832" w:rsidRDefault="00AC0832">
            <w:pPr>
              <w:pStyle w:val="CellColumn"/>
            </w:pPr>
            <w:r>
              <w:t>650</w:t>
            </w:r>
          </w:p>
        </w:tc>
        <w:tc>
          <w:tcPr>
            <w:tcW w:w="1300" w:type="dxa"/>
          </w:tcPr>
          <w:p w:rsidR="00AC0832" w:rsidRDefault="00AC0832">
            <w:pPr>
              <w:pStyle w:val="CellColumn"/>
            </w:pPr>
            <w:r>
              <w:t>MB</w:t>
            </w:r>
          </w:p>
        </w:tc>
        <w:tc>
          <w:tcPr>
            <w:tcW w:w="1300" w:type="dxa"/>
          </w:tcPr>
          <w:p w:rsidR="00AC0832" w:rsidRDefault="00AC0832">
            <w:pPr>
              <w:pStyle w:val="CellColumn"/>
            </w:pPr>
            <w:r>
              <w:t>600</w:t>
            </w:r>
          </w:p>
        </w:tc>
        <w:tc>
          <w:tcPr>
            <w:tcW w:w="1300" w:type="dxa"/>
          </w:tcPr>
          <w:p w:rsidR="00AC0832" w:rsidRDefault="00AC0832">
            <w:pPr>
              <w:pStyle w:val="CellColumn"/>
            </w:pPr>
            <w:r>
              <w:t>600</w:t>
            </w:r>
          </w:p>
        </w:tc>
      </w:tr>
    </w:tbl>
    <w:p w:rsidR="00AC0832" w:rsidRDefault="00AC0832">
      <w:pPr>
        <w:jc w:val="left"/>
      </w:pPr>
    </w:p>
    <w:p w:rsidR="00AC0832" w:rsidRDefault="00AC0832">
      <w:pPr>
        <w:pStyle w:val="Heading1"/>
      </w:pPr>
      <w:r>
        <w:t>048 MINISTARSTVO VANJSKIH I EUROPSKIH POSLOVA</w:t>
      </w:r>
    </w:p>
    <w:p w:rsidR="00AC0832" w:rsidRDefault="00AC0832">
      <w:pPr>
        <w:pStyle w:val="Heading4"/>
      </w:pPr>
      <w:r>
        <w:t>Uvod</w:t>
      </w:r>
    </w:p>
    <w:p w:rsidR="00AC0832" w:rsidRDefault="00AC0832">
      <w:pPr>
        <w:pStyle w:val="Normal3"/>
      </w:pPr>
      <w:r>
        <w:t xml:space="preserve">Ministarstvo vanjskih i europskih poslova (MVEP) korisnik je  razdjela 048, glave 05 u Državnom proračunu. Prijedlog  financijskog plana za razdoblje 2012.-2014. godine izrađen je u skladu s financijskim potrebama koje proizlaze iz izvršenja prioritetnih programa u navedenom razdoblju, a kako bi se doprinijelo ostvarenju Općeg cilja definiranog Strateškim planom Ministarstva vanjskih i europskih poslova za razdoblje 2012.-2014.  </w:t>
      </w:r>
    </w:p>
    <w:p w:rsidR="00AC0832" w:rsidRDefault="00AC0832">
      <w:pPr>
        <w:pStyle w:val="Normal3"/>
      </w:pPr>
      <w:r>
        <w:t xml:space="preserve">MVEP  nadležno je tijelo državne uprave za provedbu vanjske politike Republike Hrvatske i nacionalnu koordinaciju europskih poslova, a koju provodi neposredno, odnosno putem diplomatskih i drugih predstavništva RH u inozemstvu.  </w:t>
      </w:r>
    </w:p>
    <w:p w:rsidR="00AC0832" w:rsidRDefault="00AC0832">
      <w:pPr>
        <w:pStyle w:val="Normal3"/>
      </w:pPr>
      <w:r>
        <w:t xml:space="preserve">Potpisivanjem Ugovora o pristupanju 9. prosinca 2011. godine, RH stekla je status države pristupnice Europskoj uniji (EU), odnosno status aktivnog promatrača u većini radnih tijela institucija EU. Od toga dana od hrvatskih se predstavnika očekuje sudjelovanje u radu većine pripremnih radnih tijela Vijeća EU, na stručnim sastancima kojima predsjedava Europska komisija (EK), te na ministarskim sastancima različitih formata Vijeća EU. Novostečeni status zahtijeva pojačane napore u nacionalnoj koordinaciji europskih poslova te će se stoga u nadolazećem razdoblju intenzivno raditi, zajedno sa svim tijelima državne uprave kao i Misijom RH pri EU, na uspostavi funkcionalnog i efikasnog sustava za nacionalnu koordinaciju europskih poslova. U pristupnom razdoblju iznimnu važnost imat će jačanje institucionalnih sposobnosti s naglaskom na jačanje administrativnih kapaciteta za koordinaciju i obavljanje europskih poslova te obrazovanje kadrova radi uspješne prilagodbe na punopravno članstvo u EU. </w:t>
      </w:r>
    </w:p>
    <w:p w:rsidR="00AC0832" w:rsidRDefault="00AC0832">
      <w:pPr>
        <w:pStyle w:val="Normal3"/>
      </w:pPr>
      <w:r>
        <w:t xml:space="preserve">Kao članica NATO-a Republika Hrvatska nastavlja aktivno i konstruktivno pridonositi daljnjem jačanju i stvaranju politika i mjera koje će Savezu pomoći u nošenju s novim, globalnim sigurnosnim izazovima modernog doba. Nastavljamo angažman u svim multilateralnim organizacijama u čijem radu Hrvatska sudjeluje, a glede bilateralnih vanjskopolitičkih aktivnosti, intenzivno  razvijamo kontakte s državama koje ulaze u krug ključnih subjekata na međunarodnoj sceni, kao i drugim zemljama svijeta, gdje postoje gospodarski interesi i specifične poveznice poput kulturnih veza i brojnog hrvatskog iseljeništva. U regiji se nastavilo konstruktivno djelovati, dajući tako doprinos njenoj daljnjoj stabilizaciji i prosperitetu utemeljenom na načelima dobrosusjedstva, sveobuhvatne suradnje i rješavanja svih otvorenih pitanja dijalogom. </w:t>
      </w:r>
    </w:p>
    <w:p w:rsidR="00AC0832" w:rsidRDefault="00AC0832">
      <w:pPr>
        <w:pStyle w:val="Normal3"/>
      </w:pPr>
      <w:r>
        <w:t xml:space="preserve">Financijski plan MVEP-a se osim iz izvora 11-Opći prihodi i primici, financira i iz drugih izvora financiranja i to kako slijedi:  12- Sredstva učešća za pomoći, 31- Vlastiti prihodi, 41- Prihodi od igara na sreću, 43- Ostali prihodi za posebne namjene, 51- Pomoći EU, 53- Inozemne darovnice, 61- Donacije. </w:t>
      </w:r>
    </w:p>
    <w:p w:rsidR="00AC0832" w:rsidRDefault="00AC0832">
      <w:pPr>
        <w:pStyle w:val="Normal3"/>
      </w:pPr>
      <w:r>
        <w:t xml:space="preserve">Izvršenje financijskog plana razdjela 048 MVEP za 2012. godinu iznosi 669.822.296 kn i u odnosu na plan  2012. godine bilježi indeks u iznosu 107,9. Navedeno odstupanje se financiralo iz izvora financiranja kojima je Zakonom o proračunu dana fleksibilnost u izvršavanju. </w:t>
      </w:r>
    </w:p>
    <w:p w:rsidR="00AC0832" w:rsidRDefault="00AC0832">
      <w:pPr>
        <w:pStyle w:val="Normal3"/>
      </w:pPr>
      <w:r>
        <w:t>U odnosu na izvršenje 2011. godine, izvršenje financijskog plana razdjela 048 MVEP u 2012. godini bilježi porast u iznosu od 14,6% odnosno 85.515.877 kn. Najznačajnije povećanje izvršenja 2012/2011. godina bilježi se na aktivnosti A539032 Međunarodne članarine  u iznosu od 49.863.545 kn i odnosi se na plaćanja međunarodnih članarina prenesenih iz proračuna MF,  povećanje izvršenja na izvoru 41 Prihodi od igara na sreću u iznosu od 4.664.813 kn, povećanje rashoda za funkcioniranje DMKU u iznosu od 26.533.283 kn te povećanje troškova za tiskanje obrazaca za putovnice, vize u iznosu od 4.454.236 kn.</w:t>
      </w:r>
    </w:p>
    <w:p w:rsidR="00AC0832" w:rsidRDefault="00AC0832">
      <w:pPr>
        <w:pStyle w:val="Normal3"/>
      </w:pPr>
    </w:p>
    <w:p w:rsidR="00AC0832" w:rsidRDefault="00AC0832">
      <w:pPr>
        <w:pStyle w:val="Normal3"/>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04805-Ministarstvo vanjskih i europskih poslova</w:t>
            </w:r>
          </w:p>
        </w:tc>
        <w:tc>
          <w:tcPr>
            <w:tcW w:w="2322" w:type="dxa"/>
          </w:tcPr>
          <w:p w:rsidR="00AC0832" w:rsidRDefault="00AC0832">
            <w:pPr>
              <w:pStyle w:val="CellColumn"/>
            </w:pPr>
            <w:r>
              <w:t>620.759.636</w:t>
            </w:r>
          </w:p>
        </w:tc>
        <w:tc>
          <w:tcPr>
            <w:tcW w:w="2322" w:type="dxa"/>
          </w:tcPr>
          <w:p w:rsidR="00AC0832" w:rsidRDefault="00AC0832">
            <w:pPr>
              <w:pStyle w:val="CellColumn"/>
            </w:pPr>
            <w:r>
              <w:t>669.822.296</w:t>
            </w:r>
          </w:p>
        </w:tc>
        <w:tc>
          <w:tcPr>
            <w:tcW w:w="2322" w:type="dxa"/>
          </w:tcPr>
          <w:p w:rsidR="00AC0832" w:rsidRDefault="00AC0832">
            <w:pPr>
              <w:pStyle w:val="CellColumn"/>
            </w:pPr>
            <w:r>
              <w:t>107,9</w:t>
            </w:r>
          </w:p>
        </w:tc>
      </w:tr>
      <w:tr w:rsidR="00AC0832" w:rsidTr="00BE20ED">
        <w:trPr>
          <w:jc w:val="center"/>
        </w:trPr>
        <w:tc>
          <w:tcPr>
            <w:tcW w:w="2322" w:type="dxa"/>
            <w:shd w:val="clear" w:color="auto" w:fill="B5C0D8"/>
          </w:tcPr>
          <w:p w:rsidR="00AC0832" w:rsidRDefault="00AC0832">
            <w:pPr>
              <w:pStyle w:val="CellColumn"/>
            </w:pPr>
            <w:r>
              <w:t>Ukupno 048-MINISTARSTVO VANJSKIH I EUROPSKIH POSLOVA</w:t>
            </w:r>
          </w:p>
        </w:tc>
        <w:tc>
          <w:tcPr>
            <w:tcW w:w="2322" w:type="dxa"/>
            <w:shd w:val="clear" w:color="auto" w:fill="B5C0D8"/>
          </w:tcPr>
          <w:p w:rsidR="00AC0832" w:rsidRDefault="00AC0832">
            <w:pPr>
              <w:pStyle w:val="CellColumn"/>
            </w:pPr>
            <w:r>
              <w:t>620.759.636</w:t>
            </w:r>
          </w:p>
        </w:tc>
        <w:tc>
          <w:tcPr>
            <w:tcW w:w="2322" w:type="dxa"/>
            <w:shd w:val="clear" w:color="auto" w:fill="B5C0D8"/>
          </w:tcPr>
          <w:p w:rsidR="00AC0832" w:rsidRDefault="00AC0832">
            <w:pPr>
              <w:pStyle w:val="CellColumn"/>
            </w:pPr>
            <w:r>
              <w:t>669.822.296</w:t>
            </w:r>
          </w:p>
        </w:tc>
        <w:tc>
          <w:tcPr>
            <w:tcW w:w="2322" w:type="dxa"/>
            <w:shd w:val="clear" w:color="auto" w:fill="B5C0D8"/>
          </w:tcPr>
          <w:p w:rsidR="00AC0832" w:rsidRDefault="00AC0832">
            <w:pPr>
              <w:pStyle w:val="CellColumn"/>
            </w:pPr>
            <w:r>
              <w:t>107,9</w:t>
            </w:r>
          </w:p>
        </w:tc>
      </w:tr>
    </w:tbl>
    <w:p w:rsidR="00AC0832" w:rsidRDefault="00AC0832">
      <w:pPr>
        <w:jc w:val="left"/>
      </w:pPr>
    </w:p>
    <w:p w:rsidR="00AC0832" w:rsidRDefault="00AC0832">
      <w:pPr>
        <w:pStyle w:val="Heading5"/>
      </w:pPr>
      <w:r>
        <w:t>2301 PROVOĐENJE VANJSKE POLITIKE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2301-PROVOĐENJE VANJSKE POLITIKE REPUBLIKE HRVATSKE</w:t>
            </w:r>
          </w:p>
        </w:tc>
        <w:tc>
          <w:tcPr>
            <w:tcW w:w="2322" w:type="dxa"/>
          </w:tcPr>
          <w:p w:rsidR="00AC0832" w:rsidRDefault="00AC0832">
            <w:pPr>
              <w:pStyle w:val="CellColumn"/>
            </w:pPr>
            <w:r>
              <w:t>200.107.633</w:t>
            </w:r>
          </w:p>
        </w:tc>
        <w:tc>
          <w:tcPr>
            <w:tcW w:w="2322" w:type="dxa"/>
          </w:tcPr>
          <w:p w:rsidR="00AC0832" w:rsidRDefault="00AC0832">
            <w:pPr>
              <w:pStyle w:val="CellColumn"/>
            </w:pPr>
            <w:r>
              <w:t>189.982.841</w:t>
            </w:r>
          </w:p>
        </w:tc>
        <w:tc>
          <w:tcPr>
            <w:tcW w:w="2322" w:type="dxa"/>
          </w:tcPr>
          <w:p w:rsidR="00AC0832" w:rsidRDefault="00AC0832">
            <w:pPr>
              <w:pStyle w:val="CellColumn"/>
            </w:pPr>
            <w:r>
              <w:t>94,9</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Programom Provođenje vanjske politike RH osigurava se odgovarajuće sudjelovanje MVEP u vanjskopolitičkim aktivnostima predsjednika RH, Vlade RH, Hrvatskog sabora i drugih tijela državne vlasti u svim područjima od interesa za međunarodni položaj i aktivnosti RH. </w:t>
      </w:r>
    </w:p>
    <w:p w:rsidR="00AC0832" w:rsidRDefault="00AC0832">
      <w:pPr>
        <w:pStyle w:val="Normal5"/>
      </w:pPr>
      <w:r>
        <w:t xml:space="preserve">Kroz navedeni program realiziraju se ciljevi definirani strateškim planom MVEP, a koji se odnose na jačanje pozicije RH međunarodnim organizacijama i globalnim inicijativama te promicanje političkog dijaloga i partnerskih odnosa s naglaskom na privlačenje stranih investicija. S obzirom na status RH kao države pristupnice EU, kao i izazove i zadaće koje slijede u narednom razdoblju, napravljena je nova ustrojstvena organizacija službe vanjskih poslova, a koja je svoj izričaj pronašla i u promjenama u programskoj klasifikaciji na razini potprograma/aktivnosti. </w:t>
      </w:r>
    </w:p>
    <w:p w:rsidR="00AC0832" w:rsidRDefault="00AC0832">
      <w:pPr>
        <w:pStyle w:val="Normal5"/>
      </w:pPr>
      <w:r>
        <w:t xml:space="preserve"> </w:t>
      </w:r>
    </w:p>
    <w:p w:rsidR="00AC0832" w:rsidRDefault="00AC0832">
      <w:pPr>
        <w:pStyle w:val="Normal5"/>
      </w:pPr>
      <w:r>
        <w:t xml:space="preserve">Uvažavajući navedene promjene, kao i novo preuzete obveze, izvršenje programa 2301 Provođenje vanjske politike RH za 2012. godinu iznosi 189.982.841 kn i bilježi indeks izvršenja u iznosu od 94,9  planiranih sredstava. </w:t>
      </w:r>
    </w:p>
    <w:p w:rsidR="00AC0832" w:rsidRDefault="00AC0832">
      <w:pPr>
        <w:pStyle w:val="Normal5"/>
      </w:pPr>
      <w:r>
        <w:t xml:space="preserve"> </w:t>
      </w:r>
    </w:p>
    <w:p w:rsidR="00AC0832" w:rsidRDefault="00AC0832">
      <w:pPr>
        <w:pStyle w:val="Normal5"/>
      </w:pPr>
      <w:r>
        <w:t>Izvršenje programa 2301 Provođenje vanjske politike RH u 2012. godini u odnosu na 2011. godinu bilježi porast u iznosu od 43.879.466 kn, odnosno veće je za 30%. Navedeno povećanje je iskazano na aktivnosti A539032 Međunarodne članarine, koje su u 2012. godini u proračun MVEP-a prenesene iz proračuna Ministarstva financija.</w:t>
      </w:r>
    </w:p>
    <w:p w:rsidR="00AC0832" w:rsidRDefault="00AC0832">
      <w:pPr>
        <w:pStyle w:val="Heading6"/>
      </w:pPr>
      <w:r>
        <w:t>Zakonske i druge pravne osnove</w:t>
      </w:r>
    </w:p>
    <w:p w:rsidR="00AC0832" w:rsidRDefault="00AC0832">
      <w:pPr>
        <w:pStyle w:val="Normal5"/>
      </w:pPr>
      <w:r>
        <w:t>Zakon o vanjskim poslovima (NN48/96); Zakon o razvojnoj suradnji i humanitarnoj pomoći inozemstvu (NN 146/08); Zakon o strancima (NN 79/07, 36/09), Pravilnik o Hrvatskoj bazi podataka (NN49/08), Nacionalna strategija o kontroli malog i lakog oružja; Nacionalna strategija za suzbijanje širenja oružja za masovno uništenje (NN 33/02, 63/07, 86/08).</w:t>
      </w:r>
    </w:p>
    <w:p w:rsidR="00AC0832" w:rsidRDefault="00AC0832">
      <w:pPr>
        <w:pStyle w:val="Heading7"/>
      </w:pPr>
      <w:r>
        <w:t>Cilj 1. Provedba vanjske politike RH u bilateralnim odnosima sa zemljama EU, EFTA-e i ostalim zemljama Zapadne Europe</w:t>
      </w:r>
    </w:p>
    <w:p w:rsidR="00AC0832" w:rsidRDefault="00AC0832">
      <w:pPr>
        <w:pStyle w:val="Heading8"/>
        <w:jc w:val="left"/>
      </w:pPr>
      <w:r>
        <w:t>Opis provedbe cilja programa</w:t>
      </w:r>
    </w:p>
    <w:p w:rsidR="00AC0832" w:rsidRDefault="00AC0832">
      <w:pPr>
        <w:pStyle w:val="Normal6"/>
      </w:pPr>
      <w:r>
        <w:t>Kako bi RH mogla uspješno realizirati jedan od najvažnijih kratkoročnih ciljeva, a to je uspješan završetak procesa ratifikacije Ugovora o pristupanju RH u zemljama članicama EU, uspješno i intenzivno se pratio proces ratifikacije u svim zemljama članicama EU pojedinačno. Na temelju prikupljenih i kvalitetno obrađenih informacija i podataka, priprema se strategija i aktivnosti za svaku nadležnu hrvatsku instituciju, kao i za svaku zemlju EU članicu zasebno, a kako bi ratifikacija uspješno bila završena u svim zemljama članicama EU što prije, a najkasnije do 01. srpnja 2013. godine. Ovisno o dinamici i tijeku procesa ratifikacije u pojedinim zemljama, prilagođavale su se aktivnosti hrvatske diplomacije.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5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Završetak procesa ratifikacije Ugovora o pristupanju RH u zemljama članicama Europske unije</w:t>
            </w:r>
          </w:p>
        </w:tc>
        <w:tc>
          <w:tcPr>
            <w:tcW w:w="1300" w:type="dxa"/>
          </w:tcPr>
          <w:p w:rsidR="00AC0832" w:rsidRDefault="00AC0832">
            <w:pPr>
              <w:pStyle w:val="CellColumn"/>
            </w:pPr>
            <w:r>
              <w:t>Ratifikacijom Ugovora o pristupanju RH, stječu se uvjeti za punopravno članstvo RH u EU</w:t>
            </w:r>
          </w:p>
        </w:tc>
        <w:tc>
          <w:tcPr>
            <w:tcW w:w="1300" w:type="dxa"/>
          </w:tcPr>
          <w:p w:rsidR="00AC0832" w:rsidRDefault="00AC0832">
            <w:pPr>
              <w:pStyle w:val="CellColumn"/>
            </w:pPr>
            <w:r>
              <w:t>% zemalja</w:t>
            </w:r>
          </w:p>
        </w:tc>
        <w:tc>
          <w:tcPr>
            <w:tcW w:w="1300" w:type="dxa"/>
          </w:tcPr>
          <w:p w:rsidR="00AC0832" w:rsidRDefault="00AC0832">
            <w:pPr>
              <w:pStyle w:val="CellColumn"/>
            </w:pPr>
            <w:r>
              <w:t>0</w:t>
            </w:r>
          </w:p>
        </w:tc>
        <w:tc>
          <w:tcPr>
            <w:tcW w:w="1300" w:type="dxa"/>
          </w:tcPr>
          <w:p w:rsidR="00AC0832" w:rsidRDefault="00AC0832">
            <w:pPr>
              <w:pStyle w:val="CellColumn"/>
            </w:pPr>
            <w:r>
              <w:t>MVEP</w:t>
            </w:r>
          </w:p>
        </w:tc>
        <w:tc>
          <w:tcPr>
            <w:tcW w:w="1300" w:type="dxa"/>
          </w:tcPr>
          <w:p w:rsidR="00AC0832" w:rsidRDefault="00AC0832">
            <w:pPr>
              <w:pStyle w:val="CellColumn"/>
            </w:pPr>
            <w:r>
              <w:t>70%</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7"/>
      </w:pPr>
      <w:r>
        <w:t>Cilj 2. Rješavanje spora o hrvatsko-slovenskoj granici pred Arbitražnim sudom</w:t>
      </w:r>
    </w:p>
    <w:p w:rsidR="00AC0832" w:rsidRDefault="00AC0832">
      <w:pPr>
        <w:pStyle w:val="Heading8"/>
        <w:jc w:val="left"/>
      </w:pPr>
      <w:r>
        <w:t>Opis provedbe cilja programa</w:t>
      </w:r>
    </w:p>
    <w:p w:rsidR="00AC0832" w:rsidRDefault="00AC0832">
      <w:pPr>
        <w:pStyle w:val="Normal6"/>
      </w:pPr>
      <w:r>
        <w:t xml:space="preserve">Sporazum o arbitraži između Vlade Republike Hrvatske i Vlade Republike Slovenije potpisan je 4. studenoga 2009. u Stockholmu. Sporazum predstavlja pravni okvir kojim se uspostavlja Arbitražni sud koji će utvrditi tijek granice na moru i kopnu i na taj način riješiti spor između Republike Hrvatske i Republike Slovenije. </w:t>
      </w:r>
    </w:p>
    <w:p w:rsidR="00AC0832" w:rsidRDefault="00AC0832">
      <w:pPr>
        <w:pStyle w:val="Normal6"/>
      </w:pPr>
      <w:r>
        <w:t xml:space="preserve"> </w:t>
      </w:r>
    </w:p>
    <w:p w:rsidR="00AC0832" w:rsidRDefault="00AC0832">
      <w:pPr>
        <w:pStyle w:val="Normal6"/>
      </w:pPr>
      <w:r>
        <w:t xml:space="preserve">Ministarstvo vanjskih i europskih poslova upravlja i koordinira poslovima i zadacima koji su povezani sa sastavljanjem hrvatskog podnesaka (Memorijala) i sa sudjelovanjem Republike  Hrvatske u arbitražnom postupku. Prvi podnesak (Memorijal) Republika Hrvatska podnijela je 11. veljače 2013. godine. </w:t>
      </w:r>
    </w:p>
    <w:p w:rsidR="00AC0832" w:rsidRDefault="00AC0832">
      <w:pPr>
        <w:pStyle w:val="Normal6"/>
      </w:pPr>
      <w:r>
        <w:t xml:space="preserve"> </w:t>
      </w:r>
    </w:p>
    <w:p w:rsidR="00AC0832" w:rsidRDefault="00AC0832">
      <w:pPr>
        <w:pStyle w:val="Normal6"/>
      </w:pPr>
      <w:r>
        <w:t>Sukladno procesnim rokovima predviđenim u Sporazumu o arbitraži i Nalozima Arbitražnog suda, u 2012. godini stručna skupina, koja djeluje pri Ministarstvu vanjskih i europskih poslova bavila se izradom hrvatskog podneska (Memorijala), odnosno poslovima i zadacima koji su naznačeni i obrazloženi u „Planu aktivnosti u vezi s arbitražnim postupkom u skladu sa Sporazumom o arbitraži između Vlade Republike Hrvatske i Vlade Republike Slovenije“, dokumentu koji je Zaključkom od 22. ožujka 2012. godine prihvatila Vlada Republike Hrvatske. Zahvaljujući tom Zaključku, odnosno osiguranim novčanim sredstvima iz Državnog proračuna (proračunska zaliha), u 2012. godini bilo je osigurano sudjelovanje Republike Hrvatske u arbitražnom postupku, odnosno bili su osigurani financijsko - materijalni uvjeti za izradu hrvatskog podneska (Memorijala), koji je, sukladno procesnim rokovima, 11. veljače 2013. godine predan Arbitražnom sudu.</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2"/>
        <w:gridCol w:w="1383"/>
        <w:gridCol w:w="1255"/>
        <w:gridCol w:w="1271"/>
        <w:gridCol w:w="1267"/>
        <w:gridCol w:w="1271"/>
        <w:gridCol w:w="127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donošenje pravorijeka Arbitražnog suda u skladu s primjenjivim pravilima međunarodnog prava i interesima  Republike Hrvatske</w:t>
            </w:r>
          </w:p>
        </w:tc>
        <w:tc>
          <w:tcPr>
            <w:tcW w:w="1300" w:type="dxa"/>
          </w:tcPr>
          <w:p w:rsidR="00AC0832" w:rsidRDefault="00AC0832">
            <w:pPr>
              <w:pStyle w:val="CellColumn"/>
            </w:pPr>
            <w:r>
              <w:t>Pravorijekom će se riješiti dugotrajan spor između Hrvatske i Slovenije</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MVEP</w:t>
            </w:r>
          </w:p>
        </w:tc>
        <w:tc>
          <w:tcPr>
            <w:tcW w:w="1300" w:type="dxa"/>
          </w:tcPr>
          <w:p w:rsidR="00AC0832" w:rsidRDefault="00AC0832">
            <w:pPr>
              <w:pStyle w:val="CellColumn"/>
            </w:pPr>
            <w:r>
              <w:t>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7"/>
      </w:pPr>
      <w:r>
        <w:t>Cilj 3. Kontinuirani rast službene razvojne suradnje i humanitarne pomoći</w:t>
      </w:r>
    </w:p>
    <w:p w:rsidR="00AC0832" w:rsidRDefault="00AC0832">
      <w:pPr>
        <w:pStyle w:val="Heading8"/>
        <w:jc w:val="left"/>
      </w:pPr>
      <w:r>
        <w:t>Opis provedbe cilja programa</w:t>
      </w:r>
    </w:p>
    <w:p w:rsidR="00AC0832" w:rsidRDefault="00AC0832">
      <w:pPr>
        <w:pStyle w:val="Normal6"/>
      </w:pPr>
      <w:r>
        <w:t xml:space="preserve">Kao dio obveza u okviru pregovaračkog poglavlja 30: Vanjski odnosi, RH je preuzela obvezu uspostavljanja institucionalnog i financijskog okvira za provedbu službene razvojne suradnje i humanitarne pomoći o čemu u okviru monitoringa redovito izvještava Europsku komisiju. Prije tri godine uspostavljen je nužan zakonodavni i institucionalni okvir kojeg je potrebno odlučnije razvijati u narednom razdoblju, prvenstveno zbog potencijala kojeg područje razvojne suradnje otvara za strateško profiliranje vanjskopolitičkih i gospodarskih interesa Hrvatske u svijetu, pored obveza koje zahtjeva članstvo u EU i Ujedinjenim narodima (UN). Kako bi to ostvarila, potrebno je pristupiti rješavanju strukturalnih problema (političkih, institucionalnih i financijskih) koji bi omogućili da Hrvatska spremno preuzme novu ulogu zemlje donatora. </w:t>
      </w:r>
    </w:p>
    <w:p w:rsidR="00AC0832" w:rsidRDefault="00AC0832">
      <w:pPr>
        <w:pStyle w:val="Normal6"/>
      </w:pPr>
      <w:r>
        <w:t xml:space="preserve">Nadalje, humanitarne politike potrebno je čvršće inkorporirati u platformu vanjsko-političkog djelovanja RH i one bi mogle predstavljati jednu od značajnih niša vanjske politike RH. RH bi kroz humanitarnu domenu mogla biti percipirana kao zemlja osviještena u pogledu trendova u globalizacijskim politikama te primjenom učinkovitih, inovativnih i kreativnih mehanizama, koje je moguće koristiti u humanitarnom djelovanju, zauzeti vidljivije mjesto u međunarodnoj (razvojnoj i humanitarnoj) zajednici </w:t>
      </w:r>
    </w:p>
    <w:p w:rsidR="00AC0832" w:rsidRDefault="00AC0832">
      <w:pPr>
        <w:pStyle w:val="Normal6"/>
      </w:pPr>
      <w:r>
        <w:t>Sukladno preuzetim obvezama, Europska komisija je iznijela očekivanja da RH dosegne razinu izdvajanja za razvojnu pomoć koju EU predviđa za nove zemlje članice, u visini 0,17% BND do 2010. godine te 0,33% BND do 2015. U realnom smislu, a s obzirom na trenutne gospodarske pokazatelje, to bi za RH značilo izdvajanje u iznosu od 547 milijuna kuna (0,17% BND), odnosno, 1.061,8 milijuna kuna (0,33% BND) za razvojnu suradnju i humanitarnu pomoć inozemstvu.</w:t>
      </w:r>
    </w:p>
    <w:p w:rsidR="00AC0832" w:rsidRDefault="00AC0832">
      <w:pPr>
        <w:pStyle w:val="Normal6"/>
      </w:pPr>
    </w:p>
    <w:p w:rsidR="00AC0832" w:rsidRDefault="00AC0832">
      <w:pPr>
        <w:pStyle w:val="Normal6"/>
      </w:pPr>
    </w:p>
    <w:p w:rsidR="00AC0832" w:rsidRDefault="00AC0832">
      <w:pPr>
        <w:pStyle w:val="Normal6"/>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317"/>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Povećano izdvajanje za službenu razvojnu suradnju i humanitarnu pomoć</w:t>
            </w:r>
          </w:p>
        </w:tc>
        <w:tc>
          <w:tcPr>
            <w:tcW w:w="1300" w:type="dxa"/>
          </w:tcPr>
          <w:p w:rsidR="00AC0832" w:rsidRDefault="00AC0832">
            <w:pPr>
              <w:pStyle w:val="CellColumn"/>
            </w:pPr>
            <w:r>
              <w:t>Povećanjem udjela u BND-u ispunjavaju se preuzete obveze RH prema EK</w:t>
            </w:r>
          </w:p>
        </w:tc>
        <w:tc>
          <w:tcPr>
            <w:tcW w:w="1300" w:type="dxa"/>
          </w:tcPr>
          <w:p w:rsidR="00AC0832" w:rsidRDefault="00AC0832">
            <w:pPr>
              <w:pStyle w:val="CellColumn"/>
            </w:pPr>
            <w:r>
              <w:t>%</w:t>
            </w:r>
          </w:p>
        </w:tc>
        <w:tc>
          <w:tcPr>
            <w:tcW w:w="1300" w:type="dxa"/>
          </w:tcPr>
          <w:p w:rsidR="00AC0832" w:rsidRDefault="00AC0832">
            <w:pPr>
              <w:pStyle w:val="CellColumn"/>
            </w:pPr>
            <w:r>
              <w:t>0,10%</w:t>
            </w:r>
          </w:p>
        </w:tc>
        <w:tc>
          <w:tcPr>
            <w:tcW w:w="1300" w:type="dxa"/>
          </w:tcPr>
          <w:p w:rsidR="00AC0832" w:rsidRDefault="00AC0832">
            <w:pPr>
              <w:pStyle w:val="CellColumn"/>
            </w:pPr>
            <w:r>
              <w:t>MVEP</w:t>
            </w:r>
          </w:p>
        </w:tc>
        <w:tc>
          <w:tcPr>
            <w:tcW w:w="1300" w:type="dxa"/>
          </w:tcPr>
          <w:p w:rsidR="00AC0832" w:rsidRDefault="00AC0832">
            <w:pPr>
              <w:pStyle w:val="CellColumn"/>
            </w:pPr>
            <w:r>
              <w:t>0,11%</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A776057 BILATERALNI POSLOVI S ČLANICAMA EU, EFTA-e I OSTALIM ZEMLJAMA ZAPADNE EUROPE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A776057-BILATERALNI POSLOVI S ČLANICAMA EU, EFTA-e I OSTALIM ZEMLJAMA ZAPADNE EUROPE</w:t>
            </w:r>
          </w:p>
        </w:tc>
        <w:tc>
          <w:tcPr>
            <w:tcW w:w="2322" w:type="dxa"/>
          </w:tcPr>
          <w:p w:rsidR="00AC0832" w:rsidRDefault="00AC0832">
            <w:pPr>
              <w:pStyle w:val="CellColumn"/>
            </w:pPr>
            <w:r>
              <w:t>795.500</w:t>
            </w:r>
          </w:p>
        </w:tc>
        <w:tc>
          <w:tcPr>
            <w:tcW w:w="2322" w:type="dxa"/>
          </w:tcPr>
          <w:p w:rsidR="00AC0832" w:rsidRDefault="00AC0832">
            <w:pPr>
              <w:pStyle w:val="CellColumn"/>
            </w:pPr>
            <w:r>
              <w:t>264.979</w:t>
            </w:r>
          </w:p>
        </w:tc>
        <w:tc>
          <w:tcPr>
            <w:tcW w:w="2322" w:type="dxa"/>
          </w:tcPr>
          <w:p w:rsidR="00AC0832" w:rsidRDefault="00AC0832">
            <w:pPr>
              <w:pStyle w:val="CellColumn"/>
            </w:pPr>
            <w:r>
              <w:t>33,3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Promicanje političkog dijaloga i partnerskih odnosa s naglaskom na privlačenje stranih investicija, ali i kulturni, znanstveni i drugi oblici suradnje predstavljaju bilateralni okvir iz kojeg se izdvajaju prioriteti djelovanja. Bilateralni poslovi s članicama EU, EFTA-e i ostalim zemljama zapadne Europe fokusirani su na pospješivanje procesa ratifikacije Ugovora o pridruživanju RH s EU što predstavlja jedan od važnijih kratkoročnih vanjsko-političkih ciljeva RH. </w:t>
      </w:r>
    </w:p>
    <w:p w:rsidR="00AC0832" w:rsidRDefault="00AC0832">
      <w:pPr>
        <w:pStyle w:val="Normal6"/>
      </w:pPr>
      <w:r>
        <w:t xml:space="preserve"> </w:t>
      </w:r>
    </w:p>
    <w:p w:rsidR="00AC0832" w:rsidRDefault="00AC0832">
      <w:pPr>
        <w:pStyle w:val="Normal6"/>
      </w:pPr>
      <w:r>
        <w:t>Ovisno o dinamici i tijeku procesa ratifikacije u pojedinim zemljama, prilagođavale su se aktivnosti hrvatske diplomacije. U tom kontekstu te u duhu racionalnog korištenja proračunskih sredstava izvršena je  tijekom godine prilagodba u načinu praćenja i provođenja aktivnosti, te adekvatno tome i realokacija proračunskih sredstava na aktivnost A777000 Administracija i upravljanje s koje su se, putem  diplomatsko konzularnih predstavništava RH u svijetu financirale pojedine aktivnosti s ciljem praćenja procesa ratifikacije.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3"/>
        <w:gridCol w:w="1673"/>
        <w:gridCol w:w="1252"/>
        <w:gridCol w:w="1269"/>
        <w:gridCol w:w="1264"/>
        <w:gridCol w:w="1269"/>
        <w:gridCol w:w="127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bilateralnih susreta</w:t>
            </w:r>
          </w:p>
        </w:tc>
        <w:tc>
          <w:tcPr>
            <w:tcW w:w="1300" w:type="dxa"/>
          </w:tcPr>
          <w:p w:rsidR="00AC0832" w:rsidRDefault="00AC0832">
            <w:pPr>
              <w:pStyle w:val="CellColumn"/>
            </w:pPr>
            <w:r>
              <w:t>Susreti osim samih sastanaka podrazumijevaju i aktivno praćenje i lobiranje u nadležnim institucijama</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MVEP</w:t>
            </w:r>
          </w:p>
        </w:tc>
        <w:tc>
          <w:tcPr>
            <w:tcW w:w="1300" w:type="dxa"/>
          </w:tcPr>
          <w:p w:rsidR="00AC0832" w:rsidRDefault="00AC0832">
            <w:pPr>
              <w:pStyle w:val="CellColumn"/>
            </w:pPr>
            <w:r>
              <w:t>60</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A777058 POMOĆI ORGANIZACIJAMA KOJE SE BAVE HUMANITARNOM DJELATNOŠĆU U INOZEMSTVU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A777058-POMOĆI ORGANIZACIJAMA KOJE SE BAVE HUMANITARNOM DJELATNOŠĆU U INOZEMSTVU</w:t>
            </w:r>
          </w:p>
        </w:tc>
        <w:tc>
          <w:tcPr>
            <w:tcW w:w="2322" w:type="dxa"/>
          </w:tcPr>
          <w:p w:rsidR="00AC0832" w:rsidRDefault="00AC0832">
            <w:pPr>
              <w:pStyle w:val="CellColumn"/>
            </w:pPr>
            <w:r>
              <w:t>8.047.589</w:t>
            </w:r>
          </w:p>
        </w:tc>
        <w:tc>
          <w:tcPr>
            <w:tcW w:w="2322" w:type="dxa"/>
          </w:tcPr>
          <w:p w:rsidR="00AC0832" w:rsidRDefault="00AC0832">
            <w:pPr>
              <w:pStyle w:val="CellColumn"/>
            </w:pPr>
            <w:r>
              <w:t>3.660.774</w:t>
            </w:r>
          </w:p>
        </w:tc>
        <w:tc>
          <w:tcPr>
            <w:tcW w:w="2322" w:type="dxa"/>
          </w:tcPr>
          <w:p w:rsidR="00AC0832" w:rsidRDefault="00AC0832">
            <w:pPr>
              <w:pStyle w:val="CellColumn"/>
            </w:pPr>
            <w:r>
              <w:t>45,5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Provedbeni plan projekata izrađen je naknadno po odobrenom Državnom proračunu za 2012. godinu i projekcije za 2013. i 2014., a pružanje humanitarne pomoći temelji se na Odluci Vlade RH. Uslijed promjena globalnih političkih, sigurnosnih i humanitarnih uvjeta hrvatski vanjskopolitički prioriteti su tijekom 2012. godine usklađivani s novim okolnostima, u skladu s čim su prilagođavani strategija i prioritetni ciljevi međunarodne razvojne suradnje i humanitarne pomoći Republike Hrvatske. Konkretno, nestabilnost u regiji Južnog Mediterana, potaknuta događanjima oko Arapskog proljeća, izazvala je povećanje vanjskopolitičke pozornosti, pa tako i humanitarnih aktivnosti prema toj regiji, pri čemu su sredstva preusmjeravana na tu regiju. </w:t>
      </w:r>
    </w:p>
    <w:p w:rsidR="00AC0832" w:rsidRDefault="00AC0832">
      <w:pPr>
        <w:pStyle w:val="Normal6"/>
      </w:pPr>
      <w:r>
        <w:t xml:space="preserve">Dočim su sredstva iz aktivnosti K776046 (Razvojna suradnja) u potpunosti izvršena sukladno planu, u području humanitarne pomoći, zbog nepredvidivosti humanitarnih potreba na globalnom planu, proračunska sredstva nije bilo moguće prethodno planirati s preciznošću.  </w:t>
      </w:r>
    </w:p>
    <w:p w:rsidR="00AC0832" w:rsidRDefault="00AC0832">
      <w:pPr>
        <w:pStyle w:val="Normal6"/>
      </w:pPr>
      <w:r>
        <w:t xml:space="preserve"> </w:t>
      </w:r>
    </w:p>
    <w:p w:rsidR="00AC0832" w:rsidRDefault="00AC0832">
      <w:pPr>
        <w:pStyle w:val="Normal6"/>
      </w:pPr>
      <w:r>
        <w:t xml:space="preserve">Izvršenje aktivnosti A777058 Pomoći organizacijama koje se bave humanitarnom djelatnošću u inozemstvu odnosilo se u većem dijelu na: </w:t>
      </w:r>
    </w:p>
    <w:p w:rsidR="00AC0832" w:rsidRDefault="00AC0832">
      <w:pPr>
        <w:pStyle w:val="Normal6"/>
      </w:pPr>
      <w:r>
        <w:t>-</w:t>
      </w:r>
      <w:r>
        <w:tab/>
        <w:t xml:space="preserve">financiranje radova za izgradnju knjižnice u sklopu srednje škole za djevojčice u Mazar-e-Sharifu u Afganistanu </w:t>
      </w:r>
    </w:p>
    <w:p w:rsidR="00AC0832" w:rsidRDefault="00AC0832">
      <w:pPr>
        <w:pStyle w:val="Normal6"/>
      </w:pPr>
      <w:r>
        <w:t>-</w:t>
      </w:r>
      <w:r>
        <w:tab/>
        <w:t xml:space="preserve">financiranje radova na izgradnji srednje škole u selu Camp Sakhi u Afganistanu </w:t>
      </w:r>
    </w:p>
    <w:p w:rsidR="00AC0832" w:rsidRDefault="00AC0832">
      <w:pPr>
        <w:pStyle w:val="Normal6"/>
      </w:pPr>
      <w:r>
        <w:t>-</w:t>
      </w:r>
      <w:r>
        <w:tab/>
        <w:t xml:space="preserve">financiranje programa UNHCR-a za zbrinjavanje sirijskih izbjeglica u susjednim zemljama </w:t>
      </w:r>
    </w:p>
    <w:p w:rsidR="00AC0832" w:rsidRDefault="00AC0832">
      <w:pPr>
        <w:pStyle w:val="Normal6"/>
      </w:pPr>
      <w:r>
        <w:t>-</w:t>
      </w:r>
      <w:r>
        <w:tab/>
        <w:t>humanitarna pomoć Vladi Republike Turske za potporu u zbrinjavanju sirijskih izbjeglica na području Republike Turske</w:t>
      </w:r>
    </w:p>
    <w:p w:rsidR="00AC0832" w:rsidRDefault="00AC0832">
      <w:pPr>
        <w:pStyle w:val="Normal6"/>
      </w:pPr>
    </w:p>
    <w:p w:rsidR="00AC0832" w:rsidRDefault="00AC0832">
      <w:pPr>
        <w:pStyle w:val="Normal6"/>
      </w:pPr>
    </w:p>
    <w:p w:rsidR="00AC0832" w:rsidRDefault="00AC0832">
      <w:pPr>
        <w:pStyle w:val="Normal6"/>
      </w:pPr>
    </w:p>
    <w:p w:rsidR="00AC0832" w:rsidRDefault="00AC0832">
      <w:pPr>
        <w:pStyle w:val="Normal6"/>
      </w:pPr>
    </w:p>
    <w:p w:rsidR="00AC0832" w:rsidRDefault="00AC0832">
      <w:pPr>
        <w:pStyle w:val="Normal6"/>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495"/>
        <w:gridCol w:w="1289"/>
        <w:gridCol w:w="1294"/>
        <w:gridCol w:w="1293"/>
        <w:gridCol w:w="1294"/>
        <w:gridCol w:w="129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Provedba projekata humanitarne pomoći</w:t>
            </w:r>
          </w:p>
        </w:tc>
        <w:tc>
          <w:tcPr>
            <w:tcW w:w="1300" w:type="dxa"/>
          </w:tcPr>
          <w:p w:rsidR="00AC0832" w:rsidRDefault="00AC0832">
            <w:pPr>
              <w:pStyle w:val="CellColumn"/>
            </w:pPr>
            <w:r>
              <w:t>Putem humanitarnih politika RH će nastojati zauzeti vidljivije mjesto u međunarodnoj zajednici</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MVEP</w:t>
            </w:r>
          </w:p>
        </w:tc>
        <w:tc>
          <w:tcPr>
            <w:tcW w:w="1300" w:type="dxa"/>
          </w:tcPr>
          <w:p w:rsidR="00AC0832" w:rsidRDefault="00AC0832">
            <w:pPr>
              <w:pStyle w:val="CellColumn"/>
            </w:pPr>
            <w:r>
              <w:t>11</w:t>
            </w:r>
          </w:p>
        </w:tc>
        <w:tc>
          <w:tcPr>
            <w:tcW w:w="1300" w:type="dxa"/>
          </w:tcPr>
          <w:p w:rsidR="00AC0832" w:rsidRDefault="00AC0832">
            <w:pPr>
              <w:pStyle w:val="CellColumn"/>
            </w:pPr>
            <w:r>
              <w:t>8</w:t>
            </w:r>
          </w:p>
        </w:tc>
      </w:tr>
    </w:tbl>
    <w:p w:rsidR="00AC0832" w:rsidRDefault="00AC0832">
      <w:pPr>
        <w:jc w:val="left"/>
      </w:pPr>
    </w:p>
    <w:p w:rsidR="00AC0832" w:rsidRDefault="00AC0832">
      <w:pPr>
        <w:pStyle w:val="Heading5"/>
      </w:pPr>
      <w:r>
        <w:t>2302 DIPLOMATSKO KONZULARNA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2302-DIPLOMATSKO KONZULARNA DJELATNOST</w:t>
            </w:r>
          </w:p>
        </w:tc>
        <w:tc>
          <w:tcPr>
            <w:tcW w:w="2322" w:type="dxa"/>
          </w:tcPr>
          <w:p w:rsidR="00AC0832" w:rsidRDefault="00AC0832">
            <w:pPr>
              <w:pStyle w:val="CellColumn"/>
            </w:pPr>
            <w:r>
              <w:t>404.495.203</w:t>
            </w:r>
          </w:p>
        </w:tc>
        <w:tc>
          <w:tcPr>
            <w:tcW w:w="2322" w:type="dxa"/>
          </w:tcPr>
          <w:p w:rsidR="00AC0832" w:rsidRDefault="00AC0832">
            <w:pPr>
              <w:pStyle w:val="CellColumn"/>
            </w:pPr>
            <w:r>
              <w:t>465.346.112</w:t>
            </w:r>
          </w:p>
        </w:tc>
        <w:tc>
          <w:tcPr>
            <w:tcW w:w="2322" w:type="dxa"/>
          </w:tcPr>
          <w:p w:rsidR="00AC0832" w:rsidRDefault="00AC0832">
            <w:pPr>
              <w:pStyle w:val="CellColumn"/>
            </w:pPr>
            <w:r>
              <w:t>115,0</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 Diplomatsko konzularna djelatnost odnosi se na rad svih diplomatskih i konzularnih misija koje predstavljaju RH u inozemstvu. Kroz ovaj program obavljaju se poslovi predstavljanja RH u državi primateljici, štite se interesi RH, njezini državljani i pravne osobe, jamči se osobita skrb i zaštita dijelovima hrvatskog naroda u državi primateljici, razvijaju prijateljski odnosi i suradnja između RH i države primateljice u političkom, konzularnom, gospodarskom, kulturno-prosvjetnom, znanstveno-tehnološkom i informacijskom području.  </w:t>
      </w:r>
    </w:p>
    <w:p w:rsidR="00AC0832" w:rsidRDefault="00AC0832">
      <w:pPr>
        <w:pStyle w:val="Normal5"/>
      </w:pPr>
      <w:r>
        <w:t xml:space="preserve">Potrebno je istaći da se kroz navedeni program operativno izvršavaju ciljevi definirani u programima Provođenje vanjske politike RH i Horizontalna koordinacija europskih poslova.  </w:t>
      </w:r>
    </w:p>
    <w:p w:rsidR="00AC0832" w:rsidRDefault="00AC0832">
      <w:pPr>
        <w:pStyle w:val="Normal5"/>
      </w:pPr>
      <w:r>
        <w:t xml:space="preserve"> </w:t>
      </w:r>
    </w:p>
    <w:p w:rsidR="00AC0832" w:rsidRDefault="00AC0832">
      <w:pPr>
        <w:pStyle w:val="Normal5"/>
      </w:pPr>
      <w:r>
        <w:t xml:space="preserve">Putem diplomatskih misija i konzularnih ureda radi se na ostvarenju strateških ciljeva vezanih uz pripreme za članstvo u EU, jačanje pozicije Republike Hrvatske u međunarodnim organizacijama i globalnim inicijativama te promicanje političkog dijaloga i partnerskih odnosa s naglaskom na privlačenje stranih investicija. </w:t>
      </w:r>
    </w:p>
    <w:p w:rsidR="00AC0832" w:rsidRDefault="00AC0832">
      <w:pPr>
        <w:pStyle w:val="Normal5"/>
      </w:pPr>
      <w:r>
        <w:t xml:space="preserve"> </w:t>
      </w:r>
    </w:p>
    <w:p w:rsidR="00AC0832" w:rsidRDefault="00AC0832">
      <w:pPr>
        <w:pStyle w:val="Normal5"/>
      </w:pPr>
      <w:r>
        <w:t xml:space="preserve">U odnosu na planirana sredstva izvršenje ovog Programa je veće za 15,04%, odnosno 60.850.908 kn. Više utrošena sredstva u odnosu na planirana sredstva financirana su iz izvora financiranja 43 Ostali prihodi za posebne namjene, kojem je sukladno Zakonu o proračunu dana fleksibilnost u izvršavanju. </w:t>
      </w:r>
    </w:p>
    <w:p w:rsidR="00AC0832" w:rsidRDefault="00AC0832">
      <w:pPr>
        <w:pStyle w:val="Normal5"/>
      </w:pPr>
      <w:r>
        <w:t xml:space="preserve"> </w:t>
      </w:r>
    </w:p>
    <w:p w:rsidR="00AC0832" w:rsidRDefault="00AC0832">
      <w:pPr>
        <w:pStyle w:val="Normal5"/>
      </w:pPr>
      <w:r>
        <w:t xml:space="preserve">Izvršenje Programa u 2012. godini u odnosu na 2011. godinu iznosi povećanje od 11,4%, odnosno 47.559.987 kn i sadržano je u potprogramu T777036 Promocija kulture u svijetu (koja je u 2012. godini u cijelosti financirana iz izvora financiranja 41 Prihodi od igara na sreću), te potprogramu A777000 Administracija i upravljanje kojom se financira poslovanje DMKU. Troškovi poslovanja DMKU RH u svijetu prikazuju porast nastalo uslijed primjene Uredbe o unutarnjem ustrojstvu MVEP (NN 10/2012) kojom se uređuje nova kategorizacija diplomatskih misija i konzularnih ureda te tečajnih razlika. Također, nastalo povećanje izvršenja 2012./2011, evidentira se i na novootvorenom potprogramu A777053 Konzularni poslovi kroz koji se financiraju organizacijske i tehničke prilagodbe po pitanju ispunjavanja svih preduvjeta za razmjenu klasificiranih podataka između RH i EU. </w:t>
      </w:r>
    </w:p>
    <w:p w:rsidR="00AC0832" w:rsidRDefault="00AC0832">
      <w:pPr>
        <w:pStyle w:val="Normal5"/>
      </w:pPr>
      <w:r>
        <w:t xml:space="preserve"> </w:t>
      </w:r>
    </w:p>
    <w:p w:rsidR="00AC0832" w:rsidRDefault="00AC0832">
      <w:pPr>
        <w:pStyle w:val="Normal5"/>
      </w:pPr>
      <w:r>
        <w:t>Povećanje izvršenja 2012./2011. je nastalo i uslijed realokacije proračunskih sredstava s drugih programa uslijed dodatnih aktivnosti kojima se intenzivno pratio proces ratifikacije te vršile aktivnosti radi ulaska RH u EU.</w:t>
      </w:r>
    </w:p>
    <w:p w:rsidR="00AC0832" w:rsidRDefault="00AC0832">
      <w:pPr>
        <w:pStyle w:val="Heading6"/>
      </w:pPr>
      <w:r>
        <w:t>Zakonske i druge pravne osnove</w:t>
      </w:r>
    </w:p>
    <w:p w:rsidR="00AC0832" w:rsidRDefault="00AC0832">
      <w:pPr>
        <w:pStyle w:val="Normal5"/>
      </w:pPr>
      <w:r>
        <w:t>Zakon o vanjskim poslovima (NN48/96); Zakon o strancima (NN 79/07, 36/09), Zakon o putnim ispravama hrvatskih državljana (NN 77/99);</w:t>
      </w:r>
    </w:p>
    <w:p w:rsidR="00AC0832" w:rsidRDefault="00AC0832">
      <w:pPr>
        <w:pStyle w:val="Heading7"/>
      </w:pPr>
      <w:r>
        <w:t>Cilj 1. Pružanje konzularnih usluga u skladu s propisanim rokovima</w:t>
      </w:r>
    </w:p>
    <w:p w:rsidR="00AC0832" w:rsidRDefault="00AC0832">
      <w:pPr>
        <w:pStyle w:val="Heading8"/>
        <w:jc w:val="left"/>
      </w:pPr>
      <w:r>
        <w:t>Opis provedbe cilja programa</w:t>
      </w:r>
    </w:p>
    <w:p w:rsidR="00AC0832" w:rsidRDefault="00AC0832">
      <w:pPr>
        <w:pStyle w:val="Normal6"/>
      </w:pPr>
      <w:r>
        <w:t>MVEP je, u skladu s nadležnostima, organizacijski i tehnički unaprijedilo pružanje konzularnih usluga na način skraćenja vremena potrebnog za obradu zaprimljenih zahtjeva. S obzirom na stvorene preduvjete, kao što je uvođenje odgovarajućih IT rješenja, MVEP je podignuo razinu kvalitete konzularnih usluga.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6"/>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obrađenih predmeta u skladu s zakonskim rokom</w:t>
            </w:r>
          </w:p>
        </w:tc>
        <w:tc>
          <w:tcPr>
            <w:tcW w:w="1300" w:type="dxa"/>
          </w:tcPr>
          <w:p w:rsidR="00AC0832" w:rsidRDefault="00AC0832">
            <w:pPr>
              <w:pStyle w:val="CellColumn"/>
            </w:pPr>
            <w:r>
              <w:t>Poštivanjem propisanih zakonskih rokova podiže se kvaliteta pruženih konzularnih usluga</w:t>
            </w:r>
          </w:p>
        </w:tc>
        <w:tc>
          <w:tcPr>
            <w:tcW w:w="1300" w:type="dxa"/>
          </w:tcPr>
          <w:p w:rsidR="00AC0832" w:rsidRDefault="00AC0832">
            <w:pPr>
              <w:pStyle w:val="CellColumn"/>
            </w:pPr>
            <w:r>
              <w:t>% obrađenosti</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MVEP</w:t>
            </w:r>
          </w:p>
        </w:tc>
        <w:tc>
          <w:tcPr>
            <w:tcW w:w="1300" w:type="dxa"/>
          </w:tcPr>
          <w:p w:rsidR="00AC0832" w:rsidRDefault="00AC0832">
            <w:pPr>
              <w:pStyle w:val="CellColumn"/>
            </w:pPr>
            <w:r>
              <w:t>90%</w:t>
            </w:r>
          </w:p>
        </w:tc>
        <w:tc>
          <w:tcPr>
            <w:tcW w:w="1300" w:type="dxa"/>
          </w:tcPr>
          <w:p w:rsidR="00AC0832" w:rsidRDefault="00AC0832">
            <w:pPr>
              <w:pStyle w:val="CellColumn"/>
            </w:pPr>
            <w:r>
              <w:t>90%</w:t>
            </w:r>
          </w:p>
        </w:tc>
      </w:tr>
    </w:tbl>
    <w:p w:rsidR="00AC0832" w:rsidRDefault="00AC0832">
      <w:pPr>
        <w:jc w:val="left"/>
      </w:pPr>
    </w:p>
    <w:p w:rsidR="00AC0832" w:rsidRDefault="00AC0832">
      <w:pPr>
        <w:pStyle w:val="Heading7"/>
      </w:pPr>
      <w:r>
        <w:t>Cilj 2. Promidžba hrvatske kulture u svijetu</w:t>
      </w:r>
    </w:p>
    <w:p w:rsidR="00AC0832" w:rsidRDefault="00AC0832">
      <w:pPr>
        <w:pStyle w:val="Heading8"/>
        <w:jc w:val="left"/>
      </w:pPr>
      <w:r>
        <w:t>Opis provedbe cilja programa</w:t>
      </w:r>
    </w:p>
    <w:p w:rsidR="00AC0832" w:rsidRDefault="00AC0832">
      <w:pPr>
        <w:pStyle w:val="Normal6"/>
      </w:pPr>
      <w:r>
        <w:t>Ministarstvo vanjskih i europskih poslova samostalno je, te povremeno u suradnji s Ministarstvom kulture (MK), na godišnjoj razini organiziralo brojna kulturna događanja predstavljajući svoju kulturu pa tako i nacionalni kulturni identitet raznovrsnim projektima  likovne i fotografske umjetnosti, glazbe, književnosti, filma i gastronomije. Naglasak je stavljen na promidžbu identiteta RH i kulturne baštine, s ciljem da se naglasi kako hrvatska kultura oduvijek pripada europskom kulturnom krugu sa svim svojim specifičnostima. Promicala se kultura u svom najširem smislu, a posebno hrvatska tradicionalna kultura, te suvremena umjetnost sukladno vanjskopolitičkim prioritetima.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8"/>
        <w:gridCol w:w="1291"/>
        <w:gridCol w:w="1281"/>
        <w:gridCol w:w="1271"/>
        <w:gridCol w:w="1267"/>
        <w:gridCol w:w="1271"/>
        <w:gridCol w:w="127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Prepoznatljivost RH u svijetu</w:t>
            </w:r>
          </w:p>
        </w:tc>
        <w:tc>
          <w:tcPr>
            <w:tcW w:w="1300" w:type="dxa"/>
          </w:tcPr>
          <w:p w:rsidR="00AC0832" w:rsidRDefault="00AC0832">
            <w:pPr>
              <w:pStyle w:val="CellColumn"/>
            </w:pPr>
            <w:r>
              <w:t>Kroz kulturna događanja u inozemstvu predstavlja se nacionalni identitet</w:t>
            </w:r>
          </w:p>
        </w:tc>
        <w:tc>
          <w:tcPr>
            <w:tcW w:w="1300" w:type="dxa"/>
          </w:tcPr>
          <w:p w:rsidR="00AC0832" w:rsidRDefault="00AC0832">
            <w:pPr>
              <w:pStyle w:val="CellColumn"/>
            </w:pPr>
            <w:r>
              <w:t>Broj događanja</w:t>
            </w:r>
          </w:p>
        </w:tc>
        <w:tc>
          <w:tcPr>
            <w:tcW w:w="1300" w:type="dxa"/>
          </w:tcPr>
          <w:p w:rsidR="00AC0832" w:rsidRDefault="00AC0832">
            <w:pPr>
              <w:pStyle w:val="CellColumn"/>
            </w:pPr>
            <w:r>
              <w:t>100</w:t>
            </w:r>
          </w:p>
        </w:tc>
        <w:tc>
          <w:tcPr>
            <w:tcW w:w="1300" w:type="dxa"/>
          </w:tcPr>
          <w:p w:rsidR="00AC0832" w:rsidRDefault="00AC0832">
            <w:pPr>
              <w:pStyle w:val="CellColumn"/>
            </w:pPr>
            <w:r>
              <w:t>MVEP</w:t>
            </w:r>
          </w:p>
        </w:tc>
        <w:tc>
          <w:tcPr>
            <w:tcW w:w="1300" w:type="dxa"/>
          </w:tcPr>
          <w:p w:rsidR="00AC0832" w:rsidRDefault="00AC0832">
            <w:pPr>
              <w:pStyle w:val="CellColumn"/>
            </w:pPr>
            <w:r>
              <w:t>140</w:t>
            </w:r>
          </w:p>
        </w:tc>
        <w:tc>
          <w:tcPr>
            <w:tcW w:w="1300" w:type="dxa"/>
          </w:tcPr>
          <w:p w:rsidR="00AC0832" w:rsidRDefault="00AC0832">
            <w:pPr>
              <w:pStyle w:val="CellColumn"/>
            </w:pPr>
            <w:r>
              <w:t>143</w:t>
            </w:r>
          </w:p>
        </w:tc>
      </w:tr>
    </w:tbl>
    <w:p w:rsidR="00AC0832" w:rsidRDefault="00AC0832">
      <w:pPr>
        <w:jc w:val="left"/>
      </w:pPr>
    </w:p>
    <w:p w:rsidR="00AC0832" w:rsidRDefault="00AC0832">
      <w:pPr>
        <w:pStyle w:val="Heading6"/>
      </w:pPr>
      <w:r>
        <w:t>A777053 KONZULARNI POSLOVI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A777053-KONZULARNI POSLOVI</w:t>
            </w:r>
          </w:p>
        </w:tc>
        <w:tc>
          <w:tcPr>
            <w:tcW w:w="2322" w:type="dxa"/>
          </w:tcPr>
          <w:p w:rsidR="00AC0832" w:rsidRDefault="00AC0832">
            <w:pPr>
              <w:pStyle w:val="CellColumn"/>
            </w:pPr>
            <w:r>
              <w:t>22.465.500</w:t>
            </w:r>
          </w:p>
        </w:tc>
        <w:tc>
          <w:tcPr>
            <w:tcW w:w="2322" w:type="dxa"/>
          </w:tcPr>
          <w:p w:rsidR="00AC0832" w:rsidRDefault="00AC0832">
            <w:pPr>
              <w:pStyle w:val="CellColumn"/>
            </w:pPr>
            <w:r>
              <w:t>22.328.410</w:t>
            </w:r>
          </w:p>
        </w:tc>
        <w:tc>
          <w:tcPr>
            <w:tcW w:w="2322" w:type="dxa"/>
          </w:tcPr>
          <w:p w:rsidR="00AC0832" w:rsidRDefault="00AC0832">
            <w:pPr>
              <w:pStyle w:val="CellColumn"/>
            </w:pPr>
            <w:r>
              <w:t>99,4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Ulazak RH u EU zahtijeva dodatne organizacijske i tehničke prilagodbe po pitanju ispunjavanja svih preduvjeta za razmjenu klasificiranih podataka između RH i EU, te pripremu za uključivanje u VIS EU. Projekt izdavanja biometrijskih e-putovnica hrvatskim državljanima, čiji nositelj je uz Ministarstvo unutarnjih poslova bilo i MVEP, u cijelosti je implementiran 01. srpnja 2010. godine. Slijedom navedenog, a s obzirom na ispunjene tehničke pretpostavke, u predstojećem razdoblju naglasak se stavlja na kvalitetu pruženih usluga vezano uz izdavanje putnih isprava.  </w:t>
      </w:r>
    </w:p>
    <w:p w:rsidR="00AC0832" w:rsidRDefault="00AC0832">
      <w:pPr>
        <w:pStyle w:val="Normal6"/>
      </w:pPr>
      <w:r>
        <w:t xml:space="preserve"> </w:t>
      </w:r>
    </w:p>
    <w:p w:rsidR="00AC0832" w:rsidRDefault="00AC0832">
      <w:pPr>
        <w:pStyle w:val="Normal6"/>
      </w:pPr>
      <w:r>
        <w:t>Indeks izvršenja aktivnosti iznosi 99,4 planiranih sredstava, te je tijekom proračunske godine izvršena preraspodjela na navedenu aktivnost, s koje se u najznačajnijem dijelu financira tiskanje obrazaca viza, putovnica,… U prilog navedenom, govori i činjenica da je ostvarena vrijednost  pokazatelja rezultata 44,5% veća od planirane. Od ukupnog broja izdanih putovnica redovnih je 75.954, službenih 199 te 426 diplomatskih.</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3"/>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izdanih putovnica u zakonski predviđenom roku</w:t>
            </w:r>
          </w:p>
        </w:tc>
        <w:tc>
          <w:tcPr>
            <w:tcW w:w="1300" w:type="dxa"/>
          </w:tcPr>
          <w:p w:rsidR="00AC0832" w:rsidRDefault="00AC0832">
            <w:pPr>
              <w:pStyle w:val="CellColumn"/>
            </w:pPr>
            <w:r>
              <w:t>S obzirom na stvorene tehničke preduvjete inzistira se na poštivanju propisanih rokova</w:t>
            </w:r>
          </w:p>
        </w:tc>
        <w:tc>
          <w:tcPr>
            <w:tcW w:w="1300" w:type="dxa"/>
          </w:tcPr>
          <w:p w:rsidR="00AC0832" w:rsidRDefault="00AC0832">
            <w:pPr>
              <w:pStyle w:val="CellColumn"/>
            </w:pPr>
            <w:r>
              <w:t>Broj</w:t>
            </w:r>
          </w:p>
        </w:tc>
        <w:tc>
          <w:tcPr>
            <w:tcW w:w="1300" w:type="dxa"/>
          </w:tcPr>
          <w:p w:rsidR="00AC0832" w:rsidRDefault="00AC0832">
            <w:pPr>
              <w:pStyle w:val="CellColumn"/>
            </w:pPr>
            <w:r>
              <w:t>53.000</w:t>
            </w:r>
          </w:p>
        </w:tc>
        <w:tc>
          <w:tcPr>
            <w:tcW w:w="1300" w:type="dxa"/>
          </w:tcPr>
          <w:p w:rsidR="00AC0832" w:rsidRDefault="00AC0832">
            <w:pPr>
              <w:pStyle w:val="CellColumn"/>
            </w:pPr>
            <w:r>
              <w:t>MVEP</w:t>
            </w:r>
          </w:p>
        </w:tc>
        <w:tc>
          <w:tcPr>
            <w:tcW w:w="1300" w:type="dxa"/>
          </w:tcPr>
          <w:p w:rsidR="00AC0832" w:rsidRDefault="00AC0832">
            <w:pPr>
              <w:pStyle w:val="CellColumn"/>
            </w:pPr>
            <w:r>
              <w:t>53.000</w:t>
            </w:r>
          </w:p>
        </w:tc>
        <w:tc>
          <w:tcPr>
            <w:tcW w:w="1300" w:type="dxa"/>
          </w:tcPr>
          <w:p w:rsidR="00AC0832" w:rsidRDefault="00AC0832">
            <w:pPr>
              <w:pStyle w:val="CellColumn"/>
            </w:pPr>
            <w:r>
              <w:t>76.579</w:t>
            </w:r>
          </w:p>
        </w:tc>
      </w:tr>
    </w:tbl>
    <w:p w:rsidR="00AC0832" w:rsidRDefault="00AC0832">
      <w:pPr>
        <w:jc w:val="left"/>
      </w:pPr>
    </w:p>
    <w:p w:rsidR="00AC0832" w:rsidRDefault="00AC0832">
      <w:pPr>
        <w:pStyle w:val="Heading6"/>
      </w:pPr>
      <w:r>
        <w:t>T777036 PROMOCIJA KULTURE U SVIJETU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T777036-PROMOCIJA KULTURE U SVIJETU</w:t>
            </w:r>
          </w:p>
        </w:tc>
        <w:tc>
          <w:tcPr>
            <w:tcW w:w="2322" w:type="dxa"/>
          </w:tcPr>
          <w:p w:rsidR="00AC0832" w:rsidRDefault="00AC0832">
            <w:pPr>
              <w:pStyle w:val="CellColumn"/>
            </w:pPr>
            <w:r>
              <w:t>7.419.728</w:t>
            </w:r>
          </w:p>
        </w:tc>
        <w:tc>
          <w:tcPr>
            <w:tcW w:w="2322" w:type="dxa"/>
          </w:tcPr>
          <w:p w:rsidR="00AC0832" w:rsidRDefault="00AC0832">
            <w:pPr>
              <w:pStyle w:val="CellColumn"/>
            </w:pPr>
            <w:r>
              <w:t>5.418.738</w:t>
            </w:r>
          </w:p>
        </w:tc>
        <w:tc>
          <w:tcPr>
            <w:tcW w:w="2322" w:type="dxa"/>
          </w:tcPr>
          <w:p w:rsidR="00AC0832" w:rsidRDefault="00AC0832">
            <w:pPr>
              <w:pStyle w:val="CellColumn"/>
            </w:pPr>
            <w:r>
              <w:t>73,0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Cjelokupna vanjska kulturna politika i suradnja MVEP i MK koncipirana je tako da predstavlja Hrvatsku u najširem smislu, ali između ostalog i kao poželjnu turističku destinaciju. U skladu s vanjskopolitičkim ciljevima, naglasak je stavljen na predstavljanje kulturne baštine i suvremene umjetnosti u državama članicama EU, pri čemu su prioriteti države predsjedateljice. </w:t>
      </w:r>
    </w:p>
    <w:p w:rsidR="00AC0832" w:rsidRDefault="00AC0832">
      <w:pPr>
        <w:pStyle w:val="Normal6"/>
      </w:pPr>
      <w:r>
        <w:t xml:space="preserve"> </w:t>
      </w:r>
    </w:p>
    <w:p w:rsidR="00AC0832" w:rsidRDefault="00AC0832">
      <w:pPr>
        <w:pStyle w:val="Normal6"/>
      </w:pPr>
      <w:r>
        <w:t>U cilju ostvarenja potprograma održano je 68 koncerata, 34 izložbe, 9 filmskih događanja, 6 književnih večeri, te 26 ostalih kulturnih aktivnosti (kazališne predstave, predavanja, seminari, simpoziji, prijevodi i tiskanje brošura)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29"/>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Realizirani projekti kulturne promidžbe</w:t>
            </w:r>
          </w:p>
        </w:tc>
        <w:tc>
          <w:tcPr>
            <w:tcW w:w="1300" w:type="dxa"/>
          </w:tcPr>
          <w:p w:rsidR="00AC0832" w:rsidRDefault="00AC0832">
            <w:pPr>
              <w:pStyle w:val="CellColumn"/>
            </w:pPr>
            <w:r>
              <w:t>Suradnja u području kulture doprinosi unapređenju bilateralnih odnosa ali i očuvanju nacionalnog identiteta.</w:t>
            </w:r>
          </w:p>
        </w:tc>
        <w:tc>
          <w:tcPr>
            <w:tcW w:w="1300" w:type="dxa"/>
          </w:tcPr>
          <w:p w:rsidR="00AC0832" w:rsidRDefault="00AC0832">
            <w:pPr>
              <w:pStyle w:val="CellColumn"/>
            </w:pPr>
            <w:r>
              <w:t>Broj</w:t>
            </w:r>
          </w:p>
        </w:tc>
        <w:tc>
          <w:tcPr>
            <w:tcW w:w="1300" w:type="dxa"/>
          </w:tcPr>
          <w:p w:rsidR="00AC0832" w:rsidRDefault="00AC0832">
            <w:pPr>
              <w:pStyle w:val="CellColumn"/>
            </w:pPr>
            <w:r>
              <w:t>100</w:t>
            </w:r>
          </w:p>
        </w:tc>
        <w:tc>
          <w:tcPr>
            <w:tcW w:w="1300" w:type="dxa"/>
          </w:tcPr>
          <w:p w:rsidR="00AC0832" w:rsidRDefault="00AC0832">
            <w:pPr>
              <w:pStyle w:val="CellColumn"/>
            </w:pPr>
            <w:r>
              <w:t>MVEP</w:t>
            </w:r>
          </w:p>
        </w:tc>
        <w:tc>
          <w:tcPr>
            <w:tcW w:w="1300" w:type="dxa"/>
          </w:tcPr>
          <w:p w:rsidR="00AC0832" w:rsidRDefault="00AC0832">
            <w:pPr>
              <w:pStyle w:val="CellColumn"/>
            </w:pPr>
            <w:r>
              <w:t>140</w:t>
            </w:r>
          </w:p>
        </w:tc>
        <w:tc>
          <w:tcPr>
            <w:tcW w:w="1300" w:type="dxa"/>
          </w:tcPr>
          <w:p w:rsidR="00AC0832" w:rsidRDefault="00AC0832">
            <w:pPr>
              <w:pStyle w:val="CellColumn"/>
            </w:pPr>
            <w:r>
              <w:t>143</w:t>
            </w:r>
          </w:p>
        </w:tc>
      </w:tr>
    </w:tbl>
    <w:p w:rsidR="00AC0832" w:rsidRDefault="00AC0832">
      <w:pPr>
        <w:jc w:val="left"/>
      </w:pPr>
    </w:p>
    <w:p w:rsidR="00AC0832" w:rsidRDefault="00AC0832">
      <w:pPr>
        <w:pStyle w:val="Heading5"/>
      </w:pPr>
      <w:r>
        <w:t>2303 HORIZONTALNA KOORDINACIJA EUROPSKIH POSLOVA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2303-HORIZONTALNA KOORDINACIJA EUROPSKIH POSLOVA</w:t>
            </w:r>
          </w:p>
        </w:tc>
        <w:tc>
          <w:tcPr>
            <w:tcW w:w="2322" w:type="dxa"/>
          </w:tcPr>
          <w:p w:rsidR="00AC0832" w:rsidRDefault="00AC0832">
            <w:pPr>
              <w:pStyle w:val="CellColumn"/>
            </w:pPr>
            <w:r>
              <w:t>16.156.800</w:t>
            </w:r>
          </w:p>
        </w:tc>
        <w:tc>
          <w:tcPr>
            <w:tcW w:w="2322" w:type="dxa"/>
          </w:tcPr>
          <w:p w:rsidR="00AC0832" w:rsidRDefault="00AC0832">
            <w:pPr>
              <w:pStyle w:val="CellColumn"/>
            </w:pPr>
            <w:r>
              <w:t>14.493.343</w:t>
            </w:r>
          </w:p>
        </w:tc>
        <w:tc>
          <w:tcPr>
            <w:tcW w:w="2322" w:type="dxa"/>
          </w:tcPr>
          <w:p w:rsidR="00AC0832" w:rsidRDefault="00AC0832">
            <w:pPr>
              <w:pStyle w:val="CellColumn"/>
            </w:pPr>
            <w:r>
              <w:t>89,7</w:t>
            </w:r>
          </w:p>
        </w:tc>
      </w:tr>
    </w:tbl>
    <w:p w:rsidR="00AC0832" w:rsidRDefault="00AC0832">
      <w:pPr>
        <w:jc w:val="left"/>
      </w:pPr>
    </w:p>
    <w:p w:rsidR="00AC0832" w:rsidRDefault="00AC0832">
      <w:pPr>
        <w:pStyle w:val="Heading6"/>
      </w:pPr>
      <w:r>
        <w:t>Opis programa</w:t>
      </w:r>
    </w:p>
    <w:p w:rsidR="00AC0832" w:rsidRDefault="00AC0832">
      <w:pPr>
        <w:pStyle w:val="Normal5"/>
      </w:pPr>
      <w:r>
        <w:t xml:space="preserve">MVEP, kao koordinator svih nadležnih tijela državne uprave u području europskih poslova, kroz navedeni program brine o kontinuiranoj prilagodbi standardima i politikama EU, odnosno uspostavi učinkovitog sustava nacionalne koordinacije europskih poslova. U predstojećem razdoblju očekuje se ulazak RH u punopravno članstvo u EU. Pri tome će MVEP obavljati stručne, diplomatske, pravne i tehničke poslove vezane uz ispunjavanje navedenog cilja. Aktivnosti obuhvaćene ovim programom usmjerene su na realizaciju posebnog cilja vezanog uz pripreme za pristupanje i članstvo u EU iz Strateškog plana MVEP-a za razdoblje 2012.-2014. </w:t>
      </w:r>
    </w:p>
    <w:p w:rsidR="00AC0832" w:rsidRDefault="00AC0832">
      <w:pPr>
        <w:pStyle w:val="Normal5"/>
      </w:pPr>
      <w:r>
        <w:t xml:space="preserve"> </w:t>
      </w:r>
    </w:p>
    <w:p w:rsidR="00AC0832" w:rsidRDefault="00AC0832">
      <w:pPr>
        <w:pStyle w:val="Normal5"/>
      </w:pPr>
      <w:r>
        <w:t>Tijekom izrade plana proračuna za naredno proračunsko razdoblje vrlo je teško s preciznošću definirati sve aktivnosti koje se financiraju iz navedenog programa (broj sastanaka tijela SSP-a, broj tehničkih konzultacija vezanih uz ispunjavanje obveza iz monitoringa, broj sastanaka vezanih uz implementaciju pravne stečevine, mjesto održavanje istih, broj kartica prevođenja,…), zbog čega i izvršenje programa 2303 Horizontalna koordinacija EU poslova za 2012. godinu iznosi 14.493.343 kn, odnosno 89,7% planiranih sredstava. Financiranje programa u cijelosti je izvršeno iz izvora financiranja 11 Opći prihodi i primici pri čemu su najznačajnija sredstva utrošena za stvaranje vjerodostojne hrvatske inačice pravne stečevine EU-a kao nužnog preduvjeta da hrvatski jezik postane službeni jezik po ulasku RH u EU te za financiranje provedbe referenduma. U odnosu na 2011. godinu Program bilježi pad utrošenih sredstava u iznosu od 5.923.576 kn, odnosno smanjenje u iznosu od 29%. Zabilježeni pad ne predstavlja isključivo pad utrošenih sredstava po aktivnostima, obzirom da se paralelno bilježi porast utrošenih sredstava na stvaranje vjerodostojne hrvatske inačice pravne stečevine EU. Ipak, značajno smanjenje utrošenih sredstava evidentira se na aktivnosti A777045 Informiranje i obrazovanje u iznosu od 7.921.484 kn, obzirom da je tijekom 2011. godine kroz navedenu proračunsku aktivnost proveden Program informiranja i obrazovanja građana i djelatnika u državnoj upravi i lokalnoj upravi i samoupravi te Program informativnih i obrazovnih aktivnosti, kao i potpora županijskim savjetima za europske integracije, s ciljem informiranja hrvatske javnosti o EU i pripremama za članstvo.</w:t>
      </w:r>
    </w:p>
    <w:p w:rsidR="00AC0832" w:rsidRDefault="00AC0832">
      <w:pPr>
        <w:pStyle w:val="Heading6"/>
      </w:pPr>
      <w:r>
        <w:t>Zakonske i druge pravne osnove</w:t>
      </w:r>
    </w:p>
    <w:p w:rsidR="00AC0832" w:rsidRDefault="00AC0832">
      <w:pPr>
        <w:pStyle w:val="Normal5"/>
      </w:pPr>
      <w:r>
        <w:t>Sporazum o stabilizaciji i pridruživanju, članak 69., Program Vlade RH za preuzimanje i provedbu pravne stečevine EU,  Komunikacijska strategija za informiranje hrvatske javnosti o EU i pripremama za članstvo (NN 13/06.) te ispunjavanje obveza iz monitoringa.</w:t>
      </w:r>
    </w:p>
    <w:p w:rsidR="00AC0832" w:rsidRDefault="00AC0832">
      <w:pPr>
        <w:pStyle w:val="Heading7"/>
      </w:pPr>
      <w:r>
        <w:t>Cilj 1. Koordinacija europskih poslova</w:t>
      </w:r>
    </w:p>
    <w:p w:rsidR="00AC0832" w:rsidRDefault="00AC0832">
      <w:pPr>
        <w:pStyle w:val="Heading8"/>
        <w:jc w:val="left"/>
      </w:pPr>
      <w:r>
        <w:t>Opis provedbe cilja programa</w:t>
      </w:r>
    </w:p>
    <w:p w:rsidR="00AC0832" w:rsidRDefault="00AC0832">
      <w:pPr>
        <w:pStyle w:val="Normal6"/>
      </w:pPr>
      <w:r>
        <w:t>Potpisivanjem Ugovora o pristupanju 9. prosinca 2011. godine, RH stekla je status države pristupnice EU, odnosno status aktivnog promatrača u većini radnih tijela institucija EU-a. Od toga dana od hrvatskih se predstavnika očekuje sudjelovanje u radu većine pripremnih radnih tijela Vijeća EU, na stručnim sastancima kojima predsjedava EK (tzv. komitologija), te na ministarskim sastancima različitih formata Vijeća EU. Novostečeni status zahtijeva pojačane napore u nacionalnoj koordinaciji europskih poslova te se stoga kontinuirano radi, zajedno sa svim tijelima državne uprave kao i Misijom RH pri EU, na uspostavi funkcionalnog i efikasnog sustava za nacionalnu koordinaciju europskih poslova.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Punopravno članstvo u EU</w:t>
            </w: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MVEP</w:t>
            </w: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7"/>
      </w:pPr>
      <w:r>
        <w:t>Cilj 2. Zaštita hrvatskoga jezika kao službenog jezika EU-a i očuvanje hrvatskog jezičnog identiteta u službenom komuniciranju s EU.</w:t>
      </w:r>
    </w:p>
    <w:p w:rsidR="00AC0832" w:rsidRDefault="00AC0832">
      <w:pPr>
        <w:pStyle w:val="Heading8"/>
        <w:jc w:val="left"/>
      </w:pPr>
      <w:r>
        <w:t>Opis provedbe cilja programa</w:t>
      </w:r>
    </w:p>
    <w:p w:rsidR="00AC0832" w:rsidRDefault="00AC0832">
      <w:pPr>
        <w:pStyle w:val="Normal6"/>
      </w:pPr>
      <w:r>
        <w:t xml:space="preserve">MVEP, putem Samostalne službe za prevođenje, središnja je jedinica u RH za obavljanje poslova prevođenja i koordinacije stručnih, pravnih i jezičnih redaktura te lekture odnosno izrade vjerodostojne hrvatske inačice zakonodavstva EU, te prevođenja na engleski jezik hrvatskih pravnih propisa, dokumenata dostavljenih tijekom procesa pregovora RH s EU-om kao i materijala potrebnih za praćenja ispunjavanja obveza koje je RH preuzela u pristupnim pregovorima.  </w:t>
      </w:r>
    </w:p>
    <w:p w:rsidR="00AC0832" w:rsidRDefault="00AC0832">
      <w:pPr>
        <w:pStyle w:val="Normal6"/>
      </w:pPr>
      <w:r>
        <w:t>Po ulasku RH u EU Samostalna služba nadzirat će i skrbiti za uporabu hrvatskog jezika kao službenog jezika u EU i uspostavlja usku međuinstitucionalnu suradnju s ciljem osiguranja visoke jezične kvalitete i zaštite hrvatskoga jezika kao službenog jezika EU-a i očuvanja hrvatskog jezičnog identiteta u službenom komuniciranju s EU.</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MVEP</w:t>
            </w: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A777052 KOORDINACIJA EU POSLOVA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A777052-KOORDINACIJA EU POSLOVA</w:t>
            </w:r>
          </w:p>
        </w:tc>
        <w:tc>
          <w:tcPr>
            <w:tcW w:w="2322" w:type="dxa"/>
          </w:tcPr>
          <w:p w:rsidR="00AC0832" w:rsidRDefault="00AC0832">
            <w:pPr>
              <w:pStyle w:val="CellColumn"/>
            </w:pPr>
            <w:r>
              <w:t>605.000</w:t>
            </w:r>
          </w:p>
        </w:tc>
        <w:tc>
          <w:tcPr>
            <w:tcW w:w="2322" w:type="dxa"/>
          </w:tcPr>
          <w:p w:rsidR="00AC0832" w:rsidRDefault="00AC0832">
            <w:pPr>
              <w:pStyle w:val="CellColumn"/>
            </w:pPr>
            <w:r>
              <w:t>485.539</w:t>
            </w:r>
          </w:p>
        </w:tc>
        <w:tc>
          <w:tcPr>
            <w:tcW w:w="2322" w:type="dxa"/>
          </w:tcPr>
          <w:p w:rsidR="00AC0832" w:rsidRDefault="00AC0832">
            <w:pPr>
              <w:pStyle w:val="CellColumn"/>
            </w:pPr>
            <w:r>
              <w:t>80,3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Uspostava funkcionalnog i efikasnog sustava za nacionalnu koordinaciju europskih poslova odnosi se na  djelokrug rada MVEP-a, kao tijela nadležnog za nacionalnu koordinaciju EU poslova. U pristupnom razdoblju iznimnu važnost ima jačanje institucionalnih sposobnosti s naglaskom na jačanje administrativnih kapaciteta za koordinaciju i obavljanje europskih poslova te obrazovanje kadrova radi uspješne prilagodbe na punopravno članstvo u EU. Sredstva s proračunske aktivnosti planirala su se radi nužnog jačanja administrativnih kapaciteta Uprave kako bi se uspješno pripremila koordinacija EU poslova. Tijekom 2012. nisu u potpunosti utrošena planirana sredstva budući da administrativni kapaciteti nisu ojačani na način kako su planirani, a time i sredstva za edukaciju. Također, tijekom godine izvršene su prilagodbe prvobitno planiranih aktivnosti (npr. konferencija za sva TDU i Županijske savjete, obuhvaćajući sve zavisne troškove pripreme i provedbe iste) obzirom na utvrđene prioritete, definirane ciljeve i načine na koji su se isti provodili </w:t>
      </w:r>
    </w:p>
    <w:p w:rsidR="00AC0832" w:rsidRDefault="00AC0832">
      <w:pPr>
        <w:pStyle w:val="Normal6"/>
      </w:pPr>
      <w:r>
        <w:t xml:space="preserve">   </w:t>
      </w:r>
    </w:p>
    <w:p w:rsidR="00AC0832" w:rsidRDefault="00AC0832">
      <w:pPr>
        <w:pStyle w:val="Normal6"/>
      </w:pPr>
      <w:r>
        <w:t>Planirano financiranje kroz navedenu aktivnost  u smislu  povećane nazočnosti i sudjelovanje u radnim tijelima EU,  djelomično se tijekom godine usmjerilo kroz diplomatska predstavništva RH u Bruxellesu te se izvršila i realokacija sredstava.</w:t>
      </w: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2"/>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Sudjelovanje predstavnika RH u radu tijela EU</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10</w:t>
            </w:r>
          </w:p>
        </w:tc>
        <w:tc>
          <w:tcPr>
            <w:tcW w:w="1300" w:type="dxa"/>
          </w:tcPr>
          <w:p w:rsidR="00AC0832" w:rsidRDefault="00AC0832">
            <w:pPr>
              <w:pStyle w:val="CellColumn"/>
            </w:pPr>
            <w:r>
              <w:t>MVEP</w:t>
            </w:r>
          </w:p>
        </w:tc>
        <w:tc>
          <w:tcPr>
            <w:tcW w:w="1300" w:type="dxa"/>
          </w:tcPr>
          <w:p w:rsidR="00AC0832" w:rsidRDefault="00AC0832">
            <w:pPr>
              <w:pStyle w:val="CellColumn"/>
            </w:pPr>
            <w:r>
              <w:t>200</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A778002 PREVOĐENJE PRAVNE STEČEVINE EU I RELEVANTNOG ZAKONODAVSTVA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A778002-PREVOĐENJE PRAVNE STEČEVINE EU I RELEVANTNOG ZAKONODAVSTVA RH</w:t>
            </w:r>
          </w:p>
        </w:tc>
        <w:tc>
          <w:tcPr>
            <w:tcW w:w="2322" w:type="dxa"/>
          </w:tcPr>
          <w:p w:rsidR="00AC0832" w:rsidRDefault="00AC0832">
            <w:pPr>
              <w:pStyle w:val="CellColumn"/>
            </w:pPr>
            <w:r>
              <w:t>9.934.300</w:t>
            </w:r>
          </w:p>
        </w:tc>
        <w:tc>
          <w:tcPr>
            <w:tcW w:w="2322" w:type="dxa"/>
          </w:tcPr>
          <w:p w:rsidR="00AC0832" w:rsidRDefault="00AC0832">
            <w:pPr>
              <w:pStyle w:val="CellColumn"/>
            </w:pPr>
            <w:r>
              <w:t>8.720.533</w:t>
            </w:r>
          </w:p>
        </w:tc>
        <w:tc>
          <w:tcPr>
            <w:tcW w:w="2322" w:type="dxa"/>
          </w:tcPr>
          <w:p w:rsidR="00AC0832" w:rsidRDefault="00AC0832">
            <w:pPr>
              <w:pStyle w:val="CellColumn"/>
            </w:pPr>
            <w:r>
              <w:t>87,8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Stvaranje vjerodostojne hrvatske inačice pravne stečevine EU-a nužan je preduvjet da hrvatski jezik postane službeni jezik kad RH postane članicom EU-a. Aktivnosti u planskom razdoblju odnose se na prevođenje te na pravnu, stručnu i jezičnu redakturu prevedenih tekstova i terminološko usuglašavanje. Izvor za prevođenje EU zakonodavstva koje će biti objavljeno u Posebnom izdanju Službenog lista EU-a, a koje mora biti tiskano do trenutka pristupanja RH EU-u, je Prioritetna lista Europske komisije u bazi CCVista. Ova lista je na kraju 2012. godine sadržavala 149.000 stranica. Prijevod ovih dokumenata uključuje i različite redakture – jezičnu, pravnu i stručnu, te po potrebi lekturu. Od početnih 103.000 iskazanih u polaznoj vrijednosti, 60.000 je bilo u fazi "Not revised" (obavljen samo prijevod), a 43.000 u fazi "Revised" (obavljen prijevod i sve potrebne redakture - jezična/stručna/pravna - u prosjeku dvije). Budući da sam prijevod čini otprilike polovicu posla to znači da 103.000 stranica od koji je 60.000 u fazi "Not revised" i 43.000 u fazi "revised" odgovara ekvivalentu od 73.000 kompletno dovršenih stranica. Na kraju 2012. godine bilo je 42.000 str. u fazi "Not revised" i 83.000 u fazi "Revised" što ukupno čini 125.000 str. a što odgovara ekvivalentu od 21.000 + 83.000 = 104.000 kompletno dovršenih stranica. Budući da je s Prioritetne liste tijekom 2012. godine skinuto 13.000 stranica, stvarno povećanje iznosi 104.000-73.000+13.000 = 44.000 kompletno dovršenih stranica. S obzirom da je proračun za 2012. godinu bio smanjen te da su vanjski suradnici - jezični redaktori bili zaposleni tek u 2013. godini nije mogao u cijelosti biti izvršen zacrtani broj stranica. </w:t>
      </w:r>
    </w:p>
    <w:p w:rsidR="00AC0832" w:rsidRDefault="00AC0832">
      <w:pPr>
        <w:pStyle w:val="Normal6"/>
      </w:pPr>
      <w:r>
        <w:t xml:space="preserve"> </w:t>
      </w:r>
    </w:p>
    <w:p w:rsidR="00AC0832" w:rsidRDefault="00AC0832">
      <w:pPr>
        <w:pStyle w:val="Normal6"/>
      </w:pPr>
      <w:r>
        <w:t xml:space="preserve">Na engleski jezik prevode se hrvatski propisi prema potrebama relevantnih institucija EU-a kao i dokumentacija koja se dostavlja EK vezano uz praćenje postupka koji prethodi ulasku RH u EU. Za potrebe nesmetane komunikacije MVEP-a prevode se razne vrste tekstova s hrvatskog na strane jezike i obratno za sve ustrojstvene jedinice MVEP-a, kao i lektoriranje tekstova sastavljenih u MVEP na stranim jezicima. </w:t>
      </w:r>
    </w:p>
    <w:p w:rsidR="00AC0832" w:rsidRDefault="00AC0832">
      <w:pPr>
        <w:pStyle w:val="Normal6"/>
      </w:pPr>
      <w:r>
        <w:t xml:space="preserve"> </w:t>
      </w:r>
    </w:p>
    <w:p w:rsidR="00AC0832" w:rsidRDefault="00AC0832">
      <w:pPr>
        <w:pStyle w:val="Normal6"/>
      </w:pPr>
      <w:r>
        <w:t>Radi osiguranja ujednačenosti prijevoda, a posebno terminologije izrađuje se Pojmovnik pravne stečevine EU-a u kojemu se bilježe prijevodi korišteni kod prijevoda u oba smjera uz oznaku statusa verificiranosti, posebno bilježeći prijevode iz dokumenata koji su visoko završeni i pregledani od strane pravnika jezikoznanaca iz institucija EU-a. Pojmovnik je javno dostupan i koriste ga prevoditelji i stručni redaktori kako u RH tako i u institucijama EU-a.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2"/>
        <w:gridCol w:w="1440"/>
        <w:gridCol w:w="1242"/>
        <w:gridCol w:w="1262"/>
        <w:gridCol w:w="1257"/>
        <w:gridCol w:w="1262"/>
        <w:gridCol w:w="127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prevedenih stranica koje čine hrvatsku inačicu pravne stečevine</w:t>
            </w:r>
          </w:p>
        </w:tc>
        <w:tc>
          <w:tcPr>
            <w:tcW w:w="1300" w:type="dxa"/>
          </w:tcPr>
          <w:p w:rsidR="00AC0832" w:rsidRDefault="00AC0832">
            <w:pPr>
              <w:pStyle w:val="CellColumn"/>
            </w:pPr>
            <w:r>
              <w:t>Vjerodostojna hrvatska inačica pravne stečevine EU- preduvjet je da hrvatski bude priznat kao službeni jezik u EU</w:t>
            </w:r>
          </w:p>
        </w:tc>
        <w:tc>
          <w:tcPr>
            <w:tcW w:w="1300" w:type="dxa"/>
          </w:tcPr>
          <w:p w:rsidR="00AC0832" w:rsidRDefault="00AC0832">
            <w:pPr>
              <w:pStyle w:val="CellColumn"/>
            </w:pPr>
            <w:r>
              <w:t>Broj stranica</w:t>
            </w:r>
          </w:p>
        </w:tc>
        <w:tc>
          <w:tcPr>
            <w:tcW w:w="1300" w:type="dxa"/>
          </w:tcPr>
          <w:p w:rsidR="00AC0832" w:rsidRDefault="00AC0832">
            <w:pPr>
              <w:pStyle w:val="CellColumn"/>
            </w:pPr>
            <w:r>
              <w:t>103.000</w:t>
            </w:r>
          </w:p>
        </w:tc>
        <w:tc>
          <w:tcPr>
            <w:tcW w:w="1300" w:type="dxa"/>
          </w:tcPr>
          <w:p w:rsidR="00AC0832" w:rsidRDefault="00AC0832">
            <w:pPr>
              <w:pStyle w:val="CellColumn"/>
            </w:pPr>
            <w:r>
              <w:t>MVEP</w:t>
            </w:r>
          </w:p>
        </w:tc>
        <w:tc>
          <w:tcPr>
            <w:tcW w:w="1300" w:type="dxa"/>
          </w:tcPr>
          <w:p w:rsidR="00AC0832" w:rsidRDefault="00AC0832">
            <w:pPr>
              <w:pStyle w:val="CellColumn"/>
            </w:pPr>
            <w:r>
              <w:t>50.000</w:t>
            </w:r>
          </w:p>
        </w:tc>
        <w:tc>
          <w:tcPr>
            <w:tcW w:w="1300" w:type="dxa"/>
          </w:tcPr>
          <w:p w:rsidR="00AC0832" w:rsidRDefault="00AC0832">
            <w:pPr>
              <w:pStyle w:val="CellColumn"/>
            </w:pPr>
            <w:r>
              <w:t>53.000</w:t>
            </w:r>
          </w:p>
        </w:tc>
      </w:tr>
      <w:tr w:rsidR="00AC0832" w:rsidTr="00BE20ED">
        <w:trPr>
          <w:jc w:val="center"/>
        </w:trPr>
        <w:tc>
          <w:tcPr>
            <w:tcW w:w="1300" w:type="dxa"/>
          </w:tcPr>
          <w:p w:rsidR="00AC0832" w:rsidRDefault="00AC0832">
            <w:pPr>
              <w:pStyle w:val="CellColumn"/>
            </w:pPr>
            <w:r>
              <w:t>Povećanje broja kartica prijevoda relevantnog zakonodavstva</w:t>
            </w:r>
          </w:p>
        </w:tc>
        <w:tc>
          <w:tcPr>
            <w:tcW w:w="1300" w:type="dxa"/>
          </w:tcPr>
          <w:p w:rsidR="00AC0832" w:rsidRDefault="00AC0832">
            <w:pPr>
              <w:pStyle w:val="CellColumn"/>
            </w:pPr>
            <w:r>
              <w:t>Broj kartica prijevoda dokumenata za potrebe procesa pristupanja RH EU</w:t>
            </w:r>
          </w:p>
        </w:tc>
        <w:tc>
          <w:tcPr>
            <w:tcW w:w="1300" w:type="dxa"/>
          </w:tcPr>
          <w:p w:rsidR="00AC0832" w:rsidRDefault="00AC0832">
            <w:pPr>
              <w:pStyle w:val="CellColumn"/>
            </w:pPr>
            <w:r>
              <w:t>Broj kartica</w:t>
            </w:r>
          </w:p>
        </w:tc>
        <w:tc>
          <w:tcPr>
            <w:tcW w:w="1300" w:type="dxa"/>
          </w:tcPr>
          <w:p w:rsidR="00AC0832" w:rsidRDefault="00AC0832">
            <w:pPr>
              <w:pStyle w:val="CellColumn"/>
            </w:pPr>
            <w:r>
              <w:t>120.000</w:t>
            </w:r>
          </w:p>
        </w:tc>
        <w:tc>
          <w:tcPr>
            <w:tcW w:w="1300" w:type="dxa"/>
          </w:tcPr>
          <w:p w:rsidR="00AC0832" w:rsidRDefault="00AC0832">
            <w:pPr>
              <w:pStyle w:val="CellColumn"/>
            </w:pPr>
            <w:r>
              <w:t>MVEP</w:t>
            </w:r>
          </w:p>
        </w:tc>
        <w:tc>
          <w:tcPr>
            <w:tcW w:w="1300" w:type="dxa"/>
          </w:tcPr>
          <w:p w:rsidR="00AC0832" w:rsidRDefault="00AC0832">
            <w:pPr>
              <w:pStyle w:val="CellColumn"/>
            </w:pPr>
            <w:r>
              <w:t>12.000</w:t>
            </w:r>
          </w:p>
        </w:tc>
        <w:tc>
          <w:tcPr>
            <w:tcW w:w="1300" w:type="dxa"/>
          </w:tcPr>
          <w:p w:rsidR="00AC0832" w:rsidRDefault="00AC0832">
            <w:pPr>
              <w:pStyle w:val="CellColumn"/>
            </w:pPr>
            <w:r>
              <w:t>12.000</w:t>
            </w:r>
          </w:p>
        </w:tc>
      </w:tr>
      <w:tr w:rsidR="00AC0832" w:rsidTr="00BE20ED">
        <w:trPr>
          <w:jc w:val="center"/>
        </w:trPr>
        <w:tc>
          <w:tcPr>
            <w:tcW w:w="1300" w:type="dxa"/>
          </w:tcPr>
          <w:p w:rsidR="00AC0832" w:rsidRDefault="00AC0832">
            <w:pPr>
              <w:pStyle w:val="CellColumn"/>
            </w:pPr>
            <w:r>
              <w:t>Izrada Pojmovnika pravne stečevine EU-a</w:t>
            </w:r>
          </w:p>
        </w:tc>
        <w:tc>
          <w:tcPr>
            <w:tcW w:w="1300" w:type="dxa"/>
          </w:tcPr>
          <w:p w:rsidR="00AC0832" w:rsidRDefault="00AC0832">
            <w:pPr>
              <w:pStyle w:val="CellColumn"/>
            </w:pPr>
            <w:r>
              <w:t>Održavanje i distribucija sadržaja Pojmovnika pravne stečevine EU-a</w:t>
            </w:r>
          </w:p>
        </w:tc>
        <w:tc>
          <w:tcPr>
            <w:tcW w:w="1300" w:type="dxa"/>
          </w:tcPr>
          <w:p w:rsidR="00AC0832" w:rsidRDefault="00AC0832">
            <w:pPr>
              <w:pStyle w:val="CellColumn"/>
            </w:pPr>
            <w:r>
              <w:t>Broj zapisa</w:t>
            </w:r>
          </w:p>
        </w:tc>
        <w:tc>
          <w:tcPr>
            <w:tcW w:w="1300" w:type="dxa"/>
          </w:tcPr>
          <w:p w:rsidR="00AC0832" w:rsidRDefault="00AC0832">
            <w:pPr>
              <w:pStyle w:val="CellColumn"/>
            </w:pPr>
            <w:r>
              <w:t>50.000</w:t>
            </w:r>
          </w:p>
        </w:tc>
        <w:tc>
          <w:tcPr>
            <w:tcW w:w="1300" w:type="dxa"/>
          </w:tcPr>
          <w:p w:rsidR="00AC0832" w:rsidRDefault="00AC0832">
            <w:pPr>
              <w:pStyle w:val="CellColumn"/>
            </w:pPr>
            <w:r>
              <w:t>MVEP</w:t>
            </w:r>
          </w:p>
        </w:tc>
        <w:tc>
          <w:tcPr>
            <w:tcW w:w="1300" w:type="dxa"/>
          </w:tcPr>
          <w:p w:rsidR="00AC0832" w:rsidRDefault="00AC0832">
            <w:pPr>
              <w:pStyle w:val="CellColumn"/>
            </w:pPr>
            <w:r>
              <w:t>40.000</w:t>
            </w:r>
          </w:p>
        </w:tc>
        <w:tc>
          <w:tcPr>
            <w:tcW w:w="1300" w:type="dxa"/>
          </w:tcPr>
          <w:p w:rsidR="00AC0832" w:rsidRDefault="00AC0832">
            <w:pPr>
              <w:pStyle w:val="CellColumn"/>
            </w:pPr>
            <w:r>
              <w:t>38.000</w:t>
            </w:r>
          </w:p>
        </w:tc>
      </w:tr>
    </w:tbl>
    <w:p w:rsidR="00AC0832" w:rsidRDefault="00AC0832">
      <w:pPr>
        <w:jc w:val="left"/>
      </w:pPr>
    </w:p>
    <w:p w:rsidR="00AC0832" w:rsidRDefault="00AC0832">
      <w:pPr>
        <w:pStyle w:val="Heading1"/>
      </w:pPr>
      <w:r>
        <w:t>049 MINISTARSTVO GOSPODARSTVA</w:t>
      </w:r>
    </w:p>
    <w:p w:rsidR="00AC0832" w:rsidRDefault="00AC0832">
      <w:pPr>
        <w:pStyle w:val="Heading4"/>
      </w:pPr>
      <w:r>
        <w:t>Uvod</w:t>
      </w:r>
    </w:p>
    <w:p w:rsidR="00AC0832" w:rsidRDefault="00AC0832">
      <w:pPr>
        <w:pStyle w:val="Normal3"/>
      </w:pPr>
      <w:r>
        <w:t xml:space="preserve">Ministarstvo gospodarstva obavlja upravne i druge poslove koji se odnose na: razvoj i unapređenje konkurentnosti hrvatskog gospodarstva, instrumente i mjere gospodarske politike; industrijsku politiku i politiku primjene inovacija i novih tehnologija; upravljanje jamstvenim fondom za unapređenje industrije; poslove vezane uz primjenu i korištenje prava intelektualnog i industrijskog vlasništva i poticanje stvaralaštva u industriji i trgovini u cilju razvoja konkurentnosti hrvatskoga gospodarstva; energetsku politiku Republike Hrvatske; rudarstvo; strategiju olakšavanja i poticanja ulaganja i izvoza. </w:t>
      </w:r>
    </w:p>
    <w:p w:rsidR="00AC0832" w:rsidRDefault="00AC0832">
      <w:pPr>
        <w:pStyle w:val="Normal3"/>
      </w:pPr>
      <w:r>
        <w:t xml:space="preserve">Ministarstvo s drugim nadležnim tijelima državne uprave sudjeluje u koordinaciji strategije upravljanja državnom imovinom, uključujući i sudjelovanje u koordinaciji restrukturiranja i sanacije pravnih osoba, izradi analiza u postupcima restrukturiranja trgovačkih društava u vlasništvu Republike Hrvatske te upravljanja vlasničkim udjelima u trgovačkim društvima u vlasništvu Republike Hrvatske; djelatnost trgovine na unutarnjem tržištu Europske unije; opskrbu i cijene; nacionalnu koordinaciju aktivnosti djelovanja na unutarnjem tržištu Europske unije, uključujući tehničko zakonodavstvo i infrastrukturu kvalitete, koordinaciju i razvoj nacionalne politike u području normizacije, akreditacije, ocjene sukladnosti i mjeriteljstva; stanje i pojave na tržištu; zaštitu potrošača; strateške robne zalihe. </w:t>
      </w:r>
    </w:p>
    <w:p w:rsidR="00AC0832" w:rsidRDefault="00AC0832">
      <w:pPr>
        <w:pStyle w:val="Normal3"/>
      </w:pPr>
      <w:r>
        <w:t xml:space="preserve">Ministarstvo obavlja upravne i druge poslove koji se odnose na razvoj, unapređenje i koordinaciju sustava javnih nabava; unapređenje i razvoj sustava koncesija u području svoje nadležnosti i nadzor nad njegovim provođenjem te unapređenje i razvoj sustava javno-privatnog partnerstva. </w:t>
      </w:r>
    </w:p>
    <w:p w:rsidR="00AC0832" w:rsidRDefault="00AC0832">
      <w:pPr>
        <w:pStyle w:val="Normal3"/>
      </w:pPr>
      <w:r>
        <w:t xml:space="preserve">Ministarstvo obavlja poslove koji se odnose na sudjelovanje Republike Hrvatske u radu tijela Europske unije u područjima iz njegove nadležnosti. </w:t>
      </w:r>
    </w:p>
    <w:p w:rsidR="00AC0832" w:rsidRDefault="00AC0832">
      <w:pPr>
        <w:pStyle w:val="Normal3"/>
      </w:pPr>
      <w:r>
        <w:t xml:space="preserve">Ministarstvo obavlja i druge poslove koji su mu stavljeni u nadležnost posebnim zakonom. </w:t>
      </w:r>
    </w:p>
    <w:p w:rsidR="00AC0832" w:rsidRDefault="00AC0832">
      <w:pPr>
        <w:pStyle w:val="Normal3"/>
      </w:pPr>
      <w:r>
        <w:t>Tijela koja Razdjel 049 Ministarstvo gospodarstva obuhvaća su: 04905  Ministarstvo gospodarstva, 04910  Ravnateljstvo za robne zalihe, 04965 Agencije u gospodarstvu: 44014 Agencija za javno-privatno partnerstvo i 44389 Agencija za opremu pod tlakom, 04970  Državni zavod za mjeriteljstvo, 04980 Hrvatski zavod za norme i 04985 Hrvatska akreditacijska agencija.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04905-Ministarstvo gospodarstva</w:t>
            </w:r>
          </w:p>
        </w:tc>
        <w:tc>
          <w:tcPr>
            <w:tcW w:w="2322" w:type="dxa"/>
          </w:tcPr>
          <w:p w:rsidR="00AC0832" w:rsidRDefault="00AC0832">
            <w:pPr>
              <w:pStyle w:val="CellColumn"/>
            </w:pPr>
            <w:r>
              <w:t>627.596.058</w:t>
            </w:r>
          </w:p>
        </w:tc>
        <w:tc>
          <w:tcPr>
            <w:tcW w:w="2322" w:type="dxa"/>
          </w:tcPr>
          <w:p w:rsidR="00AC0832" w:rsidRDefault="00AC0832">
            <w:pPr>
              <w:pStyle w:val="CellColumn"/>
            </w:pPr>
            <w:r>
              <w:t>558.869.537</w:t>
            </w:r>
          </w:p>
        </w:tc>
        <w:tc>
          <w:tcPr>
            <w:tcW w:w="2322" w:type="dxa"/>
          </w:tcPr>
          <w:p w:rsidR="00AC0832" w:rsidRDefault="00AC0832">
            <w:pPr>
              <w:pStyle w:val="CellColumn"/>
            </w:pPr>
            <w:r>
              <w:t>89,0</w:t>
            </w:r>
          </w:p>
        </w:tc>
      </w:tr>
      <w:tr w:rsidR="00AC0832" w:rsidTr="00BE20ED">
        <w:trPr>
          <w:jc w:val="center"/>
        </w:trPr>
        <w:tc>
          <w:tcPr>
            <w:tcW w:w="2322" w:type="dxa"/>
          </w:tcPr>
          <w:p w:rsidR="00AC0832" w:rsidRDefault="00AC0832">
            <w:pPr>
              <w:pStyle w:val="CellColumn"/>
            </w:pPr>
            <w:r>
              <w:t>04910-Ravnateljstvo za robne zalihe</w:t>
            </w:r>
          </w:p>
        </w:tc>
        <w:tc>
          <w:tcPr>
            <w:tcW w:w="2322" w:type="dxa"/>
          </w:tcPr>
          <w:p w:rsidR="00AC0832" w:rsidRDefault="00AC0832">
            <w:pPr>
              <w:pStyle w:val="CellColumn"/>
            </w:pPr>
            <w:r>
              <w:t>25.135.677</w:t>
            </w:r>
          </w:p>
        </w:tc>
        <w:tc>
          <w:tcPr>
            <w:tcW w:w="2322" w:type="dxa"/>
          </w:tcPr>
          <w:p w:rsidR="00AC0832" w:rsidRDefault="00AC0832">
            <w:pPr>
              <w:pStyle w:val="CellColumn"/>
            </w:pPr>
            <w:r>
              <w:t>44.649.547</w:t>
            </w:r>
          </w:p>
        </w:tc>
        <w:tc>
          <w:tcPr>
            <w:tcW w:w="2322" w:type="dxa"/>
          </w:tcPr>
          <w:p w:rsidR="00AC0832" w:rsidRDefault="00AC0832">
            <w:pPr>
              <w:pStyle w:val="CellColumn"/>
            </w:pPr>
            <w:r>
              <w:t>177,6</w:t>
            </w:r>
          </w:p>
        </w:tc>
      </w:tr>
      <w:tr w:rsidR="00AC0832" w:rsidTr="00BE20ED">
        <w:trPr>
          <w:jc w:val="center"/>
        </w:trPr>
        <w:tc>
          <w:tcPr>
            <w:tcW w:w="2322" w:type="dxa"/>
          </w:tcPr>
          <w:p w:rsidR="00AC0832" w:rsidRDefault="00AC0832">
            <w:pPr>
              <w:pStyle w:val="CellColumn"/>
            </w:pPr>
            <w:r>
              <w:t>04965-Agencije u gospodarstvu</w:t>
            </w:r>
          </w:p>
        </w:tc>
        <w:tc>
          <w:tcPr>
            <w:tcW w:w="2322" w:type="dxa"/>
          </w:tcPr>
          <w:p w:rsidR="00AC0832" w:rsidRDefault="00AC0832">
            <w:pPr>
              <w:pStyle w:val="CellColumn"/>
            </w:pPr>
            <w:r>
              <w:t>11.180.548</w:t>
            </w:r>
          </w:p>
        </w:tc>
        <w:tc>
          <w:tcPr>
            <w:tcW w:w="2322" w:type="dxa"/>
          </w:tcPr>
          <w:p w:rsidR="00AC0832" w:rsidRDefault="00AC0832">
            <w:pPr>
              <w:pStyle w:val="CellColumn"/>
            </w:pPr>
            <w:r>
              <w:t>9.598.403</w:t>
            </w:r>
          </w:p>
        </w:tc>
        <w:tc>
          <w:tcPr>
            <w:tcW w:w="2322" w:type="dxa"/>
          </w:tcPr>
          <w:p w:rsidR="00AC0832" w:rsidRDefault="00AC0832">
            <w:pPr>
              <w:pStyle w:val="CellColumn"/>
            </w:pPr>
            <w:r>
              <w:t>85,8</w:t>
            </w:r>
          </w:p>
        </w:tc>
      </w:tr>
      <w:tr w:rsidR="00AC0832" w:rsidTr="00BE20ED">
        <w:trPr>
          <w:jc w:val="center"/>
        </w:trPr>
        <w:tc>
          <w:tcPr>
            <w:tcW w:w="2322" w:type="dxa"/>
          </w:tcPr>
          <w:p w:rsidR="00AC0832" w:rsidRDefault="00AC0832">
            <w:pPr>
              <w:pStyle w:val="CellColumn"/>
            </w:pPr>
            <w:r>
              <w:t>04970-Državni zavod za mjeriteljstvo</w:t>
            </w:r>
          </w:p>
        </w:tc>
        <w:tc>
          <w:tcPr>
            <w:tcW w:w="2322" w:type="dxa"/>
          </w:tcPr>
          <w:p w:rsidR="00AC0832" w:rsidRDefault="00AC0832">
            <w:pPr>
              <w:pStyle w:val="CellColumn"/>
            </w:pPr>
            <w:r>
              <w:t>19.629.605</w:t>
            </w:r>
          </w:p>
        </w:tc>
        <w:tc>
          <w:tcPr>
            <w:tcW w:w="2322" w:type="dxa"/>
          </w:tcPr>
          <w:p w:rsidR="00AC0832" w:rsidRDefault="00AC0832">
            <w:pPr>
              <w:pStyle w:val="CellColumn"/>
            </w:pPr>
            <w:r>
              <w:t>18.653.101</w:t>
            </w:r>
          </w:p>
        </w:tc>
        <w:tc>
          <w:tcPr>
            <w:tcW w:w="2322" w:type="dxa"/>
          </w:tcPr>
          <w:p w:rsidR="00AC0832" w:rsidRDefault="00AC0832">
            <w:pPr>
              <w:pStyle w:val="CellColumn"/>
            </w:pPr>
            <w:r>
              <w:t>95,0</w:t>
            </w:r>
          </w:p>
        </w:tc>
      </w:tr>
      <w:tr w:rsidR="00AC0832" w:rsidTr="00BE20ED">
        <w:trPr>
          <w:jc w:val="center"/>
        </w:trPr>
        <w:tc>
          <w:tcPr>
            <w:tcW w:w="2322" w:type="dxa"/>
          </w:tcPr>
          <w:p w:rsidR="00AC0832" w:rsidRDefault="00AC0832">
            <w:pPr>
              <w:pStyle w:val="CellColumn"/>
            </w:pPr>
            <w:r>
              <w:t>04980-Hrvatski zavod za norme</w:t>
            </w:r>
          </w:p>
        </w:tc>
        <w:tc>
          <w:tcPr>
            <w:tcW w:w="2322" w:type="dxa"/>
          </w:tcPr>
          <w:p w:rsidR="00AC0832" w:rsidRDefault="00AC0832">
            <w:pPr>
              <w:pStyle w:val="CellColumn"/>
            </w:pPr>
            <w:r>
              <w:t>11.444.679</w:t>
            </w:r>
          </w:p>
        </w:tc>
        <w:tc>
          <w:tcPr>
            <w:tcW w:w="2322" w:type="dxa"/>
          </w:tcPr>
          <w:p w:rsidR="00AC0832" w:rsidRDefault="00AC0832">
            <w:pPr>
              <w:pStyle w:val="CellColumn"/>
            </w:pPr>
            <w:r>
              <w:t>10.696.887</w:t>
            </w:r>
          </w:p>
        </w:tc>
        <w:tc>
          <w:tcPr>
            <w:tcW w:w="2322" w:type="dxa"/>
          </w:tcPr>
          <w:p w:rsidR="00AC0832" w:rsidRDefault="00AC0832">
            <w:pPr>
              <w:pStyle w:val="CellColumn"/>
            </w:pPr>
            <w:r>
              <w:t>93,5</w:t>
            </w:r>
          </w:p>
        </w:tc>
      </w:tr>
      <w:tr w:rsidR="00AC0832" w:rsidTr="00BE20ED">
        <w:trPr>
          <w:jc w:val="center"/>
        </w:trPr>
        <w:tc>
          <w:tcPr>
            <w:tcW w:w="2322" w:type="dxa"/>
          </w:tcPr>
          <w:p w:rsidR="00AC0832" w:rsidRDefault="00AC0832">
            <w:pPr>
              <w:pStyle w:val="CellColumn"/>
            </w:pPr>
            <w:r>
              <w:t>04985-Hrvatska akreditacijska agencija</w:t>
            </w:r>
          </w:p>
        </w:tc>
        <w:tc>
          <w:tcPr>
            <w:tcW w:w="2322" w:type="dxa"/>
          </w:tcPr>
          <w:p w:rsidR="00AC0832" w:rsidRDefault="00AC0832">
            <w:pPr>
              <w:pStyle w:val="CellColumn"/>
            </w:pPr>
            <w:r>
              <w:t>7.796.851</w:t>
            </w:r>
          </w:p>
        </w:tc>
        <w:tc>
          <w:tcPr>
            <w:tcW w:w="2322" w:type="dxa"/>
          </w:tcPr>
          <w:p w:rsidR="00AC0832" w:rsidRDefault="00AC0832">
            <w:pPr>
              <w:pStyle w:val="CellColumn"/>
            </w:pPr>
            <w:r>
              <w:t>7.560.058</w:t>
            </w:r>
          </w:p>
        </w:tc>
        <w:tc>
          <w:tcPr>
            <w:tcW w:w="2322" w:type="dxa"/>
          </w:tcPr>
          <w:p w:rsidR="00AC0832" w:rsidRDefault="00AC0832">
            <w:pPr>
              <w:pStyle w:val="CellColumn"/>
            </w:pPr>
            <w:r>
              <w:t>97,0</w:t>
            </w:r>
          </w:p>
        </w:tc>
      </w:tr>
      <w:tr w:rsidR="00AC0832" w:rsidTr="00BE20ED">
        <w:trPr>
          <w:jc w:val="center"/>
        </w:trPr>
        <w:tc>
          <w:tcPr>
            <w:tcW w:w="2322" w:type="dxa"/>
            <w:shd w:val="clear" w:color="auto" w:fill="B5C0D8"/>
          </w:tcPr>
          <w:p w:rsidR="00AC0832" w:rsidRDefault="00AC0832">
            <w:pPr>
              <w:pStyle w:val="CellColumn"/>
            </w:pPr>
            <w:r>
              <w:t>Ukupno 049-MINISTARSTVO GOSPODARSTVA</w:t>
            </w:r>
          </w:p>
        </w:tc>
        <w:tc>
          <w:tcPr>
            <w:tcW w:w="2322" w:type="dxa"/>
            <w:shd w:val="clear" w:color="auto" w:fill="B5C0D8"/>
          </w:tcPr>
          <w:p w:rsidR="00AC0832" w:rsidRDefault="00AC0832">
            <w:pPr>
              <w:pStyle w:val="CellColumn"/>
            </w:pPr>
            <w:r>
              <w:t>702.783.418</w:t>
            </w:r>
          </w:p>
        </w:tc>
        <w:tc>
          <w:tcPr>
            <w:tcW w:w="2322" w:type="dxa"/>
            <w:shd w:val="clear" w:color="auto" w:fill="B5C0D8"/>
          </w:tcPr>
          <w:p w:rsidR="00AC0832" w:rsidRDefault="00AC0832">
            <w:pPr>
              <w:pStyle w:val="CellColumn"/>
            </w:pPr>
            <w:r>
              <w:t>650.027.533</w:t>
            </w:r>
          </w:p>
        </w:tc>
        <w:tc>
          <w:tcPr>
            <w:tcW w:w="2322" w:type="dxa"/>
            <w:shd w:val="clear" w:color="auto" w:fill="B5C0D8"/>
          </w:tcPr>
          <w:p w:rsidR="00AC0832" w:rsidRDefault="00AC0832">
            <w:pPr>
              <w:pStyle w:val="CellColumn"/>
            </w:pPr>
            <w:r>
              <w:t>92,5</w:t>
            </w:r>
          </w:p>
        </w:tc>
      </w:tr>
    </w:tbl>
    <w:p w:rsidR="00AC0832" w:rsidRDefault="00AC0832">
      <w:pPr>
        <w:jc w:val="left"/>
      </w:pPr>
    </w:p>
    <w:p w:rsidR="00AC0832" w:rsidRDefault="00AC0832">
      <w:pPr>
        <w:pStyle w:val="Heading2"/>
      </w:pPr>
      <w:r>
        <w:t>04905 Ministarstvo gospodarstva</w:t>
      </w:r>
    </w:p>
    <w:p w:rsidR="00AC0832" w:rsidRDefault="00AC0832">
      <w:pPr>
        <w:pStyle w:val="Heading4"/>
      </w:pPr>
      <w:r>
        <w:t>Uvod</w:t>
      </w:r>
    </w:p>
    <w:p w:rsidR="00AC0832" w:rsidRDefault="00AC0832">
      <w:pPr>
        <w:pStyle w:val="Normal3"/>
      </w:pPr>
      <w:r>
        <w:t xml:space="preserve">Ministarstvo gospodarstva obavlja upravne i druge poslove koji se odnose na: razvoj i unapređenje konkurentnosti hrvatskog gospodarstva, instrumente i mjere gospodarske politike; industrijsku politiku i politiku primjene inovacija i novih tehnologija; upravljanje jamstvenim fondom za unapređenje industrije; poslove vezane uz primjenu i korištenje prava intelektualnog i industrijskog vlasništva i poticanje stvaralaštva u industriji i trgovini u cilju razvoja konkurentnosti hrvatskoga gospodarstva; energetsku politiku Republike Hrvatske; rudarstvo; strategiju olakšavanja i poticanja ulaganja i izvoza. </w:t>
      </w:r>
    </w:p>
    <w:p w:rsidR="00AC0832" w:rsidRDefault="00AC0832">
      <w:pPr>
        <w:pStyle w:val="Normal3"/>
      </w:pPr>
      <w:r>
        <w:t xml:space="preserve">Ministarstvo s drugim nadležnim tijelima državne uprave sudjeluje u koordinaciji strategije upravljanja državnom imovinom, uključujući i sudjelovanje u koordinaciji restrukturiranja i sanacije pravnih osoba, izradi analiza u postupcima restrukturiranja trgovačkih društava u vlasništvu Republike Hrvatske te upravljanja vlasničkim udjelima u trgovačkim društvima u vlasništvu Republike Hrvatske; djelatnost trgovine na unutarnjem tržištu Europske unije; opskrbu i cijene; nacionalnu koordinaciju aktivnosti djelovanja na unutarnjem tržištu Europske unije, zaštitu potrošača. </w:t>
      </w:r>
    </w:p>
    <w:p w:rsidR="00AC0832" w:rsidRDefault="00AC0832">
      <w:pPr>
        <w:pStyle w:val="Normal3"/>
      </w:pPr>
      <w:r>
        <w:t xml:space="preserve">Ministarstvo obavlja upravne i druge poslove koji se odnose na razvoj, unapređenje i koordinaciju sustava javnih nabava; unapređenje i razvoj sustava koncesija u području svoje nadležnosti i nadzor nad njegovim provođenjem te unapređenje i razvoj sustava javno-privatnog partnerstva. </w:t>
      </w:r>
    </w:p>
    <w:p w:rsidR="00AC0832" w:rsidRDefault="00AC0832">
      <w:pPr>
        <w:pStyle w:val="Normal3"/>
      </w:pPr>
      <w:r>
        <w:t xml:space="preserve">Glava Ministarstvo gospodarstva je u 2012. godini utrošilo 558.869.537 kn od planiranog iznosa 627.596.058 kn, te je izvršenje proračuna 89,0% od planiranog iznosa.  </w:t>
      </w:r>
    </w:p>
    <w:p w:rsidR="00AC0832" w:rsidRDefault="00AC0832">
      <w:pPr>
        <w:pStyle w:val="Normal3"/>
      </w:pPr>
      <w:r>
        <w:t xml:space="preserve"> </w:t>
      </w:r>
    </w:p>
    <w:p w:rsidR="00AC0832" w:rsidRDefault="00AC0832">
      <w:pPr>
        <w:pStyle w:val="Normal3"/>
      </w:pPr>
      <w:r>
        <w:t xml:space="preserve">Od ukupno planiranog iznosa u 2012. godini, opći prihodi i primici su planirani u iznosu od 593.252.010 kn, 25.651.418 kn je planirano iz pomoći EU, 6.692.630 kn za sredstva za učešća za pomoći EU i 2.000.000 kn sredstava od inozemnih darovnica.  </w:t>
      </w:r>
    </w:p>
    <w:p w:rsidR="00AC0832" w:rsidRDefault="00AC0832">
      <w:pPr>
        <w:pStyle w:val="Normal3"/>
      </w:pPr>
      <w:r>
        <w:t xml:space="preserve"> </w:t>
      </w:r>
    </w:p>
    <w:p w:rsidR="00AC0832" w:rsidRDefault="00AC0832">
      <w:pPr>
        <w:pStyle w:val="Normal3"/>
      </w:pPr>
      <w:r>
        <w:t>Ministarstvo je planiralo i izvršavalo svoje aktivnosti u okviru 4 programa: 3201 Upravljanje programima poticanja gospodarskih aktivnosti, 3203 Poticanje industrijskog razvitka i restrukturanja, 3204 Reforma energetskog sektora i 3206 Zaštita potrošača.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04905-Ministarstvo gospodarstva</w:t>
            </w:r>
          </w:p>
        </w:tc>
        <w:tc>
          <w:tcPr>
            <w:tcW w:w="2322" w:type="dxa"/>
          </w:tcPr>
          <w:p w:rsidR="00AC0832" w:rsidRDefault="00AC0832">
            <w:pPr>
              <w:pStyle w:val="CellColumn"/>
            </w:pPr>
            <w:r>
              <w:t>627.596.058</w:t>
            </w:r>
          </w:p>
        </w:tc>
        <w:tc>
          <w:tcPr>
            <w:tcW w:w="2322" w:type="dxa"/>
          </w:tcPr>
          <w:p w:rsidR="00AC0832" w:rsidRDefault="00AC0832">
            <w:pPr>
              <w:pStyle w:val="CellColumn"/>
            </w:pPr>
            <w:r>
              <w:t>558.869.537</w:t>
            </w:r>
          </w:p>
        </w:tc>
        <w:tc>
          <w:tcPr>
            <w:tcW w:w="2322" w:type="dxa"/>
          </w:tcPr>
          <w:p w:rsidR="00AC0832" w:rsidRDefault="00AC0832">
            <w:pPr>
              <w:pStyle w:val="CellColumn"/>
            </w:pPr>
            <w:r>
              <w:t>89,0</w:t>
            </w:r>
          </w:p>
        </w:tc>
      </w:tr>
      <w:tr w:rsidR="00AC0832" w:rsidTr="00BE20ED">
        <w:trPr>
          <w:jc w:val="center"/>
        </w:trPr>
        <w:tc>
          <w:tcPr>
            <w:tcW w:w="2322" w:type="dxa"/>
          </w:tcPr>
          <w:p w:rsidR="00AC0832" w:rsidRDefault="00AC0832">
            <w:pPr>
              <w:pStyle w:val="CellColumnSmall"/>
            </w:pPr>
            <w:r>
              <w:t>3201-UPRAVLJANJE PROGRAMIMA POTICANJA GOSPODARSKIH AKTIVNOSTI</w:t>
            </w:r>
          </w:p>
        </w:tc>
        <w:tc>
          <w:tcPr>
            <w:tcW w:w="2322" w:type="dxa"/>
          </w:tcPr>
          <w:p w:rsidR="00AC0832" w:rsidRDefault="00AC0832">
            <w:pPr>
              <w:pStyle w:val="CellColumnSmall"/>
            </w:pPr>
            <w:r>
              <w:t>95.777.534</w:t>
            </w:r>
          </w:p>
        </w:tc>
        <w:tc>
          <w:tcPr>
            <w:tcW w:w="2322" w:type="dxa"/>
          </w:tcPr>
          <w:p w:rsidR="00AC0832" w:rsidRDefault="00AC0832">
            <w:pPr>
              <w:pStyle w:val="CellColumnSmall"/>
            </w:pPr>
            <w:r>
              <w:t>73.622.166</w:t>
            </w:r>
          </w:p>
        </w:tc>
        <w:tc>
          <w:tcPr>
            <w:tcW w:w="2322" w:type="dxa"/>
          </w:tcPr>
          <w:p w:rsidR="00AC0832" w:rsidRDefault="00AC0832">
            <w:pPr>
              <w:pStyle w:val="CellColumnSmall"/>
            </w:pPr>
            <w:r>
              <w:t>76,9</w:t>
            </w:r>
          </w:p>
        </w:tc>
      </w:tr>
      <w:tr w:rsidR="00AC0832" w:rsidTr="00BE20ED">
        <w:trPr>
          <w:jc w:val="center"/>
        </w:trPr>
        <w:tc>
          <w:tcPr>
            <w:tcW w:w="2322" w:type="dxa"/>
          </w:tcPr>
          <w:p w:rsidR="00AC0832" w:rsidRDefault="00AC0832">
            <w:pPr>
              <w:pStyle w:val="CellColumnSmall"/>
            </w:pPr>
            <w:r>
              <w:t>3203-POTICANJE INDUSTRIJSKOG RAZVITKA I RESTRUKTURIRANJA</w:t>
            </w:r>
          </w:p>
        </w:tc>
        <w:tc>
          <w:tcPr>
            <w:tcW w:w="2322" w:type="dxa"/>
          </w:tcPr>
          <w:p w:rsidR="00AC0832" w:rsidRDefault="00AC0832">
            <w:pPr>
              <w:pStyle w:val="CellColumnSmall"/>
            </w:pPr>
            <w:r>
              <w:t>509.718.732</w:t>
            </w:r>
          </w:p>
        </w:tc>
        <w:tc>
          <w:tcPr>
            <w:tcW w:w="2322" w:type="dxa"/>
          </w:tcPr>
          <w:p w:rsidR="00AC0832" w:rsidRDefault="00AC0832">
            <w:pPr>
              <w:pStyle w:val="CellColumnSmall"/>
            </w:pPr>
            <w:r>
              <w:t>469.086.266</w:t>
            </w:r>
          </w:p>
        </w:tc>
        <w:tc>
          <w:tcPr>
            <w:tcW w:w="2322" w:type="dxa"/>
          </w:tcPr>
          <w:p w:rsidR="00AC0832" w:rsidRDefault="00AC0832">
            <w:pPr>
              <w:pStyle w:val="CellColumnSmall"/>
            </w:pPr>
            <w:r>
              <w:t>92,0</w:t>
            </w:r>
          </w:p>
        </w:tc>
      </w:tr>
      <w:tr w:rsidR="00AC0832" w:rsidTr="00BE20ED">
        <w:trPr>
          <w:jc w:val="center"/>
        </w:trPr>
        <w:tc>
          <w:tcPr>
            <w:tcW w:w="2322" w:type="dxa"/>
          </w:tcPr>
          <w:p w:rsidR="00AC0832" w:rsidRDefault="00AC0832">
            <w:pPr>
              <w:pStyle w:val="CellColumnSmall"/>
            </w:pPr>
            <w:r>
              <w:t>3204-REFORMA ENERGETSKOG SEKTORA</w:t>
            </w:r>
          </w:p>
        </w:tc>
        <w:tc>
          <w:tcPr>
            <w:tcW w:w="2322" w:type="dxa"/>
          </w:tcPr>
          <w:p w:rsidR="00AC0832" w:rsidRDefault="00AC0832">
            <w:pPr>
              <w:pStyle w:val="CellColumnSmall"/>
            </w:pPr>
            <w:r>
              <w:t>20.081.417</w:t>
            </w:r>
          </w:p>
        </w:tc>
        <w:tc>
          <w:tcPr>
            <w:tcW w:w="2322" w:type="dxa"/>
          </w:tcPr>
          <w:p w:rsidR="00AC0832" w:rsidRDefault="00AC0832">
            <w:pPr>
              <w:pStyle w:val="CellColumnSmall"/>
            </w:pPr>
            <w:r>
              <w:t>14.413.295</w:t>
            </w:r>
          </w:p>
        </w:tc>
        <w:tc>
          <w:tcPr>
            <w:tcW w:w="2322" w:type="dxa"/>
          </w:tcPr>
          <w:p w:rsidR="00AC0832" w:rsidRDefault="00AC0832">
            <w:pPr>
              <w:pStyle w:val="CellColumnSmall"/>
            </w:pPr>
            <w:r>
              <w:t>71,8</w:t>
            </w:r>
          </w:p>
        </w:tc>
      </w:tr>
      <w:tr w:rsidR="00AC0832" w:rsidTr="00BE20ED">
        <w:trPr>
          <w:jc w:val="center"/>
        </w:trPr>
        <w:tc>
          <w:tcPr>
            <w:tcW w:w="2322" w:type="dxa"/>
          </w:tcPr>
          <w:p w:rsidR="00AC0832" w:rsidRDefault="00AC0832">
            <w:pPr>
              <w:pStyle w:val="CellColumnSmall"/>
            </w:pPr>
            <w:r>
              <w:t>3206-ZAŠTITA POTROŠAČA</w:t>
            </w:r>
          </w:p>
        </w:tc>
        <w:tc>
          <w:tcPr>
            <w:tcW w:w="2322" w:type="dxa"/>
          </w:tcPr>
          <w:p w:rsidR="00AC0832" w:rsidRDefault="00AC0832">
            <w:pPr>
              <w:pStyle w:val="CellColumnSmall"/>
            </w:pPr>
            <w:r>
              <w:t>2.018.375</w:t>
            </w:r>
          </w:p>
        </w:tc>
        <w:tc>
          <w:tcPr>
            <w:tcW w:w="2322" w:type="dxa"/>
          </w:tcPr>
          <w:p w:rsidR="00AC0832" w:rsidRDefault="00AC0832">
            <w:pPr>
              <w:pStyle w:val="CellColumnSmall"/>
            </w:pPr>
            <w:r>
              <w:t>1.747.810</w:t>
            </w:r>
          </w:p>
        </w:tc>
        <w:tc>
          <w:tcPr>
            <w:tcW w:w="2322" w:type="dxa"/>
          </w:tcPr>
          <w:p w:rsidR="00AC0832" w:rsidRDefault="00AC0832">
            <w:pPr>
              <w:pStyle w:val="CellColumnSmall"/>
            </w:pPr>
            <w:r>
              <w:t>86,6</w:t>
            </w:r>
          </w:p>
        </w:tc>
      </w:tr>
    </w:tbl>
    <w:p w:rsidR="00AC0832" w:rsidRDefault="00AC0832">
      <w:pPr>
        <w:jc w:val="left"/>
      </w:pPr>
    </w:p>
    <w:p w:rsidR="00AC0832" w:rsidRDefault="00AC0832">
      <w:pPr>
        <w:pStyle w:val="Heading4"/>
      </w:pPr>
      <w:r>
        <w:t>OBRAZLOŽENJE PROGRAMA</w:t>
      </w:r>
    </w:p>
    <w:p w:rsidR="00AC0832" w:rsidRDefault="00AC0832">
      <w:pPr>
        <w:pStyle w:val="Heading5"/>
      </w:pPr>
      <w:r>
        <w:t>3201 UPRAVLJANJE PROGRAMIMA POTICANJA GOSPODARSKIH AKTIVNOSTI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3201-UPRAVLJANJE PROGRAMIMA POTICANJA GOSPODARSKIH AKTIVNOSTI</w:t>
            </w:r>
          </w:p>
        </w:tc>
        <w:tc>
          <w:tcPr>
            <w:tcW w:w="2322" w:type="dxa"/>
          </w:tcPr>
          <w:p w:rsidR="00AC0832" w:rsidRDefault="00AC0832">
            <w:pPr>
              <w:pStyle w:val="CellColumn"/>
            </w:pPr>
            <w:r>
              <w:t>95.777.534</w:t>
            </w:r>
          </w:p>
        </w:tc>
        <w:tc>
          <w:tcPr>
            <w:tcW w:w="2322" w:type="dxa"/>
          </w:tcPr>
          <w:p w:rsidR="00AC0832" w:rsidRDefault="00AC0832">
            <w:pPr>
              <w:pStyle w:val="CellColumn"/>
            </w:pPr>
            <w:r>
              <w:t>73.622.166</w:t>
            </w:r>
          </w:p>
        </w:tc>
        <w:tc>
          <w:tcPr>
            <w:tcW w:w="2322" w:type="dxa"/>
          </w:tcPr>
          <w:p w:rsidR="00AC0832" w:rsidRDefault="00AC0832">
            <w:pPr>
              <w:pStyle w:val="CellColumn"/>
            </w:pPr>
            <w:r>
              <w:t>76,9</w:t>
            </w:r>
          </w:p>
        </w:tc>
      </w:tr>
    </w:tbl>
    <w:p w:rsidR="00AC0832" w:rsidRDefault="00AC0832">
      <w:pPr>
        <w:jc w:val="left"/>
      </w:pPr>
    </w:p>
    <w:p w:rsidR="00AC0832" w:rsidRDefault="00AC0832">
      <w:pPr>
        <w:pStyle w:val="Heading6"/>
      </w:pPr>
      <w:r>
        <w:t>Opis programa</w:t>
      </w:r>
    </w:p>
    <w:p w:rsidR="00AC0832" w:rsidRDefault="00AC0832">
      <w:pPr>
        <w:pStyle w:val="Normal5"/>
      </w:pPr>
      <w:r>
        <w:t xml:space="preserve">U okviru ovog programa je Operativni program Regionalna konkurentnost koji se provodi u sklopu IPA komponente IIIc predstavlja osnovu za korištenje pretpristupne pomoći EU u svrhu postizanja strateškog prioriteta odnosno promicanja socijalne i gospodarske kohezije u Hrvatskoj, a na temelju poboljšane sveopće konkurentnosti. Nastojanja u okviru ovog Operativnog programa dio su općeg cilja pripreme nadležnih institucija Republike Hrvatske za članstvo u EU i razvitka institucionalne sposobnosti i praktičnog iskustva za upravljanje ulaganjima poput onih koje sufinancira Europski fond za regionalni razvoj (ERDF). Za upravljanje i provedbu Operativnim programom Regionalna konkurentnost odgovorna je Operativna struktura koju čine Tijelo nadležno za Operativni program, Tijela nadležna za prioritete/mjere te Provedbeno tijelo. </w:t>
      </w:r>
    </w:p>
    <w:p w:rsidR="00AC0832" w:rsidRDefault="00AC0832">
      <w:pPr>
        <w:pStyle w:val="Normal5"/>
      </w:pPr>
      <w:r>
        <w:t xml:space="preserve"> </w:t>
      </w:r>
    </w:p>
    <w:p w:rsidR="00AC0832" w:rsidRDefault="00AC0832">
      <w:pPr>
        <w:pStyle w:val="Normal5"/>
      </w:pPr>
      <w:r>
        <w:t xml:space="preserve">Ovaj program se odnosi i na razvoj elektroničkog poslovanja u Republici Hrvatskoj gdje se razvojem elektroničkog poslovanja kao jednog od faktora povećanja konkurentnosti hrvatskog gospodarstva i povećanja djelotvornosti javnog sektora, postižu se znatne uštede na razini države i na razini gospodarstva.  </w:t>
      </w:r>
    </w:p>
    <w:p w:rsidR="00AC0832" w:rsidRDefault="00AC0832">
      <w:pPr>
        <w:pStyle w:val="Normal5"/>
      </w:pPr>
      <w:r>
        <w:t xml:space="preserve"> </w:t>
      </w:r>
    </w:p>
    <w:p w:rsidR="00AC0832" w:rsidRDefault="00AC0832">
      <w:pPr>
        <w:pStyle w:val="Normal5"/>
      </w:pPr>
      <w:r>
        <w:t xml:space="preserve">Ovaj program namjenjen je daljnjem razvoju sustava javne nabave koji setemelji se na dodatnom povećanju transparentnosti i učinkovitosti u provođenju postupaka javne nabave, a temeljeno na zakonskom okviru kojim su u nacionalno zakonodavstvo prenesene odredbe relevantne pravne stečevine Europske unije. S tim ciljem će aktivnosti biti usmjerene na nastavak provedbe nadzornih mehanizama, jačanje kapaciteta naručitelja i ponuditelja na svim razinama kroz savjetodavne aktivnosti i provedbu programa izobrazbe te statističkog praćenja provedbe postupaka javne nabave u Republici Hrvatskoj.  </w:t>
      </w:r>
    </w:p>
    <w:p w:rsidR="00AC0832" w:rsidRDefault="00AC0832">
      <w:pPr>
        <w:pStyle w:val="Normal5"/>
      </w:pPr>
      <w:r>
        <w:t xml:space="preserve"> </w:t>
      </w:r>
    </w:p>
    <w:p w:rsidR="00AC0832" w:rsidRDefault="00AC0832">
      <w:pPr>
        <w:pStyle w:val="Normal5"/>
      </w:pPr>
      <w:r>
        <w:t xml:space="preserve">Nadalje, u okviru ovog programa je utemeljena Agencija za investicije i konkurentnost čija je djelatnost usmjerena na sustavnu i operativnu provedbu politika i mjera za povećanje konkurentnosti hrvatskog gospodarstva i koordinaciju središnjih tijela državne uprave u primjerenom i učinkovitom vođenju politike povećanja konkurentnosti, poticanje i privlačenje investicija, pospješivanje primjene inovacija i uspostavu financijskih mehanizama za podršku gospodarstvu.  </w:t>
      </w:r>
    </w:p>
    <w:p w:rsidR="00AC0832" w:rsidRDefault="00AC0832">
      <w:pPr>
        <w:pStyle w:val="Normal5"/>
      </w:pPr>
      <w:r>
        <w:t xml:space="preserve"> </w:t>
      </w:r>
    </w:p>
    <w:p w:rsidR="00AC0832" w:rsidRDefault="00AC0832">
      <w:pPr>
        <w:pStyle w:val="Normal5"/>
      </w:pPr>
      <w:r>
        <w:t>Ovaj program je povezan s posebnim ciljem 2.1. Razvoj poslovne i investicijske klime, poticanje insustrijskog razvitka i jačanje konkurentnosti gospodarskih subjekata Strategije Vladinih programa za razdoblje 2012.-2014. godine.</w:t>
      </w:r>
    </w:p>
    <w:p w:rsidR="00AC0832" w:rsidRDefault="00AC0832">
      <w:pPr>
        <w:pStyle w:val="Heading6"/>
      </w:pPr>
      <w:r>
        <w:t>Zakonske i druge pravne osnove</w:t>
      </w:r>
    </w:p>
    <w:p w:rsidR="00AC0832" w:rsidRDefault="00AC0832">
      <w:pPr>
        <w:pStyle w:val="Normal5"/>
      </w:pPr>
      <w:r>
        <w:t xml:space="preserve">Zakon o trgovini (NN 87/08, 116/08, 76/09 i 114/11) i pripadajući podzakonski propisi; Zakon o posredovanju u prometu nekretnina (NN 107/07) i pripadajući podzakonski propisi; Zakon o izvozu i uvozu robe vojne namjene i nevojnih ubojnih sredstava (NN86/08) i pripadajući podzakonski propisi; Zakon o elektroničkoj trgovini (NN 173/03, 67/08, 36/09, 130/11); Zakon o elektroničnom potpisu (NN 10/02, 80/08),  </w:t>
      </w:r>
    </w:p>
    <w:p w:rsidR="00AC0832" w:rsidRDefault="00AC0832">
      <w:pPr>
        <w:pStyle w:val="Normal5"/>
      </w:pPr>
      <w:r>
        <w:t xml:space="preserve">Zakon o potvrđivanju Sporazuma o financiranju između Vlade RH i Komisije Europskih zajednica za višegodišnji Operativni program „Regionalna konkurentnost“ za pomoć Zajednice iz Instrumenta pretpristupne pomoći u sklopu komponente „Regionalni razvoj“ u Hrvatskoj (NN Međunarodni ugovori br. 3 od 11.03.2011.), </w:t>
      </w:r>
    </w:p>
    <w:p w:rsidR="00AC0832" w:rsidRDefault="00AC0832">
      <w:pPr>
        <w:pStyle w:val="Normal5"/>
      </w:pPr>
      <w:r>
        <w:t xml:space="preserve">Uredba o opsegu i sadržaju odgovornosti te ovlastima tijela nadležnih za upravljanje Instrumentom pretpristupne pomoći (IPA) (NN 29/12), </w:t>
      </w:r>
    </w:p>
    <w:p w:rsidR="00AC0832" w:rsidRDefault="00AC0832">
      <w:pPr>
        <w:pStyle w:val="Normal5"/>
      </w:pPr>
      <w:r>
        <w:t xml:space="preserve">Uredbi o tijelima u sustavu upravljanja i kontrole korištenja strukturnih instrumenata Europske unije u Republici Hrvatskoj (NN 97/12), </w:t>
      </w:r>
    </w:p>
    <w:p w:rsidR="00AC0832" w:rsidRDefault="00AC0832">
      <w:pPr>
        <w:pStyle w:val="Normal5"/>
      </w:pPr>
      <w:r>
        <w:t xml:space="preserve">Uredba o unutarnjem ustrojstvu Ministarstva gospodarstva (NN 28/12), </w:t>
      </w:r>
    </w:p>
    <w:p w:rsidR="00AC0832" w:rsidRDefault="00AC0832">
      <w:pPr>
        <w:pStyle w:val="Normal5"/>
      </w:pPr>
      <w:r>
        <w:t xml:space="preserve">Zakonu o poticanju ulaganja (NN 138/06). </w:t>
      </w:r>
    </w:p>
    <w:p w:rsidR="00AC0832" w:rsidRDefault="00AC0832">
      <w:pPr>
        <w:pStyle w:val="Normal5"/>
      </w:pPr>
      <w:r>
        <w:t xml:space="preserve">Zakon o javnoj nabavi (Narodne novine br. 90/2011)   </w:t>
      </w:r>
    </w:p>
    <w:p w:rsidR="00AC0832" w:rsidRDefault="00AC0832">
      <w:pPr>
        <w:pStyle w:val="Normal5"/>
      </w:pPr>
      <w:r>
        <w:t xml:space="preserve">Uredba o načinu izrade i postupanju s dokumentacijom za nadmetanje i ponudama (NN 10/2012) </w:t>
      </w:r>
    </w:p>
    <w:p w:rsidR="00AC0832" w:rsidRDefault="00AC0832">
      <w:pPr>
        <w:pStyle w:val="Normal5"/>
      </w:pPr>
      <w:r>
        <w:t xml:space="preserve">Uredba o objavama javne nabave (NN 10/2012)  </w:t>
      </w:r>
    </w:p>
    <w:p w:rsidR="00AC0832" w:rsidRDefault="00AC0832">
      <w:pPr>
        <w:pStyle w:val="Normal5"/>
      </w:pPr>
      <w:r>
        <w:t xml:space="preserve">Uredba o nadzoru nad provedbom Zakona o javnoj nabavi (NN 10/2012)       </w:t>
      </w:r>
    </w:p>
    <w:p w:rsidR="00AC0832" w:rsidRDefault="00AC0832">
      <w:pPr>
        <w:pStyle w:val="Normal5"/>
      </w:pPr>
      <w:r>
        <w:t xml:space="preserve">Uredba o javnoj nabavi za potrebe obrane i sigurnosti  (NN 89/2012)   </w:t>
      </w:r>
    </w:p>
    <w:p w:rsidR="00AC0832" w:rsidRDefault="00AC0832">
      <w:pPr>
        <w:pStyle w:val="Normal5"/>
      </w:pPr>
      <w:r>
        <w:t xml:space="preserve">Pravilnik o izobrazbi u području javne nabave (NN 06/2012) </w:t>
      </w:r>
    </w:p>
    <w:p w:rsidR="00AC0832" w:rsidRDefault="00AC0832">
      <w:pPr>
        <w:pStyle w:val="Normal5"/>
      </w:pPr>
      <w:r>
        <w:t xml:space="preserve">Pravilnik o primjeni Jedinstvenog rječnika javne nabave (CPV) (NN 06/2012) </w:t>
      </w:r>
    </w:p>
    <w:p w:rsidR="00AC0832" w:rsidRDefault="00AC0832">
      <w:pPr>
        <w:pStyle w:val="Normal5"/>
      </w:pPr>
      <w:r>
        <w:t xml:space="preserve">Pravilnik o popisu obveznika primjene Zakona o javnoj nabavi (NN 19/2012)   </w:t>
      </w:r>
    </w:p>
    <w:p w:rsidR="00AC0832" w:rsidRDefault="00AC0832">
      <w:pPr>
        <w:pStyle w:val="Normal5"/>
      </w:pPr>
      <w:r>
        <w:t xml:space="preserve">Zakon o ustrojstvu i djelokrugu ministarstava i drugih središnjih tijela državne uprave (N.N. 150/2011) </w:t>
      </w:r>
    </w:p>
    <w:p w:rsidR="00AC0832" w:rsidRDefault="00AC0832">
      <w:pPr>
        <w:pStyle w:val="Normal5"/>
      </w:pPr>
      <w:r>
        <w:t xml:space="preserve">Uredba o unutarnjem ustrojstvu Ministarstva gospodarstva (N.N. 28/2012) </w:t>
      </w:r>
    </w:p>
    <w:p w:rsidR="00AC0832" w:rsidRDefault="00AC0832">
      <w:pPr>
        <w:pStyle w:val="Normal5"/>
      </w:pPr>
      <w:r>
        <w:t>Kolektivni ugovor za državne službenike i namještenike (N.N. 93/08).</w:t>
      </w:r>
    </w:p>
    <w:p w:rsidR="00AC0832" w:rsidRDefault="00AC0832">
      <w:pPr>
        <w:pStyle w:val="Heading7"/>
      </w:pPr>
    </w:p>
    <w:p w:rsidR="00AC0832" w:rsidRDefault="00AC0832">
      <w:pPr>
        <w:pStyle w:val="Heading7"/>
      </w:pPr>
    </w:p>
    <w:p w:rsidR="00AC0832" w:rsidRDefault="00AC0832">
      <w:pPr>
        <w:pStyle w:val="Heading7"/>
      </w:pPr>
    </w:p>
    <w:p w:rsidR="00AC0832" w:rsidRDefault="00AC0832">
      <w:pPr>
        <w:pStyle w:val="Heading7"/>
      </w:pPr>
      <w:r>
        <w:t>Cilj 1. Povećanje konkurentnosti hrvatskog gospodarstva i sustavnog pristupa privlačenju i poticanju investicija</w:t>
      </w:r>
    </w:p>
    <w:p w:rsidR="00AC0832" w:rsidRDefault="00AC0832">
      <w:pPr>
        <w:pStyle w:val="Heading8"/>
        <w:jc w:val="left"/>
      </w:pPr>
      <w:r>
        <w:t>Opis provedbe cilja programa</w:t>
      </w:r>
    </w:p>
    <w:p w:rsidR="00AC0832" w:rsidRDefault="00AC0832">
      <w:pPr>
        <w:pStyle w:val="Normal6"/>
      </w:pPr>
      <w:r>
        <w:t xml:space="preserve">Ovaj cilj je ostvaren osnivanjem Agencije za investicije i konkurentnost. Temeljni razlog zbog kojeg je osnivana Agencija proizlazi iz potrebe povećanja konkurentnosti hrvatskog gospodarstva i sustavnog pristupa privlačenju i poticanju investicija kao glavnog pokretača rasta Bruto društvenog proizvoda. Trendovi u svijetu ukazuju na to da su tehnološki napredak, znanje, obrazovanje, stručno osposobljavanje, slobodno kretanje radnika, roba i kapitala i pravo poslovnog nastupa kao i drugi čimbenici kvalitete postali generatori rasta koji uzrokuju stalne promjene na putu razvoja i podizanja nacionalne konkurentnosti. Svijet danas postaje sve više zasnovan na specijalizaciji i kreira se jedno globalno tržište.  </w:t>
      </w:r>
    </w:p>
    <w:p w:rsidR="00AC0832" w:rsidRDefault="00AC0832">
      <w:pPr>
        <w:pStyle w:val="Normal6"/>
      </w:pPr>
      <w:r>
        <w:t xml:space="preserve"> </w:t>
      </w:r>
    </w:p>
    <w:p w:rsidR="00AC0832" w:rsidRDefault="00AC0832">
      <w:pPr>
        <w:pStyle w:val="Normal6"/>
      </w:pPr>
      <w:r>
        <w:t xml:space="preserve">Zasnovanost na razvoju i različitosti regija postaje nova vrsta konkurentnosti globalne ekonomije. Izgradnja regija baziranih na znanju zahtijeva integriranu razvojnu platformu koja se temelji na umrežavanju javnog, privatnog i poslovnog sektora i u tom cilju treba graditi konkurentnost Republike Hrvatske. Utemeljena je Agenciju čija će djelatnost biti usmjerena na sustavnu i operativnu provedbu politika i mjera za povećanje konkurentnosti hrvatskog gospodarstva i koordinaciju središnjih tijela državne uprave u primjerenom i učinkovitom vođenju politike povećanja konkurentnosti, poticanje i privlačenje investicija, pospješivanje primjene inovacija i uspostavu financijskih mehanizama za podršku gospodarstvu.  </w:t>
      </w:r>
    </w:p>
    <w:p w:rsidR="00AC0832" w:rsidRDefault="00AC0832">
      <w:pPr>
        <w:pStyle w:val="Normal6"/>
      </w:pPr>
      <w:r>
        <w:t xml:space="preserve"> </w:t>
      </w:r>
    </w:p>
    <w:p w:rsidR="00AC0832" w:rsidRDefault="00AC0832">
      <w:pPr>
        <w:pStyle w:val="Normal6"/>
      </w:pPr>
      <w:r>
        <w:t>Proces privlačenja ulaganja ne može se svesti samo na prikupljanje informacija o stanju u hrvatskom gospodarstvu te odgovaranje na upite investitora koji su već odlučili investirati u Republiku Hrvatsku.  Stoga će se razraditi jasan i detaljan plan privlačenja stranih investitora koji treba uključivati i ciljano predstavljanje Republike Hrvatske na stranim tržištima.</w:t>
      </w:r>
    </w:p>
    <w:p w:rsidR="00AC0832" w:rsidRDefault="00AC0832">
      <w:pPr>
        <w:pStyle w:val="Heading7"/>
      </w:pPr>
      <w:r>
        <w:t>Cilj 2. Učinkovito korištenje sredstava Instrumenta pretpristupne pomoći i strukturnih instrumenata Kohezijske politike EU</w:t>
      </w:r>
    </w:p>
    <w:p w:rsidR="00AC0832" w:rsidRDefault="00AC0832">
      <w:pPr>
        <w:pStyle w:val="Heading8"/>
        <w:jc w:val="left"/>
      </w:pPr>
      <w:r>
        <w:t>Opis provedbe cilja programa</w:t>
      </w:r>
    </w:p>
    <w:p w:rsidR="00AC0832" w:rsidRDefault="00AC0832">
      <w:pPr>
        <w:pStyle w:val="Normal6"/>
      </w:pPr>
      <w:r>
        <w:t xml:space="preserve">Učinkovito upravljanje podrazumijeva kvalitetnu pripremu strateških dokumenata za korištenje fondova EU, uz odgovarajuću zalihu kvalitetnih projektnih prijedloga pripremljenih u suradnji s drugim tijelima državne uprave i predstavnicima lokalne i područne (regionalne) samouprave. Isto tako elemente učinkovitog upravljanja čine financijska kontrola i kontrola plaćanja, sustavni nadzor i izvještavanje o programu te transparentno informiranje javnosti.  </w:t>
      </w:r>
    </w:p>
    <w:p w:rsidR="00AC0832" w:rsidRDefault="00AC0832">
      <w:pPr>
        <w:pStyle w:val="Normal6"/>
      </w:pPr>
      <w:r>
        <w:t xml:space="preserve">Kako bi se to osiguralo, neophodno je jačati administrativne sposobnosti u tijelima Operativne strukture za provedbu namijenjeih im funkcija, te zadržati dovoljno veliku bazu kompetentnog i motiviranog osoblja koje bi radilo s učinkovitim sustavima i postupcima za zdravo upravljanje programom. </w:t>
      </w:r>
    </w:p>
    <w:p w:rsidR="00AC0832" w:rsidRDefault="00AC0832">
      <w:pPr>
        <w:pStyle w:val="Normal6"/>
      </w:pPr>
      <w:r>
        <w:t xml:space="preserve">U uspostavi i održavanju učinkovitog sustava upravljanja Operativna struktura  predmetom je redovnih unutarnjih i vanjskih revizija, kako bi se ocijenio ustroj i funkcioniranje sustava. </w:t>
      </w:r>
    </w:p>
    <w:p w:rsidR="00AC0832" w:rsidRDefault="00AC0832">
      <w:pPr>
        <w:pStyle w:val="Normal6"/>
      </w:pPr>
      <w:r>
        <w:t>Kontrolom uspostavljenih procesa nadzire se provedba cjelokupnog OPRK-a, koja obuhvaća praćenje provedbe u smislu ispunjavanja zadanih rokova te osiguravanja provođenja  provedenih operacija u skladu s propisima i politikama, ali se prati i posebnim mjerilima koja obuhvaćaju postotni iznos odobrenih tehničkih dokumentacija, objavljenih natječaja i potpisanih ugovora. Tim kontrolama smanjuju se rizici od mogućih nepravilnosti kod krajnjih korisnika projekta. Kroz tehničku pomoć, jačaju se kapaciteti cjelokupnog sustava, ali i osigurava implementacija ICT instrumenata kako bi se olakšalo učinkovito upravljanje i provedba operacija.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4"/>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Razviti institucionalnu sposobnost za upravljanje i apsorpciju OPRK</w:t>
            </w:r>
          </w:p>
        </w:tc>
        <w:tc>
          <w:tcPr>
            <w:tcW w:w="1300" w:type="dxa"/>
          </w:tcPr>
          <w:p w:rsidR="00AC0832" w:rsidRDefault="00AC0832">
            <w:pPr>
              <w:pStyle w:val="CellColumn"/>
            </w:pPr>
            <w:r>
              <w:t>Utrošena alocirana sredstva za OPRK</w:t>
            </w:r>
          </w:p>
        </w:tc>
        <w:tc>
          <w:tcPr>
            <w:tcW w:w="1300" w:type="dxa"/>
          </w:tcPr>
          <w:p w:rsidR="00AC0832" w:rsidRDefault="00AC0832">
            <w:pPr>
              <w:pStyle w:val="CellColumn"/>
            </w:pPr>
            <w:r>
              <w:t>%</w:t>
            </w:r>
          </w:p>
        </w:tc>
        <w:tc>
          <w:tcPr>
            <w:tcW w:w="1300" w:type="dxa"/>
          </w:tcPr>
          <w:p w:rsidR="00AC0832" w:rsidRDefault="00AC0832">
            <w:pPr>
              <w:pStyle w:val="CellColumn"/>
            </w:pPr>
            <w:r>
              <w:t>2007=0</w:t>
            </w:r>
          </w:p>
        </w:tc>
        <w:tc>
          <w:tcPr>
            <w:tcW w:w="1300" w:type="dxa"/>
          </w:tcPr>
          <w:p w:rsidR="00AC0832" w:rsidRDefault="00AC0832">
            <w:pPr>
              <w:pStyle w:val="CellColumn"/>
            </w:pPr>
            <w:r>
              <w:t>Sektorsko godišnje izvješće o provedbi</w:t>
            </w:r>
          </w:p>
        </w:tc>
        <w:tc>
          <w:tcPr>
            <w:tcW w:w="1300" w:type="dxa"/>
          </w:tcPr>
          <w:p w:rsidR="00AC0832" w:rsidRDefault="00AC0832">
            <w:pPr>
              <w:pStyle w:val="CellColumn"/>
            </w:pPr>
            <w:r>
              <w:t>35</w:t>
            </w:r>
          </w:p>
        </w:tc>
        <w:tc>
          <w:tcPr>
            <w:tcW w:w="1300" w:type="dxa"/>
          </w:tcPr>
          <w:p w:rsidR="00AC0832" w:rsidRDefault="00AC0832">
            <w:pPr>
              <w:pStyle w:val="CellColumn"/>
            </w:pPr>
            <w:r>
              <w:t>35,56</w:t>
            </w:r>
          </w:p>
        </w:tc>
      </w:tr>
    </w:tbl>
    <w:p w:rsidR="00AC0832" w:rsidRDefault="00AC0832">
      <w:pPr>
        <w:jc w:val="left"/>
      </w:pPr>
    </w:p>
    <w:p w:rsidR="00AC0832" w:rsidRDefault="00AC0832">
      <w:pPr>
        <w:pStyle w:val="Heading6"/>
      </w:pPr>
      <w:r>
        <w:t>A560000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A560000-ADMINISTRACIJA I UPRAVLJANJE</w:t>
            </w:r>
          </w:p>
        </w:tc>
        <w:tc>
          <w:tcPr>
            <w:tcW w:w="2322" w:type="dxa"/>
          </w:tcPr>
          <w:p w:rsidR="00AC0832" w:rsidRDefault="00AC0832">
            <w:pPr>
              <w:pStyle w:val="CellColumn"/>
            </w:pPr>
            <w:r>
              <w:t>66.511.520</w:t>
            </w:r>
          </w:p>
        </w:tc>
        <w:tc>
          <w:tcPr>
            <w:tcW w:w="2322" w:type="dxa"/>
          </w:tcPr>
          <w:p w:rsidR="00AC0832" w:rsidRDefault="00AC0832">
            <w:pPr>
              <w:pStyle w:val="CellColumn"/>
            </w:pPr>
            <w:r>
              <w:t>61.165.608</w:t>
            </w:r>
          </w:p>
        </w:tc>
        <w:tc>
          <w:tcPr>
            <w:tcW w:w="2322" w:type="dxa"/>
          </w:tcPr>
          <w:p w:rsidR="00AC0832" w:rsidRDefault="00AC0832">
            <w:pPr>
              <w:pStyle w:val="CellColumn"/>
            </w:pPr>
            <w:r>
              <w:t>92,0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Ova aktivnost ima za cilj stvaranje uvjeta državnim službenicima i namještenicima Ministarstva za obavljanje poslova koji su im dani u nadležnost i djelokrug. Nadalje, program je namijenjen za podizanje tehničke opremljenosti s informatičkom opremom na višu razinu i svrsishodnu implementaciju nove opreme, baze podataka i softvera s ciljem učinkovitijeg korištenja istih.</w:t>
      </w:r>
    </w:p>
    <w:p w:rsidR="00AC0832" w:rsidRDefault="00AC0832">
      <w:pPr>
        <w:pStyle w:val="Heading6"/>
      </w:pPr>
      <w:r>
        <w:t>K817019 IPA III C 3. TEHNIČKA POMOĆ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K817019-IPA III C 3. TEHNIČKA POMOĆ</w:t>
            </w:r>
          </w:p>
        </w:tc>
        <w:tc>
          <w:tcPr>
            <w:tcW w:w="2322" w:type="dxa"/>
          </w:tcPr>
          <w:p w:rsidR="00AC0832" w:rsidRDefault="00AC0832">
            <w:pPr>
              <w:pStyle w:val="CellColumn"/>
            </w:pPr>
            <w:r>
              <w:t>13.497.535</w:t>
            </w:r>
          </w:p>
        </w:tc>
        <w:tc>
          <w:tcPr>
            <w:tcW w:w="2322" w:type="dxa"/>
          </w:tcPr>
          <w:p w:rsidR="00AC0832" w:rsidRDefault="00AC0832">
            <w:pPr>
              <w:pStyle w:val="CellColumn"/>
            </w:pPr>
            <w:r>
              <w:t>8.293.517</w:t>
            </w:r>
          </w:p>
        </w:tc>
        <w:tc>
          <w:tcPr>
            <w:tcW w:w="2322" w:type="dxa"/>
          </w:tcPr>
          <w:p w:rsidR="00AC0832" w:rsidRDefault="00AC0832">
            <w:pPr>
              <w:pStyle w:val="CellColumn"/>
            </w:pPr>
            <w:r>
              <w:t>61,4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Aktivnost K817019 - IPA IIIC 3. Tehnička pomoć vezana je za treći prioritet Operativnog programa za regionalnu konkurentnost 2007. - 2011. (OPRK) u okviru IPA IIIC komponente pretpristupnog programa pomoći IPA Regionalni razvoj - Regionalna konkurentnost. Cilj ovog prioriteta je osigurati učinkovito i efikasno upravljanje OPRK-om, razviti institucionalnu sposobnost za efikasno i efektivno upravljanje IPA sredstvima, a time i povećanje kapaciteta Hrvatske za učinkovito korištenje strukturnih fondova nakon pristupanja EU. Prioritet sadržava dvije operacije koje se provode kroz ugovore o uslugama i ugovor o nabavi roba.  </w:t>
      </w:r>
    </w:p>
    <w:p w:rsidR="00AC0832" w:rsidRDefault="00AC0832">
      <w:pPr>
        <w:pStyle w:val="Normal6"/>
      </w:pPr>
      <w:r>
        <w:t>U sklopu ove aktivnosti u razdoblju od 01.01.2012. do 31.12.2012. utrošeno je 8.293.517KN od planiranih 13.497.535KN što predstavlja izvršenje od 61,44%. Izvršenje proračuna za navedenu aktivnost nije na 100% razini zbog usporavanja provedbe projekata i sporijeg trošenja sredstava nastalih uslijed privremene obustave svih aktivnosti u okviru Prioriteta 3. Tehnička pomoć od strane Delegacije Europske unije. Do obustave je došlo početkom 2012. godine zbog promjena nastalih u institucionalnom ustroju Operativne strukture. Nadalje, zbog nastalih okolnosti bilo je potrebno doraditi natječajnu dokumentaciju za pojedine projekte i pojasniti uloge pojedinih tijela u novo predloženom institucionalnom ustroju. Rezultat svega navedenog je kašnjenje u odobrenju natječajne dokumentacije, u provedbi nabave i potpisivanju ugovora što je kasnije uzrokovalo i kašnjenja u isplati planiranih sredstava.</w:t>
      </w:r>
    </w:p>
    <w:p w:rsidR="00AC0832" w:rsidRDefault="00AC0832">
      <w:pPr>
        <w:pStyle w:val="Heading5"/>
      </w:pPr>
      <w:r>
        <w:t>3203 POTICANJE INDUSTRIJSKOG RAZVITKA I RESTRUKTURIRANJA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3203-POTICANJE INDUSTRIJSKOG RAZVITKA I RESTRUKTURIRANJA</w:t>
            </w:r>
          </w:p>
        </w:tc>
        <w:tc>
          <w:tcPr>
            <w:tcW w:w="2322" w:type="dxa"/>
          </w:tcPr>
          <w:p w:rsidR="00AC0832" w:rsidRDefault="00AC0832">
            <w:pPr>
              <w:pStyle w:val="CellColumn"/>
            </w:pPr>
            <w:r>
              <w:t>509.718.732</w:t>
            </w:r>
          </w:p>
        </w:tc>
        <w:tc>
          <w:tcPr>
            <w:tcW w:w="2322" w:type="dxa"/>
          </w:tcPr>
          <w:p w:rsidR="00AC0832" w:rsidRDefault="00AC0832">
            <w:pPr>
              <w:pStyle w:val="CellColumn"/>
            </w:pPr>
            <w:r>
              <w:t>469.086.266</w:t>
            </w:r>
          </w:p>
        </w:tc>
        <w:tc>
          <w:tcPr>
            <w:tcW w:w="2322" w:type="dxa"/>
          </w:tcPr>
          <w:p w:rsidR="00AC0832" w:rsidRDefault="00AC0832">
            <w:pPr>
              <w:pStyle w:val="CellColumn"/>
            </w:pPr>
            <w:r>
              <w:t>92,0</w:t>
            </w:r>
          </w:p>
        </w:tc>
      </w:tr>
    </w:tbl>
    <w:p w:rsidR="00AC0832" w:rsidRDefault="00AC0832">
      <w:pPr>
        <w:jc w:val="left"/>
      </w:pPr>
    </w:p>
    <w:p w:rsidR="00AC0832" w:rsidRDefault="00AC0832">
      <w:pPr>
        <w:pStyle w:val="Heading6"/>
      </w:pPr>
      <w:r>
        <w:t>Opis programa</w:t>
      </w:r>
    </w:p>
    <w:p w:rsidR="00AC0832" w:rsidRDefault="00AC0832">
      <w:pPr>
        <w:pStyle w:val="Normal5"/>
      </w:pPr>
      <w:r>
        <w:t xml:space="preserve">U okviru ovog programa provodio se proces privatizacije i restrukturiranja hrvatskih brodogradilišta u većinskom državnom vlasništvu: Brodotrogir d.d., Trogir, Brodogradilište kraljevica d.d. Kraljevica, Brodograđevna industrija 3.MAJ d.d., Uljanik d.d. Pula i Brodograđevna industrija Split d.d., Split Od kraja lipnja 2011. pa do siječnja 2012. nije napravljen važniji pomak u nastavku procesa restrukturiranja. To je rezultiralo povećanjem troškova restrukturiranja brodogradilišta za okvirno 1 milijardu kuna u odnosu na predviđeno u odobrenim planovima restrukturiranja za sva brodogradilišta.  </w:t>
      </w:r>
    </w:p>
    <w:p w:rsidR="00AC0832" w:rsidRDefault="00AC0832">
      <w:pPr>
        <w:pStyle w:val="Normal5"/>
      </w:pPr>
      <w:r>
        <w:t xml:space="preserve">Stoga je bilo potrebno brzo i konkretno početi provoditi predložene modele privatizacije u cilju restrukturiranja brodogradnje  i stvaranja pretpostavki za njegovu održivost, najkasnije do kraja lipnja 2013. godine kako bi se izbjegle posljedice kršenja Ugovora o pristupanju RH EU.    </w:t>
      </w:r>
    </w:p>
    <w:p w:rsidR="00AC0832" w:rsidRDefault="00AC0832">
      <w:pPr>
        <w:pStyle w:val="Normal5"/>
      </w:pPr>
      <w:r>
        <w:t xml:space="preserve">Od siječnja 2012. intenzivirani su pregovori u vezi izrade privatizacijskih ugovora s potencijalnim investitorima te je provedeno niz predradnji u cilju ostvarenja pretpostavki za realizaciju ugovora i programa restrukturiranja.  </w:t>
      </w:r>
    </w:p>
    <w:p w:rsidR="00AC0832" w:rsidRDefault="00AC0832">
      <w:pPr>
        <w:pStyle w:val="Normal5"/>
      </w:pPr>
      <w:r>
        <w:t xml:space="preserve">Vlada RH je 22. ožujka donijela niz odluka i zaključaka te su postavljeni interni rokovi za njihovo ostvarenje.  </w:t>
      </w:r>
    </w:p>
    <w:p w:rsidR="00AC0832" w:rsidRDefault="00AC0832">
      <w:pPr>
        <w:pStyle w:val="Normal5"/>
      </w:pPr>
      <w:r>
        <w:t xml:space="preserve">Odlučeno je da se ponuda DIV-a d.o.o. Samobor prihvaća i nastavlja rad na privatizacijskom ugovoru; odbijene su ponude društva Jadranska ulaganja za privatizaciju brodogradilišta Brodotrogir i Kraljevica, a ovaj investitor je odustao od svoje ponude za  3. MAJ; odlučeno je o pokretanju stečajnog postupka nad brodogradilištem Kraljevica (stečajni postupak je otvoren u srpnju); Vlada RH primila je na znanje Informaciju o namjeri društva Uljanik d.d. Pula da se privatizira po modelu organiziranog radničkog dioničarstva te dokapitalizacijom.    </w:t>
      </w:r>
    </w:p>
    <w:p w:rsidR="00AC0832" w:rsidRDefault="00AC0832">
      <w:pPr>
        <w:pStyle w:val="Normal5"/>
      </w:pPr>
      <w:r>
        <w:t xml:space="preserve">Slijedom navedenih odluka i zaključaka kojim je dan novi smjer restrukturiranja, Vlada RH  je 20. lipnja 2012. donijela Zaključak kojim se prima na znanje informacija o prijedlogu modela za privatizaciju brodogradilišta 3.MAJ.  </w:t>
      </w:r>
    </w:p>
    <w:p w:rsidR="00AC0832" w:rsidRDefault="00AC0832">
      <w:pPr>
        <w:pStyle w:val="Normal5"/>
      </w:pPr>
      <w:r>
        <w:t xml:space="preserve">Predloženi model pretpostavlja privatizaciju brodogradilišta Uljanik koja se treba odviti u dvije faze.  </w:t>
      </w:r>
    </w:p>
    <w:p w:rsidR="00AC0832" w:rsidRDefault="00AC0832">
      <w:pPr>
        <w:pStyle w:val="Normal5"/>
      </w:pPr>
      <w:r>
        <w:t xml:space="preserve">Prva faza: radničko dioničarstvo; kada bi se radnicima po povoljnim uvjetima, ponudile dionice Uljanika iz portfelja države i to najmanje 39% temeljnog kapitala.  </w:t>
      </w:r>
    </w:p>
    <w:p w:rsidR="00AC0832" w:rsidRDefault="00AC0832">
      <w:pPr>
        <w:pStyle w:val="Normal5"/>
      </w:pPr>
      <w:r>
        <w:t xml:space="preserve">Druga faza: dokapitalizacija; kada bi se putem javnog poziva za dokapitalizaciju Uljanika d.d. pozvali zainteresirani ulagači da dokapitaliziraju društvo.  </w:t>
      </w:r>
    </w:p>
    <w:p w:rsidR="00AC0832" w:rsidRDefault="00AC0832">
      <w:pPr>
        <w:pStyle w:val="Normal5"/>
      </w:pPr>
      <w:r>
        <w:t xml:space="preserve">U cilju stvaranja pretpostavki za ubrzanje otvaranja i provođenja stečajnog postupka s posebnim naglaskom na zaštiti socijalnih prava radnika Brodogradilišta Kraljevica d.d., Kraljevica, Ministarstvo gospodarstva je ocijenilo primjerenim, te postiglo dogovor da se, prije otvaranja stečajnog postupka ovog društva, iz sredstava Državnog proračuna namire sva potraživanja radnika koja im pripadaju prema važećim odredbama Kolektivnog ugovora brodogradilišta,  Zakona o radu, Pravilnika o radu, Pravilnika o plaći i drugim materijalnim primanjima, kao i ugovorima o radu do 01.06.2012.godine. </w:t>
      </w:r>
    </w:p>
    <w:p w:rsidR="00AC0832" w:rsidRDefault="00AC0832">
      <w:pPr>
        <w:pStyle w:val="Normal5"/>
      </w:pPr>
      <w:r>
        <w:t xml:space="preserve">Vlada RH je Odlukom od 22.03.2012. godine donijela Odluku o prihvaćanju ponude DIV d.o.o., Samobor za kupnju 8.073.568 dionica društva Brodograđevna industrija Split d.d., Split pod posebnim uvjetima. </w:t>
      </w:r>
    </w:p>
    <w:p w:rsidR="00AC0832" w:rsidRDefault="00AC0832">
      <w:pPr>
        <w:pStyle w:val="Normal5"/>
      </w:pPr>
      <w:r>
        <w:t xml:space="preserve">Paralelno sa navedenim postupkom privatizacije i restrukturiranja brodogradilišta, Ministarstvo gospodarstva provodilo je Operativni program potpora inovacijama u brodogradnji u 2012. godini na temelju referentnog Operativnog programa koji je Agencija za zaštitu tržišnog natjecanja odobrila 2008. godine s rokom trajanja do kraja 2012. godine. Temeljem tog programa Ministarstvo gospodarstva dodjeljivalo je  potpore za inovacije u brodogradnji koje imaju za cilj poticanje gradnje složenijih tipova brodova sa većim udjelom znanja u brodogradilištima. Sukladno europskim promjenama u pogledu poticanja inovacija u brodogradnji koje su stupile na snagu u 2013. godini, Ministarstvo gospodarstva je izradilo novi Operativni program potporama inovacijama u brodogradnji za 2013. godinu koji je Agencija za zaštitu tržišnog natjecanja odobrila 4. veljače 2013. godine. Navedeni program ima za cilj poticanje gradnje inovativnih brodova u hrvatskim brodogradilištima uzevši u obzir da je u hrvatskoj brodograđevna industrija od iznimne važnosti za gospodarstvo Republike Hrvatske, zbog udjela u ukupnom izvozu, udjela u BDP-u, broja zaposlenih, kao i velikog regionalnog značaja za gospodarstvo obalnog područja Republike Hrvatske. </w:t>
      </w:r>
    </w:p>
    <w:p w:rsidR="00AC0832" w:rsidRDefault="00AC0832">
      <w:pPr>
        <w:pStyle w:val="Normal5"/>
      </w:pPr>
      <w:r>
        <w:t xml:space="preserve"> </w:t>
      </w:r>
    </w:p>
    <w:p w:rsidR="00AC0832" w:rsidRDefault="00AC0832">
      <w:pPr>
        <w:pStyle w:val="Normal5"/>
      </w:pPr>
      <w:r>
        <w:t>Ovaj program je povezan s posebnim ciljem 2.1. Razvoj poslovne i investicijske klime, poticanje insustrijskog razvitka i jačanje konkurentnosti gospodarskih subjekata Strategije Vladinih programa za razdoblje 2012.-2014. godine.</w:t>
      </w:r>
    </w:p>
    <w:p w:rsidR="00AC0832" w:rsidRDefault="00AC0832">
      <w:pPr>
        <w:pStyle w:val="Heading6"/>
      </w:pPr>
      <w:r>
        <w:t>Zakonske i druge pravne osnove</w:t>
      </w:r>
    </w:p>
    <w:p w:rsidR="00AC0832" w:rsidRDefault="00AC0832">
      <w:pPr>
        <w:pStyle w:val="Normal5"/>
      </w:pPr>
      <w:r>
        <w:t xml:space="preserve">Zakon o državnim potporama (N.N. 140/05),  </w:t>
      </w:r>
    </w:p>
    <w:p w:rsidR="00AC0832" w:rsidRDefault="00AC0832">
      <w:pPr>
        <w:pStyle w:val="Normal5"/>
      </w:pPr>
      <w:r>
        <w:t xml:space="preserve">Uredba o državnim potporama (N.N. 50/06) </w:t>
      </w:r>
    </w:p>
    <w:p w:rsidR="00AC0832" w:rsidRDefault="00AC0832">
      <w:pPr>
        <w:pStyle w:val="Normal5"/>
      </w:pPr>
      <w:r>
        <w:t xml:space="preserve">Operativni program potpora inovacijama u brodogradnji </w:t>
      </w:r>
    </w:p>
    <w:p w:rsidR="00AC0832" w:rsidRDefault="00AC0832">
      <w:pPr>
        <w:pStyle w:val="Normal5"/>
      </w:pPr>
      <w:r>
        <w:t xml:space="preserve">Izrada nove industrijske politike i strategije razvoja industrije RH za razdoblje 2013-2020. </w:t>
      </w:r>
    </w:p>
    <w:p w:rsidR="00AC0832" w:rsidRDefault="00AC0832">
      <w:pPr>
        <w:pStyle w:val="Normal5"/>
      </w:pPr>
      <w:r>
        <w:t xml:space="preserve">Revizija strateških odrednica razvoja industrije tekstila i odjeće u Hrvatskoj za razdoblje od 2006 do 2015. g </w:t>
      </w:r>
    </w:p>
    <w:p w:rsidR="00AC0832" w:rsidRDefault="00AC0832">
      <w:pPr>
        <w:pStyle w:val="Normal5"/>
      </w:pPr>
      <w:r>
        <w:t xml:space="preserve">Revizija strateških odrednica razvitka kemijske industrije u RH za razdoblje od 2008 do 2015. godine </w:t>
      </w:r>
    </w:p>
    <w:p w:rsidR="00AC0832" w:rsidRDefault="00AC0832">
      <w:pPr>
        <w:pStyle w:val="Normal5"/>
      </w:pPr>
      <w:r>
        <w:t xml:space="preserve">Revizija strateških odrednica razvitka industrije kože i obuće za razdoblje od 2008. do 2015. godine </w:t>
      </w:r>
    </w:p>
    <w:p w:rsidR="00AC0832" w:rsidRDefault="00AC0832">
      <w:pPr>
        <w:pStyle w:val="Normal5"/>
      </w:pPr>
      <w:r>
        <w:t>Izrada smjernica nacionalne strategije razvoja inovacija Republike Hrvatske 2013-2020.</w:t>
      </w:r>
    </w:p>
    <w:p w:rsidR="00AC0832" w:rsidRDefault="00AC0832">
      <w:pPr>
        <w:pStyle w:val="Heading7"/>
      </w:pPr>
      <w:r>
        <w:t xml:space="preserve">Cilj 1. Privatizacija i restrukturiranja hrvatskih brodogradilišta u većinskom državnom vlasništvu </w:t>
      </w:r>
    </w:p>
    <w:p w:rsidR="00AC0832" w:rsidRDefault="00AC0832">
      <w:pPr>
        <w:pStyle w:val="Heading8"/>
        <w:jc w:val="left"/>
      </w:pPr>
      <w:r>
        <w:t>Opis provedbe cilja programa</w:t>
      </w:r>
    </w:p>
    <w:p w:rsidR="00AC0832" w:rsidRDefault="00AC0832">
      <w:pPr>
        <w:pStyle w:val="Normal6"/>
      </w:pPr>
      <w:r>
        <w:t>Konkretno i brzo provođenje predloženih modela privatizacije u cilju privatizacije i restrukturiranja hrvatskih brodogradilišta u većinskom državnom vlasništvu i stvaranja pretpostavki za njegovu održivost, najkasnije do kraja lipnja 2013. godine kako bi se izbjegle posljedice kršenja Ugovora o pristupanju RH EU.</w:t>
      </w:r>
    </w:p>
    <w:p w:rsidR="00AC0832" w:rsidRDefault="00AC0832">
      <w:pPr>
        <w:pStyle w:val="Heading7"/>
      </w:pPr>
      <w:r>
        <w:t>Cilj 2. Povećanje  konkuretnosti brodogradilišta</w:t>
      </w:r>
    </w:p>
    <w:p w:rsidR="00AC0832" w:rsidRDefault="00AC0832">
      <w:pPr>
        <w:pStyle w:val="Heading8"/>
        <w:jc w:val="left"/>
      </w:pPr>
      <w:r>
        <w:t>Opis provedbe cilja programa</w:t>
      </w:r>
    </w:p>
    <w:p w:rsidR="00AC0832" w:rsidRDefault="00AC0832">
      <w:pPr>
        <w:pStyle w:val="Normal6"/>
      </w:pPr>
      <w:r>
        <w:t xml:space="preserve">Usvajanjem Operativnog programa potpora inovacijama u brodogradnji stvoreni su preduvjeti za uspostavu novih, europskih uvjeta za stjecanje državnih potpora brodogradilištima. Predloženi iznos uzima u obzir smanjenje prihoda brodogradnje u nastupajućem razdoblju, koje će nastupiti kao posljedica smanjenja brodograđevnih kapaciteta, te je usklađen sa intenzitetom potpora kakav se susreće u zemljama EU. </w:t>
      </w:r>
    </w:p>
    <w:p w:rsidR="00AC0832" w:rsidRDefault="00AC0832">
      <w:pPr>
        <w:pStyle w:val="Normal6"/>
      </w:pPr>
      <w:r>
        <w:t>Mala brodogradnja uključuje poduzetnike koji se bave proizvodnjom i remontom malih plovila i prateće opreme predstavlja jednu od u budućnosti potencijalno najpropulzivnijih gospodarskih grana. Predloženi iznos uvažava navedenu ulogu male brodogradnje, kao i činjenicu da je ekonomska kriza koja je 2009. pogodila EU i Hrvatsku dovela do drastičnog pada prodaje, a posljedično tome i proizvodnje malih plovila u 2009. i 2010. godini.</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73"/>
        <w:gridCol w:w="1855"/>
        <w:gridCol w:w="720"/>
        <w:gridCol w:w="1788"/>
        <w:gridCol w:w="1040"/>
        <w:gridCol w:w="1073"/>
        <w:gridCol w:w="1139"/>
      </w:tblGrid>
      <w:tr w:rsidR="00AC0832" w:rsidTr="00595050">
        <w:trPr>
          <w:jc w:val="center"/>
        </w:trPr>
        <w:tc>
          <w:tcPr>
            <w:tcW w:w="1673" w:type="dxa"/>
            <w:shd w:val="clear" w:color="auto" w:fill="B5C0D8"/>
          </w:tcPr>
          <w:p w:rsidR="00AC0832" w:rsidRPr="00BE20ED" w:rsidRDefault="00AC0832">
            <w:pPr>
              <w:rPr>
                <w:sz w:val="20"/>
                <w:lang w:eastAsia="hr-HR"/>
              </w:rPr>
            </w:pPr>
            <w:r w:rsidRPr="00BE20ED">
              <w:rPr>
                <w:sz w:val="20"/>
                <w:lang w:eastAsia="hr-HR"/>
              </w:rPr>
              <w:t>Pokazatelj učinka</w:t>
            </w:r>
          </w:p>
        </w:tc>
        <w:tc>
          <w:tcPr>
            <w:tcW w:w="1855" w:type="dxa"/>
            <w:shd w:val="clear" w:color="auto" w:fill="B5C0D8"/>
          </w:tcPr>
          <w:p w:rsidR="00AC0832" w:rsidRDefault="00AC0832">
            <w:pPr>
              <w:pStyle w:val="CellHeader"/>
            </w:pPr>
            <w:r>
              <w:t>Definicija</w:t>
            </w:r>
          </w:p>
        </w:tc>
        <w:tc>
          <w:tcPr>
            <w:tcW w:w="720" w:type="dxa"/>
            <w:shd w:val="clear" w:color="auto" w:fill="B5C0D8"/>
          </w:tcPr>
          <w:p w:rsidR="00AC0832" w:rsidRDefault="00AC0832">
            <w:pPr>
              <w:pStyle w:val="CellHeader"/>
            </w:pPr>
            <w:r>
              <w:t>Jedinica</w:t>
            </w:r>
          </w:p>
        </w:tc>
        <w:tc>
          <w:tcPr>
            <w:tcW w:w="1788" w:type="dxa"/>
            <w:shd w:val="clear" w:color="auto" w:fill="B5C0D8"/>
          </w:tcPr>
          <w:p w:rsidR="00AC0832" w:rsidRDefault="00AC0832">
            <w:pPr>
              <w:pStyle w:val="CellHeader"/>
            </w:pPr>
            <w:r>
              <w:t>Polazna vrijednost</w:t>
            </w:r>
          </w:p>
        </w:tc>
        <w:tc>
          <w:tcPr>
            <w:tcW w:w="1040" w:type="dxa"/>
            <w:shd w:val="clear" w:color="auto" w:fill="B5C0D8"/>
          </w:tcPr>
          <w:p w:rsidR="00AC0832" w:rsidRDefault="00AC0832">
            <w:pPr>
              <w:pStyle w:val="CellHeader"/>
            </w:pPr>
            <w:r>
              <w:t>Izvor podataka</w:t>
            </w:r>
          </w:p>
        </w:tc>
        <w:tc>
          <w:tcPr>
            <w:tcW w:w="1073" w:type="dxa"/>
            <w:shd w:val="clear" w:color="auto" w:fill="B5C0D8"/>
          </w:tcPr>
          <w:p w:rsidR="00AC0832" w:rsidRDefault="00AC0832">
            <w:pPr>
              <w:pStyle w:val="CellHeader"/>
            </w:pPr>
            <w:r>
              <w:t>Ciljana vrijednost (2012.)</w:t>
            </w:r>
          </w:p>
        </w:tc>
        <w:tc>
          <w:tcPr>
            <w:tcW w:w="1139" w:type="dxa"/>
            <w:shd w:val="clear" w:color="auto" w:fill="B5C0D8"/>
          </w:tcPr>
          <w:p w:rsidR="00AC0832" w:rsidRDefault="00AC0832">
            <w:pPr>
              <w:pStyle w:val="CellHeader"/>
            </w:pPr>
            <w:r>
              <w:t>Ostvarena vrijednost (2012.)</w:t>
            </w:r>
          </w:p>
        </w:tc>
      </w:tr>
      <w:tr w:rsidR="00AC0832" w:rsidTr="00595050">
        <w:trPr>
          <w:jc w:val="center"/>
        </w:trPr>
        <w:tc>
          <w:tcPr>
            <w:tcW w:w="1673" w:type="dxa"/>
          </w:tcPr>
          <w:p w:rsidR="00AC0832" w:rsidRDefault="00AC0832">
            <w:pPr>
              <w:pStyle w:val="CellColumn"/>
            </w:pPr>
            <w:r>
              <w:t>Postizanje profitabilnog poslovanja</w:t>
            </w:r>
          </w:p>
        </w:tc>
        <w:tc>
          <w:tcPr>
            <w:tcW w:w="1855" w:type="dxa"/>
          </w:tcPr>
          <w:p w:rsidR="00AC0832" w:rsidRDefault="00AC0832">
            <w:pPr>
              <w:pStyle w:val="CellColumn"/>
            </w:pPr>
            <w:r>
              <w:t>Promjena trenda poslovanja u brodogradilištima od negativnog ka pozitivnom i profitabilnom</w:t>
            </w:r>
          </w:p>
        </w:tc>
        <w:tc>
          <w:tcPr>
            <w:tcW w:w="720" w:type="dxa"/>
          </w:tcPr>
          <w:p w:rsidR="00AC0832" w:rsidRDefault="00AC0832">
            <w:pPr>
              <w:pStyle w:val="CellColumn"/>
            </w:pPr>
            <w:r>
              <w:t>kn</w:t>
            </w:r>
          </w:p>
        </w:tc>
        <w:tc>
          <w:tcPr>
            <w:tcW w:w="1788" w:type="dxa"/>
          </w:tcPr>
          <w:p w:rsidR="00AC0832" w:rsidRDefault="00AC0832">
            <w:pPr>
              <w:pStyle w:val="CellColumn"/>
            </w:pPr>
            <w:r>
              <w:t>2009. g.: gubitak nakon oporezivanja prema GFI POD: -864 mil. kn</w:t>
            </w:r>
          </w:p>
        </w:tc>
        <w:tc>
          <w:tcPr>
            <w:tcW w:w="1040" w:type="dxa"/>
          </w:tcPr>
          <w:p w:rsidR="00AC0832" w:rsidRDefault="00AC0832">
            <w:pPr>
              <w:pStyle w:val="CellColumn"/>
            </w:pPr>
            <w:r>
              <w:t>MINGO</w:t>
            </w:r>
          </w:p>
        </w:tc>
        <w:tc>
          <w:tcPr>
            <w:tcW w:w="1073" w:type="dxa"/>
          </w:tcPr>
          <w:p w:rsidR="00AC0832" w:rsidRDefault="00AC0832">
            <w:pPr>
              <w:pStyle w:val="CellColumn"/>
            </w:pPr>
            <w:r>
              <w:t>-450 mil. kn</w:t>
            </w:r>
          </w:p>
        </w:tc>
        <w:tc>
          <w:tcPr>
            <w:tcW w:w="1139" w:type="dxa"/>
          </w:tcPr>
          <w:p w:rsidR="00AC0832" w:rsidRDefault="00AC0832">
            <w:pPr>
              <w:pStyle w:val="CellColumn"/>
            </w:pPr>
            <w:r>
              <w:t>-148,5 mil. kn</w:t>
            </w:r>
          </w:p>
        </w:tc>
      </w:tr>
      <w:tr w:rsidR="00AC0832" w:rsidTr="00595050">
        <w:trPr>
          <w:jc w:val="center"/>
        </w:trPr>
        <w:tc>
          <w:tcPr>
            <w:tcW w:w="1673" w:type="dxa"/>
          </w:tcPr>
          <w:p w:rsidR="00AC0832" w:rsidRDefault="00AC0832">
            <w:pPr>
              <w:pStyle w:val="CellColumn"/>
            </w:pPr>
            <w:r>
              <w:t>Povećanje prihoda</w:t>
            </w:r>
          </w:p>
        </w:tc>
        <w:tc>
          <w:tcPr>
            <w:tcW w:w="1855" w:type="dxa"/>
          </w:tcPr>
          <w:p w:rsidR="00AC0832" w:rsidRDefault="00AC0832">
            <w:pPr>
              <w:pStyle w:val="CellColumn"/>
            </w:pPr>
            <w:r>
              <w:t>Povećanje prihoda omogućava gradnja složenijih tipova brodova sa većim udjelom znanja</w:t>
            </w:r>
          </w:p>
        </w:tc>
        <w:tc>
          <w:tcPr>
            <w:tcW w:w="720" w:type="dxa"/>
          </w:tcPr>
          <w:p w:rsidR="00AC0832" w:rsidRDefault="00AC0832">
            <w:pPr>
              <w:pStyle w:val="CellColumn"/>
            </w:pPr>
            <w:r>
              <w:t>indeks</w:t>
            </w:r>
          </w:p>
        </w:tc>
        <w:tc>
          <w:tcPr>
            <w:tcW w:w="1788" w:type="dxa"/>
          </w:tcPr>
          <w:p w:rsidR="00AC0832" w:rsidRDefault="00AC0832">
            <w:pPr>
              <w:pStyle w:val="CellColumn"/>
            </w:pPr>
            <w:r>
              <w:t>2009. g. = 100</w:t>
            </w:r>
          </w:p>
        </w:tc>
        <w:tc>
          <w:tcPr>
            <w:tcW w:w="1040" w:type="dxa"/>
          </w:tcPr>
          <w:p w:rsidR="00AC0832" w:rsidRDefault="00AC0832">
            <w:pPr>
              <w:pStyle w:val="CellColumn"/>
            </w:pPr>
            <w:r>
              <w:t>MINGO</w:t>
            </w:r>
          </w:p>
        </w:tc>
        <w:tc>
          <w:tcPr>
            <w:tcW w:w="1073" w:type="dxa"/>
          </w:tcPr>
          <w:p w:rsidR="00AC0832" w:rsidRDefault="00AC0832">
            <w:pPr>
              <w:pStyle w:val="CellColumn"/>
            </w:pPr>
            <w:r>
              <w:t>105</w:t>
            </w:r>
          </w:p>
        </w:tc>
        <w:tc>
          <w:tcPr>
            <w:tcW w:w="1139" w:type="dxa"/>
          </w:tcPr>
          <w:p w:rsidR="00AC0832" w:rsidRDefault="00AC0832">
            <w:pPr>
              <w:pStyle w:val="CellColumn"/>
            </w:pPr>
            <w:r>
              <w:t>-33</w:t>
            </w:r>
          </w:p>
        </w:tc>
      </w:tr>
      <w:tr w:rsidR="00AC0832" w:rsidTr="00595050">
        <w:trPr>
          <w:jc w:val="center"/>
        </w:trPr>
        <w:tc>
          <w:tcPr>
            <w:tcW w:w="1673" w:type="dxa"/>
          </w:tcPr>
          <w:p w:rsidR="00AC0832" w:rsidRDefault="00AC0832">
            <w:pPr>
              <w:pStyle w:val="CellColumn"/>
            </w:pPr>
            <w:r>
              <w:t>Omjer administrativnog osoblja u odnosu na proizvodne radnike</w:t>
            </w:r>
          </w:p>
        </w:tc>
        <w:tc>
          <w:tcPr>
            <w:tcW w:w="1855" w:type="dxa"/>
          </w:tcPr>
          <w:p w:rsidR="00AC0832" w:rsidRDefault="00AC0832">
            <w:pPr>
              <w:pStyle w:val="CellColumn"/>
            </w:pPr>
            <w:r>
              <w:t>Omjer administrativnog osoblja u odnosu na proizvodne radnike utječe na konkurentnost</w:t>
            </w:r>
          </w:p>
        </w:tc>
        <w:tc>
          <w:tcPr>
            <w:tcW w:w="720" w:type="dxa"/>
          </w:tcPr>
          <w:p w:rsidR="00AC0832" w:rsidRDefault="00AC0832">
            <w:pPr>
              <w:pStyle w:val="CellColumn"/>
            </w:pPr>
            <w:r>
              <w:t>indeks</w:t>
            </w:r>
          </w:p>
        </w:tc>
        <w:tc>
          <w:tcPr>
            <w:tcW w:w="1788" w:type="dxa"/>
          </w:tcPr>
          <w:p w:rsidR="00AC0832" w:rsidRDefault="00AC0832">
            <w:pPr>
              <w:pStyle w:val="CellColumn"/>
            </w:pPr>
            <w:r>
              <w:t>Prosječan omjer administrativnog osoblja  i proizvodnih  radnika iznosi 0,45</w:t>
            </w:r>
          </w:p>
        </w:tc>
        <w:tc>
          <w:tcPr>
            <w:tcW w:w="1040" w:type="dxa"/>
          </w:tcPr>
          <w:p w:rsidR="00AC0832" w:rsidRDefault="00AC0832">
            <w:pPr>
              <w:pStyle w:val="CellColumn"/>
            </w:pPr>
            <w:r>
              <w:t>MINGO</w:t>
            </w:r>
          </w:p>
        </w:tc>
        <w:tc>
          <w:tcPr>
            <w:tcW w:w="1073" w:type="dxa"/>
          </w:tcPr>
          <w:p w:rsidR="00AC0832" w:rsidRDefault="00AC0832">
            <w:pPr>
              <w:pStyle w:val="CellColumn"/>
            </w:pPr>
            <w:r>
              <w:t>0,30</w:t>
            </w:r>
          </w:p>
        </w:tc>
        <w:tc>
          <w:tcPr>
            <w:tcW w:w="1139" w:type="dxa"/>
          </w:tcPr>
          <w:p w:rsidR="00AC0832" w:rsidRDefault="00AC0832">
            <w:pPr>
              <w:pStyle w:val="CellColumn"/>
            </w:pPr>
            <w:r>
              <w:t>0,34</w:t>
            </w:r>
          </w:p>
        </w:tc>
      </w:tr>
    </w:tbl>
    <w:p w:rsidR="00AC0832" w:rsidRDefault="00AC0832">
      <w:pPr>
        <w:jc w:val="left"/>
      </w:pPr>
    </w:p>
    <w:p w:rsidR="00AC0832" w:rsidRDefault="00AC0832">
      <w:pPr>
        <w:pStyle w:val="Heading6"/>
      </w:pPr>
      <w:r>
        <w:t>A817028 RAZVOJ I JAČANJE KONKURENTNOSTI BRODOGRADNJE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A817028-RAZVOJ I JAČANJE KONKURENTNOSTI BRODOGRADNJE</w:t>
            </w:r>
          </w:p>
        </w:tc>
        <w:tc>
          <w:tcPr>
            <w:tcW w:w="2322" w:type="dxa"/>
          </w:tcPr>
          <w:p w:rsidR="00AC0832" w:rsidRDefault="00AC0832">
            <w:pPr>
              <w:pStyle w:val="CellColumn"/>
            </w:pPr>
            <w:r>
              <w:t>10.000.000</w:t>
            </w:r>
          </w:p>
        </w:tc>
        <w:tc>
          <w:tcPr>
            <w:tcW w:w="2322" w:type="dxa"/>
          </w:tcPr>
          <w:p w:rsidR="00AC0832" w:rsidRDefault="00AC0832">
            <w:pPr>
              <w:pStyle w:val="CellColumn"/>
            </w:pPr>
            <w:r>
              <w:t>3.219.620</w:t>
            </w:r>
          </w:p>
        </w:tc>
        <w:tc>
          <w:tcPr>
            <w:tcW w:w="2322" w:type="dxa"/>
          </w:tcPr>
          <w:p w:rsidR="00AC0832" w:rsidRDefault="00AC0832">
            <w:pPr>
              <w:pStyle w:val="CellColumn"/>
            </w:pPr>
            <w:r>
              <w:t>32,2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Trenutno stanje u brodogradilištima u većinskom vlasništvu Republike Hrvatske je u postojećim okolnostima u strukutralnim problemima. Zbog ukupnog značaja očuvanja hrvatske brodogradnje za gospodarstvo zemlje, nameće se potreba iznalaženja rješenja za brodogradilišta na način koji će osigurati ne samo kontinuitet proizvodnje u brodogradilištima kao primarni kratkoročni cilj, već i pozitivno restrukturiranje brodogradnje kao dugoročni cilj kojim bi se brodogradnja RH ustrojila kao profitabilna izvozno usmjerena industrija.  </w:t>
      </w:r>
    </w:p>
    <w:p w:rsidR="00AC0832" w:rsidRDefault="00AC0832">
      <w:pPr>
        <w:pStyle w:val="Normal6"/>
      </w:pPr>
      <w:r>
        <w:t xml:space="preserve"> </w:t>
      </w:r>
    </w:p>
    <w:p w:rsidR="00AC0832" w:rsidRDefault="00AC0832">
      <w:pPr>
        <w:pStyle w:val="Normal6"/>
      </w:pPr>
      <w:r>
        <w:t xml:space="preserve">Postizanje profitabilnog poslovanja, povećanje prihoda, omogućava gradnja složenijih tipova brodova sa većim udjelom znanja, omjer administrativnog osoblja u odnosu na proizvodne radnike. Hrvatska brodograđevna industrija od iznimne je važnosti za gospodarstvo Republike Hrvatske, zbog udjela u ukupnom izvozu, udjela u BDP-u, broja zaposlenih, kao i velikog regionalnog značaja za gospodarstvo obalnog područja Republike Hrvatske. </w:t>
      </w:r>
    </w:p>
    <w:p w:rsidR="00AC0832" w:rsidRDefault="00AC0832">
      <w:pPr>
        <w:pStyle w:val="Normal6"/>
      </w:pPr>
      <w:r>
        <w:t xml:space="preserve"> </w:t>
      </w:r>
    </w:p>
    <w:p w:rsidR="00AC0832" w:rsidRDefault="00AC0832">
      <w:pPr>
        <w:pStyle w:val="Normal6"/>
      </w:pPr>
      <w:r>
        <w:t>Sredstva su dodijeljena temeljem Operativnog programa potpore inovacijama u brodogradnji tvrtki Uljanik brodogradilište d.d. Pula za prototip broda 11611 – A Wagon Carrier for Caspien Sea i Trailing Suction Hopper Dredger TSHD 14000 m3 i Tehnomont brodogradilište d.d., Pula za prototip broda 3GR Passenger Catamaran u ukupnom iznosu 3.219.620 kn.</w:t>
      </w:r>
    </w:p>
    <w:p w:rsidR="00AC0832" w:rsidRDefault="00AC0832">
      <w:pPr>
        <w:pStyle w:val="Heading6"/>
      </w:pPr>
      <w:r>
        <w:t>A822028 RAZVOJ I JAČANJE KONKURENTNOSTI INDUSTRIJE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A822028-RAZVOJ I JAČANJE KONKURENTNOSTI INDUSTRIJE</w:t>
            </w:r>
          </w:p>
        </w:tc>
        <w:tc>
          <w:tcPr>
            <w:tcW w:w="2322" w:type="dxa"/>
          </w:tcPr>
          <w:p w:rsidR="00AC0832" w:rsidRDefault="00AC0832">
            <w:pPr>
              <w:pStyle w:val="CellColumn"/>
            </w:pPr>
            <w:r>
              <w:t>470.276.656</w:t>
            </w:r>
          </w:p>
        </w:tc>
        <w:tc>
          <w:tcPr>
            <w:tcW w:w="2322" w:type="dxa"/>
          </w:tcPr>
          <w:p w:rsidR="00AC0832" w:rsidRDefault="00AC0832">
            <w:pPr>
              <w:pStyle w:val="CellColumn"/>
            </w:pPr>
            <w:r>
              <w:t>465.456.645</w:t>
            </w:r>
          </w:p>
        </w:tc>
        <w:tc>
          <w:tcPr>
            <w:tcW w:w="2322" w:type="dxa"/>
          </w:tcPr>
          <w:p w:rsidR="00AC0832" w:rsidRDefault="00AC0832">
            <w:pPr>
              <w:pStyle w:val="CellColumn"/>
            </w:pPr>
            <w:r>
              <w:t>99,0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okviru ove aktivnosti provodio se proces privatizacije i restrukturiranja hrvatskih brodogradilišta u većinskom državnom vlasništvu: Brodogradilište Kraljevica d.d. Kraljevica, i Brodograđevna industrija Split d.d., Split.  </w:t>
      </w:r>
    </w:p>
    <w:p w:rsidR="00AC0832" w:rsidRDefault="00AC0832">
      <w:pPr>
        <w:pStyle w:val="Normal6"/>
      </w:pPr>
      <w:r>
        <w:t xml:space="preserve">Temeljem Odluke Vlade RH o financiranju procesa restrukturiranja hrvatskih brodogradilišta u većinskom državnom vlasništvu od 25.5. 2012. iz Državnog proračuna Republike Hrvatske osigurala su se sredstva u iznosu od 63.738.019,28 kn, u svrhu namirenja svih dospjelih pojedinačnih potraživanja radnika Brodogradilišta Kraljevica d.d., Kraljevica. </w:t>
      </w:r>
    </w:p>
    <w:p w:rsidR="00AC0832" w:rsidRDefault="00AC0832">
      <w:pPr>
        <w:pStyle w:val="Normal6"/>
      </w:pPr>
      <w:r>
        <w:t xml:space="preserve">Temeljem Odluke Vlade RH  o financiranju procesa restrukturiranja u većinskom državnom vlasništvu za 2012. godinu isplatilo se državnih potpora Brodosplit-Brodogradilistu d.o.o. Split s osnova sanacije gubitka na novougovorenim brodovima u tranzicijskom razdoblju iznos u protuvrijednosti 7.884.750 EUR .  </w:t>
      </w:r>
    </w:p>
    <w:p w:rsidR="00AC0832" w:rsidRDefault="00AC0832">
      <w:pPr>
        <w:pStyle w:val="Normal6"/>
      </w:pPr>
      <w:r>
        <w:t>Sukladno Programu restrukturiranja Brodosplit-Brodogradiliste d.o.o. Split odobrenog od strane Agencije za zaštitu tržišnog natjecanja i Europske komisije te Dodatku Programa restrukturiranja (verzije 4.2.1) isplaćeno je sredstava državne potpore u ukupnom iznosu od 345.000.000 kn.</w:t>
      </w:r>
    </w:p>
    <w:p w:rsidR="00AC0832" w:rsidRDefault="00AC0832">
      <w:pPr>
        <w:pStyle w:val="Heading5"/>
      </w:pPr>
      <w:r>
        <w:t>3204 REFORMA ENERGETSKOG SEKTORA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3204-REFORMA ENERGETSKOG SEKTORA</w:t>
            </w:r>
          </w:p>
        </w:tc>
        <w:tc>
          <w:tcPr>
            <w:tcW w:w="2322" w:type="dxa"/>
          </w:tcPr>
          <w:p w:rsidR="00AC0832" w:rsidRDefault="00AC0832">
            <w:pPr>
              <w:pStyle w:val="CellColumn"/>
            </w:pPr>
            <w:r>
              <w:t>20.081.417</w:t>
            </w:r>
          </w:p>
        </w:tc>
        <w:tc>
          <w:tcPr>
            <w:tcW w:w="2322" w:type="dxa"/>
          </w:tcPr>
          <w:p w:rsidR="00AC0832" w:rsidRDefault="00AC0832">
            <w:pPr>
              <w:pStyle w:val="CellColumn"/>
            </w:pPr>
            <w:r>
              <w:t>14.413.295</w:t>
            </w:r>
          </w:p>
        </w:tc>
        <w:tc>
          <w:tcPr>
            <w:tcW w:w="2322" w:type="dxa"/>
          </w:tcPr>
          <w:p w:rsidR="00AC0832" w:rsidRDefault="00AC0832">
            <w:pPr>
              <w:pStyle w:val="CellColumn"/>
            </w:pPr>
            <w:r>
              <w:t>71,8</w:t>
            </w:r>
          </w:p>
        </w:tc>
      </w:tr>
    </w:tbl>
    <w:p w:rsidR="00AC0832" w:rsidRDefault="00AC0832">
      <w:pPr>
        <w:jc w:val="left"/>
      </w:pPr>
    </w:p>
    <w:p w:rsidR="00AC0832" w:rsidRDefault="00AC0832">
      <w:pPr>
        <w:pStyle w:val="Heading6"/>
      </w:pPr>
      <w:r>
        <w:t>Opis programa</w:t>
      </w:r>
    </w:p>
    <w:p w:rsidR="00AC0832" w:rsidRDefault="00AC0832">
      <w:pPr>
        <w:pStyle w:val="Normal5"/>
      </w:pPr>
      <w:r>
        <w:t xml:space="preserve">Ovim programom se vodi sustavno i cjelovito praćenje energetskog sektora sa ciljem njegove prilagodbe EU okruženju; također potrebno je pripremiti da energetski sektor RH bude spreman za otvoreno tržište i stvoriti preduvjete da bude atraktivan za strane investicije. Republika Hrvatska  obvezala se preuzeti i primijeniti pravnu stečevinu Europske unije iz područja energetike, što je do usvajanja Trećeg paketa energetskih propisa EU i učinjeno. Nakon privremenog zatvaranja poglavlja 15. Energetika, Europska komisija prati daljnji napredak Republike Hrvatske, stoga sektor energetike kroz ovaj program nastavlja sa aktivnostima vezanim uz daljnje preuzimanje pravne stečevine EU-a. </w:t>
      </w:r>
    </w:p>
    <w:p w:rsidR="00AC0832" w:rsidRDefault="00AC0832">
      <w:pPr>
        <w:pStyle w:val="Normal5"/>
      </w:pPr>
      <w:r>
        <w:t xml:space="preserve"> </w:t>
      </w:r>
    </w:p>
    <w:p w:rsidR="00AC0832" w:rsidRDefault="00AC0832">
      <w:pPr>
        <w:pStyle w:val="Normal5"/>
      </w:pPr>
      <w:r>
        <w:t xml:space="preserve">Uvođenje sustava poticanja proizvodnje toplinske i rashladne energije iz obnovljivih izvora povećati će se udio obnovljivih izvora energije za potrebe proizvodnje toplinske i rashladne energije. Uključivanje domaće industrije u razvojne i proizvodne programe u ovim područjima energetike je strateški element reforme energetskog sektora i perspektive projekata obnovljivih izvora energije u Hrvatskoj.  </w:t>
      </w:r>
    </w:p>
    <w:p w:rsidR="00AC0832" w:rsidRDefault="00AC0832">
      <w:pPr>
        <w:pStyle w:val="Normal5"/>
      </w:pPr>
      <w:r>
        <w:t xml:space="preserve"> </w:t>
      </w:r>
    </w:p>
    <w:p w:rsidR="00AC0832" w:rsidRDefault="00AC0832">
      <w:pPr>
        <w:pStyle w:val="Normal5"/>
      </w:pPr>
      <w:r>
        <w:t xml:space="preserve">U okviru ovog programa provode se tri IPA projekta: IPA 2008 – Praćenje ovisnosti i ranjivosti energetskog sustava opskrbe energentima s posebnim osvrtom na sigurnost opskrbe (sredstvima se financira tehnička pomoć) u ukupnom iznosu projekta 1.050.150 EUR i IPA 2009 Daljnje jačanje i razvoj unutarnjeg tržišta energenata uzimajući u obzir Ugovor o Energetskoj zajednici (projektom je obuhvaćena analiza unutarnjeg i regionalnog tržišta energenata sa smjernicama za daljnji razvoj, uzimajući u obzir Ugovor o energetskoj zajednici, jačanje i razvoj energetskog tržišta i provedbu „trećeg paketa“ energetskih zakona EU) u ukupnom iznosu projekta 500.000 EUR i IPA 2007 Upravljanje administrativnim podacima iz sektora energetike (sredstvima se financira twinning pomoć, izrada softvera za komunikaciju podataka i nabava IT opreme) u ukupnom iznosu projekta 1.095.000 EUR. </w:t>
      </w:r>
    </w:p>
    <w:p w:rsidR="00AC0832" w:rsidRDefault="00AC0832">
      <w:pPr>
        <w:pStyle w:val="Normal5"/>
      </w:pPr>
      <w:r>
        <w:t xml:space="preserve"> </w:t>
      </w:r>
    </w:p>
    <w:p w:rsidR="00AC0832" w:rsidRDefault="00AC0832">
      <w:pPr>
        <w:pStyle w:val="Normal5"/>
      </w:pPr>
      <w:r>
        <w:t xml:space="preserve">Sigurnost opskrbe energijom Republike Hrvatske treba kontinuirano unaprjeđivati. Održivost energetskog sustava izazov je suvremenog razvoja. Potrebno je poticati razvoj potrošnje kao preduvjet razvoja industrije, usluga, poljoprivrede, turizma u cilju rasta zaposlenosti i standarda svih građana Republike Hrvatske.  </w:t>
      </w:r>
    </w:p>
    <w:p w:rsidR="00AC0832" w:rsidRDefault="00AC0832">
      <w:pPr>
        <w:pStyle w:val="Normal5"/>
      </w:pPr>
      <w:r>
        <w:t xml:space="preserve">Ovim programom se također uređuje stanje u upravnom području rudarstva i uvodi jedinstveni informacijski sustav mineralnih sirovina. </w:t>
      </w:r>
    </w:p>
    <w:p w:rsidR="00AC0832" w:rsidRDefault="00AC0832">
      <w:pPr>
        <w:pStyle w:val="Normal5"/>
      </w:pPr>
      <w:r>
        <w:t xml:space="preserve"> </w:t>
      </w:r>
    </w:p>
    <w:p w:rsidR="00AC0832" w:rsidRDefault="00AC0832">
      <w:pPr>
        <w:pStyle w:val="Normal5"/>
      </w:pPr>
      <w:r>
        <w:t>Ovaj program je povezan s posebnim ciljem 2.4. Učinkovitiji način korištenja nacionalnih resursa Strategije Vladinih programa za razdoblje 2012.-2014. godine.</w:t>
      </w:r>
    </w:p>
    <w:p w:rsidR="00AC0832" w:rsidRDefault="00AC0832">
      <w:pPr>
        <w:pStyle w:val="Heading6"/>
      </w:pPr>
      <w:r>
        <w:t>Zakonske i druge pravne osnove</w:t>
      </w:r>
    </w:p>
    <w:p w:rsidR="00AC0832" w:rsidRDefault="00AC0832">
      <w:pPr>
        <w:pStyle w:val="Normal5"/>
      </w:pPr>
      <w:r>
        <w:t>Zakon o energiji ( NN 68/01), Zakon o državnim potporama (N.N. 140/05), Uredba o državnim potporama (N.N. 50/06), Pravilniku o energetskoj bilanci NN 32/03, Pravilnik o podacima koje su energetski subjekti dužni dostavljati ministarstvu NN 87/07, Zakon o rudarstvu (N.N. 75/09), Zakon o izmjenama i dopunama Zakona o rudarstvu (N.N. 49/11), Uredba o novčanoj naknadi za istraživanje mineralnih sirovina (Narodne novine broj 158/09), Uredba o novčanoj naknadi za koncesiju za eksploataciju mineralnih sirovina (Narodne novine, broj 158/09.),  Zakon o energiji (N. N. 68/01, 177/04, 76/07, 152/08, 127/10), Zakon o tržištu električne energije (N.N. 120/12), Zakon o tržištu plina (N. N. 40/07, 152/08, 83/09, 114/11), Zakon o proizvodnji, distribuciji i opskrbi toplinskom energijom (N. N. 42/05, 20/10), Zakon o biogorivima za prijevoz (N. N. 65/09, 145/10, 26/11), Zakon o regulaciji energetskih djelatnosti (N.N. 120/12), Strategija energetskog razvoja Republike Hrvatske (N. N. br. 130/09), Zakon o učinkovitom korištenju energije u neposrednoj potrošnji (N. N. 152/08, 55/12), Pravilnik o energetskoj bilanci (N. N. 33/03)</w:t>
      </w:r>
    </w:p>
    <w:p w:rsidR="00AC0832" w:rsidRDefault="00AC0832">
      <w:pPr>
        <w:pStyle w:val="Heading7"/>
      </w:pPr>
      <w:r>
        <w:t>Cilj 1. Povećanje udjela obnovljivih izvora energije i energetske učinkovitosti</w:t>
      </w:r>
    </w:p>
    <w:p w:rsidR="00AC0832" w:rsidRDefault="00AC0832">
      <w:pPr>
        <w:pStyle w:val="Heading8"/>
        <w:jc w:val="left"/>
      </w:pPr>
      <w:r>
        <w:t>Opis provedbe cilja programa</w:t>
      </w:r>
    </w:p>
    <w:p w:rsidR="00AC0832" w:rsidRDefault="00AC0832">
      <w:pPr>
        <w:pStyle w:val="Normal6"/>
      </w:pPr>
      <w:r>
        <w:t>Izrada Nacionalnih akcijskih planova za korištenje obnovljivih izvora energije i povećanje udjela energetske učinkovitosti u sektoru energetike, a u svrhu povećanja udjela obnovljivih izvora energije i ušteda energije.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1639"/>
        <w:gridCol w:w="1252"/>
        <w:gridCol w:w="1269"/>
        <w:gridCol w:w="1264"/>
        <w:gridCol w:w="1269"/>
        <w:gridCol w:w="127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udjela električne energije iz obnovljivih izvora u bruto neposrednoj potrošnji energije</w:t>
            </w:r>
          </w:p>
        </w:tc>
        <w:tc>
          <w:tcPr>
            <w:tcW w:w="1300" w:type="dxa"/>
          </w:tcPr>
          <w:p w:rsidR="00AC0832" w:rsidRDefault="00AC0832">
            <w:pPr>
              <w:pStyle w:val="CellColumn"/>
            </w:pPr>
            <w:r>
              <w:t>Upravni postupci-izdavanje prethodnih i energetskih odobrenja (PEO, EO);garantirane poticajne cijene</w:t>
            </w:r>
          </w:p>
        </w:tc>
        <w:tc>
          <w:tcPr>
            <w:tcW w:w="1300" w:type="dxa"/>
          </w:tcPr>
          <w:p w:rsidR="00AC0832" w:rsidRDefault="00AC0832">
            <w:pPr>
              <w:pStyle w:val="CellColumn"/>
            </w:pPr>
            <w:r>
              <w:t>%</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MINGO</w:t>
            </w:r>
          </w:p>
        </w:tc>
        <w:tc>
          <w:tcPr>
            <w:tcW w:w="1300" w:type="dxa"/>
          </w:tcPr>
          <w:p w:rsidR="00AC0832" w:rsidRDefault="00AC0832">
            <w:pPr>
              <w:pStyle w:val="CellColumn"/>
            </w:pPr>
            <w:r>
              <w:t>31,42</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Povećanje energetske učinkovitosti -verificirane energetske uštede u neposrednoj potrošnji energije</w:t>
            </w:r>
          </w:p>
        </w:tc>
        <w:tc>
          <w:tcPr>
            <w:tcW w:w="1300" w:type="dxa"/>
          </w:tcPr>
          <w:p w:rsidR="00AC0832" w:rsidRDefault="00AC0832">
            <w:pPr>
              <w:pStyle w:val="CellColumn"/>
            </w:pPr>
            <w:r>
              <w:t>Provedba niza sektorskih mjera utvrđenim   Nacionalnim akcijskim planom energetske učinkovitosti RH</w:t>
            </w:r>
          </w:p>
        </w:tc>
        <w:tc>
          <w:tcPr>
            <w:tcW w:w="1300" w:type="dxa"/>
          </w:tcPr>
          <w:p w:rsidR="00AC0832" w:rsidRDefault="00AC0832">
            <w:pPr>
              <w:pStyle w:val="CellColumn"/>
            </w:pPr>
            <w:r>
              <w:t>PJ</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MINGO</w:t>
            </w:r>
          </w:p>
        </w:tc>
        <w:tc>
          <w:tcPr>
            <w:tcW w:w="1300" w:type="dxa"/>
          </w:tcPr>
          <w:p w:rsidR="00AC0832" w:rsidRDefault="00AC0832">
            <w:pPr>
              <w:pStyle w:val="CellColumn"/>
            </w:pPr>
            <w:r>
              <w:t>11,56</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7"/>
      </w:pPr>
      <w:r>
        <w:t xml:space="preserve">Cilj 2. Daljnje usklađivanje sa pravnom stečevinom Europske unije </w:t>
      </w:r>
    </w:p>
    <w:p w:rsidR="00AC0832" w:rsidRDefault="00AC0832">
      <w:pPr>
        <w:pStyle w:val="Heading8"/>
        <w:jc w:val="left"/>
      </w:pPr>
      <w:r>
        <w:t>Opis provedbe cilja programa</w:t>
      </w:r>
    </w:p>
    <w:p w:rsidR="00AC0832" w:rsidRDefault="00AC0832">
      <w:pPr>
        <w:pStyle w:val="Normal6"/>
      </w:pPr>
      <w:r>
        <w:t xml:space="preserve">Provest će se restrukturiranje energetskog sektora sukladno 3. paketu energetskih zakona Europske unije. Treći paket energetskih propisa (liberalizacije tržišta električne energije i prirodnog plina) Ministarsko vijeće Europske unije prihvatilo je 25. lipnja 2009. godine. Dana 13. srpnja 2009. godine potpisali su ga Vijeće i Europski parlament, a u primjeni je od 3. rujna 2009. godine. Države članice Europske unije su obvezne provesti potrebne prilagodbe nacionalnih pravnih sustava.  </w:t>
      </w:r>
    </w:p>
    <w:p w:rsidR="00AC0832" w:rsidRDefault="00AC0832">
      <w:pPr>
        <w:pStyle w:val="Normal6"/>
      </w:pPr>
      <w:r>
        <w:t xml:space="preserve">Treći paket energetskih propisa od 13.  srpnja 2009. godine čine: </w:t>
      </w:r>
    </w:p>
    <w:p w:rsidR="00AC0832" w:rsidRDefault="00AC0832">
      <w:pPr>
        <w:pStyle w:val="Normal6"/>
      </w:pPr>
      <w:r>
        <w:t>-</w:t>
      </w:r>
      <w:r>
        <w:tab/>
        <w:t xml:space="preserve">Direktiva 2009/72/EC o zajedničkim pravilima za unutarnje tržište električne energije, </w:t>
      </w:r>
    </w:p>
    <w:p w:rsidR="00AC0832" w:rsidRDefault="00AC0832">
      <w:pPr>
        <w:pStyle w:val="Normal6"/>
      </w:pPr>
      <w:r>
        <w:t>-</w:t>
      </w:r>
      <w:r>
        <w:tab/>
        <w:t xml:space="preserve">Direktiva 2009/73/EC o zajedničkim pravilima za unutarnje tržište prirodnim plinom, </w:t>
      </w:r>
    </w:p>
    <w:p w:rsidR="00AC0832" w:rsidRDefault="00AC0832">
      <w:pPr>
        <w:pStyle w:val="Normal6"/>
      </w:pPr>
      <w:r>
        <w:t>-</w:t>
      </w:r>
      <w:r>
        <w:tab/>
        <w:t xml:space="preserve">Uredba 2009/713/EC o osnivanju Agencije za suradnju tijela energetskog nadzora, </w:t>
      </w:r>
    </w:p>
    <w:p w:rsidR="00AC0832" w:rsidRDefault="00AC0832">
      <w:pPr>
        <w:pStyle w:val="Normal6"/>
      </w:pPr>
      <w:r>
        <w:t>-</w:t>
      </w:r>
      <w:r>
        <w:tab/>
        <w:t xml:space="preserve">Uredba 2009/714/EC o uvjetima pristupa mreži za prekogranične razmjene električne energije </w:t>
      </w:r>
    </w:p>
    <w:p w:rsidR="00AC0832" w:rsidRDefault="00AC0832">
      <w:pPr>
        <w:pStyle w:val="Normal6"/>
      </w:pPr>
      <w:r>
        <w:t>-</w:t>
      </w:r>
      <w:r>
        <w:tab/>
        <w:t xml:space="preserve">             Uredba 2009/715/EC o uvjetima pristupa mrežama za transport prirodnog plina </w:t>
      </w:r>
    </w:p>
    <w:p w:rsidR="00AC0832" w:rsidRDefault="00AC0832">
      <w:pPr>
        <w:pStyle w:val="Normal6"/>
      </w:pPr>
      <w:r>
        <w:t xml:space="preserve"> </w:t>
      </w:r>
    </w:p>
    <w:p w:rsidR="00AC0832" w:rsidRDefault="00AC0832">
      <w:pPr>
        <w:pStyle w:val="Normal6"/>
      </w:pPr>
      <w:r>
        <w:t>Sve promjene koje donose izmjene zakona, problemi iz prakse, dodatna primjene eu zakonodavstva u podzakonske propise, utječu da se svi podzakonski akti moraju doraditi ili velikim dijelom dopuniti. Kako bi se što kvalitetnije izradila dopuna navedenih akata potrebno je osiguranje kvalitetanog pregleda sadašnjeg stanja i poglavito primjene svih podzakoskih akata. Glavni cilj projekta je dati kvalitetne smjernice za promjene podzakonskih akata.</w:t>
      </w:r>
    </w:p>
    <w:p w:rsidR="00AC0832" w:rsidRDefault="00AC0832">
      <w:pPr>
        <w:pStyle w:val="Heading7"/>
      </w:pPr>
      <w:r>
        <w:t>Cilj 3. Povećanje iskorištenosti fondova Europske unije</w:t>
      </w:r>
    </w:p>
    <w:p w:rsidR="00AC0832" w:rsidRDefault="00AC0832">
      <w:pPr>
        <w:pStyle w:val="Heading8"/>
        <w:jc w:val="left"/>
      </w:pPr>
      <w:r>
        <w:t>Opis provedbe cilja programa</w:t>
      </w:r>
    </w:p>
    <w:p w:rsidR="00AC0832" w:rsidRDefault="00AC0832">
      <w:pPr>
        <w:pStyle w:val="Normal6"/>
      </w:pPr>
      <w:r>
        <w:t xml:space="preserve">U okviru ovog programa provode se tri IPA projekta. </w:t>
      </w:r>
    </w:p>
    <w:p w:rsidR="00AC0832" w:rsidRDefault="00AC0832">
      <w:pPr>
        <w:pStyle w:val="Normal6"/>
      </w:pPr>
      <w:r>
        <w:t xml:space="preserve">IPA 2007 Upravljanje administrativnim podacima iz sektora energetike za cilj uspostavljanje nacionalnog sustava administrativnih registara korištenja energije. Aktivnosti u okviru ovog projekta pridonijet će razvoju sustava upravljanja informacijama koji će koordinirati informacije s nacionalnim i međunarodnim institucijama i koji će uskladiti proces prijave nacionalne energetske statistike s trenutnim i budućim odredbama energetske statistike EU (sredstvima se financira twinning pomoć, izrada softvera za komunkiaciju podataka i nabava IT opreme za što je u 2012. godini utrošeno 333.179 kn). </w:t>
      </w:r>
    </w:p>
    <w:p w:rsidR="00AC0832" w:rsidRDefault="00AC0832">
      <w:pPr>
        <w:pStyle w:val="Normal6"/>
      </w:pPr>
      <w:r>
        <w:t xml:space="preserve">IPA 2008 – Praćenje ovisnosti i ranjivosti energetskog sustava opskrbe energentima s posebnim osvrtom na sigurnost opskrbe koji ima za cilj podrška Upravi za energetiku i rudarstvo Ministarstva gospodarstva u jačanju administrativnog kapaciteta uprave i dovršetku usklađivanja s pravnom stečevinom EU-a u područjima sigurnosti opskrbe uspostavom nacionalnog sustava postupaka za nadzor ovisnosti o gorivu, ranjivosti i održivosti energetskog sustava, a sredstvima se fiancira tehnička pomoć. Kroz ovaj projekt u 2012. odini utrošeno je  2.383.654 kn. </w:t>
      </w:r>
    </w:p>
    <w:p w:rsidR="00AC0832" w:rsidRDefault="00AC0832">
      <w:pPr>
        <w:pStyle w:val="Normal6"/>
      </w:pPr>
      <w:r>
        <w:t>IPA 2009 Daljnje jačanje i razvoj unutarnjeg tržišta energenata uzimajući u obzir Ugovor o Energetskoj zajednici (projektom je obuhvaćena analiza unutarnjeg i regionalnog tržišta energenata sa smjernicama za daljnji razvoj uzimajući u obzir Ugovor o energetskoj zajednici, jačanje i razvoj energetskog tržišta i provedba „trećeg paketa“ energetskih zakona EU) i u 2012. godini je utrošeno 2.983.432 kn.</w:t>
      </w:r>
    </w:p>
    <w:p w:rsidR="00AC0832" w:rsidRDefault="00AC0832">
      <w:pPr>
        <w:pStyle w:val="Heading6"/>
      </w:pPr>
      <w:r>
        <w:t>A560112 IPA I 2011 PROGRAM ZAJEDNICE INTELIGENTNA ENERGIJA EUROPE - IEE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A560112-IPA I 2011 PROGRAM ZAJEDNICE INTELIGENTNA ENERGIJA EUROPE - IEE</w:t>
            </w:r>
          </w:p>
        </w:tc>
        <w:tc>
          <w:tcPr>
            <w:tcW w:w="2322" w:type="dxa"/>
          </w:tcPr>
          <w:p w:rsidR="00AC0832" w:rsidRDefault="00AC0832">
            <w:pPr>
              <w:pStyle w:val="CellColumn"/>
            </w:pPr>
            <w:r>
              <w:t>6.500.000</w:t>
            </w:r>
          </w:p>
        </w:tc>
        <w:tc>
          <w:tcPr>
            <w:tcW w:w="2322" w:type="dxa"/>
          </w:tcPr>
          <w:p w:rsidR="00AC0832" w:rsidRDefault="00AC0832">
            <w:pPr>
              <w:pStyle w:val="CellColumn"/>
            </w:pPr>
            <w:r>
              <w:t>5.963.469</w:t>
            </w:r>
          </w:p>
        </w:tc>
        <w:tc>
          <w:tcPr>
            <w:tcW w:w="2322" w:type="dxa"/>
          </w:tcPr>
          <w:p w:rsidR="00AC0832" w:rsidRDefault="00AC0832">
            <w:pPr>
              <w:pStyle w:val="CellColumn"/>
            </w:pPr>
            <w:r>
              <w:t>91,7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Aktivnost uključuje nacionalni udio članarine za svaku godinu sudjelovanja RH u Programu, te sufinanciranje članarine iz instrumenata pretpristupne pomoći (prije PHARE, sada IPA).  </w:t>
      </w:r>
    </w:p>
    <w:p w:rsidR="00AC0832" w:rsidRDefault="00AC0832">
      <w:pPr>
        <w:pStyle w:val="Normal6"/>
      </w:pPr>
      <w:r>
        <w:t>Aktivnost namijenjena Programu “Inteligentna energija u Europi“, koji je koncipiran kao podrška za aktivnosti i mjere u području energetike, a posebno u području energetske učinkovitosti i obnovljivih izvora energije. Zakonom o potvrđivanju Memoranduma o razumijevanju između Republike Hrvatske i Europske zajednice o sudjelovanju Republike Hrvatske u programu Zajednice "Inteligentna energija – europski program za konkurentnost i inovacije (2007. -2013.)", Republika Hrvatska je postala punopravni član CIP IEE.</w:t>
      </w:r>
    </w:p>
    <w:p w:rsidR="00AC0832" w:rsidRDefault="00AC0832">
      <w:pPr>
        <w:pStyle w:val="Heading6"/>
      </w:pPr>
      <w:r>
        <w:t>A817026 KONKURENTNOST I ODRŽIVOST ENERGETSKOG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A817026-KONKURENTNOST I ODRŽIVOST ENERGETSKOG SUSTAVA</w:t>
            </w:r>
          </w:p>
        </w:tc>
        <w:tc>
          <w:tcPr>
            <w:tcW w:w="2322" w:type="dxa"/>
          </w:tcPr>
          <w:p w:rsidR="00AC0832" w:rsidRDefault="00AC0832">
            <w:pPr>
              <w:pStyle w:val="CellColumn"/>
            </w:pPr>
            <w:r>
              <w:t>2.975.000</w:t>
            </w:r>
          </w:p>
        </w:tc>
        <w:tc>
          <w:tcPr>
            <w:tcW w:w="2322" w:type="dxa"/>
          </w:tcPr>
          <w:p w:rsidR="00AC0832" w:rsidRDefault="00AC0832">
            <w:pPr>
              <w:pStyle w:val="CellColumn"/>
            </w:pPr>
            <w:r>
              <w:t>1.678.276</w:t>
            </w:r>
          </w:p>
        </w:tc>
        <w:tc>
          <w:tcPr>
            <w:tcW w:w="2322" w:type="dxa"/>
          </w:tcPr>
          <w:p w:rsidR="00AC0832" w:rsidRDefault="00AC0832">
            <w:pPr>
              <w:pStyle w:val="CellColumn"/>
            </w:pPr>
            <w:r>
              <w:t>56,4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Ovom aktivnosti financirali su se troškovi jačanja konkurentnosti na otvorenom tržištu daljnjom izgradnjom zakonodavnog okvira koji će poticati ulaganja u energetski sektor te osigurati iste mehanizme funkcioniranja tržišta kao u EU. Stoga je nužno kontinuirano usklađivati zakonodavni, regulatorni, institucionalni i administrativni okvir s pravnom stečevinom Europske unije. Također uključuje aktivnosti vezane uz praćenje opskrbe energijom Republike Hrvatske i osiguravanje iste kroz povećanje sigurnosti opskrbe, povećanje rezervi nafte i naftnih derivata i Međunarodne  bilateralne i multilateralne ugovore u području energetike. </w:t>
      </w:r>
    </w:p>
    <w:p w:rsidR="00AC0832" w:rsidRDefault="00AC0832">
      <w:pPr>
        <w:pStyle w:val="Normal6"/>
      </w:pPr>
      <w:r>
        <w:t xml:space="preserve"> </w:t>
      </w:r>
    </w:p>
    <w:p w:rsidR="00AC0832" w:rsidRDefault="00AC0832">
      <w:pPr>
        <w:pStyle w:val="Normal6"/>
      </w:pPr>
      <w:r>
        <w:t xml:space="preserve">Ovime se pokrivaju troškovi izrade energetske bilance kao i sredstva za redovno godišnje održavanje podatkovnih baza - godišnje održavanje Registra OIEKPP i Registra biogoriva, te planirane članarine za Međunarodnu agenciju za obnovljive izvore (IRENA), Energetsku povelju, Energetsku zajednicu, Euroatom i Platts. </w:t>
      </w:r>
    </w:p>
    <w:p w:rsidR="00AC0832" w:rsidRDefault="00AC0832">
      <w:pPr>
        <w:pStyle w:val="Normal6"/>
      </w:pPr>
      <w:r>
        <w:t xml:space="preserve"> </w:t>
      </w:r>
    </w:p>
    <w:p w:rsidR="00AC0832" w:rsidRDefault="00AC0832">
      <w:pPr>
        <w:pStyle w:val="Normal6"/>
      </w:pPr>
      <w:r>
        <w:t>Sredstva potrošena u području obnovljivih izvora energije i energetske učinkovitosti najveći dio odnosi se na: izradu analitičkih podloga za odluke Vlade temeljene na ekonomskom modelu za poticanje biogoriva, za izradu stručnih podloga o kriterijima održivosti proizvodnje i korištenja biogoriva i biomase, za izradu stručnih podloga za novi Zakon o energetskoj učinkovitosti kojeg će biti potrebno mijenjati sukladno novoj direktivi za energetsku učinkovitost,  te pripremi stručnih podloga za izradu 3. Nacionalnog akcijskog plana za energetsku učinkovitost.</w:t>
      </w:r>
    </w:p>
    <w:p w:rsidR="00AC0832" w:rsidRDefault="00AC0832">
      <w:pPr>
        <w:pStyle w:val="Heading5"/>
      </w:pPr>
      <w:r>
        <w:t>3206 ZAŠTITA POTROŠAČA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3206-ZAŠTITA POTROŠAČA</w:t>
            </w:r>
          </w:p>
        </w:tc>
        <w:tc>
          <w:tcPr>
            <w:tcW w:w="2322" w:type="dxa"/>
          </w:tcPr>
          <w:p w:rsidR="00AC0832" w:rsidRDefault="00AC0832">
            <w:pPr>
              <w:pStyle w:val="CellColumn"/>
            </w:pPr>
            <w:r>
              <w:t>2.018.375</w:t>
            </w:r>
          </w:p>
        </w:tc>
        <w:tc>
          <w:tcPr>
            <w:tcW w:w="2322" w:type="dxa"/>
          </w:tcPr>
          <w:p w:rsidR="00AC0832" w:rsidRDefault="00AC0832">
            <w:pPr>
              <w:pStyle w:val="CellColumn"/>
            </w:pPr>
            <w:r>
              <w:t>1.747.810</w:t>
            </w:r>
          </w:p>
        </w:tc>
        <w:tc>
          <w:tcPr>
            <w:tcW w:w="2322" w:type="dxa"/>
          </w:tcPr>
          <w:p w:rsidR="00AC0832" w:rsidRDefault="00AC0832">
            <w:pPr>
              <w:pStyle w:val="CellColumn"/>
            </w:pPr>
            <w:r>
              <w:t>86,6</w:t>
            </w:r>
          </w:p>
        </w:tc>
      </w:tr>
    </w:tbl>
    <w:p w:rsidR="00AC0832" w:rsidRDefault="00AC0832">
      <w:pPr>
        <w:jc w:val="left"/>
      </w:pPr>
    </w:p>
    <w:p w:rsidR="00AC0832" w:rsidRDefault="00AC0832">
      <w:pPr>
        <w:pStyle w:val="Heading6"/>
      </w:pPr>
      <w:r>
        <w:t>Opis programa</w:t>
      </w:r>
    </w:p>
    <w:p w:rsidR="00AC0832" w:rsidRDefault="00AC0832">
      <w:pPr>
        <w:pStyle w:val="Normal5"/>
      </w:pPr>
      <w:r>
        <w:t xml:space="preserve">Aktivnosti ovog programa usmjerene su na povećanje razine znanja potrošača o njihovim pravima i obvezama odnosno podizanja javne svijesti o pitanjima zaštite. Osnovni cilj koji se želi postići daljnjim razvojem sustava zaštite potrošača je stvaranje modernog i razvijenog socijalno osjetljivog gospodarstva u kojem se potrošači osjećaju zaštićeno, sigurno i zadovoljno, te na tržištu nastupaju kao ravnopravni dionici potičući pritom tržišnu utakmicu gospodarskih subjekata. U zahtjevnom procesu približavanja standardima Europske unije, politika zaštite potrošača je prepoznata kao jedno od prioritetnih područja. Edukacija cjelokupne javnosti o zaštiti prava i ekonomskih interesa potrošača kroz kontinuirani dijalog s civilnim društvom i gospodarskim sektorom jedno je od prioritetnijih zadaća u ovom području. </w:t>
      </w:r>
    </w:p>
    <w:p w:rsidR="00AC0832" w:rsidRDefault="00AC0832">
      <w:pPr>
        <w:pStyle w:val="Normal5"/>
      </w:pPr>
      <w:r>
        <w:t xml:space="preserve"> </w:t>
      </w:r>
    </w:p>
    <w:p w:rsidR="00AC0832" w:rsidRDefault="00AC0832">
      <w:pPr>
        <w:pStyle w:val="Normal5"/>
      </w:pPr>
      <w:r>
        <w:t>Ovaj program je povezan s posebnim ciljem 2.3. Poboljšanje zaštite ekonomskih interesa i sigurnosti potrošača Strategije Vladinih programa za razdoblje 2012.-2014. godine.</w:t>
      </w:r>
    </w:p>
    <w:p w:rsidR="00AC0832" w:rsidRDefault="00AC0832">
      <w:pPr>
        <w:pStyle w:val="Heading6"/>
      </w:pPr>
      <w:r>
        <w:t>Zakonske i druge pravne osnove</w:t>
      </w:r>
    </w:p>
    <w:p w:rsidR="00AC0832" w:rsidRDefault="00AC0832">
      <w:pPr>
        <w:pStyle w:val="Normal5"/>
      </w:pPr>
      <w:r>
        <w:t xml:space="preserve">Nacionalni program zaštite potrošača 2009.-2012. (N.N. 30/10, 139/10) </w:t>
      </w:r>
    </w:p>
    <w:p w:rsidR="00AC0832" w:rsidRDefault="00AC0832">
      <w:pPr>
        <w:pStyle w:val="Normal5"/>
      </w:pPr>
      <w:r>
        <w:t xml:space="preserve">Zakon o udrugama (N.N. 88/01, 11/01) </w:t>
      </w:r>
    </w:p>
    <w:p w:rsidR="00AC0832" w:rsidRDefault="00AC0832">
      <w:pPr>
        <w:pStyle w:val="Normal5"/>
      </w:pPr>
      <w:r>
        <w:t xml:space="preserve">Zakon o općoj sigurnosti proizvoda (N.N. 30/2009, 139/10) </w:t>
      </w:r>
    </w:p>
    <w:p w:rsidR="00AC0832" w:rsidRDefault="00AC0832">
      <w:pPr>
        <w:pStyle w:val="Normal5"/>
      </w:pPr>
      <w:r>
        <w:t xml:space="preserve">Zakon o zaštiti potrošača (NN 79/07, 125/07, 75/09, 79/09, 89/09, 133/10, 78/12),  </w:t>
      </w:r>
    </w:p>
    <w:p w:rsidR="00AC0832" w:rsidRDefault="00AC0832">
      <w:pPr>
        <w:pStyle w:val="Normal5"/>
      </w:pPr>
      <w:r>
        <w:t xml:space="preserve">Zakon o tehničkim zahtjevima za proizvode i ocjenjivanju sukladnosti (NN 20/10),  </w:t>
      </w:r>
    </w:p>
    <w:p w:rsidR="00AC0832" w:rsidRDefault="00AC0832">
      <w:pPr>
        <w:pStyle w:val="Normal5"/>
      </w:pPr>
      <w:r>
        <w:t>Zakon o uslugama  (NN 80/11)  i pripadajući podzakonski propisi.</w:t>
      </w:r>
    </w:p>
    <w:p w:rsidR="00AC0832" w:rsidRDefault="00AC0832">
      <w:pPr>
        <w:pStyle w:val="Heading7"/>
      </w:pPr>
      <w:r>
        <w:t>Cilj 1. Jednostavno, učinkovito i pristupačno rješavanje potrošačkih sporova</w:t>
      </w:r>
    </w:p>
    <w:p w:rsidR="00AC0832" w:rsidRDefault="00AC0832">
      <w:pPr>
        <w:pStyle w:val="Heading8"/>
        <w:jc w:val="left"/>
      </w:pPr>
      <w:r>
        <w:t>Opis provedbe cilja programa</w:t>
      </w:r>
    </w:p>
    <w:p w:rsidR="00AC0832" w:rsidRDefault="00AC0832">
      <w:pPr>
        <w:pStyle w:val="Normal6"/>
      </w:pPr>
      <w:r>
        <w:t xml:space="preserve">Jedna od zadaća politike zaštite potrošača je osigurati pomoć potrošačima pri rješavanja potrošačkih sporova. Za potrošačke sporove nisu prihvatljivi dugotrajni i skupi sudski postupci te stoga jedna od obveza nadležnih tijela je da kreiraju alate i mehanizme putem kojih se potrošači mogu jednostavnije, brže i bez troškova  informirati i educirati o svojim potrošačkim pravima ili zatražiti pomoć pri rješavanju spora sa trgovcem. </w:t>
      </w:r>
    </w:p>
    <w:p w:rsidR="00AC0832" w:rsidRDefault="00AC0832">
      <w:pPr>
        <w:pStyle w:val="Normal6"/>
      </w:pPr>
      <w:r>
        <w:t xml:space="preserve"> </w:t>
      </w:r>
    </w:p>
    <w:p w:rsidR="00AC0832" w:rsidRDefault="00AC0832">
      <w:pPr>
        <w:pStyle w:val="Normal6"/>
      </w:pPr>
      <w:r>
        <w:t xml:space="preserve">Slijedom navedenog Ministarstvo je uspostavilo Centralni informacijski sustav zaštite potrošača koji predstavlja učinkovit alat za rješavanje pritužbi potrošača, pružanje savjeta te eventualno potreban nadzor trgovca radi rješavanja potrošačkih pritužbi. </w:t>
      </w:r>
    </w:p>
    <w:p w:rsidR="00AC0832" w:rsidRDefault="00AC0832">
      <w:pPr>
        <w:pStyle w:val="Normal6"/>
      </w:pPr>
      <w:r>
        <w:t xml:space="preserve">Također, u svrhu povećanja alata i mehanizama za pomoć potrošačima u Ministarstvu je uspostavljeno savjetovanje putem besplatnog telefona za potrošače. </w:t>
      </w:r>
    </w:p>
    <w:p w:rsidR="00AC0832" w:rsidRDefault="00AC0832">
      <w:pPr>
        <w:pStyle w:val="Normal6"/>
      </w:pPr>
      <w:r>
        <w:t xml:space="preserve"> </w:t>
      </w:r>
    </w:p>
    <w:p w:rsidR="00AC0832" w:rsidRDefault="00AC0832">
      <w:pPr>
        <w:pStyle w:val="Normal6"/>
      </w:pPr>
      <w:r>
        <w:t xml:space="preserve">Sustavi izvansudskog rješavanja potrošačkih sporova pomažu građanima koji vode potrošačke sporove, a koji nisu mogli postići sporazum izravno s trgovcem. Prednost je alternativnog rješavanja potrošačkih sporova u tome što je fleksibilniji od upućivanja tužbe na sud i što u mnogim slučajevima može bolje udovoljiti potrebama i potrošača i trgovaca. U usporedbi sa sudstvom, ovi su sustavi jeftiniji, brži i neslužbeniji, te su pogodno sredstvo potrošačima koji traže pravnu zaštitu, a u isto vrijeme velikim dijelom rasterećuju redovite sudove što je i u skladu sa reformom hrvatskog pravosuđa. Slijedom toga Ministarstvo u cilju većeg korištenja ovog instituta za rješavanje potrošačkih sporova  sufinacira troškove pri sudovima časti i centrima za mirenje. </w:t>
      </w:r>
    </w:p>
    <w:p w:rsidR="00AC0832" w:rsidRDefault="00AC0832">
      <w:pPr>
        <w:pStyle w:val="Normal6"/>
      </w:pPr>
      <w:r>
        <w:t>Ostvarivanjem ovog cilja omogućuje se potrošačima jednostavnije i brže rješavanje potrošačkih sporova.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7"/>
        <w:gridCol w:w="1362"/>
        <w:gridCol w:w="1248"/>
        <w:gridCol w:w="1267"/>
        <w:gridCol w:w="1450"/>
        <w:gridCol w:w="1267"/>
        <w:gridCol w:w="127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riješenih upita potrošača (CISZP, savjetovališta i potrošački telefon)</w:t>
            </w:r>
          </w:p>
        </w:tc>
        <w:tc>
          <w:tcPr>
            <w:tcW w:w="1300" w:type="dxa"/>
          </w:tcPr>
          <w:p w:rsidR="00AC0832" w:rsidRDefault="00AC0832">
            <w:pPr>
              <w:pStyle w:val="CellColumn"/>
            </w:pPr>
            <w:r>
              <w:t>Povećanje broja alata i mehanizama za izvansudsko rješavanje potrošačkih sporova</w:t>
            </w:r>
          </w:p>
        </w:tc>
        <w:tc>
          <w:tcPr>
            <w:tcW w:w="1300" w:type="dxa"/>
          </w:tcPr>
          <w:p w:rsidR="00AC0832" w:rsidRDefault="00AC0832">
            <w:pPr>
              <w:pStyle w:val="CellColumn"/>
            </w:pPr>
            <w:r>
              <w:t>Broj</w:t>
            </w:r>
          </w:p>
        </w:tc>
        <w:tc>
          <w:tcPr>
            <w:tcW w:w="1300" w:type="dxa"/>
          </w:tcPr>
          <w:p w:rsidR="00AC0832" w:rsidRDefault="00AC0832">
            <w:pPr>
              <w:pStyle w:val="CellColumn"/>
            </w:pPr>
            <w:r>
              <w:t>3616</w:t>
            </w:r>
          </w:p>
        </w:tc>
        <w:tc>
          <w:tcPr>
            <w:tcW w:w="1300" w:type="dxa"/>
          </w:tcPr>
          <w:p w:rsidR="00AC0832" w:rsidRDefault="00AC0832">
            <w:pPr>
              <w:pStyle w:val="CellColumn"/>
            </w:pPr>
            <w:r>
              <w:t xml:space="preserve">CISZP  </w:t>
            </w:r>
          </w:p>
          <w:p w:rsidR="00AC0832" w:rsidRDefault="00AC0832">
            <w:pPr>
              <w:pStyle w:val="CellColumn"/>
            </w:pPr>
            <w:r>
              <w:t xml:space="preserve">Savjetovališta </w:t>
            </w:r>
          </w:p>
          <w:p w:rsidR="00AC0832" w:rsidRDefault="00AC0832">
            <w:pPr>
              <w:pStyle w:val="CellColumn"/>
            </w:pPr>
            <w:r>
              <w:t>Besplatni telefon</w:t>
            </w:r>
          </w:p>
        </w:tc>
        <w:tc>
          <w:tcPr>
            <w:tcW w:w="1300" w:type="dxa"/>
          </w:tcPr>
          <w:p w:rsidR="00AC0832" w:rsidRDefault="00AC0832">
            <w:pPr>
              <w:pStyle w:val="CellColumn"/>
            </w:pPr>
            <w:r>
              <w:t>3700</w:t>
            </w:r>
          </w:p>
        </w:tc>
        <w:tc>
          <w:tcPr>
            <w:tcW w:w="1300" w:type="dxa"/>
          </w:tcPr>
          <w:p w:rsidR="00AC0832" w:rsidRDefault="00AC0832">
            <w:pPr>
              <w:pStyle w:val="CellColumn"/>
            </w:pPr>
            <w:r>
              <w:t>3641</w:t>
            </w:r>
          </w:p>
        </w:tc>
      </w:tr>
      <w:tr w:rsidR="00AC0832" w:rsidTr="00BE20ED">
        <w:trPr>
          <w:jc w:val="center"/>
        </w:trPr>
        <w:tc>
          <w:tcPr>
            <w:tcW w:w="1300" w:type="dxa"/>
          </w:tcPr>
          <w:p w:rsidR="00AC0832" w:rsidRDefault="00AC0832">
            <w:pPr>
              <w:pStyle w:val="CellColumn"/>
            </w:pPr>
            <w:r>
              <w:t>Povećanje broja izvansudskih potrošačkih sporova</w:t>
            </w:r>
          </w:p>
        </w:tc>
        <w:tc>
          <w:tcPr>
            <w:tcW w:w="1300" w:type="dxa"/>
          </w:tcPr>
          <w:p w:rsidR="00AC0832" w:rsidRDefault="00AC0832">
            <w:pPr>
              <w:pStyle w:val="CellColumn"/>
            </w:pPr>
            <w:r>
              <w:t>Povećanje broja alata i mehanizama za izvansudsko rješavanje potrošačkih sporova</w:t>
            </w:r>
          </w:p>
        </w:tc>
        <w:tc>
          <w:tcPr>
            <w:tcW w:w="1300" w:type="dxa"/>
          </w:tcPr>
          <w:p w:rsidR="00AC0832" w:rsidRDefault="00AC0832">
            <w:pPr>
              <w:pStyle w:val="CellColumn"/>
            </w:pPr>
            <w:r>
              <w:t>Broj</w:t>
            </w:r>
          </w:p>
        </w:tc>
        <w:tc>
          <w:tcPr>
            <w:tcW w:w="1300" w:type="dxa"/>
          </w:tcPr>
          <w:p w:rsidR="00AC0832" w:rsidRDefault="00AC0832">
            <w:pPr>
              <w:pStyle w:val="CellColumn"/>
            </w:pPr>
            <w:r>
              <w:t>14</w:t>
            </w:r>
          </w:p>
        </w:tc>
        <w:tc>
          <w:tcPr>
            <w:tcW w:w="1300" w:type="dxa"/>
          </w:tcPr>
          <w:p w:rsidR="00AC0832" w:rsidRDefault="00AC0832">
            <w:pPr>
              <w:pStyle w:val="CellColumn"/>
            </w:pPr>
            <w:r>
              <w:t>Centar za mirenje HGK</w:t>
            </w:r>
          </w:p>
        </w:tc>
        <w:tc>
          <w:tcPr>
            <w:tcW w:w="1300" w:type="dxa"/>
          </w:tcPr>
          <w:p w:rsidR="00AC0832" w:rsidRDefault="00AC0832">
            <w:pPr>
              <w:pStyle w:val="CellColumn"/>
            </w:pPr>
            <w:r>
              <w:t>16</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7"/>
      </w:pPr>
      <w:r>
        <w:t>Cilj 2. Podizanje razine svijesti o važnosti zaštite potrošača</w:t>
      </w:r>
    </w:p>
    <w:p w:rsidR="00AC0832" w:rsidRDefault="00AC0832">
      <w:pPr>
        <w:pStyle w:val="Heading8"/>
        <w:jc w:val="left"/>
      </w:pPr>
      <w:r>
        <w:t>Opis provedbe cilja programa</w:t>
      </w:r>
    </w:p>
    <w:p w:rsidR="00AC0832" w:rsidRDefault="00AC0832">
      <w:pPr>
        <w:pStyle w:val="Normal6"/>
      </w:pPr>
      <w:r>
        <w:t xml:space="preserve">Edukaciju cjelokupne javnosti o pravima, obvezama i zaštiti potrošača. Edukacija se provodila na svim razinama uključujući sve dionike u provođenju politike zaštite potrošača. Razina javne svijesti se povećalai provođenjem  kampanja putem javnih medija, organiziranjem konferencija, seminara, radionica, okruglih stolova, izdavanjem informativnog materijala za potrošače, izdavanjem časopisa za potrošače, putem informacija danih na Internet-portalu Ministarstva gospodarstva te provođenjem projekata informiranja i edukacije potrošača u suradnji s udrugama za zaštitu potrošača. Udruge za zaštitu potrošača jedan su od važnijih dionika na provođenju politike zaštite potrošača, stoga će se kontinuirano, institucionalno i administrativno jačati ovaj dio civilnog društva, a kako bi se na profesionalnoj razini provodilo savjetovanje, odnosno informiranje i edukaciju potrošača.  </w:t>
      </w:r>
    </w:p>
    <w:p w:rsidR="00AC0832" w:rsidRDefault="00AC0832">
      <w:pPr>
        <w:pStyle w:val="Normal6"/>
      </w:pPr>
      <w:r>
        <w:t>Ostvarivanjem ovoga cilja podiže se ukupna razina znanja i svijesti o zaštiti potrošača.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provedenih edukacija svih dionika u provedbi politike zaštite potrošača</w:t>
            </w:r>
          </w:p>
        </w:tc>
        <w:tc>
          <w:tcPr>
            <w:tcW w:w="1300" w:type="dxa"/>
          </w:tcPr>
          <w:p w:rsidR="00AC0832" w:rsidRDefault="00AC0832">
            <w:pPr>
              <w:pStyle w:val="CellColumn"/>
            </w:pPr>
            <w:r>
              <w:t>Podizanje opće razine znanja o potrošačkim pravima</w:t>
            </w:r>
          </w:p>
        </w:tc>
        <w:tc>
          <w:tcPr>
            <w:tcW w:w="1300" w:type="dxa"/>
          </w:tcPr>
          <w:p w:rsidR="00AC0832" w:rsidRDefault="00AC0832">
            <w:pPr>
              <w:pStyle w:val="CellColumn"/>
            </w:pPr>
            <w:r>
              <w:t>broj</w:t>
            </w:r>
          </w:p>
        </w:tc>
        <w:tc>
          <w:tcPr>
            <w:tcW w:w="1300" w:type="dxa"/>
          </w:tcPr>
          <w:p w:rsidR="00AC0832" w:rsidRDefault="00AC0832">
            <w:pPr>
              <w:pStyle w:val="CellColumn"/>
            </w:pPr>
            <w:r>
              <w:t>15</w:t>
            </w:r>
          </w:p>
        </w:tc>
        <w:tc>
          <w:tcPr>
            <w:tcW w:w="1300" w:type="dxa"/>
          </w:tcPr>
          <w:p w:rsidR="00AC0832" w:rsidRDefault="00AC0832">
            <w:pPr>
              <w:pStyle w:val="CellColumn"/>
            </w:pPr>
            <w:r>
              <w:t>MINGO</w:t>
            </w:r>
          </w:p>
        </w:tc>
        <w:tc>
          <w:tcPr>
            <w:tcW w:w="1300" w:type="dxa"/>
          </w:tcPr>
          <w:p w:rsidR="00AC0832" w:rsidRDefault="00AC0832">
            <w:pPr>
              <w:pStyle w:val="CellColumn"/>
            </w:pPr>
            <w:r>
              <w:t>15</w:t>
            </w:r>
          </w:p>
        </w:tc>
        <w:tc>
          <w:tcPr>
            <w:tcW w:w="1300" w:type="dxa"/>
          </w:tcPr>
          <w:p w:rsidR="00AC0832" w:rsidRDefault="00AC0832">
            <w:pPr>
              <w:pStyle w:val="CellColumn"/>
            </w:pPr>
            <w:r>
              <w:t>9</w:t>
            </w:r>
          </w:p>
        </w:tc>
      </w:tr>
      <w:tr w:rsidR="00AC0832" w:rsidTr="00BE20ED">
        <w:trPr>
          <w:jc w:val="center"/>
        </w:trPr>
        <w:tc>
          <w:tcPr>
            <w:tcW w:w="1300" w:type="dxa"/>
          </w:tcPr>
          <w:p w:rsidR="00AC0832" w:rsidRDefault="00AC0832">
            <w:pPr>
              <w:pStyle w:val="CellColumn"/>
            </w:pPr>
            <w:r>
              <w:t>Rezultati provedenih anketa</w:t>
            </w:r>
          </w:p>
        </w:tc>
        <w:tc>
          <w:tcPr>
            <w:tcW w:w="1300" w:type="dxa"/>
          </w:tcPr>
          <w:p w:rsidR="00AC0832" w:rsidRDefault="00AC0832">
            <w:pPr>
              <w:pStyle w:val="CellColumn"/>
            </w:pPr>
            <w:r>
              <w:t>Podizanje opće razine znanja o potrošačkim pravima</w:t>
            </w:r>
          </w:p>
        </w:tc>
        <w:tc>
          <w:tcPr>
            <w:tcW w:w="1300" w:type="dxa"/>
          </w:tcPr>
          <w:p w:rsidR="00AC0832" w:rsidRDefault="00AC0832">
            <w:pPr>
              <w:pStyle w:val="CellColumn"/>
            </w:pPr>
            <w:r>
              <w:t>%</w:t>
            </w:r>
          </w:p>
        </w:tc>
        <w:tc>
          <w:tcPr>
            <w:tcW w:w="1300" w:type="dxa"/>
          </w:tcPr>
          <w:p w:rsidR="00AC0832" w:rsidRDefault="00AC0832">
            <w:pPr>
              <w:pStyle w:val="CellColumn"/>
            </w:pPr>
            <w:r>
              <w:t>6</w:t>
            </w:r>
          </w:p>
        </w:tc>
        <w:tc>
          <w:tcPr>
            <w:tcW w:w="1300" w:type="dxa"/>
          </w:tcPr>
          <w:p w:rsidR="00AC0832" w:rsidRDefault="00AC0832">
            <w:pPr>
              <w:pStyle w:val="CellColumn"/>
            </w:pPr>
            <w:r>
              <w:t>Anketa 24 sata</w:t>
            </w:r>
          </w:p>
        </w:tc>
        <w:tc>
          <w:tcPr>
            <w:tcW w:w="1300" w:type="dxa"/>
          </w:tcPr>
          <w:p w:rsidR="00AC0832" w:rsidRDefault="00AC0832">
            <w:pPr>
              <w:pStyle w:val="CellColumn"/>
            </w:pPr>
            <w:r>
              <w:t>6</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A560054 NACIONALNI PROGRAM ZA  ZAŠTITU POTROŠAČA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A560054-NACIONALNI PROGRAM ZA  ZAŠTITU POTROŠAČA</w:t>
            </w:r>
          </w:p>
        </w:tc>
        <w:tc>
          <w:tcPr>
            <w:tcW w:w="2322" w:type="dxa"/>
          </w:tcPr>
          <w:p w:rsidR="00AC0832" w:rsidRDefault="00AC0832">
            <w:pPr>
              <w:pStyle w:val="CellColumn"/>
            </w:pPr>
            <w:r>
              <w:t>2.018.375</w:t>
            </w:r>
          </w:p>
        </w:tc>
        <w:tc>
          <w:tcPr>
            <w:tcW w:w="2322" w:type="dxa"/>
          </w:tcPr>
          <w:p w:rsidR="00AC0832" w:rsidRDefault="00AC0832">
            <w:pPr>
              <w:pStyle w:val="CellColumn"/>
            </w:pPr>
            <w:r>
              <w:t>1.747.810</w:t>
            </w:r>
          </w:p>
        </w:tc>
        <w:tc>
          <w:tcPr>
            <w:tcW w:w="2322" w:type="dxa"/>
          </w:tcPr>
          <w:p w:rsidR="00AC0832" w:rsidRDefault="00AC0832">
            <w:pPr>
              <w:pStyle w:val="CellColumn"/>
            </w:pPr>
            <w:r>
              <w:t>86,6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Ovom aktivnosti su se financirale potpore udrugama potrošača koje djeluju u Republici Hrvatskoj kroz projekt „Informoranje i edukacija potrošača“. Cilj financijskijskih potpora bio je omogućiti provedbu projekata informiranja i edukacije potrošača radi promicanja njihovih prava i interesa, a koji preventivno educiraju potrošače prije sklapanja ugovora sa trgovcem te izravno pridonose rješavanju problema potrošača. Provedba projekata informiranja i edukacije potrošača je pridonijela podizanju ukupne razine znanja o potrošačkim pravima u Republici Hrvatskoj pri korištenju financijskih i javnih usluga sukladno načelima i ciljevima Nacionalnog programa zaštite potrošača 2009-2012. Projektna sredstva su dodijeljena Savezu udruga za zaštitu potrošača, Split – 361.002 kn, Društvu za zaštitu potrošača Istre, Pula – 245.000 kn, Potrošačkom forumu, Osijek – 376.568 kn, Potrošaču – društvu za zaštitu potrošača Hrvatske zagreb – 420.000 kn, centru za edukaciju i informiranje potrošača Bilje – 57.583 kn i Udruzi za zaštitu potrošača Korana karlovac – 43.702 kn.</w:t>
      </w:r>
    </w:p>
    <w:p w:rsidR="00AC0832" w:rsidRDefault="00AC0832">
      <w:pPr>
        <w:pStyle w:val="Heading2"/>
      </w:pPr>
      <w:r>
        <w:t>04910 Ravnateljstvo za robne zalihe</w:t>
      </w:r>
    </w:p>
    <w:p w:rsidR="00AC0832" w:rsidRDefault="00AC0832">
      <w:pPr>
        <w:pStyle w:val="Heading4"/>
      </w:pPr>
      <w:r>
        <w:t>Uvod</w:t>
      </w:r>
    </w:p>
    <w:p w:rsidR="00AC0832" w:rsidRDefault="00AC0832">
      <w:pPr>
        <w:pStyle w:val="Normal3"/>
      </w:pPr>
      <w:r>
        <w:t xml:space="preserve">Robne zalihe stvaraju se radi osiguranja osnovne opskrbe stanovništva i to u doba ratnog stanja ili neposredne ugroženosti neovisnosti, jedinstvenosti i opstojnosti Republike Hrvatske, u slučaju velikih prirodnih nepogoda i tehničko-tehnoloških i ekoloških katastrofa, te radi upućivanja žurne pomoći drugim državama u slučaju katastrofa, te u slučaju sudjelovanja snaga Republike Hrvatske u mirovnim i humanitarnim operacijama u inozemstvu. U prijedlogu proračuna predviđeno je financiranje rashoda iz općih prihoda i  primitaka (11) i iz prihoda za posebne namjene (43). </w:t>
      </w:r>
    </w:p>
    <w:p w:rsidR="00AC0832" w:rsidRDefault="00AC0832">
      <w:pPr>
        <w:pStyle w:val="Normal3"/>
      </w:pPr>
      <w:r>
        <w:t>Plan za 2012. godinu u iznosu od 25.135.677,00 kuna izvršen je 177,6 % iz razloga izvršenja kapitalnog projekta Nabava robnih zaliha Republike Hrvatske iz prihoda za posebne namjene, koji su preneseni iz 2011. godine.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04910-Ravnateljstvo za robne zalihe</w:t>
            </w:r>
          </w:p>
        </w:tc>
        <w:tc>
          <w:tcPr>
            <w:tcW w:w="2322" w:type="dxa"/>
          </w:tcPr>
          <w:p w:rsidR="00AC0832" w:rsidRDefault="00AC0832">
            <w:pPr>
              <w:pStyle w:val="CellColumn"/>
            </w:pPr>
            <w:r>
              <w:t>25.135.677</w:t>
            </w:r>
          </w:p>
        </w:tc>
        <w:tc>
          <w:tcPr>
            <w:tcW w:w="2322" w:type="dxa"/>
          </w:tcPr>
          <w:p w:rsidR="00AC0832" w:rsidRDefault="00AC0832">
            <w:pPr>
              <w:pStyle w:val="CellColumn"/>
            </w:pPr>
            <w:r>
              <w:t>44.649.547</w:t>
            </w:r>
          </w:p>
        </w:tc>
        <w:tc>
          <w:tcPr>
            <w:tcW w:w="2322" w:type="dxa"/>
          </w:tcPr>
          <w:p w:rsidR="00AC0832" w:rsidRDefault="00AC0832">
            <w:pPr>
              <w:pStyle w:val="CellColumn"/>
            </w:pPr>
            <w:r>
              <w:t>177,6</w:t>
            </w:r>
          </w:p>
        </w:tc>
      </w:tr>
      <w:tr w:rsidR="00AC0832" w:rsidTr="00BE20ED">
        <w:trPr>
          <w:jc w:val="center"/>
        </w:trPr>
        <w:tc>
          <w:tcPr>
            <w:tcW w:w="2322" w:type="dxa"/>
          </w:tcPr>
          <w:p w:rsidR="00AC0832" w:rsidRDefault="00AC0832">
            <w:pPr>
              <w:pStyle w:val="CellColumnSmall"/>
            </w:pPr>
            <w:r>
              <w:t>4302-STVARANJE, OBNAVLJANJE I KORIŠTENJE ROBNIH ZALIHA</w:t>
            </w:r>
          </w:p>
        </w:tc>
        <w:tc>
          <w:tcPr>
            <w:tcW w:w="2322" w:type="dxa"/>
          </w:tcPr>
          <w:p w:rsidR="00AC0832" w:rsidRDefault="00AC0832">
            <w:pPr>
              <w:pStyle w:val="CellColumnSmall"/>
            </w:pPr>
            <w:r>
              <w:t>25.135.677</w:t>
            </w:r>
          </w:p>
        </w:tc>
        <w:tc>
          <w:tcPr>
            <w:tcW w:w="2322" w:type="dxa"/>
          </w:tcPr>
          <w:p w:rsidR="00AC0832" w:rsidRDefault="00AC0832">
            <w:pPr>
              <w:pStyle w:val="CellColumnSmall"/>
            </w:pPr>
            <w:r>
              <w:t>44.649.547</w:t>
            </w:r>
          </w:p>
        </w:tc>
        <w:tc>
          <w:tcPr>
            <w:tcW w:w="2322" w:type="dxa"/>
          </w:tcPr>
          <w:p w:rsidR="00AC0832" w:rsidRDefault="00AC0832">
            <w:pPr>
              <w:pStyle w:val="CellColumnSmall"/>
            </w:pPr>
            <w:r>
              <w:t>177,6</w:t>
            </w:r>
          </w:p>
        </w:tc>
      </w:tr>
    </w:tbl>
    <w:p w:rsidR="00AC0832" w:rsidRDefault="00AC0832">
      <w:pPr>
        <w:jc w:val="left"/>
      </w:pPr>
    </w:p>
    <w:p w:rsidR="00AC0832" w:rsidRDefault="00AC0832">
      <w:pPr>
        <w:pStyle w:val="Heading4"/>
      </w:pPr>
      <w:r>
        <w:t>OBRAZLOŽENJE PROGRAMA</w:t>
      </w:r>
    </w:p>
    <w:p w:rsidR="00AC0832" w:rsidRDefault="00AC0832">
      <w:pPr>
        <w:pStyle w:val="Heading5"/>
      </w:pPr>
      <w:r>
        <w:t>4302 STVARANJE, OBNAVLJANJE I KORIŠTENJE ROBNIH ZALIHA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4302-STVARANJE, OBNAVLJANJE I KORIŠTENJE ROBNIH ZALIHA</w:t>
            </w:r>
          </w:p>
        </w:tc>
        <w:tc>
          <w:tcPr>
            <w:tcW w:w="2322" w:type="dxa"/>
          </w:tcPr>
          <w:p w:rsidR="00AC0832" w:rsidRDefault="00AC0832">
            <w:pPr>
              <w:pStyle w:val="CellColumn"/>
            </w:pPr>
            <w:r>
              <w:t>25.135.677</w:t>
            </w:r>
          </w:p>
        </w:tc>
        <w:tc>
          <w:tcPr>
            <w:tcW w:w="2322" w:type="dxa"/>
          </w:tcPr>
          <w:p w:rsidR="00AC0832" w:rsidRDefault="00AC0832">
            <w:pPr>
              <w:pStyle w:val="CellColumn"/>
            </w:pPr>
            <w:r>
              <w:t>44.649.547</w:t>
            </w:r>
          </w:p>
        </w:tc>
        <w:tc>
          <w:tcPr>
            <w:tcW w:w="2322" w:type="dxa"/>
          </w:tcPr>
          <w:p w:rsidR="00AC0832" w:rsidRDefault="00AC0832">
            <w:pPr>
              <w:pStyle w:val="CellColumn"/>
            </w:pPr>
            <w:r>
              <w:t>177,6</w:t>
            </w:r>
          </w:p>
        </w:tc>
      </w:tr>
    </w:tbl>
    <w:p w:rsidR="00AC0832" w:rsidRDefault="00AC0832">
      <w:pPr>
        <w:jc w:val="left"/>
      </w:pPr>
    </w:p>
    <w:p w:rsidR="00AC0832" w:rsidRDefault="00AC0832">
      <w:pPr>
        <w:pStyle w:val="Heading6"/>
      </w:pPr>
      <w:r>
        <w:t>Opis programa</w:t>
      </w:r>
    </w:p>
    <w:p w:rsidR="00AC0832" w:rsidRDefault="00AC0832">
      <w:pPr>
        <w:pStyle w:val="Normal5"/>
      </w:pPr>
      <w:r>
        <w:t>Stvaranje, obnavljanje i korištenje robnih zaliha u doba ratnog stanja i neposredne ugroženosti neovisnosti, jedinstvenosti i opstojnosti Republike Hrvatske, te u slučajevima velikih prirodnih nepogoda i ekoloških katastrofa. Opći cilj programa je stvaranje, obnavljanje i korištenje robnih zaliha, a Posebni cilj je popuna strateških robnih zaliha u skladu s Bilancom strateških robnih zaliha i Zakonom o strateškim robnim zalihama. Navedeno je sadržano u Strategiji Vladinih programa za razdoblje 2011. - 2013. godine u Općem cilju 2. Optimalno ozračje za razvoj konkurentnog gospodarstva, u Posebnom cilju 2.4. Učinkovitiji način korištenja nacionalnih resursa.</w:t>
      </w:r>
    </w:p>
    <w:p w:rsidR="00AC0832" w:rsidRDefault="00AC0832">
      <w:pPr>
        <w:pStyle w:val="Heading6"/>
      </w:pPr>
      <w:r>
        <w:t>Zakonske i druge pravne osnove</w:t>
      </w:r>
    </w:p>
    <w:p w:rsidR="00AC0832" w:rsidRDefault="00AC0832">
      <w:pPr>
        <w:pStyle w:val="Normal5"/>
      </w:pPr>
      <w:r>
        <w:t>Zakon o strateškim robnim zalihama N.N. 87/2002, Bilanca strateških robnih zaliha koja je donesena na sjednici Vlade Republike Hrvatske dana 11. lipnja 2004. godine.</w:t>
      </w:r>
    </w:p>
    <w:p w:rsidR="00AC0832" w:rsidRDefault="00AC0832">
      <w:pPr>
        <w:pStyle w:val="Heading7"/>
      </w:pPr>
      <w:r>
        <w:t>Cilj 1. Popuna strateških robnih zaliha u skladu s Bilancom i Zakonom o strateškim robnim zalihama</w:t>
      </w:r>
    </w:p>
    <w:p w:rsidR="00AC0832" w:rsidRDefault="00AC0832">
      <w:pPr>
        <w:pStyle w:val="Heading8"/>
        <w:jc w:val="left"/>
      </w:pPr>
      <w:r>
        <w:t>Opis provedbe cilja programa</w:t>
      </w:r>
    </w:p>
    <w:p w:rsidR="00AC0832" w:rsidRDefault="00AC0832">
      <w:pPr>
        <w:pStyle w:val="Normal6"/>
      </w:pPr>
      <w:r>
        <w:t>Robne zalihe čine osnovni poljoprivredno-prehrambeni i neprehrambeni proizvodi koji su nužno potrebni za život ljudi, naftni derivati te materijal i sirovine potrebni za proizvodnju, osobito ako imaju poseban značaj za obranu zemlje i zbrinjavanje stanovništva u slučaju velikih prirodnih nepogoda, tehničko-tehnoloških i ekoloških katastrofa. Cilj je popuniti Bilancu strateških robnih zaliha kako bi se moglo intervenirati u slučajevima predviđenim Zakonom o strateškim robnim zalihama.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8"/>
        <w:gridCol w:w="1351"/>
        <w:gridCol w:w="1152"/>
        <w:gridCol w:w="1204"/>
        <w:gridCol w:w="1417"/>
        <w:gridCol w:w="1204"/>
        <w:gridCol w:w="123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 popunjenosti Bilance s poljoprivredno-prehrambenim proizvodima</w:t>
            </w:r>
          </w:p>
        </w:tc>
        <w:tc>
          <w:tcPr>
            <w:tcW w:w="1300" w:type="dxa"/>
          </w:tcPr>
          <w:p w:rsidR="00AC0832" w:rsidRDefault="00AC0832">
            <w:pPr>
              <w:pStyle w:val="CellColumn"/>
            </w:pPr>
            <w:r>
              <w:t>Povećanjem popunjenosti Bilance strateških robnih zaliha osigurava se mogućnost intervencije robama iz strateških robnih zaliha u nastupu okolnosti koje su predviđene Zakonom o strateškim robnim zalihama.</w:t>
            </w:r>
          </w:p>
        </w:tc>
        <w:tc>
          <w:tcPr>
            <w:tcW w:w="1300" w:type="dxa"/>
          </w:tcPr>
          <w:p w:rsidR="00AC0832" w:rsidRDefault="00AC0832">
            <w:pPr>
              <w:pStyle w:val="CellColumn"/>
            </w:pPr>
            <w:r>
              <w:t>%</w:t>
            </w:r>
          </w:p>
        </w:tc>
        <w:tc>
          <w:tcPr>
            <w:tcW w:w="1300" w:type="dxa"/>
          </w:tcPr>
          <w:p w:rsidR="00AC0832" w:rsidRDefault="00AC0832">
            <w:pPr>
              <w:pStyle w:val="CellColumn"/>
            </w:pPr>
            <w:r>
              <w:t>74</w:t>
            </w:r>
          </w:p>
        </w:tc>
        <w:tc>
          <w:tcPr>
            <w:tcW w:w="1300" w:type="dxa"/>
          </w:tcPr>
          <w:p w:rsidR="00AC0832" w:rsidRDefault="00AC0832">
            <w:pPr>
              <w:pStyle w:val="CellColumn"/>
            </w:pPr>
            <w:r>
              <w:t>Ravnateljstvo za robne zalihe</w:t>
            </w:r>
          </w:p>
        </w:tc>
        <w:tc>
          <w:tcPr>
            <w:tcW w:w="1300" w:type="dxa"/>
          </w:tcPr>
          <w:p w:rsidR="00AC0832" w:rsidRDefault="00AC0832">
            <w:pPr>
              <w:pStyle w:val="CellColumn"/>
            </w:pPr>
            <w:r>
              <w:t>78</w:t>
            </w:r>
          </w:p>
        </w:tc>
        <w:tc>
          <w:tcPr>
            <w:tcW w:w="1300" w:type="dxa"/>
          </w:tcPr>
          <w:p w:rsidR="00AC0832" w:rsidRDefault="00AC0832">
            <w:pPr>
              <w:pStyle w:val="CellColumn"/>
            </w:pPr>
            <w:r>
              <w:t>77</w:t>
            </w:r>
          </w:p>
        </w:tc>
      </w:tr>
      <w:tr w:rsidR="00AC0832" w:rsidTr="00BE20ED">
        <w:trPr>
          <w:jc w:val="center"/>
        </w:trPr>
        <w:tc>
          <w:tcPr>
            <w:tcW w:w="1300" w:type="dxa"/>
          </w:tcPr>
          <w:p w:rsidR="00AC0832" w:rsidRDefault="00AC0832">
            <w:pPr>
              <w:pStyle w:val="CellColumn"/>
            </w:pPr>
            <w:r>
              <w:t>% popunjenosti Bilance s neprehrambenim proizvodima</w:t>
            </w:r>
          </w:p>
        </w:tc>
        <w:tc>
          <w:tcPr>
            <w:tcW w:w="1300" w:type="dxa"/>
          </w:tcPr>
          <w:p w:rsidR="00AC0832" w:rsidRDefault="00AC0832">
            <w:pPr>
              <w:pStyle w:val="CellColumn"/>
            </w:pPr>
            <w:r>
              <w:t>Povećanjem popunjenosti Bilance strateških robnih zaliha osigurava se mogućnost intervencije robama iz strateških robnih zaliha u nastupu okolnosti koje su predviđene Zakonom o strateškim robnim zalihama.</w:t>
            </w:r>
          </w:p>
        </w:tc>
        <w:tc>
          <w:tcPr>
            <w:tcW w:w="1300" w:type="dxa"/>
          </w:tcPr>
          <w:p w:rsidR="00AC0832" w:rsidRDefault="00AC0832">
            <w:pPr>
              <w:pStyle w:val="CellColumn"/>
            </w:pPr>
            <w:r>
              <w:t>%</w:t>
            </w:r>
          </w:p>
        </w:tc>
        <w:tc>
          <w:tcPr>
            <w:tcW w:w="1300" w:type="dxa"/>
          </w:tcPr>
          <w:p w:rsidR="00AC0832" w:rsidRDefault="00AC0832">
            <w:pPr>
              <w:pStyle w:val="CellColumn"/>
            </w:pPr>
            <w:r>
              <w:t>44</w:t>
            </w:r>
          </w:p>
        </w:tc>
        <w:tc>
          <w:tcPr>
            <w:tcW w:w="1300" w:type="dxa"/>
          </w:tcPr>
          <w:p w:rsidR="00AC0832" w:rsidRDefault="00AC0832">
            <w:pPr>
              <w:pStyle w:val="CellColumn"/>
            </w:pPr>
            <w:r>
              <w:t>Ravnateljstvo za robne zalihe</w:t>
            </w:r>
          </w:p>
        </w:tc>
        <w:tc>
          <w:tcPr>
            <w:tcW w:w="1300" w:type="dxa"/>
          </w:tcPr>
          <w:p w:rsidR="00AC0832" w:rsidRDefault="00AC0832">
            <w:pPr>
              <w:pStyle w:val="CellColumn"/>
            </w:pPr>
            <w:r>
              <w:t>44</w:t>
            </w:r>
          </w:p>
        </w:tc>
        <w:tc>
          <w:tcPr>
            <w:tcW w:w="1300" w:type="dxa"/>
          </w:tcPr>
          <w:p w:rsidR="00AC0832" w:rsidRDefault="00AC0832">
            <w:pPr>
              <w:pStyle w:val="CellColumn"/>
            </w:pPr>
            <w:r>
              <w:t>44</w:t>
            </w:r>
          </w:p>
        </w:tc>
      </w:tr>
    </w:tbl>
    <w:p w:rsidR="00AC0832" w:rsidRDefault="00AC0832">
      <w:pPr>
        <w:jc w:val="left"/>
      </w:pPr>
    </w:p>
    <w:p w:rsidR="00AC0832" w:rsidRDefault="00AC0832">
      <w:pPr>
        <w:pStyle w:val="Heading6"/>
      </w:pPr>
      <w:r>
        <w:t>K561016 NABAVA ROBNIH ZALIHA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K561016-NABAVA ROBNIH ZALIHA REPUBLIKE HRVATSKE</w:t>
            </w:r>
          </w:p>
        </w:tc>
        <w:tc>
          <w:tcPr>
            <w:tcW w:w="2322" w:type="dxa"/>
          </w:tcPr>
          <w:p w:rsidR="00AC0832" w:rsidRDefault="00AC0832">
            <w:pPr>
              <w:pStyle w:val="CellColumn"/>
            </w:pPr>
            <w:r>
              <w:t>11.420.000</w:t>
            </w:r>
          </w:p>
        </w:tc>
        <w:tc>
          <w:tcPr>
            <w:tcW w:w="2322" w:type="dxa"/>
          </w:tcPr>
          <w:p w:rsidR="00AC0832" w:rsidRDefault="00AC0832">
            <w:pPr>
              <w:pStyle w:val="CellColumn"/>
            </w:pPr>
            <w:r>
              <w:t>33.475.236</w:t>
            </w:r>
          </w:p>
        </w:tc>
        <w:tc>
          <w:tcPr>
            <w:tcW w:w="2322" w:type="dxa"/>
          </w:tcPr>
          <w:p w:rsidR="00AC0832" w:rsidRDefault="00AC0832">
            <w:pPr>
              <w:pStyle w:val="CellColumn"/>
            </w:pPr>
            <w:r>
              <w:t>293,1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kapitalnom projektu nabava robnih zaliha ostvarena je u iznosu od 33.475.236,00 kn ili 293,1 % od plana. Izvršeno je više od plana iz razloga izvršavanja iz prihoda za posebne namjene koji su preneseni iz 2011. godine. Izvršena je nabava pšenice, kukuruza, mesnih konzervi, mlijeka u prahu, ulja i brašna. Realizacija navedenog kapitalnog projekta nastavlja se i u 2013. godini. Za izvršenje programa potrebno je osigurati značajna proračunska sredstva u narednom razdoblju kako bi se izvršila popuna strateških robnih zaliha sukladno Bilanci strateških robnih zaliha.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8"/>
        <w:gridCol w:w="1351"/>
        <w:gridCol w:w="1152"/>
        <w:gridCol w:w="1204"/>
        <w:gridCol w:w="1417"/>
        <w:gridCol w:w="1204"/>
        <w:gridCol w:w="123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Popunjenost Bilance strateških robnih zaliha s poljoprivredno-prehrambenim proizvodima</w:t>
            </w:r>
          </w:p>
        </w:tc>
        <w:tc>
          <w:tcPr>
            <w:tcW w:w="1300" w:type="dxa"/>
          </w:tcPr>
          <w:p w:rsidR="00AC0832" w:rsidRDefault="00AC0832">
            <w:pPr>
              <w:pStyle w:val="CellColumn"/>
            </w:pPr>
            <w:r>
              <w:t>Povećanjem popunjenosti Bilance strateških robnih zaliha osigurava se mogućnost intervencije robama iz strateških robnih zaliha u nastupu okolnosti koje su predviđene Zakonom o strateškim robnim zalihama.</w:t>
            </w:r>
          </w:p>
        </w:tc>
        <w:tc>
          <w:tcPr>
            <w:tcW w:w="1300" w:type="dxa"/>
          </w:tcPr>
          <w:p w:rsidR="00AC0832" w:rsidRDefault="00AC0832">
            <w:pPr>
              <w:pStyle w:val="CellColumn"/>
            </w:pPr>
            <w:r>
              <w:t>%</w:t>
            </w:r>
          </w:p>
        </w:tc>
        <w:tc>
          <w:tcPr>
            <w:tcW w:w="1300" w:type="dxa"/>
          </w:tcPr>
          <w:p w:rsidR="00AC0832" w:rsidRDefault="00AC0832">
            <w:pPr>
              <w:pStyle w:val="CellColumn"/>
            </w:pPr>
            <w:r>
              <w:t>74</w:t>
            </w:r>
          </w:p>
        </w:tc>
        <w:tc>
          <w:tcPr>
            <w:tcW w:w="1300" w:type="dxa"/>
          </w:tcPr>
          <w:p w:rsidR="00AC0832" w:rsidRDefault="00AC0832">
            <w:pPr>
              <w:pStyle w:val="CellColumn"/>
            </w:pPr>
            <w:r>
              <w:t>Ravnateljstvo za robne zalihe</w:t>
            </w:r>
          </w:p>
        </w:tc>
        <w:tc>
          <w:tcPr>
            <w:tcW w:w="1300" w:type="dxa"/>
          </w:tcPr>
          <w:p w:rsidR="00AC0832" w:rsidRDefault="00AC0832">
            <w:pPr>
              <w:pStyle w:val="CellColumn"/>
            </w:pPr>
            <w:r>
              <w:t>78</w:t>
            </w:r>
          </w:p>
        </w:tc>
        <w:tc>
          <w:tcPr>
            <w:tcW w:w="1300" w:type="dxa"/>
          </w:tcPr>
          <w:p w:rsidR="00AC0832" w:rsidRDefault="00AC0832">
            <w:pPr>
              <w:pStyle w:val="CellColumn"/>
            </w:pPr>
            <w:r>
              <w:t>77</w:t>
            </w:r>
          </w:p>
        </w:tc>
      </w:tr>
      <w:tr w:rsidR="00AC0832" w:rsidTr="00BE20ED">
        <w:trPr>
          <w:jc w:val="center"/>
        </w:trPr>
        <w:tc>
          <w:tcPr>
            <w:tcW w:w="1300" w:type="dxa"/>
          </w:tcPr>
          <w:p w:rsidR="00AC0832" w:rsidRDefault="00AC0832">
            <w:pPr>
              <w:pStyle w:val="CellColumn"/>
            </w:pPr>
            <w:r>
              <w:t>Popunjenost Bilance strateških robnih zaliha s neprehrambenim proizvodima</w:t>
            </w:r>
          </w:p>
        </w:tc>
        <w:tc>
          <w:tcPr>
            <w:tcW w:w="1300" w:type="dxa"/>
          </w:tcPr>
          <w:p w:rsidR="00AC0832" w:rsidRDefault="00AC0832">
            <w:pPr>
              <w:pStyle w:val="CellColumn"/>
            </w:pPr>
            <w:r>
              <w:t>Povećanjem popunjenosti Bilance strateških robnih zaliha osigurava se mogućnost intervencije robama iz strateških robnih zaliha u nastupu okolnosti koje su predviđene Zakonom o strateškim robnim zalihama.</w:t>
            </w:r>
          </w:p>
        </w:tc>
        <w:tc>
          <w:tcPr>
            <w:tcW w:w="1300" w:type="dxa"/>
          </w:tcPr>
          <w:p w:rsidR="00AC0832" w:rsidRDefault="00AC0832">
            <w:pPr>
              <w:pStyle w:val="CellColumn"/>
            </w:pPr>
            <w:r>
              <w:t>%</w:t>
            </w:r>
          </w:p>
        </w:tc>
        <w:tc>
          <w:tcPr>
            <w:tcW w:w="1300" w:type="dxa"/>
          </w:tcPr>
          <w:p w:rsidR="00AC0832" w:rsidRDefault="00AC0832">
            <w:pPr>
              <w:pStyle w:val="CellColumn"/>
            </w:pPr>
            <w:r>
              <w:t>44</w:t>
            </w:r>
          </w:p>
        </w:tc>
        <w:tc>
          <w:tcPr>
            <w:tcW w:w="1300" w:type="dxa"/>
          </w:tcPr>
          <w:p w:rsidR="00AC0832" w:rsidRDefault="00AC0832">
            <w:pPr>
              <w:pStyle w:val="CellColumn"/>
            </w:pPr>
            <w:r>
              <w:t>Ravnateljstvo za robne zalihe</w:t>
            </w:r>
          </w:p>
        </w:tc>
        <w:tc>
          <w:tcPr>
            <w:tcW w:w="1300" w:type="dxa"/>
          </w:tcPr>
          <w:p w:rsidR="00AC0832" w:rsidRDefault="00AC0832">
            <w:pPr>
              <w:pStyle w:val="CellColumn"/>
            </w:pPr>
            <w:r>
              <w:t>44</w:t>
            </w:r>
          </w:p>
        </w:tc>
        <w:tc>
          <w:tcPr>
            <w:tcW w:w="1300" w:type="dxa"/>
          </w:tcPr>
          <w:p w:rsidR="00AC0832" w:rsidRDefault="00AC0832">
            <w:pPr>
              <w:pStyle w:val="CellColumn"/>
            </w:pPr>
            <w:r>
              <w:t>44</w:t>
            </w:r>
          </w:p>
        </w:tc>
      </w:tr>
    </w:tbl>
    <w:p w:rsidR="00AC0832" w:rsidRDefault="00AC0832">
      <w:pPr>
        <w:jc w:val="left"/>
      </w:pPr>
    </w:p>
    <w:p w:rsidR="00AC0832" w:rsidRDefault="00AC0832">
      <w:pPr>
        <w:pStyle w:val="Heading3"/>
      </w:pPr>
      <w:r>
        <w:t>44014 Agencija za javno-privatno partnerstvo</w:t>
      </w:r>
    </w:p>
    <w:p w:rsidR="00AC0832" w:rsidRDefault="00AC0832">
      <w:pPr>
        <w:pStyle w:val="Heading4"/>
      </w:pPr>
      <w:r>
        <w:t>Uvod</w:t>
      </w:r>
    </w:p>
    <w:p w:rsidR="00AC0832" w:rsidRDefault="00AC0832">
      <w:pPr>
        <w:pStyle w:val="Normal5"/>
      </w:pPr>
      <w:r>
        <w:t xml:space="preserve">Agencija za javno-privatno partnerstvo (dalje:Agencija) osnovana je 21.studenog 2008.godine temeljem Zakona o javno privatnom partnerstvu(NN 129/08),kojeg je Hrvatski sabor usvojio na sjednici 24.listopada 2008.godine. </w:t>
      </w:r>
    </w:p>
    <w:p w:rsidR="00AC0832" w:rsidRDefault="00AC0832">
      <w:pPr>
        <w:pStyle w:val="Normal5"/>
      </w:pPr>
      <w:r>
        <w:t xml:space="preserve">U obavljanju aktivnosti propisanih Zakonom o javno-privatnom partnerstvu (dalje:Zakon o JPP-u),Agencija: </w:t>
      </w:r>
    </w:p>
    <w:p w:rsidR="00AC0832" w:rsidRDefault="00AC0832">
      <w:pPr>
        <w:pStyle w:val="Normal5"/>
      </w:pPr>
      <w:r>
        <w:t xml:space="preserve">- provodi postupak ocjene izvedivosti, ekonomičnosti, tehničkih, ekonomskih i pravnih aspekata predloženih projekata po modelu javno-privatnog partnerstva( dalje: JPP),te provjerava valjanost i cjelovitost svih predloženih dokumenata sukladno odredbama Zakona o JPP-u, </w:t>
      </w:r>
    </w:p>
    <w:p w:rsidR="00AC0832" w:rsidRDefault="00AC0832">
      <w:pPr>
        <w:pStyle w:val="Normal5"/>
      </w:pPr>
      <w:r>
        <w:t xml:space="preserve">- objavljuje popis odobrenih projekata JPP-a, te ustrojava i vodi Registar ugovora o JPP-u (dalje: Registar) </w:t>
      </w:r>
    </w:p>
    <w:p w:rsidR="00AC0832" w:rsidRDefault="00AC0832">
      <w:pPr>
        <w:pStyle w:val="Normal5"/>
      </w:pPr>
      <w:r>
        <w:t xml:space="preserve">- prati provedbu ugovora o JPP-u, prikuplja iskustva i analizira ih u svrhu poboljšanja postojećih modela JPP-a, </w:t>
      </w:r>
    </w:p>
    <w:p w:rsidR="00AC0832" w:rsidRDefault="00AC0832">
      <w:pPr>
        <w:pStyle w:val="Normal5"/>
      </w:pPr>
      <w:r>
        <w:t xml:space="preserve">- u svrhu promicanja JPP-a potiče i pruža potporu primjeni modela JPP-a na način koji jača mehanizme zaštite javnog interesa i interesa korisnika javnih usluga, </w:t>
      </w:r>
    </w:p>
    <w:p w:rsidR="00AC0832" w:rsidRDefault="00AC0832">
      <w:pPr>
        <w:pStyle w:val="Normal5"/>
      </w:pPr>
      <w:r>
        <w:t xml:space="preserve">- promiče mjere kojima se potiče pravična i uravnotežena podjela odgovornosti između javnog i privatnog sektora, </w:t>
      </w:r>
    </w:p>
    <w:p w:rsidR="00AC0832" w:rsidRDefault="00AC0832">
      <w:pPr>
        <w:pStyle w:val="Normal5"/>
      </w:pPr>
      <w:r>
        <w:t xml:space="preserve">- unaprjeđuje konkurentsko okruženje za izgradnju javne infrastrukture i pružanje javnih usluga u okviru nadležnosti središnje države i jedinica regionalne i lokalne samouprave (dalje: JL/R/S), </w:t>
      </w:r>
    </w:p>
    <w:p w:rsidR="00AC0832" w:rsidRDefault="00AC0832">
      <w:pPr>
        <w:pStyle w:val="Normal5"/>
      </w:pPr>
      <w:r>
        <w:t xml:space="preserve">- organizira i provodi izobrazbu i usavršavanje sudionika u pripremi i provedbi projekata JPP-a, te u suradnji s drugim nadležnim tijelima organizira specijalističke programe izobrazbe za javna tijela po programu i kriterijima koji su propisani Uredbom o izobrazbi sudionika u pripremi i provedbi projekata JPP-a (NN 56/09), </w:t>
      </w:r>
    </w:p>
    <w:p w:rsidR="00AC0832" w:rsidRDefault="00AC0832">
      <w:pPr>
        <w:pStyle w:val="Normal5"/>
      </w:pPr>
      <w:r>
        <w:t xml:space="preserve">- obavlja poslove međuresorne koordinacije u pripremi i provedbi projekata JPP-a, </w:t>
      </w:r>
    </w:p>
    <w:p w:rsidR="00AC0832" w:rsidRDefault="00AC0832">
      <w:pPr>
        <w:pStyle w:val="Normal5"/>
      </w:pPr>
      <w:r>
        <w:t xml:space="preserve">- izučava domaću i inozemnu praksu u svrhu unapređenja modela JPP-a i primjene najbolje prakse, </w:t>
      </w:r>
    </w:p>
    <w:p w:rsidR="00AC0832" w:rsidRDefault="00AC0832">
      <w:pPr>
        <w:pStyle w:val="Normal5"/>
      </w:pPr>
      <w:r>
        <w:t xml:space="preserve">- sudjeluje u aktivnostima vezanim za suradnju Republike Hrvatske s Europskom unijom (dalje: EU), posebno kada je riječ o predpristupnim pregovorima u okviru poglavlja 5-Javna nabava, </w:t>
      </w:r>
    </w:p>
    <w:p w:rsidR="00AC0832" w:rsidRDefault="00AC0832">
      <w:pPr>
        <w:pStyle w:val="Normal5"/>
      </w:pPr>
      <w:r>
        <w:t xml:space="preserve">- inicira mjere, daje preporuke i prijedloge nadležnim ministarstvima i Vladi Republike Hrvatske (dalje:VRH), radi unapređenja modela JPP-a i usvajanja metodologija ocjene, odobravanja i praćenja provedbe projekata JPP-a, kako bi se osigurala njihova uspješnost i fiskalna održivost. </w:t>
      </w:r>
    </w:p>
    <w:p w:rsidR="00AC0832" w:rsidRDefault="00AC0832">
      <w:pPr>
        <w:pStyle w:val="Normal5"/>
      </w:pPr>
      <w:r>
        <w:t xml:space="preserve">Ukupni iznos sredstava predviđenih Financijskim planom za rad Agencije za javno privatno partnerstvo (dalje: Agencija) u 2012. godini bio je 7.680.548 kn. Izvršenje rashoda i izdataka financijskog plana Agencije za 2012. godinu iznosilo je 6.303.610 kn, odnosno 82,1%.  </w:t>
      </w:r>
    </w:p>
    <w:p w:rsidR="00AC0832" w:rsidRDefault="00AC0832">
      <w:pPr>
        <w:pStyle w:val="Normal5"/>
      </w:pPr>
      <w:r>
        <w:t xml:space="preserve">31  Rashodi za zaposlene </w:t>
      </w:r>
    </w:p>
    <w:p w:rsidR="00AC0832" w:rsidRDefault="00AC0832">
      <w:pPr>
        <w:pStyle w:val="Normal5"/>
      </w:pPr>
      <w:r>
        <w:t xml:space="preserve">Ukupni rashodi za zaposlene iznosili su 3.009.901,34 kn ili 47,75% od ukupno izvršenih rashoda i izdataka u proračunu Agencije, odnosno  97 % od plana za 2012.godinu. </w:t>
      </w:r>
    </w:p>
    <w:p w:rsidR="00AC0832" w:rsidRDefault="00AC0832">
      <w:pPr>
        <w:pStyle w:val="Normal5"/>
      </w:pPr>
      <w:r>
        <w:t xml:space="preserve">32  Materijalni rashodi </w:t>
      </w:r>
    </w:p>
    <w:p w:rsidR="00AC0832" w:rsidRDefault="00AC0832">
      <w:pPr>
        <w:pStyle w:val="Normal5"/>
      </w:pPr>
      <w:r>
        <w:t xml:space="preserve">Materijalni rashodi iznosili su 3.242.735,84 kn ili 51,44 % od ukupno izvršenih rashoda i izdataka u proračunu Agencije, odnosno 72 % od plana za 2012.godinu.  </w:t>
      </w:r>
    </w:p>
    <w:p w:rsidR="00AC0832" w:rsidRDefault="00AC0832">
      <w:pPr>
        <w:pStyle w:val="Normal5"/>
      </w:pPr>
      <w:r>
        <w:t xml:space="preserve">U iskazanim materijalnim rashodima najviše izdataka se odnosi na rashode za intelektualne usluge po projektu IPA ( kn 1.493.824,62 - izvor 12 i 51).  </w:t>
      </w:r>
    </w:p>
    <w:p w:rsidR="00AC0832" w:rsidRDefault="00AC0832">
      <w:pPr>
        <w:pStyle w:val="Normal5"/>
      </w:pPr>
      <w:r>
        <w:t xml:space="preserve">34  Financijski rashodi  </w:t>
      </w:r>
    </w:p>
    <w:p w:rsidR="00AC0832" w:rsidRDefault="00AC0832">
      <w:pPr>
        <w:pStyle w:val="Normal5"/>
      </w:pPr>
      <w:r>
        <w:t xml:space="preserve">Ukupni financijski rashodi iznosili su  718,49 kn ili 0,01% od ukupno izvršenih rashoda i izdataka u proračunu Agencije, odnosno 10 % od plana za 2012. godinu. </w:t>
      </w:r>
    </w:p>
    <w:p w:rsidR="00AC0832" w:rsidRDefault="00AC0832">
      <w:pPr>
        <w:pStyle w:val="Normal5"/>
      </w:pPr>
      <w:r>
        <w:t xml:space="preserve">37  Naknade građanima i kućanstvu u novcu </w:t>
      </w:r>
    </w:p>
    <w:p w:rsidR="00AC0832" w:rsidRDefault="00AC0832">
      <w:pPr>
        <w:pStyle w:val="Normal5"/>
      </w:pPr>
      <w:r>
        <w:t xml:space="preserve">Naknade građanima i kućanstvu u novcu ( stipendije i školarine ) iznosile su 45.478,10 kn ili 0,72% od ukupno izvršenih rashoda i izdataka u proračunu Agencije, odnosno 100% od plana za 2012.godinu. </w:t>
      </w:r>
    </w:p>
    <w:p w:rsidR="00AC0832" w:rsidRDefault="00AC0832">
      <w:pPr>
        <w:pStyle w:val="Normal5"/>
      </w:pPr>
      <w:r>
        <w:t xml:space="preserve">41 Rashodi za nabavu neproizvedene imovine </w:t>
      </w:r>
    </w:p>
    <w:p w:rsidR="00AC0832" w:rsidRDefault="00AC0832">
      <w:pPr>
        <w:pStyle w:val="Normal5"/>
      </w:pPr>
      <w:r>
        <w:t xml:space="preserve">Rashodi za nabavu neproizvedene imovine iznosili su 0 kn. </w:t>
      </w:r>
    </w:p>
    <w:p w:rsidR="00AC0832" w:rsidRDefault="00AC0832">
      <w:pPr>
        <w:pStyle w:val="Normal5"/>
      </w:pPr>
      <w:r>
        <w:t xml:space="preserve">42 Rashodi za nabavu proizvedene dugotrajne imovine </w:t>
      </w:r>
    </w:p>
    <w:p w:rsidR="00AC0832" w:rsidRDefault="00AC0832">
      <w:pPr>
        <w:pStyle w:val="Normal5"/>
      </w:pPr>
      <w:r>
        <w:t>Rashodi za nabavu proizvedene dugotrajne imovine iznosili su 4.776,00 kn ili 0,08 % od ukupno izvršenih rashoda i izdataka u proračunu Agencije, odnosno 20 % od plana za 2012.godinu.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44014-Agencija za javno-privatno partnerstvo</w:t>
            </w:r>
          </w:p>
        </w:tc>
        <w:tc>
          <w:tcPr>
            <w:tcW w:w="2322" w:type="dxa"/>
          </w:tcPr>
          <w:p w:rsidR="00AC0832" w:rsidRDefault="00AC0832">
            <w:pPr>
              <w:pStyle w:val="CellColumn"/>
            </w:pPr>
            <w:r>
              <w:t>7.680.548</w:t>
            </w:r>
          </w:p>
        </w:tc>
        <w:tc>
          <w:tcPr>
            <w:tcW w:w="2322" w:type="dxa"/>
          </w:tcPr>
          <w:p w:rsidR="00AC0832" w:rsidRDefault="00AC0832">
            <w:pPr>
              <w:pStyle w:val="CellColumn"/>
            </w:pPr>
            <w:r>
              <w:t>6.303.610</w:t>
            </w:r>
          </w:p>
        </w:tc>
        <w:tc>
          <w:tcPr>
            <w:tcW w:w="2322" w:type="dxa"/>
          </w:tcPr>
          <w:p w:rsidR="00AC0832" w:rsidRDefault="00AC0832">
            <w:pPr>
              <w:pStyle w:val="CellColumn"/>
            </w:pPr>
            <w:r>
              <w:t>82,1</w:t>
            </w:r>
          </w:p>
        </w:tc>
      </w:tr>
      <w:tr w:rsidR="00AC0832" w:rsidTr="00BE20ED">
        <w:trPr>
          <w:jc w:val="center"/>
        </w:trPr>
        <w:tc>
          <w:tcPr>
            <w:tcW w:w="2322" w:type="dxa"/>
          </w:tcPr>
          <w:p w:rsidR="00AC0832" w:rsidRDefault="00AC0832">
            <w:pPr>
              <w:pStyle w:val="CellColumnSmall"/>
            </w:pPr>
            <w:r>
              <w:t>3201-UPRAVLJANJE PROGRAMIMA POTICANJA GOSPODARSKIH AKTIVNOSTI</w:t>
            </w:r>
          </w:p>
        </w:tc>
        <w:tc>
          <w:tcPr>
            <w:tcW w:w="2322" w:type="dxa"/>
          </w:tcPr>
          <w:p w:rsidR="00AC0832" w:rsidRDefault="00AC0832">
            <w:pPr>
              <w:pStyle w:val="CellColumnSmall"/>
            </w:pPr>
            <w:r>
              <w:t>7.680.548</w:t>
            </w:r>
          </w:p>
        </w:tc>
        <w:tc>
          <w:tcPr>
            <w:tcW w:w="2322" w:type="dxa"/>
          </w:tcPr>
          <w:p w:rsidR="00AC0832" w:rsidRDefault="00AC0832">
            <w:pPr>
              <w:pStyle w:val="CellColumnSmall"/>
            </w:pPr>
            <w:r>
              <w:t>6.303.610</w:t>
            </w:r>
          </w:p>
        </w:tc>
        <w:tc>
          <w:tcPr>
            <w:tcW w:w="2322" w:type="dxa"/>
          </w:tcPr>
          <w:p w:rsidR="00AC0832" w:rsidRDefault="00AC0832">
            <w:pPr>
              <w:pStyle w:val="CellColumnSmall"/>
            </w:pPr>
            <w:r>
              <w:t>82,1</w:t>
            </w:r>
          </w:p>
        </w:tc>
      </w:tr>
    </w:tbl>
    <w:p w:rsidR="00AC0832" w:rsidRDefault="00AC0832">
      <w:pPr>
        <w:jc w:val="left"/>
      </w:pPr>
    </w:p>
    <w:p w:rsidR="00AC0832" w:rsidRDefault="00AC0832">
      <w:pPr>
        <w:pStyle w:val="Heading4"/>
      </w:pPr>
      <w:r>
        <w:t>OBRAZLOŽENJE PROGRAMA</w:t>
      </w:r>
    </w:p>
    <w:p w:rsidR="00AC0832" w:rsidRDefault="00AC0832">
      <w:pPr>
        <w:pStyle w:val="Heading5"/>
      </w:pPr>
      <w:r>
        <w:t>3201 UPRAVLJANJE PROGRAMIMA POTICANJA GOSPODARSKIH AKTIVNOSTI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3201-UPRAVLJANJE PROGRAMIMA POTICANJA GOSPODARSKIH AKTIVNOSTI</w:t>
            </w:r>
          </w:p>
        </w:tc>
        <w:tc>
          <w:tcPr>
            <w:tcW w:w="2322" w:type="dxa"/>
          </w:tcPr>
          <w:p w:rsidR="00AC0832" w:rsidRDefault="00AC0832">
            <w:pPr>
              <w:pStyle w:val="CellColumn"/>
            </w:pPr>
            <w:r>
              <w:t>7.680.548</w:t>
            </w:r>
          </w:p>
        </w:tc>
        <w:tc>
          <w:tcPr>
            <w:tcW w:w="2322" w:type="dxa"/>
          </w:tcPr>
          <w:p w:rsidR="00AC0832" w:rsidRDefault="00AC0832">
            <w:pPr>
              <w:pStyle w:val="CellColumn"/>
            </w:pPr>
            <w:r>
              <w:t>6.303.610</w:t>
            </w:r>
          </w:p>
        </w:tc>
        <w:tc>
          <w:tcPr>
            <w:tcW w:w="2322" w:type="dxa"/>
          </w:tcPr>
          <w:p w:rsidR="00AC0832" w:rsidRDefault="00AC0832">
            <w:pPr>
              <w:pStyle w:val="CellColumn"/>
            </w:pPr>
            <w:r>
              <w:t>82,1</w:t>
            </w:r>
          </w:p>
        </w:tc>
      </w:tr>
    </w:tbl>
    <w:p w:rsidR="00AC0832" w:rsidRDefault="00AC0832">
      <w:pPr>
        <w:jc w:val="left"/>
      </w:pPr>
    </w:p>
    <w:p w:rsidR="00AC0832" w:rsidRDefault="00AC0832">
      <w:pPr>
        <w:pStyle w:val="Heading6"/>
      </w:pPr>
      <w:r>
        <w:t>Opis programa</w:t>
      </w:r>
    </w:p>
    <w:p w:rsidR="00AC0832" w:rsidRDefault="00AC0832">
      <w:r>
        <w:t xml:space="preserve">Primjena modela javno privatnog partnerstva u Republici Hrvatskoj temelji se prije svega na provedbi Strategije razvoja sustava javne nabave u RH, koju je VRH usvojila 30.lipnja 2008.godine, te Strateškom okviru za razvoj JPP-a u RH, koji je VRH usvojila 8.prosinca 2009.godine, a koji za ciljeve ima: </w:t>
      </w:r>
    </w:p>
    <w:p w:rsidR="00AC0832" w:rsidRDefault="00AC0832">
      <w:r>
        <w:t xml:space="preserve">- bolji omjer vrijednosti za novac poreznih obveznika, </w:t>
      </w:r>
    </w:p>
    <w:p w:rsidR="00AC0832" w:rsidRDefault="00AC0832">
      <w:r>
        <w:t xml:space="preserve">- optimalnu raspodjelu rizika i bolje upravljanje rizicima, </w:t>
      </w:r>
    </w:p>
    <w:p w:rsidR="00AC0832" w:rsidRDefault="00AC0832">
      <w:r>
        <w:t xml:space="preserve">- suradnju na svim razinama javne vlasti, kako bi se iskoristile prednosti objedinjavanja projektiranja, izgradnje, financiranja i održavanja javne infrastrukture, </w:t>
      </w:r>
    </w:p>
    <w:p w:rsidR="00AC0832" w:rsidRDefault="00AC0832">
      <w:r>
        <w:t xml:space="preserve">- stvaranje dodane vrijednosti kroz suradnju javnih vlasti i privatnog sektora, putem međusobne razmjene vještina i znanja, </w:t>
      </w:r>
    </w:p>
    <w:p w:rsidR="00AC0832" w:rsidRDefault="00AC0832">
      <w:r>
        <w:t xml:space="preserve">- stvaranje dodatnih razvojnih mogućnosti za gospodarstvo otvaranjem novih tržišnih niša i novim mogućnostima ulaganja, </w:t>
      </w:r>
    </w:p>
    <w:p w:rsidR="00AC0832" w:rsidRDefault="00AC0832">
      <w:r>
        <w:t xml:space="preserve">- podizanje konkurentske razine gospodarstva sudjelovanjem većeg broja ulagača i privatnih partnera u provedbi JPP projekata, </w:t>
      </w:r>
    </w:p>
    <w:p w:rsidR="00AC0832" w:rsidRDefault="00AC0832">
      <w:r>
        <w:t xml:space="preserve">- povećanje kapaciteta izgradnje u odnosu na izgradnju financiranu isključivo na teret proračuna središnje države i područnih (regionalnih) i lokalnih jedinica samouprave, </w:t>
      </w:r>
    </w:p>
    <w:p w:rsidR="00AC0832" w:rsidRDefault="00AC0832">
      <w:r>
        <w:t xml:space="preserve">- podizanje kvalitete pruženih javnih usluga na višu razinu, </w:t>
      </w:r>
    </w:p>
    <w:p w:rsidR="00AC0832" w:rsidRDefault="00AC0832">
      <w:r>
        <w:t xml:space="preserve">- reformu javne uprave razdvajanjem regulatornih i nadzornih funkcija javnih tijela od odgovornosti za provedbu i primjenu propisanih standarda na strani privatnih partnera, </w:t>
      </w:r>
    </w:p>
    <w:p w:rsidR="00AC0832" w:rsidRDefault="00AC0832">
      <w:r>
        <w:t xml:space="preserve">- inovativnost u pružanju javnih usluga i  </w:t>
      </w:r>
    </w:p>
    <w:p w:rsidR="00AC0832" w:rsidRDefault="00AC0832">
      <w:r>
        <w:t xml:space="preserve">- učinkovitije korištenje proračunskih sredstava i javne imovine za dobro svih korisnika javnih usluga.  </w:t>
      </w:r>
    </w:p>
    <w:p w:rsidR="00AC0832" w:rsidRDefault="00AC0832">
      <w:r>
        <w:t xml:space="preserve">Ciljevi Strategije razvoja sustava javne nabave u RH i navedeni ciljevi Strateškog okvira za razvoj JPP u RH su povezani i sa sljedećim ciljevima Strategije Vladinih programa za razdoblje 2011-2013: </w:t>
      </w:r>
    </w:p>
    <w:p w:rsidR="00AC0832" w:rsidRDefault="00AC0832">
      <w:r>
        <w:t xml:space="preserve">posebni cilj 1.1.  Učinkovitije upravljanje javnim financijama ( posebno tč.2.), </w:t>
      </w:r>
    </w:p>
    <w:p w:rsidR="00AC0832" w:rsidRDefault="00AC0832">
      <w:r>
        <w:t xml:space="preserve">posebni cilj 1.3.  Jačanje kapaciteta za korištenje fondova EU (uz navedene mjere i kroz doprinos u kombiniranom </w:t>
      </w:r>
    </w:p>
    <w:p w:rsidR="00AC0832" w:rsidRDefault="00AC0832">
      <w:r>
        <w:t xml:space="preserve">                           financiranju primjenom modela JPP-a i korištenjem sredstava iz fondova EU), </w:t>
      </w:r>
    </w:p>
    <w:p w:rsidR="00AC0832" w:rsidRDefault="00AC0832">
      <w:r>
        <w:t xml:space="preserve">posebni cilj 2.1.  Jačanje konkurentnosti gospodarskih subjekata, </w:t>
      </w:r>
    </w:p>
    <w:p w:rsidR="00AC0832" w:rsidRDefault="00AC0832">
      <w:r>
        <w:t xml:space="preserve">posebni cilj 3.2.  Suzbijanje korupcije i organiziranog kriminala, </w:t>
      </w:r>
    </w:p>
    <w:p w:rsidR="00AC0832" w:rsidRDefault="00AC0832">
      <w:r>
        <w:t xml:space="preserve">posebni cilj 5.1.  Razvoj županija i statističkih regija, </w:t>
      </w:r>
    </w:p>
    <w:p w:rsidR="00AC0832" w:rsidRDefault="00AC0832">
      <w:r>
        <w:t xml:space="preserve">posebni cilj 5.2.  Održivi razvoj slabije razvijenih regija, </w:t>
      </w:r>
    </w:p>
    <w:p w:rsidR="00AC0832" w:rsidRDefault="00AC0832">
      <w:r>
        <w:t xml:space="preserve">posebni cilj 5.3.  Razvoj pograničnih područja, </w:t>
      </w:r>
    </w:p>
    <w:p w:rsidR="00AC0832" w:rsidRDefault="00AC0832">
      <w:r>
        <w:t xml:space="preserve">posebni cilj 5.5.  Održivi razvoj vodnog gospodarstva, </w:t>
      </w:r>
    </w:p>
    <w:p w:rsidR="00AC0832" w:rsidRDefault="00AC0832">
      <w:r>
        <w:t xml:space="preserve">posebni cilj 5.6.  Razvijanje prometnog sustava, </w:t>
      </w:r>
    </w:p>
    <w:p w:rsidR="00AC0832" w:rsidRDefault="00AC0832">
      <w:r>
        <w:t xml:space="preserve">posebni cilj 9.1.  Završetak pregovora i članstvo u EU, </w:t>
      </w:r>
    </w:p>
    <w:p w:rsidR="00AC0832" w:rsidRDefault="00AC0832">
      <w:r>
        <w:t xml:space="preserve">posebni cilj 12.1. Zaštita okoliša i djelotvorno upravljanje okolišem, te </w:t>
      </w:r>
    </w:p>
    <w:p w:rsidR="00AC0832" w:rsidRDefault="00AC0832">
      <w:r>
        <w:t>posebni cilj 12.2. Zaštita i očuvanje prirode</w:t>
      </w:r>
    </w:p>
    <w:p w:rsidR="00AC0832" w:rsidRDefault="00AC0832">
      <w:pPr>
        <w:pStyle w:val="Heading6"/>
      </w:pPr>
      <w:r>
        <w:t>Zakonske i druge pravne osnove</w:t>
      </w:r>
    </w:p>
    <w:p w:rsidR="00AC0832" w:rsidRDefault="00AC0832">
      <w:r>
        <w:t xml:space="preserve">Pravni temelji za aktivnosti Agencije do 21.srpnja 2012.godine bili su Zakon o javno privatnom partnerstvu (NN 129/08) i Zakon o izmjenama Zakona o javno-privatnom partnerstvu (NN 55/11 ), te sljedeći  pod zakonski akti: </w:t>
      </w:r>
    </w:p>
    <w:p w:rsidR="00AC0832" w:rsidRDefault="00AC0832">
      <w:r>
        <w:t xml:space="preserve">- Uredba o kriterijima ocjene i odobravanja projekata javno privatnog partnerstva (NN 56/09), </w:t>
      </w:r>
    </w:p>
    <w:p w:rsidR="00AC0832" w:rsidRDefault="00AC0832">
      <w:r>
        <w:t xml:space="preserve">- Uredba o sadržaju ugovora o javno privatnom partnerstvu (NN 56/09), </w:t>
      </w:r>
    </w:p>
    <w:p w:rsidR="00AC0832" w:rsidRDefault="00AC0832">
      <w:r>
        <w:t xml:space="preserve">- Uredba o nadzoru provedbe projekata javno privatnog partnerstva (NN 56/09) i  </w:t>
      </w:r>
    </w:p>
    <w:p w:rsidR="00AC0832" w:rsidRDefault="00AC0832">
      <w:r>
        <w:t xml:space="preserve">- Uredba o izobrazbi sudionika u postupcima pripreme i provedbe projekata javno privatnog partnerstva (NN 56/09) </w:t>
      </w:r>
    </w:p>
    <w:p w:rsidR="00AC0832" w:rsidRDefault="00AC0832">
      <w:r>
        <w:t xml:space="preserve">- Pravilnik o ustroju i vođenju Registra Ugovora o javno privatnom partnerstvu (NN 147/2010 ) </w:t>
      </w:r>
    </w:p>
    <w:p w:rsidR="00AC0832" w:rsidRDefault="00AC0832">
      <w:r>
        <w:t>Dne, 21.srpnja 2012.godine na snagu je stupio novi Zakon o javno-privatnom partnerstvu (NN 78/12) i Uredba o provedbi projekata JPP (NN 88/12), koja zamjenjuje prethodne četiri Uredbe. Predložen je i novi Pravilnik o ustroju i vođenju ugovora o JPP-u te je dostavljen Ministarstvu gospodarstva na daljnje postupanje.</w:t>
      </w:r>
    </w:p>
    <w:p w:rsidR="00AC0832" w:rsidRDefault="00AC0832">
      <w:pPr>
        <w:pStyle w:val="Heading7"/>
      </w:pPr>
      <w:r>
        <w:t>Cilj 1. Provedba programa javno privatnog partnerstva</w:t>
      </w:r>
    </w:p>
    <w:p w:rsidR="00AC0832" w:rsidRDefault="00AC0832">
      <w:pPr>
        <w:pStyle w:val="Heading8"/>
        <w:jc w:val="left"/>
      </w:pPr>
      <w:r>
        <w:t>Opis provedbe cilja programa</w:t>
      </w:r>
    </w:p>
    <w:p w:rsidR="00AC0832" w:rsidRDefault="00AC0832">
      <w:pPr>
        <w:pStyle w:val="Normal6"/>
      </w:pPr>
      <w:r>
        <w:t xml:space="preserve">Glavni ciljevi u provedbi programa javno-privatnog partnerstva tijekom 2012. godine bili su: </w:t>
      </w:r>
    </w:p>
    <w:p w:rsidR="00AC0832" w:rsidRDefault="00AC0832">
      <w:pPr>
        <w:pStyle w:val="Normal6"/>
      </w:pPr>
      <w:r>
        <w:t xml:space="preserve">-odobravanje projektnih prijedloga, dokumentacije za nadmetanje i nacrta ugovora za provedbu projekata po modelu javno-privatnog partnerstva (dalje: JPP), </w:t>
      </w:r>
    </w:p>
    <w:p w:rsidR="00AC0832" w:rsidRDefault="00AC0832">
      <w:pPr>
        <w:pStyle w:val="Normal6"/>
      </w:pPr>
      <w:r>
        <w:t xml:space="preserve">-interna izobrazba djelatnika Agencije, te izobrazba zaposlenika u javnom sektoru za primjenu modela JPP-a, uključivo provedbu projekta pripreme web foruma Agencije u svrhu snažnijeg otvaranja rada Agencije prema javnosti i omogućavanja šire stručne rasprave o JPP-u, te </w:t>
      </w:r>
    </w:p>
    <w:p w:rsidR="00AC0832" w:rsidRDefault="00AC0832">
      <w:pPr>
        <w:pStyle w:val="Normal6"/>
      </w:pPr>
      <w:r>
        <w:t xml:space="preserve">-jačanje međunarodne suradnje, a što uz ostalo uključuje aktivno sudjelovanje u radu vodećih međunarodnih centara znanja o JPP-u, provedbu projekta poticanja regionalne suradnje u okviru Mreže za JPP u jugoistočnoj Europi (dalje: Mreža za JPP), te pripremu novog IPA projekta. </w:t>
      </w:r>
    </w:p>
    <w:p w:rsidR="00AC0832" w:rsidRDefault="00AC0832">
      <w:pPr>
        <w:pStyle w:val="Normal6"/>
      </w:pPr>
      <w:r>
        <w:t xml:space="preserve">Sukladno odredbama „starog Zakona“, Agencija je odobrila konačni tekst ugovora o koncesiji za projekt „Novi putnički terminal Zračne luke Zagreb“ investicijske vrijednosti 230 000 000 €. Ugovor je potpisan 11. travnja 2012. god.  </w:t>
      </w:r>
    </w:p>
    <w:p w:rsidR="00AC0832" w:rsidRDefault="00AC0832">
      <w:pPr>
        <w:pStyle w:val="Normal6"/>
      </w:pPr>
      <w:r>
        <w:t xml:space="preserve">Također, odobren je i konačni tekst ugovora o javno-privatnom partnerstvu za projekt „Dom za starije i nemoćne Gerovo“ investicijske vrijednosti 3 000 000 €. </w:t>
      </w:r>
    </w:p>
    <w:p w:rsidR="00AC0832" w:rsidRDefault="00AC0832">
      <w:pPr>
        <w:pStyle w:val="Normal6"/>
      </w:pPr>
      <w:r>
        <w:t xml:space="preserve">Projekt Kolodvor Zapadna Žabica u Rijeci u vrijednosti od 49 000 000 € odobren je od strane Agencije i pred postupkom je javne nabave. </w:t>
      </w:r>
    </w:p>
    <w:p w:rsidR="00AC0832" w:rsidRDefault="00AC0832">
      <w:pPr>
        <w:pStyle w:val="Normal6"/>
      </w:pPr>
      <w:r>
        <w:t xml:space="preserve">Sukladno odredbama „novoga Zakona“, Agencija je u 2012. zaprimila Informacije o namjeri provedbe JPP projekata za slijedeće potencijalne projekte JPP-a: </w:t>
      </w:r>
    </w:p>
    <w:p w:rsidR="00AC0832" w:rsidRDefault="00AC0832">
      <w:pPr>
        <w:pStyle w:val="Normal6"/>
      </w:pPr>
      <w:r>
        <w:t xml:space="preserve">- 2  školske zgrade u gradu Dubrovniku; </w:t>
      </w:r>
    </w:p>
    <w:p w:rsidR="00AC0832" w:rsidRDefault="00AC0832">
      <w:pPr>
        <w:pStyle w:val="Normal6"/>
      </w:pPr>
      <w:r>
        <w:t xml:space="preserve">- 9 školskih zgrada u Varaždinskoj županiji;  </w:t>
      </w:r>
    </w:p>
    <w:p w:rsidR="00AC0832" w:rsidRDefault="00AC0832">
      <w:pPr>
        <w:pStyle w:val="Normal6"/>
      </w:pPr>
      <w:r>
        <w:t xml:space="preserve">- 4 školske zgrade u Istarskoj županiji/gradu Poreču; </w:t>
      </w:r>
    </w:p>
    <w:p w:rsidR="00AC0832" w:rsidRDefault="00AC0832">
      <w:pPr>
        <w:pStyle w:val="Normal6"/>
      </w:pPr>
      <w:r>
        <w:t xml:space="preserve">- Trg pravde u Zagrebu; </w:t>
      </w:r>
    </w:p>
    <w:p w:rsidR="00AC0832" w:rsidRDefault="00AC0832">
      <w:pPr>
        <w:pStyle w:val="Normal6"/>
      </w:pPr>
      <w:r>
        <w:t xml:space="preserve">- Hrvatski državni arhiv u Kerestincu; </w:t>
      </w:r>
    </w:p>
    <w:p w:rsidR="00AC0832" w:rsidRDefault="00AC0832">
      <w:pPr>
        <w:pStyle w:val="Normal6"/>
      </w:pPr>
      <w:r>
        <w:t xml:space="preserve">- Hrvatski povijesni muzej u Zagrebu. </w:t>
      </w:r>
    </w:p>
    <w:p w:rsidR="00AC0832" w:rsidRDefault="00AC0832">
      <w:pPr>
        <w:pStyle w:val="Normal6"/>
      </w:pPr>
      <w:r>
        <w:t xml:space="preserve">Ukupna vrijednost navedenih projekata iznosi 2 032 000 000 kn (271 000 000 €). </w:t>
      </w:r>
    </w:p>
    <w:p w:rsidR="00AC0832" w:rsidRDefault="00AC0832">
      <w:pPr>
        <w:pStyle w:val="Normal6"/>
      </w:pPr>
      <w:r>
        <w:t xml:space="preserve">Najvažnije zadaće Sektora za međunarodnu suradnju u 2012. godini bile su: </w:t>
      </w:r>
    </w:p>
    <w:p w:rsidR="00AC0832" w:rsidRDefault="00AC0832">
      <w:pPr>
        <w:pStyle w:val="Normal6"/>
      </w:pPr>
      <w:r>
        <w:t xml:space="preserve">- ispunjavanje obveza u okviru Poglavlja 5 - Javna nabava do ulaska RH u EU, sukladno obvezama    </w:t>
      </w:r>
    </w:p>
    <w:p w:rsidR="00AC0832" w:rsidRDefault="00AC0832">
      <w:pPr>
        <w:pStyle w:val="Normal6"/>
      </w:pPr>
      <w:r>
        <w:t xml:space="preserve">  preuzetim u Izvješću VRH iz lipnja 2011. godine o ispunjavanju obaveza u okviru Poglavlja 5 i postignutog napretka;  </w:t>
      </w:r>
    </w:p>
    <w:p w:rsidR="00AC0832" w:rsidRDefault="00AC0832">
      <w:pPr>
        <w:pStyle w:val="Normal6"/>
      </w:pPr>
      <w:r>
        <w:t xml:space="preserve">- ugovaranje i provedba novog TWL projekata u okviru IPA-e; </w:t>
      </w:r>
    </w:p>
    <w:p w:rsidR="00AC0832" w:rsidRDefault="00AC0832">
      <w:pPr>
        <w:pStyle w:val="Normal6"/>
      </w:pPr>
      <w:r>
        <w:t xml:space="preserve">- suradnja sa EPEC-om i pokretanje regionalnog projekta u okviru kojeg bi se osigurala praksa (tzv.Secondment) djelatnika Agencije u Europskoj investicijskog banci na najmanje šest mjeseci; </w:t>
      </w:r>
    </w:p>
    <w:p w:rsidR="00AC0832" w:rsidRDefault="00AC0832">
      <w:pPr>
        <w:pStyle w:val="Normal6"/>
      </w:pPr>
      <w:r>
        <w:t xml:space="preserve">- suradnja sa OECD/SIGMA-om; </w:t>
      </w:r>
    </w:p>
    <w:p w:rsidR="00AC0832" w:rsidRDefault="00AC0832">
      <w:pPr>
        <w:pStyle w:val="Normal6"/>
      </w:pPr>
      <w:r>
        <w:t xml:space="preserve">- suradnja s Timom specijalista za JPP (TOS); </w:t>
      </w:r>
    </w:p>
    <w:p w:rsidR="00AC0832" w:rsidRDefault="00AC0832">
      <w:pPr>
        <w:pStyle w:val="Normal6"/>
      </w:pPr>
      <w:r>
        <w:t xml:space="preserve">- suradnja s RESPA-om; </w:t>
      </w:r>
    </w:p>
    <w:p w:rsidR="00AC0832" w:rsidRDefault="00AC0832">
      <w:pPr>
        <w:pStyle w:val="Normal6"/>
      </w:pPr>
      <w:r>
        <w:t xml:space="preserve">- bilateralna suradnja s nacionalnim tijelima drugih država. </w:t>
      </w:r>
    </w:p>
    <w:p w:rsidR="00AC0832" w:rsidRDefault="00AC0832">
      <w:pPr>
        <w:pStyle w:val="Normal6"/>
      </w:pPr>
      <w:r>
        <w:t xml:space="preserve">Agencija je održala veći broj sastanaka s potencijalnim naručiteljima vezano za moguću pripremu i strukturiranje projekata JPP-a u sektorima odgoja i obrazovanja (dječji vrtići), transporta (izgradnja željezničke infrastrukture, zračne luke), vodnog gospodarstva (navodnjavanje i pročistači otpadnih voda),  vatrogastva (izgradnja vatrogasnih  </w:t>
      </w:r>
    </w:p>
    <w:p w:rsidR="00AC0832" w:rsidRDefault="00AC0832">
      <w:pPr>
        <w:pStyle w:val="Normal6"/>
      </w:pPr>
      <w:r>
        <w:t xml:space="preserve">postaja) i sl.    </w:t>
      </w:r>
    </w:p>
    <w:p w:rsidR="00AC0832" w:rsidRDefault="00AC0832">
      <w:pPr>
        <w:pStyle w:val="Normal6"/>
      </w:pPr>
      <w:r>
        <w:t xml:space="preserve">Da bi se povećalo razumijevanje primjene modela javno-privatnog partnerstva predstavnici Agencije prezentirali su principe JPP modela kod različitih subjekata. Do sada su prezentacije održane na nekoliko međunarodnih skupova (Danilovgrad, Crna Gora, EU Croatia Summit, SEE Conference, Financing Transport Infrastructure in WB&amp;SEE, Konferencija o javno-privatnom partnerstvu u Mostaru, Prezentacija JPP-a u Sarajevu) i u Hrvatskoj (Ekonomski fakultet Zagreb, Ekonomski fakultet Rijeka, Komora inženjera, KBC Rijeka, Grad Pula, Pazin, Virovitica, Opatija, Rovinj, Rijeka, HŽ – infrastruktura). Također, u suradnji sa CEI d.o.o. i Liderpress d.o.o. održane su četiri velike konferencije u Zagrebu, Rijeci, Osijeku i Splitu na kojima je bio vrlo veliki odaziv i interes sudionika u postavljanju vrlo racionalnih pitanja o meritumu stvari. Konferencije se ocjenjuju iznimno uspješnima. </w:t>
      </w:r>
    </w:p>
    <w:p w:rsidR="00AC0832" w:rsidRDefault="00AC0832">
      <w:pPr>
        <w:pStyle w:val="Normal6"/>
      </w:pPr>
      <w:r>
        <w:t xml:space="preserve">U 2012. godini Agencija je zaprimila više od 60 upita za stručno mišljenje i dostavu podataka, te je na sve zaprimljene upite odgovorila u traženom roku. </w:t>
      </w:r>
    </w:p>
    <w:p w:rsidR="00AC0832" w:rsidRDefault="00AC0832">
      <w:pPr>
        <w:pStyle w:val="Normal6"/>
      </w:pPr>
      <w:r>
        <w:t xml:space="preserve">Održan je niz radnih sastanaka i konzultacija u Agenciji i u tijelima JLP(R)S, na kojima su djelatnici Agencije potencijalnim naručiteljima davali tražena pojašnjenja o svim pitanjima, vezanim za primjenu ZJPP-a, pripremu zahtjeva za odobrenje prijedloga projekta, te provedbu samog postupka odobravanja. </w:t>
      </w:r>
    </w:p>
    <w:p w:rsidR="00AC0832" w:rsidRDefault="00AC0832">
      <w:pPr>
        <w:pStyle w:val="Normal6"/>
      </w:pPr>
      <w:r>
        <w:t xml:space="preserve">U cilju razvoja kvalitete JPP tržišta u RH Agencija je Upravnom vijeću Agencije prezentirala važan projekt mjerenja uspjeha JPP projekata koji predstavlja prvi takav projekt u svijetu. </w:t>
      </w:r>
    </w:p>
    <w:p w:rsidR="00AC0832" w:rsidRDefault="00AC0832">
      <w:pPr>
        <w:pStyle w:val="Normal6"/>
      </w:pPr>
      <w:r>
        <w:t>Budući da rezultati primjene ovih metoda značajno utječu na donošenje odluka o razvoju JPP projekata od strane javne vlasti, očekuje se značajan interes za ovim projektom iz europskih zemalja. U tom smislu bi se projekt, nakon njegovog razvoja na primjerima iz Republike Hrvatske, mogao ponuditi i svjetskom tržištu.</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odobrenih projekata od ukupno zaprimljenih projektnih prijedloga</w:t>
            </w:r>
          </w:p>
        </w:tc>
        <w:tc>
          <w:tcPr>
            <w:tcW w:w="1300" w:type="dxa"/>
          </w:tcPr>
          <w:p w:rsidR="00AC0832" w:rsidRDefault="00AC0832">
            <w:pPr>
              <w:pStyle w:val="CellColumn"/>
            </w:pPr>
            <w:r>
              <w:t>Postotak odobrenih projekata</w:t>
            </w:r>
          </w:p>
        </w:tc>
        <w:tc>
          <w:tcPr>
            <w:tcW w:w="1300" w:type="dxa"/>
          </w:tcPr>
          <w:p w:rsidR="00AC0832" w:rsidRDefault="00AC0832">
            <w:pPr>
              <w:pStyle w:val="CellColumn"/>
            </w:pPr>
            <w:r>
              <w:t>postotak</w:t>
            </w:r>
          </w:p>
        </w:tc>
        <w:tc>
          <w:tcPr>
            <w:tcW w:w="1300" w:type="dxa"/>
          </w:tcPr>
          <w:p w:rsidR="00AC0832" w:rsidRDefault="00AC0832">
            <w:pPr>
              <w:pStyle w:val="CellColumn"/>
            </w:pPr>
            <w:r>
              <w:t>100</w:t>
            </w:r>
          </w:p>
        </w:tc>
        <w:tc>
          <w:tcPr>
            <w:tcW w:w="1300" w:type="dxa"/>
          </w:tcPr>
          <w:p w:rsidR="00AC0832" w:rsidRDefault="00AC0832">
            <w:pPr>
              <w:pStyle w:val="CellColumn"/>
            </w:pPr>
            <w:r>
              <w:t>AJPP</w:t>
            </w:r>
          </w:p>
        </w:tc>
        <w:tc>
          <w:tcPr>
            <w:tcW w:w="1300" w:type="dxa"/>
          </w:tcPr>
          <w:p w:rsidR="00AC0832" w:rsidRDefault="00AC0832">
            <w:pPr>
              <w:pStyle w:val="CellColumn"/>
            </w:pPr>
            <w:r>
              <w:t>60</w:t>
            </w:r>
          </w:p>
        </w:tc>
        <w:tc>
          <w:tcPr>
            <w:tcW w:w="1300" w:type="dxa"/>
          </w:tcPr>
          <w:p w:rsidR="00AC0832" w:rsidRDefault="00AC0832">
            <w:pPr>
              <w:pStyle w:val="CellColumn"/>
            </w:pPr>
            <w:r>
              <w:t>67</w:t>
            </w:r>
          </w:p>
        </w:tc>
      </w:tr>
    </w:tbl>
    <w:p w:rsidR="00AC0832" w:rsidRDefault="00AC0832">
      <w:pPr>
        <w:jc w:val="left"/>
      </w:pPr>
    </w:p>
    <w:p w:rsidR="00AC0832" w:rsidRDefault="00AC0832">
      <w:pPr>
        <w:pStyle w:val="Heading6"/>
      </w:pPr>
      <w:r>
        <w:t>A775008 ADMINISTRACIJA I UPRAVLJANJE AGENCIJE ZA JAVNO PRIVATNO PARTNERSTVO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A775008-ADMINISTRACIJA I UPRAVLJANJE AGENCIJE ZA JAVNO PRIVATNO PARTNERSTVO</w:t>
            </w:r>
          </w:p>
        </w:tc>
        <w:tc>
          <w:tcPr>
            <w:tcW w:w="2322" w:type="dxa"/>
          </w:tcPr>
          <w:p w:rsidR="00AC0832" w:rsidRDefault="00AC0832">
            <w:pPr>
              <w:pStyle w:val="CellColumn"/>
            </w:pPr>
            <w:r>
              <w:t>5.750.548</w:t>
            </w:r>
          </w:p>
        </w:tc>
        <w:tc>
          <w:tcPr>
            <w:tcW w:w="2322" w:type="dxa"/>
          </w:tcPr>
          <w:p w:rsidR="00AC0832" w:rsidRDefault="00AC0832">
            <w:pPr>
              <w:pStyle w:val="CellColumn"/>
            </w:pPr>
            <w:r>
              <w:t>4.532.061</w:t>
            </w:r>
          </w:p>
        </w:tc>
        <w:tc>
          <w:tcPr>
            <w:tcW w:w="2322" w:type="dxa"/>
          </w:tcPr>
          <w:p w:rsidR="00AC0832" w:rsidRDefault="00AC0832">
            <w:pPr>
              <w:pStyle w:val="CellColumn"/>
            </w:pPr>
            <w:r>
              <w:t>78,8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Djelovanje  Agencije za javno privatno partnerstvo iskazano je u financijskom planu kroz realizaciju jedinstvenog programa Djelovanje javno privatnog partnerstva koji se provodio kroz dvije aktivnosti: Administracija i upravljanje Agencije za javno privatno partnerstvo i Promidžba JPP-a,  kapitalni projekt Informatizacija i projekt IPA-Daljnje jačanje sustava za JPP u RH. </w:t>
      </w:r>
    </w:p>
    <w:p w:rsidR="00AC0832" w:rsidRDefault="00AC0832">
      <w:pPr>
        <w:pStyle w:val="Normal6"/>
      </w:pPr>
      <w:r>
        <w:t xml:space="preserve"> </w:t>
      </w:r>
    </w:p>
    <w:p w:rsidR="00AC0832" w:rsidRDefault="00AC0832">
      <w:pPr>
        <w:pStyle w:val="Normal6"/>
      </w:pPr>
      <w:r>
        <w:t xml:space="preserve">AKTIVNOST A775008 Administracija i upravljanje Agencije za javno-privatno partnerstvo </w:t>
      </w:r>
    </w:p>
    <w:p w:rsidR="00AC0832" w:rsidRDefault="00AC0832">
      <w:pPr>
        <w:pStyle w:val="Normal6"/>
      </w:pPr>
      <w:r>
        <w:t xml:space="preserve">Aktivnost Administracija i upravljanje, u okviru provedbe programa JPP-a, obuhvaća sljedeće radnje: </w:t>
      </w:r>
    </w:p>
    <w:p w:rsidR="00AC0832" w:rsidRDefault="00AC0832">
      <w:pPr>
        <w:pStyle w:val="Normal6"/>
      </w:pPr>
      <w:r>
        <w:t xml:space="preserve">-ocjenu i odobravanje prijedloga projekata JPP-a, dokumentacije za nadmetanje i konačnih nacrta ugovora, upis sklopljenih ugovora u Registar, te praćenje provedbe ugovorenih projekata JPP-a, </w:t>
      </w:r>
    </w:p>
    <w:p w:rsidR="00AC0832" w:rsidRDefault="00AC0832">
      <w:pPr>
        <w:pStyle w:val="Normal6"/>
      </w:pPr>
      <w:r>
        <w:t xml:space="preserve">-pripremu i provedbu programa informiranja i edukacije sudionika na JPP tržištu </w:t>
      </w:r>
    </w:p>
    <w:p w:rsidR="00AC0832" w:rsidRDefault="00AC0832">
      <w:pPr>
        <w:pStyle w:val="Normal6"/>
      </w:pPr>
      <w:r>
        <w:t xml:space="preserve">-međunarodnu suradnju. </w:t>
      </w:r>
    </w:p>
    <w:p w:rsidR="00AC0832" w:rsidRDefault="00AC0832">
      <w:pPr>
        <w:pStyle w:val="Normal6"/>
      </w:pPr>
      <w:r>
        <w:t>Za provođenje Aktivnosti A775008 planirano je 5.750.548 kn, a izvršenje je 4.532.061 kn . Navedena ušteda posljedica je prije svega smanjenja zavisnih troškova. Uz provedbu dodatnih mjera štednje, stvarno izvršenje financijskog plana za Aktivnost Administracija i upravljanje na kraju godine bilo je 78,85.%.</w:t>
      </w: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odobrenih projekata</w:t>
            </w:r>
          </w:p>
        </w:tc>
        <w:tc>
          <w:tcPr>
            <w:tcW w:w="1300" w:type="dxa"/>
          </w:tcPr>
          <w:p w:rsidR="00AC0832" w:rsidRDefault="00AC0832">
            <w:pPr>
              <w:pStyle w:val="CellColumn"/>
            </w:pPr>
            <w:r>
              <w:t>Broj projekata</w:t>
            </w:r>
          </w:p>
        </w:tc>
        <w:tc>
          <w:tcPr>
            <w:tcW w:w="1300" w:type="dxa"/>
          </w:tcPr>
          <w:p w:rsidR="00AC0832" w:rsidRDefault="00AC0832">
            <w:pPr>
              <w:pStyle w:val="CellColumn"/>
            </w:pPr>
            <w:r>
              <w:t>broj</w:t>
            </w:r>
          </w:p>
        </w:tc>
        <w:tc>
          <w:tcPr>
            <w:tcW w:w="1300" w:type="dxa"/>
          </w:tcPr>
          <w:p w:rsidR="00AC0832" w:rsidRDefault="00AC0832">
            <w:pPr>
              <w:pStyle w:val="CellColumn"/>
            </w:pPr>
            <w:r>
              <w:t>4</w:t>
            </w:r>
          </w:p>
        </w:tc>
        <w:tc>
          <w:tcPr>
            <w:tcW w:w="1300" w:type="dxa"/>
          </w:tcPr>
          <w:p w:rsidR="00AC0832" w:rsidRDefault="00AC0832">
            <w:pPr>
              <w:pStyle w:val="CellColumn"/>
            </w:pPr>
            <w:r>
              <w:t>AJPP</w:t>
            </w:r>
          </w:p>
        </w:tc>
        <w:tc>
          <w:tcPr>
            <w:tcW w:w="1300" w:type="dxa"/>
          </w:tcPr>
          <w:p w:rsidR="00AC0832" w:rsidRDefault="00AC0832">
            <w:pPr>
              <w:pStyle w:val="CellColumn"/>
            </w:pPr>
            <w:r>
              <w:t>3</w:t>
            </w:r>
          </w:p>
        </w:tc>
        <w:tc>
          <w:tcPr>
            <w:tcW w:w="1300" w:type="dxa"/>
          </w:tcPr>
          <w:p w:rsidR="00AC0832" w:rsidRDefault="00AC0832">
            <w:pPr>
              <w:pStyle w:val="CellColumn"/>
            </w:pPr>
            <w:r>
              <w:t>2</w:t>
            </w:r>
          </w:p>
        </w:tc>
      </w:tr>
    </w:tbl>
    <w:p w:rsidR="00AC0832" w:rsidRDefault="00AC0832">
      <w:pPr>
        <w:jc w:val="left"/>
      </w:pPr>
    </w:p>
    <w:p w:rsidR="00AC0832" w:rsidRDefault="00AC0832">
      <w:pPr>
        <w:pStyle w:val="Heading6"/>
      </w:pPr>
      <w:r>
        <w:t>A775009 PROMIDŽBA JAVNO PRIVATNOG PARTNERSTVA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A775009-PROMIDŽBA JAVNO PRIVATNOG PARTNERSTVA</w:t>
            </w:r>
          </w:p>
        </w:tc>
        <w:tc>
          <w:tcPr>
            <w:tcW w:w="2322" w:type="dxa"/>
          </w:tcPr>
          <w:p w:rsidR="00AC0832" w:rsidRDefault="00AC0832">
            <w:pPr>
              <w:pStyle w:val="CellColumn"/>
            </w:pPr>
            <w:r>
              <w:t>228.000</w:t>
            </w:r>
          </w:p>
        </w:tc>
        <w:tc>
          <w:tcPr>
            <w:tcW w:w="2322" w:type="dxa"/>
          </w:tcPr>
          <w:p w:rsidR="00AC0832" w:rsidRDefault="00AC0832">
            <w:pPr>
              <w:pStyle w:val="CellColumn"/>
            </w:pPr>
            <w:r>
              <w:t>192.885</w:t>
            </w:r>
          </w:p>
        </w:tc>
        <w:tc>
          <w:tcPr>
            <w:tcW w:w="2322" w:type="dxa"/>
          </w:tcPr>
          <w:p w:rsidR="00AC0832" w:rsidRDefault="00AC0832">
            <w:pPr>
              <w:pStyle w:val="CellColumn"/>
            </w:pPr>
            <w:r>
              <w:t>84,6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Aktivnost Promidžba javno-privatnog partnerstva, u okviru provedbe programa JPP-a, obuhvaća pripremu i izdavanje tiskanih materijala, organizaciju promotivnih događanja, odnose s javnošću i slično.</w:t>
      </w:r>
    </w:p>
    <w:p w:rsidR="00AC0832" w:rsidRDefault="00AC0832">
      <w:pPr>
        <w:pStyle w:val="Heading6"/>
      </w:pPr>
      <w:r>
        <w:t>K775011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K775011-INFORMATIZACIJA</w:t>
            </w:r>
          </w:p>
        </w:tc>
        <w:tc>
          <w:tcPr>
            <w:tcW w:w="2322" w:type="dxa"/>
          </w:tcPr>
          <w:p w:rsidR="00AC0832" w:rsidRDefault="00AC0832">
            <w:pPr>
              <w:pStyle w:val="CellColumn"/>
            </w:pPr>
            <w:r>
              <w:t>102.000</w:t>
            </w:r>
          </w:p>
        </w:tc>
        <w:tc>
          <w:tcPr>
            <w:tcW w:w="2322" w:type="dxa"/>
          </w:tcPr>
          <w:p w:rsidR="00AC0832" w:rsidRDefault="00AC0832">
            <w:pPr>
              <w:pStyle w:val="CellColumn"/>
            </w:pPr>
            <w:r>
              <w:t>84.840</w:t>
            </w:r>
          </w:p>
        </w:tc>
        <w:tc>
          <w:tcPr>
            <w:tcW w:w="2322" w:type="dxa"/>
          </w:tcPr>
          <w:p w:rsidR="00AC0832" w:rsidRDefault="00AC0832">
            <w:pPr>
              <w:pStyle w:val="CellColumn"/>
            </w:pPr>
            <w:r>
              <w:t>83,2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Registar ugovora javno-privatnog partnerstva je na internetskim stranicama Agencije službeno objavljen 31. 12. 2011. god. Do kraja 2011. godine službeno su prikupljeni i u Registar upisani podaci o 12 ugovora JPP-a. U 2012. prikupljeni su podaci o još 1 ugovoru JPP-a (Projekt „Spaladium Arena“ u Splitu), tako da se u Registru trenutno nalaze podaci o ukupno 13 ugovora JPP-a. Navedena aktivnost ustrojavanja Registra ugovora JPP-a je bitna i iz razloga što predstavlja izvršenje mjere 49. iz Akcijskog plana Strategije suzbijanja korupcije.</w:t>
      </w:r>
    </w:p>
    <w:p w:rsidR="00AC0832" w:rsidRDefault="00AC0832">
      <w:pPr>
        <w:pStyle w:val="Heading6"/>
      </w:pPr>
      <w:r>
        <w:t>T775016 IPA 2010 FF RAC - DALJNJE JAČANJE SUSTAVA ZA JPP U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T775016-IPA 2010 FF RAC - DALJNJE JAČANJE SUSTAVA ZA JPP U RH</w:t>
            </w:r>
          </w:p>
        </w:tc>
        <w:tc>
          <w:tcPr>
            <w:tcW w:w="2322" w:type="dxa"/>
          </w:tcPr>
          <w:p w:rsidR="00AC0832" w:rsidRDefault="00AC0832">
            <w:pPr>
              <w:pStyle w:val="CellColumn"/>
            </w:pPr>
            <w:r>
              <w:t>1.600.000</w:t>
            </w:r>
          </w:p>
        </w:tc>
        <w:tc>
          <w:tcPr>
            <w:tcW w:w="2322" w:type="dxa"/>
          </w:tcPr>
          <w:p w:rsidR="00AC0832" w:rsidRDefault="00AC0832">
            <w:pPr>
              <w:pStyle w:val="CellColumn"/>
            </w:pPr>
            <w:r>
              <w:t>1.493.825</w:t>
            </w:r>
          </w:p>
        </w:tc>
        <w:tc>
          <w:tcPr>
            <w:tcW w:w="2322" w:type="dxa"/>
          </w:tcPr>
          <w:p w:rsidR="00AC0832" w:rsidRDefault="00AC0832">
            <w:pPr>
              <w:pStyle w:val="CellColumn"/>
            </w:pPr>
            <w:r>
              <w:t>93,4</w:t>
            </w:r>
          </w:p>
        </w:tc>
      </w:tr>
    </w:tbl>
    <w:p w:rsidR="00AC0832" w:rsidRDefault="00AC0832">
      <w:pPr>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 xml:space="preserve">U sklopu aktivnosti T775016 provodi se Twinning light projekt koji ima za cilj nastaviti razvijati koherentni i transparentni sustav javne nabave u području javno-privatnog partnerstva u Republici Hrvatskoj . </w:t>
      </w:r>
    </w:p>
    <w:p w:rsidR="00AC0832" w:rsidRDefault="00AC0832">
      <w:pPr>
        <w:pStyle w:val="Normal6"/>
      </w:pPr>
      <w:r>
        <w:t xml:space="preserve">Twinning partner je Ministarstvo financija Republike Litve u suradnji s litvanskom Središnjom agencijom za upravljanje projektima. Projektni sažetak za predmetni projekt je odobren od strane Središnje agencije za financiranje i ugovaranje te Delegacije Europske unije u Republici Hrvatskoj. Ugovor je potpisan 28.svibnja 2012, a projekt je službeno započeo s provedbom u rujnu 2012. Ukupna vrijednost projekta je EUR 250.000 ( 90% ili EUR 225.000 su tekuće pomoći od međunarodnih organizacija, a 10% ili EUR 25.000 je nacionalno sufinanciranje). </w:t>
      </w:r>
    </w:p>
    <w:p w:rsidR="00AC0832" w:rsidRDefault="00AC0832">
      <w:pPr>
        <w:pStyle w:val="Normal6"/>
      </w:pPr>
      <w:r>
        <w:t xml:space="preserve">U 2012. godini završena je većina planiranih projektnih aktivnosti.  Tako su u prvoj komponenti projekta izrađeni konačni nacrti financijskog, pravnog i tehničkog dijela JPP vodiča, a na temelju ranije izrađenih preporuka. U drugoj komponenti, održana je radionica za zaposlenike Agencije za JPP na temu financijskih, pravnih i tehničkih aspekata JPP-a, kombiniranja JPP modela s EU fondovima te je održan i jednodnevni program „treninga za trenere“. Isto tako, u prosincu su odrađene aktivnosti vezane uz organizaciju radionica za predstavnike lokalnih vlasti koji će biti održani u siječnju 2013. godine. Izrađen je i konačni nacrt kampanje podizanja javne svijesti o javno-privatnom partnerstvu te preporuke za unapređenje internet stranice Agencije za JPP.   </w:t>
      </w:r>
    </w:p>
    <w:p w:rsidR="00AC0832" w:rsidRDefault="00AC0832">
      <w:pPr>
        <w:pStyle w:val="Normal6"/>
      </w:pPr>
      <w:r>
        <w:t>Završetak projekta se očekuje u  veljači 2013. godine.</w:t>
      </w:r>
    </w:p>
    <w:p w:rsidR="00AC0832" w:rsidRDefault="00AC0832">
      <w:pPr>
        <w:pStyle w:val="Heading3"/>
      </w:pPr>
      <w:r>
        <w:t>44389 Agencija za opremu pod tlakom</w:t>
      </w:r>
    </w:p>
    <w:p w:rsidR="00AC0832" w:rsidRDefault="00AC0832">
      <w:pPr>
        <w:pStyle w:val="Heading4"/>
      </w:pPr>
      <w:r>
        <w:t>Uvod</w:t>
      </w:r>
    </w:p>
    <w:p w:rsidR="00AC0832" w:rsidRDefault="00AC0832">
      <w:pPr>
        <w:pStyle w:val="Normal5"/>
      </w:pPr>
      <w:r>
        <w:t xml:space="preserve">Agencija za opremu pod tlakom je ovlašteno tijelo za preglede i ispitivanje opreme pod tlakom visoke razine opasnosti. Agencija za opremu pod tlakom obavlja djelatnost sukladno članku 5. Zakona o tehničkim zahtjevima za proizvode i ocjenjivanju sukladnosti i tehničkim propisima donesenim na temelju tog Zakona: </w:t>
      </w:r>
    </w:p>
    <w:p w:rsidR="00AC0832" w:rsidRDefault="00AC0832">
      <w:pPr>
        <w:pStyle w:val="Normal5"/>
      </w:pPr>
      <w:r>
        <w:t xml:space="preserve">1. razvrstavanje opreme pod tlakom prema razini opasnosti; </w:t>
      </w:r>
    </w:p>
    <w:p w:rsidR="00AC0832" w:rsidRDefault="00AC0832">
      <w:pPr>
        <w:pStyle w:val="Normal5"/>
      </w:pPr>
      <w:r>
        <w:t xml:space="preserve">2. prvi pregled opreme pod tlakom visoke razine opasnosti; </w:t>
      </w:r>
    </w:p>
    <w:p w:rsidR="00AC0832" w:rsidRDefault="00AC0832">
      <w:pPr>
        <w:pStyle w:val="Normal5"/>
      </w:pPr>
      <w:r>
        <w:t xml:space="preserve">3. periodički pregled opreme pod tlakom visoke razine opasnosti; </w:t>
      </w:r>
    </w:p>
    <w:p w:rsidR="00AC0832" w:rsidRDefault="00AC0832">
      <w:pPr>
        <w:pStyle w:val="Normal5"/>
      </w:pPr>
      <w:r>
        <w:t xml:space="preserve">4. izvanredni pregled opreme pod tlakom visoke razine opasnosti; </w:t>
      </w:r>
    </w:p>
    <w:p w:rsidR="00AC0832" w:rsidRDefault="00AC0832">
      <w:pPr>
        <w:pStyle w:val="Normal5"/>
      </w:pPr>
      <w:r>
        <w:t xml:space="preserve">5. pregled prije ponovnog puštanja u rad opreme pod tlakom visoke razine opasnosti; </w:t>
      </w:r>
    </w:p>
    <w:p w:rsidR="00AC0832" w:rsidRDefault="00AC0832">
      <w:pPr>
        <w:pStyle w:val="Normal5"/>
      </w:pPr>
      <w:r>
        <w:t xml:space="preserve">6. provjera održavanja i podešavanja sigurnosnog pribora; </w:t>
      </w:r>
    </w:p>
    <w:p w:rsidR="00AC0832" w:rsidRDefault="00AC0832">
      <w:pPr>
        <w:pStyle w:val="Normal5"/>
      </w:pPr>
      <w:r>
        <w:t xml:space="preserve">7. provođenje tehničkog nadzora nad postupcima popravaka i održavanja opreme pod tlakom visoke razine opasnosti; </w:t>
      </w:r>
    </w:p>
    <w:p w:rsidR="00AC0832" w:rsidRDefault="00AC0832">
      <w:pPr>
        <w:pStyle w:val="Normal5"/>
      </w:pPr>
      <w:r>
        <w:t xml:space="preserve">8. vođenje evidencije opreme pod tlakom visoke razine opasnosti i dokumentacije opreme pod tlakom visoke razine opasnosti; </w:t>
      </w:r>
    </w:p>
    <w:p w:rsidR="00AC0832" w:rsidRDefault="00AC0832">
      <w:pPr>
        <w:pStyle w:val="Normal5"/>
      </w:pPr>
      <w:r>
        <w:t xml:space="preserve">9. vođenje evidencije i provođenje tehničkog nadzora nad pravnim osobama koje obavljaju poslove ispitivanja i podešavanja sigurnosnog pribora i pripreme opreme pod tlakom visoke razine opasnosti za periodičke preglede; </w:t>
      </w:r>
    </w:p>
    <w:p w:rsidR="00AC0832" w:rsidRDefault="00AC0832">
      <w:pPr>
        <w:pStyle w:val="Normal5"/>
      </w:pPr>
      <w:r>
        <w:t xml:space="preserve">10. obavješćivanje nadležnih inspekcijskih tijela o opremi pod tlakom koju je potrebno staviti izvan uporabe zbog neispunjavanja sigurnosnih zahtjeva; </w:t>
      </w:r>
    </w:p>
    <w:p w:rsidR="00AC0832" w:rsidRDefault="00AC0832">
      <w:pPr>
        <w:pStyle w:val="Normal5"/>
      </w:pPr>
      <w:r>
        <w:t>11. sudjelovanje u procesu donošenja tehničkih specifikacija i izobrazbe iz područja opreme pod tlakom.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44389-Agencija za opremu pod tlakom</w:t>
            </w:r>
          </w:p>
        </w:tc>
        <w:tc>
          <w:tcPr>
            <w:tcW w:w="2322" w:type="dxa"/>
          </w:tcPr>
          <w:p w:rsidR="00AC0832" w:rsidRDefault="00AC0832">
            <w:pPr>
              <w:pStyle w:val="CellColumn"/>
            </w:pPr>
            <w:r>
              <w:t>3.500.000</w:t>
            </w:r>
          </w:p>
        </w:tc>
        <w:tc>
          <w:tcPr>
            <w:tcW w:w="2322" w:type="dxa"/>
          </w:tcPr>
          <w:p w:rsidR="00AC0832" w:rsidRDefault="00AC0832">
            <w:pPr>
              <w:pStyle w:val="CellColumn"/>
            </w:pPr>
            <w:r>
              <w:t>3.294.794</w:t>
            </w:r>
          </w:p>
        </w:tc>
        <w:tc>
          <w:tcPr>
            <w:tcW w:w="2322" w:type="dxa"/>
          </w:tcPr>
          <w:p w:rsidR="00AC0832" w:rsidRDefault="00AC0832">
            <w:pPr>
              <w:pStyle w:val="CellColumn"/>
            </w:pPr>
            <w:r>
              <w:t>94,1</w:t>
            </w:r>
          </w:p>
        </w:tc>
      </w:tr>
      <w:tr w:rsidR="00AC0832" w:rsidTr="00BE20ED">
        <w:trPr>
          <w:jc w:val="center"/>
        </w:trPr>
        <w:tc>
          <w:tcPr>
            <w:tcW w:w="2322" w:type="dxa"/>
          </w:tcPr>
          <w:p w:rsidR="00AC0832" w:rsidRDefault="00AC0832">
            <w:pPr>
              <w:pStyle w:val="CellColumnSmall"/>
            </w:pPr>
            <w:r>
              <w:t>3205-STANDARDIZACIJA U GOSPODARSTVU</w:t>
            </w:r>
          </w:p>
        </w:tc>
        <w:tc>
          <w:tcPr>
            <w:tcW w:w="2322" w:type="dxa"/>
          </w:tcPr>
          <w:p w:rsidR="00AC0832" w:rsidRDefault="00AC0832">
            <w:pPr>
              <w:pStyle w:val="CellColumnSmall"/>
            </w:pPr>
            <w:r>
              <w:t>3.500.000</w:t>
            </w:r>
          </w:p>
        </w:tc>
        <w:tc>
          <w:tcPr>
            <w:tcW w:w="2322" w:type="dxa"/>
          </w:tcPr>
          <w:p w:rsidR="00AC0832" w:rsidRDefault="00AC0832">
            <w:pPr>
              <w:pStyle w:val="CellColumnSmall"/>
            </w:pPr>
            <w:r>
              <w:t>3.294.794</w:t>
            </w:r>
          </w:p>
        </w:tc>
        <w:tc>
          <w:tcPr>
            <w:tcW w:w="2322" w:type="dxa"/>
          </w:tcPr>
          <w:p w:rsidR="00AC0832" w:rsidRDefault="00AC0832">
            <w:pPr>
              <w:pStyle w:val="CellColumnSmall"/>
            </w:pPr>
            <w:r>
              <w:t>94,1</w:t>
            </w:r>
          </w:p>
        </w:tc>
      </w:tr>
    </w:tbl>
    <w:p w:rsidR="00AC0832" w:rsidRDefault="00AC0832">
      <w:pPr>
        <w:jc w:val="left"/>
      </w:pPr>
    </w:p>
    <w:p w:rsidR="00AC0832" w:rsidRDefault="00AC0832">
      <w:pPr>
        <w:pStyle w:val="Heading4"/>
      </w:pPr>
      <w:r>
        <w:t>OBRAZLOŽENJE PROGRAMA</w:t>
      </w:r>
    </w:p>
    <w:p w:rsidR="00AC0832" w:rsidRDefault="00AC0832">
      <w:pPr>
        <w:pStyle w:val="Heading5"/>
      </w:pPr>
      <w:r>
        <w:t>3205 STANDARDIZACIJA U GOSPODARSTVU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3205-STANDARDIZACIJA U GOSPODARSTVU</w:t>
            </w:r>
          </w:p>
        </w:tc>
        <w:tc>
          <w:tcPr>
            <w:tcW w:w="2322" w:type="dxa"/>
          </w:tcPr>
          <w:p w:rsidR="00AC0832" w:rsidRDefault="00AC0832">
            <w:pPr>
              <w:pStyle w:val="CellColumn"/>
            </w:pPr>
            <w:r>
              <w:t>3.500.000</w:t>
            </w:r>
          </w:p>
        </w:tc>
        <w:tc>
          <w:tcPr>
            <w:tcW w:w="2322" w:type="dxa"/>
          </w:tcPr>
          <w:p w:rsidR="00AC0832" w:rsidRDefault="00AC0832">
            <w:pPr>
              <w:pStyle w:val="CellColumn"/>
            </w:pPr>
            <w:r>
              <w:t>3.294.794</w:t>
            </w:r>
          </w:p>
        </w:tc>
        <w:tc>
          <w:tcPr>
            <w:tcW w:w="2322" w:type="dxa"/>
          </w:tcPr>
          <w:p w:rsidR="00AC0832" w:rsidRDefault="00AC0832">
            <w:pPr>
              <w:pStyle w:val="CellColumn"/>
            </w:pPr>
            <w:r>
              <w:t>94,1</w:t>
            </w:r>
          </w:p>
        </w:tc>
      </w:tr>
    </w:tbl>
    <w:p w:rsidR="00AC0832" w:rsidRDefault="00AC0832">
      <w:pPr>
        <w:jc w:val="left"/>
      </w:pPr>
    </w:p>
    <w:p w:rsidR="00AC0832" w:rsidRDefault="00AC0832">
      <w:pPr>
        <w:pStyle w:val="Heading6"/>
      </w:pPr>
      <w:r>
        <w:t>Opis programa</w:t>
      </w:r>
    </w:p>
    <w:p w:rsidR="00AC0832" w:rsidRDefault="00AC0832">
      <w:r>
        <w:t>Ovim programom Agencija osigurava sredstva za obavljanje poslova vezanih za preglede i ispitivanje opreme pod tlakom visoke razine opasnosti, a čija je djelatnost od interesa za Republiku Hrvatsku, zbog sigurnosti ljudi, imovine i okoliša. U procesu pridruživanja Europskoj uniji RH je uskladila tehničko zakonodavstvo (s direktivama 87/404/EEC, 97/23/EC i 1999/36/EC) na području opreme pod tlakom budući da je oprema pod tlakom zbog svojih specifičnosti, posebice opasnosti za ljude, domaće životinje, materijalna dobra i okoliš izuzetno osjetljivo i zahtjevno područje koje se nastoji urediti kao u zemljama  Europske unije.</w:t>
      </w:r>
    </w:p>
    <w:p w:rsidR="00AC0832" w:rsidRDefault="00AC0832">
      <w:pPr>
        <w:pStyle w:val="Heading6"/>
      </w:pPr>
      <w:r>
        <w:t>Zakonske i druge pravne osnove</w:t>
      </w:r>
    </w:p>
    <w:p w:rsidR="00AC0832" w:rsidRDefault="00AC0832">
      <w:r>
        <w:t xml:space="preserve">Zakon o ustanovama (N.N. br. 76/93, 29/97, 47/99, 35/08) </w:t>
      </w:r>
    </w:p>
    <w:p w:rsidR="00AC0832" w:rsidRDefault="00AC0832">
      <w:r>
        <w:t xml:space="preserve">Uredba o osnivanju Agencije za opremu pod tlakom (N.N. br. 132/08 i 29/11) </w:t>
      </w:r>
    </w:p>
    <w:p w:rsidR="00AC0832" w:rsidRDefault="00AC0832">
      <w:r>
        <w:t>Pravilnik o pregledima i ispitivanju opreme pod tlakom (N.N. br. 138/08).</w:t>
      </w:r>
    </w:p>
    <w:p w:rsidR="00AC0832" w:rsidRDefault="00AC0832">
      <w:pPr>
        <w:pStyle w:val="Heading7"/>
      </w:pPr>
      <w:r>
        <w:t>Cilj 1. Povećanje sigurnosti opreme pod tlakom visoke razine opasnosti</w:t>
      </w:r>
    </w:p>
    <w:p w:rsidR="00AC0832" w:rsidRDefault="00AC0832">
      <w:pPr>
        <w:pStyle w:val="Heading8"/>
        <w:jc w:val="left"/>
      </w:pPr>
      <w:r>
        <w:t>Opis provedbe cilja programa</w:t>
      </w:r>
    </w:p>
    <w:p w:rsidR="00AC0832" w:rsidRDefault="00AC0832">
      <w:pPr>
        <w:pStyle w:val="Normal6"/>
      </w:pPr>
      <w:r>
        <w:t xml:space="preserve">Povećanje sigurnosti opreme pod tlakom visoke razine opasnosti postići će se: </w:t>
      </w:r>
    </w:p>
    <w:p w:rsidR="00AC0832" w:rsidRDefault="00AC0832">
      <w:pPr>
        <w:pStyle w:val="Normal6"/>
      </w:pPr>
      <w:r>
        <w:t>- ustrojavanjem Agencije, popunjavanjem potrebnim brojem djelatnika kako bi se pravovremeno pregledavala navedena oprema, odnosno provedbom postupka akreditacije Agencije čime će se povećati kvaliteta pregleda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2"/>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proračunskih prihoda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kn</w:t>
            </w:r>
          </w:p>
        </w:tc>
        <w:tc>
          <w:tcPr>
            <w:tcW w:w="1300" w:type="dxa"/>
          </w:tcPr>
          <w:p w:rsidR="00AC0832" w:rsidRDefault="00AC0832">
            <w:pPr>
              <w:pStyle w:val="CellColumn"/>
            </w:pPr>
            <w:r>
              <w:t xml:space="preserve">5.590.310 </w:t>
            </w:r>
          </w:p>
          <w:p w:rsidR="00AC0832" w:rsidRDefault="00AC0832">
            <w:pPr>
              <w:pStyle w:val="CellColumn"/>
            </w:pPr>
            <w:r>
              <w:t>31.12.2011.</w:t>
            </w:r>
          </w:p>
        </w:tc>
        <w:tc>
          <w:tcPr>
            <w:tcW w:w="1300" w:type="dxa"/>
          </w:tcPr>
          <w:p w:rsidR="00AC0832" w:rsidRDefault="00AC0832">
            <w:pPr>
              <w:pStyle w:val="CellColumn"/>
            </w:pPr>
            <w:r>
              <w:t>AOPT</w:t>
            </w:r>
          </w:p>
        </w:tc>
        <w:tc>
          <w:tcPr>
            <w:tcW w:w="1300" w:type="dxa"/>
          </w:tcPr>
          <w:p w:rsidR="00AC0832" w:rsidRDefault="00AC0832">
            <w:pPr>
              <w:pStyle w:val="CellColumn"/>
            </w:pPr>
            <w:r>
              <w:t>8.000.000</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A817022 ADMINISTRACIJA I UPRAVLJANJE AGENCIJE ZA OPREMU POD TLAKOM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A817022-ADMINISTRACIJA I UPRAVLJANJE AGENCIJE ZA OPREMU POD TLAKOM</w:t>
            </w:r>
          </w:p>
        </w:tc>
        <w:tc>
          <w:tcPr>
            <w:tcW w:w="2322" w:type="dxa"/>
          </w:tcPr>
          <w:p w:rsidR="00AC0832" w:rsidRDefault="00AC0832">
            <w:pPr>
              <w:pStyle w:val="CellColumn"/>
            </w:pPr>
            <w:r>
              <w:t>3.488.000</w:t>
            </w:r>
          </w:p>
        </w:tc>
        <w:tc>
          <w:tcPr>
            <w:tcW w:w="2322" w:type="dxa"/>
          </w:tcPr>
          <w:p w:rsidR="00AC0832" w:rsidRDefault="00AC0832">
            <w:pPr>
              <w:pStyle w:val="CellColumn"/>
            </w:pPr>
            <w:r>
              <w:t>3.294.794</w:t>
            </w:r>
          </w:p>
        </w:tc>
        <w:tc>
          <w:tcPr>
            <w:tcW w:w="2322" w:type="dxa"/>
          </w:tcPr>
          <w:p w:rsidR="00AC0832" w:rsidRDefault="00AC0832">
            <w:pPr>
              <w:pStyle w:val="CellColumn"/>
            </w:pPr>
            <w:r>
              <w:t>94,5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Sredstva su namijenjena za rad Agencije, odnosno za obavljanje poslova pregleda opreme pod tlakom visoke razine opasnosti. Nadalje, sredstva su potrebna za ustrojavanje Agencije, odnosno zapošljavanje novih djelatnika Agencije i za materijalne rashode za troškove najma poslovnog prostora za 4 grada (Zagreb, Rijeka, Split, Osijek). Djelatnici OPT-AGENCIJE u podružnicama izvan Zagreba su još uvijek u prostorijama Državnog inspektorata. Ukoliko bi se navedeno ispunilo ostvario bi se veći broj pregleda opreme pod tlakom, veća kvaliteta pregleda čime bi se povećala sigurnost ljudi, imovine i okoliša. Isto tako ostvarili bi se i veći proračunski prihodi.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tehničkih pregleda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2011=9.562</w:t>
            </w:r>
          </w:p>
        </w:tc>
        <w:tc>
          <w:tcPr>
            <w:tcW w:w="1300" w:type="dxa"/>
          </w:tcPr>
          <w:p w:rsidR="00AC0832" w:rsidRDefault="00AC0832">
            <w:pPr>
              <w:pStyle w:val="CellColumn"/>
            </w:pPr>
            <w:r>
              <w:t>AOPT</w:t>
            </w:r>
          </w:p>
        </w:tc>
        <w:tc>
          <w:tcPr>
            <w:tcW w:w="1300" w:type="dxa"/>
          </w:tcPr>
          <w:p w:rsidR="00AC0832" w:rsidRDefault="00AC0832">
            <w:pPr>
              <w:pStyle w:val="CellColumn"/>
            </w:pPr>
            <w:r>
              <w:t>11.000</w:t>
            </w:r>
          </w:p>
        </w:tc>
        <w:tc>
          <w:tcPr>
            <w:tcW w:w="1300" w:type="dxa"/>
          </w:tcPr>
          <w:p w:rsidR="00AC0832" w:rsidRDefault="00AC0832">
            <w:pPr>
              <w:pStyle w:val="CellColumn"/>
            </w:pPr>
            <w:r>
              <w:t>10.874</w:t>
            </w:r>
          </w:p>
        </w:tc>
      </w:tr>
    </w:tbl>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pStyle w:val="Heading2"/>
      </w:pPr>
      <w:r>
        <w:t>04970 Državni zavod za mjeriteljstvo</w:t>
      </w:r>
    </w:p>
    <w:p w:rsidR="00AC0832" w:rsidRDefault="00AC0832">
      <w:pPr>
        <w:pStyle w:val="Heading4"/>
      </w:pPr>
      <w:r>
        <w:t>Uvod</w:t>
      </w:r>
    </w:p>
    <w:p w:rsidR="00AC0832" w:rsidRDefault="00AC0832">
      <w:pPr>
        <w:pStyle w:val="Normal3"/>
      </w:pPr>
      <w:r>
        <w:t>Djelatnost Državnog zavod za mjeriteljstvo usmjerena je na osiguranje mjeriteljskog jedinstva Republike Hrvatske u funkciji slobodnog kretanja roba i usluga, a sa ciljem zaštite potrošača i osiguranja sigurnosti i zdravlja ljudi i životinja. Da bi se osigurala misija Državnog zavoda za mjeriteljstvo, i njegova vodeća uloga u upravljanju mjeriteljskim sustavom RH,  nužno je osigurati unapređenje sustava zakonskog mjeriteljstva, ispitivanja i žigosanja predmeta od plemenitih kovina, sustava homologacije vozila,sustava europske naplate cestarina (EENC) te mjeriteljske inspekcije i nadzora.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04970-Državni zavod za mjeriteljstvo</w:t>
            </w:r>
          </w:p>
        </w:tc>
        <w:tc>
          <w:tcPr>
            <w:tcW w:w="2322" w:type="dxa"/>
          </w:tcPr>
          <w:p w:rsidR="00AC0832" w:rsidRDefault="00AC0832">
            <w:pPr>
              <w:pStyle w:val="CellColumn"/>
            </w:pPr>
            <w:r>
              <w:t>19.629.605</w:t>
            </w:r>
          </w:p>
        </w:tc>
        <w:tc>
          <w:tcPr>
            <w:tcW w:w="2322" w:type="dxa"/>
          </w:tcPr>
          <w:p w:rsidR="00AC0832" w:rsidRDefault="00AC0832">
            <w:pPr>
              <w:pStyle w:val="CellColumn"/>
            </w:pPr>
            <w:r>
              <w:t>18.653.101</w:t>
            </w:r>
          </w:p>
        </w:tc>
        <w:tc>
          <w:tcPr>
            <w:tcW w:w="2322" w:type="dxa"/>
          </w:tcPr>
          <w:p w:rsidR="00AC0832" w:rsidRDefault="00AC0832">
            <w:pPr>
              <w:pStyle w:val="CellColumn"/>
            </w:pPr>
            <w:r>
              <w:t>95,0</w:t>
            </w:r>
          </w:p>
        </w:tc>
      </w:tr>
      <w:tr w:rsidR="00AC0832" w:rsidTr="00BE20ED">
        <w:trPr>
          <w:jc w:val="center"/>
        </w:trPr>
        <w:tc>
          <w:tcPr>
            <w:tcW w:w="2322" w:type="dxa"/>
          </w:tcPr>
          <w:p w:rsidR="00AC0832" w:rsidRDefault="00AC0832">
            <w:pPr>
              <w:pStyle w:val="CellColumnSmall"/>
            </w:pPr>
            <w:r>
              <w:t>3205-STANDARDIZACIJA U GOSPODARSTVU</w:t>
            </w:r>
          </w:p>
        </w:tc>
        <w:tc>
          <w:tcPr>
            <w:tcW w:w="2322" w:type="dxa"/>
          </w:tcPr>
          <w:p w:rsidR="00AC0832" w:rsidRDefault="00AC0832">
            <w:pPr>
              <w:pStyle w:val="CellColumnSmall"/>
            </w:pPr>
            <w:r>
              <w:t>19.629.605</w:t>
            </w:r>
          </w:p>
        </w:tc>
        <w:tc>
          <w:tcPr>
            <w:tcW w:w="2322" w:type="dxa"/>
          </w:tcPr>
          <w:p w:rsidR="00AC0832" w:rsidRDefault="00AC0832">
            <w:pPr>
              <w:pStyle w:val="CellColumnSmall"/>
            </w:pPr>
            <w:r>
              <w:t>18.653.101</w:t>
            </w:r>
          </w:p>
        </w:tc>
        <w:tc>
          <w:tcPr>
            <w:tcW w:w="2322" w:type="dxa"/>
          </w:tcPr>
          <w:p w:rsidR="00AC0832" w:rsidRDefault="00AC0832">
            <w:pPr>
              <w:pStyle w:val="CellColumnSmall"/>
            </w:pPr>
            <w:r>
              <w:t>95,0</w:t>
            </w:r>
          </w:p>
        </w:tc>
      </w:tr>
    </w:tbl>
    <w:p w:rsidR="00AC0832" w:rsidRDefault="00AC0832">
      <w:pPr>
        <w:jc w:val="left"/>
      </w:pPr>
    </w:p>
    <w:p w:rsidR="00AC0832" w:rsidRDefault="00AC0832">
      <w:pPr>
        <w:pStyle w:val="Heading4"/>
      </w:pPr>
      <w:r>
        <w:t>OBRAZLOŽENJE PROGRAMA</w:t>
      </w:r>
    </w:p>
    <w:p w:rsidR="00AC0832" w:rsidRDefault="00AC0832">
      <w:pPr>
        <w:pStyle w:val="Heading5"/>
      </w:pPr>
      <w:r>
        <w:t>3205 STANDARDIZACIJA U GOSPODARSTVU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3205-STANDARDIZACIJA U GOSPODARSTVU</w:t>
            </w:r>
          </w:p>
        </w:tc>
        <w:tc>
          <w:tcPr>
            <w:tcW w:w="2322" w:type="dxa"/>
          </w:tcPr>
          <w:p w:rsidR="00AC0832" w:rsidRDefault="00AC0832">
            <w:pPr>
              <w:pStyle w:val="CellColumn"/>
            </w:pPr>
            <w:r>
              <w:t>19.629.605</w:t>
            </w:r>
          </w:p>
        </w:tc>
        <w:tc>
          <w:tcPr>
            <w:tcW w:w="2322" w:type="dxa"/>
          </w:tcPr>
          <w:p w:rsidR="00AC0832" w:rsidRDefault="00AC0832">
            <w:pPr>
              <w:pStyle w:val="CellColumn"/>
            </w:pPr>
            <w:r>
              <w:t>18.653.101</w:t>
            </w:r>
          </w:p>
        </w:tc>
        <w:tc>
          <w:tcPr>
            <w:tcW w:w="2322" w:type="dxa"/>
          </w:tcPr>
          <w:p w:rsidR="00AC0832" w:rsidRDefault="00AC0832">
            <w:pPr>
              <w:pStyle w:val="CellColumn"/>
            </w:pPr>
            <w:r>
              <w:t>95,0</w:t>
            </w:r>
          </w:p>
        </w:tc>
      </w:tr>
    </w:tbl>
    <w:p w:rsidR="00AC0832" w:rsidRDefault="00AC0832">
      <w:pPr>
        <w:jc w:val="left"/>
      </w:pPr>
    </w:p>
    <w:p w:rsidR="00AC0832" w:rsidRDefault="00AC0832">
      <w:pPr>
        <w:pStyle w:val="Heading6"/>
      </w:pPr>
      <w:r>
        <w:t>Opis programa</w:t>
      </w:r>
    </w:p>
    <w:p w:rsidR="00AC0832" w:rsidRDefault="00AC0832">
      <w:pPr>
        <w:pStyle w:val="Normal5"/>
      </w:pPr>
      <w:r>
        <w:t xml:space="preserve">Djelotvorno upravljanje mjeriteljskim sustavom osigurat će: </w:t>
      </w:r>
    </w:p>
    <w:p w:rsidR="00AC0832" w:rsidRDefault="00AC0832">
      <w:pPr>
        <w:pStyle w:val="Normal5"/>
      </w:pPr>
      <w:r>
        <w:tab/>
        <w:t xml:space="preserve">stabilno i održivo funkcioniranje mjeriteljskog sustava Republike Hrvatske te njegovo neprekidno poboljšavanje. Glavni su ciljevi nacionalnoga mjeriteljskoga sustava ujednačenje sustava zakonitih mjernih jedinica s Međunarodnim sustavom jedinica (SI), osiguranje vjerodostojnosti rezultata mjerenja koja se provode u svrhu zaštite potrošača, zaštite života, zdravlja ljudi i životinja, zaštite okoliša, opće sigurnosti i zaštite prirodnih izvora te donošenje i provedba mjeriteljskih propisa. </w:t>
      </w:r>
    </w:p>
    <w:p w:rsidR="00AC0832" w:rsidRDefault="00AC0832">
      <w:pPr>
        <w:pStyle w:val="Normal5"/>
      </w:pPr>
      <w:r>
        <w:t>•</w:t>
      </w:r>
      <w:r>
        <w:tab/>
        <w:t xml:space="preserve">održavanjem i neprekidnim poboljšavanjem mjeriteljskog sustava potrebno je  osigurati da mjeriteljska infrastruktura bude u funkciji poboljšanja konkurente  sposobnosti nacionalne industrije i otvaranja pristupa vanjskim tržištima. Ona mora doprinositi stjecanju znanja o novim tehnologijama prije svega u mjerenju i  ispitivanju te omogućiti njihovo prenošenje       nacionalnoj industriji i gospodarstvu te osigurati prihvaćanje na međunarodnoj razini mjerenja i ispitivanja koja se provode u Republici Hrvatskoj i time omogućiti sklapanje međunarodnih trgovinskih sporazuma koji se odnose na slobodu  kretanja roba. </w:t>
      </w:r>
    </w:p>
    <w:p w:rsidR="00AC0832" w:rsidRDefault="00AC0832">
      <w:pPr>
        <w:pStyle w:val="Normal5"/>
      </w:pPr>
      <w:r>
        <w:t>•</w:t>
      </w:r>
      <w:r>
        <w:tab/>
        <w:t xml:space="preserve">poboljšavanje nacionalnog sustava za ispitivanje i žigosanje (potvrđivanje) predmeta od plemenitih kovina na cijelom teritoriju Republike Hrvatske boljim opremanjem te osiguranjem odgovarajućih ljudskih resursa i prostora doprinijet će poboljšanju sposobnosti na ispitivanju i žigosanju.   </w:t>
      </w:r>
    </w:p>
    <w:p w:rsidR="00AC0832" w:rsidRDefault="00AC0832">
      <w:pPr>
        <w:pStyle w:val="Normal5"/>
      </w:pPr>
      <w:r>
        <w:t>•</w:t>
      </w:r>
      <w:r>
        <w:tab/>
        <w:t xml:space="preserve">djelotvorno upravljanje nacionalnim sustavom homologacije cestovnih vozila, traktora (opreme, dijelova itd.), sustavno usklađivanje pripadajućih propisa s međunarodnim propisima (EZ direktivama, UN/ECE pravilnicima) i time ostvarivanje osnovnog cilja sustava homologacije, a to je primjerena razina sigurnosti vozila u prometu i zaštite okoliša.  </w:t>
      </w:r>
    </w:p>
    <w:p w:rsidR="00AC0832" w:rsidRDefault="00AC0832">
      <w:pPr>
        <w:pStyle w:val="Normal5"/>
      </w:pPr>
      <w:r>
        <w:t>•</w:t>
      </w:r>
      <w:r>
        <w:tab/>
        <w:t>poboljšanje i djelotvorno obavljanje i inspekcijskih poslova koji se odnose na nadzor nad primjenom i izvršavanjem zakona, drugih propisa i općih akata u djelatnosti mjeriteljstva i prometu predmeta od plemenitih kovina kao i nadzor nad stručnim radom ovlaštenih mjeritelja i ovlaštenih pravnih osoba.</w:t>
      </w:r>
    </w:p>
    <w:p w:rsidR="00AC0832" w:rsidRDefault="00AC0832">
      <w:pPr>
        <w:pStyle w:val="Heading6"/>
      </w:pPr>
      <w:r>
        <w:t>Zakonske i druge pravne osnove</w:t>
      </w:r>
    </w:p>
    <w:p w:rsidR="00AC0832" w:rsidRDefault="00AC0832">
      <w:pPr>
        <w:pStyle w:val="Normal5"/>
      </w:pPr>
      <w:r>
        <w:t xml:space="preserve">Zakon o mjeriteljstvu (NN 163/2003),  </w:t>
      </w:r>
    </w:p>
    <w:p w:rsidR="00AC0832" w:rsidRDefault="00AC0832">
      <w:pPr>
        <w:pStyle w:val="Normal5"/>
      </w:pPr>
      <w:r>
        <w:tab/>
        <w:t xml:space="preserve">Zakon o izmjenama i dopunama Zakona o mjeriteljstvu (NN 111/07) </w:t>
      </w:r>
    </w:p>
    <w:p w:rsidR="00AC0832" w:rsidRDefault="00AC0832">
      <w:pPr>
        <w:pStyle w:val="Normal5"/>
      </w:pPr>
      <w:r>
        <w:tab/>
        <w:t xml:space="preserve">Zakon o nadzoru predmeta od plemenitih kovina ( NN 76/93 ),  </w:t>
      </w:r>
    </w:p>
    <w:p w:rsidR="00AC0832" w:rsidRDefault="00AC0832">
      <w:pPr>
        <w:pStyle w:val="Normal5"/>
      </w:pPr>
      <w:r>
        <w:tab/>
        <w:t xml:space="preserve">Zakon o tehničkim zahtjevima za proizvode i ocjenjivanju sukladnosti (NN 20/10 ) </w:t>
      </w:r>
    </w:p>
    <w:p w:rsidR="00AC0832" w:rsidRDefault="00AC0832">
      <w:pPr>
        <w:pStyle w:val="Normal5"/>
      </w:pPr>
      <w:r>
        <w:tab/>
        <w:t xml:space="preserve">Zakon o sigurnosti prometa ( homologacija – NN 105/04 ) </w:t>
      </w:r>
    </w:p>
    <w:p w:rsidR="00AC0832" w:rsidRDefault="00AC0832">
      <w:pPr>
        <w:pStyle w:val="Normal5"/>
      </w:pPr>
      <w:r>
        <w:tab/>
        <w:t xml:space="preserve">Zakon o cestama ( NN 84/11) </w:t>
      </w:r>
    </w:p>
    <w:p w:rsidR="00AC0832" w:rsidRDefault="00AC0832">
      <w:pPr>
        <w:pStyle w:val="Normal5"/>
      </w:pPr>
      <w:r>
        <w:tab/>
        <w:t xml:space="preserve">Zakon o računanju vremena ( NN 27/93, NN 33/96 )  </w:t>
      </w:r>
    </w:p>
    <w:p w:rsidR="00AC0832" w:rsidRDefault="00AC0832">
      <w:pPr>
        <w:pStyle w:val="Normal5"/>
      </w:pPr>
      <w:r>
        <w:t>Uzimajući u obzir niz ključnih promjena i faktora u sustavu mjeriteljstva Republike Hrvatske, a nastavno na zadnji koncept definiranja i osiguranja nacionalnog mjeriteljskog sustava predstavljenog Europskoj komisiji u procesu realizacije ACAA sporazuma , nužno je izvršiti strukturne promjene vezane uz srednjoročno poslovanje Državnog zavoda za mjeriteljstvo i dosadašnje strateške dokumente koji su upitni u novoj koncepciji. To uključuje paket dokumenata nužnih za redefiniranje pravaca razvoja nacionalnog mjeriteljskog sustava, sukladno zahtjevima EU u procesu pridruživanja, Strategiji Vladinih programa 2011.-2013. ali i osiguranja učinkovitog i djelotvornog sustava. Tijekom 2012. godine donesena je nova Uredba o unutarnjem ustrojstvu Državnog zavoda za mjeriteljstvo (NN 42/12), a u pripremi je novi Zakon o mjeriteljstvu s pripadajućim provedbenim aktima.</w:t>
      </w:r>
    </w:p>
    <w:p w:rsidR="00AC0832" w:rsidRDefault="00AC0832">
      <w:pPr>
        <w:pStyle w:val="Heading7"/>
      </w:pPr>
      <w:r>
        <w:t>Cilj 1.  Unaprjeđenje sustava homologacije vozila i dijelova i uvođenje sustava ocjene tehničke sukladnosti</w:t>
      </w:r>
    </w:p>
    <w:p w:rsidR="00AC0832" w:rsidRDefault="00AC0832">
      <w:pPr>
        <w:pStyle w:val="Heading8"/>
        <w:jc w:val="left"/>
      </w:pPr>
      <w:r>
        <w:t>Opis provedbe cilja programa</w:t>
      </w:r>
    </w:p>
    <w:p w:rsidR="00AC0832" w:rsidRDefault="00AC0832">
      <w:pPr>
        <w:pStyle w:val="Normal6"/>
      </w:pPr>
      <w:r>
        <w:t xml:space="preserve">U području sustava homologacije vozila, traktora za poljoprivredu i šumarstvo potrebno je osigurati trajno osuvremenjivanje propisa i njihovu provedbu. </w:t>
      </w:r>
    </w:p>
    <w:p w:rsidR="00AC0832" w:rsidRDefault="00AC0832">
      <w:pPr>
        <w:pStyle w:val="Normal6"/>
      </w:pPr>
      <w:r>
        <w:t xml:space="preserve"> </w:t>
      </w:r>
    </w:p>
    <w:p w:rsidR="00AC0832" w:rsidRDefault="00AC0832">
      <w:pPr>
        <w:pStyle w:val="Normal6"/>
      </w:pPr>
      <w:r>
        <w:t xml:space="preserve">Za kvalitetnu provedbu sustava homologacije potrebno je osigurati uspostavljanje odgovarajućeg posebnog informacijskog sustava vezanog za homologaciju vozila i dijelova (obaveza DZM-a kao tijela nadležnog za homologaciju vozila u Republici Hrvatskoj). Takav informacijski sustav osigurat će raspoloživost homologacijskih podataka o vozilima i necestovnim pokretnim strojevima koje Zavod dobiva od proizvođača (preko njihovih ovlaštenih dobavljača) u provedbi sustava homologacije drugim potencijalnim korisnicima takvih podataka (tehnički pregledi, registracija vozila, ovlaštene pravne osobe za stručne poslove u postupku homologacije, porezna uprava, tijela državne uprave za zaštitu okoliša itd.) uključujući i podatke koji se dostavljaju Europskoj komisiji te osigurati integriranje te baze u cjelovit informatički sustav elektroničkog upravljanja dokumentima i elektroničkog upravljanja poslovnim procesima. </w:t>
      </w:r>
    </w:p>
    <w:p w:rsidR="00AC0832" w:rsidRDefault="00AC0832">
      <w:pPr>
        <w:pStyle w:val="Normal6"/>
      </w:pPr>
      <w:r>
        <w:t xml:space="preserve">Uspostaviti sustav nadzora sukladnosti necestovnih strojeva koji se stavljaju na tržište RH. </w:t>
      </w:r>
    </w:p>
    <w:p w:rsidR="00AC0832" w:rsidRDefault="00AC0832">
      <w:pPr>
        <w:pStyle w:val="Normal6"/>
      </w:pPr>
      <w:r>
        <w:t>Provoditi trajno školovanje i osposobljavanje stručnjaka zavoda i ovlaštenih pravnih osoba za područje homologacije vozila.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0"/>
        <w:gridCol w:w="1395"/>
        <w:gridCol w:w="1255"/>
        <w:gridCol w:w="1271"/>
        <w:gridCol w:w="1267"/>
        <w:gridCol w:w="1271"/>
        <w:gridCol w:w="127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Uspješnost implementacije sustava homologacije vozila i necestovnih strojeva</w:t>
            </w:r>
          </w:p>
        </w:tc>
        <w:tc>
          <w:tcPr>
            <w:tcW w:w="1300" w:type="dxa"/>
          </w:tcPr>
          <w:p w:rsidR="00AC0832" w:rsidRDefault="00AC0832">
            <w:pPr>
              <w:pStyle w:val="CellColumn"/>
            </w:pPr>
            <w:r>
              <w:t>Potpuno usklađivanje sustava homologacije za ulazak u EU dovodi do ostvarenja cilja</w:t>
            </w:r>
          </w:p>
        </w:tc>
        <w:tc>
          <w:tcPr>
            <w:tcW w:w="1300" w:type="dxa"/>
          </w:tcPr>
          <w:p w:rsidR="00AC0832" w:rsidRDefault="00AC0832">
            <w:pPr>
              <w:pStyle w:val="CellColumn"/>
            </w:pPr>
            <w:r>
              <w:t>%</w:t>
            </w:r>
          </w:p>
        </w:tc>
        <w:tc>
          <w:tcPr>
            <w:tcW w:w="1300" w:type="dxa"/>
          </w:tcPr>
          <w:p w:rsidR="00AC0832" w:rsidRDefault="00AC0832">
            <w:pPr>
              <w:pStyle w:val="CellColumn"/>
            </w:pPr>
            <w:r>
              <w:t>10</w:t>
            </w:r>
          </w:p>
        </w:tc>
        <w:tc>
          <w:tcPr>
            <w:tcW w:w="1300" w:type="dxa"/>
          </w:tcPr>
          <w:p w:rsidR="00AC0832" w:rsidRDefault="00AC0832">
            <w:pPr>
              <w:pStyle w:val="CellColumn"/>
            </w:pPr>
            <w:r>
              <w:t>DZM</w:t>
            </w:r>
          </w:p>
        </w:tc>
        <w:tc>
          <w:tcPr>
            <w:tcW w:w="1300" w:type="dxa"/>
          </w:tcPr>
          <w:p w:rsidR="00AC0832" w:rsidRDefault="00AC0832">
            <w:pPr>
              <w:pStyle w:val="CellColumn"/>
            </w:pPr>
            <w:r>
              <w:t>50</w:t>
            </w:r>
          </w:p>
        </w:tc>
        <w:tc>
          <w:tcPr>
            <w:tcW w:w="1300" w:type="dxa"/>
          </w:tcPr>
          <w:p w:rsidR="00AC0832" w:rsidRDefault="00AC0832">
            <w:pPr>
              <w:pStyle w:val="CellColumn"/>
            </w:pPr>
            <w:r>
              <w:t>30</w:t>
            </w:r>
          </w:p>
        </w:tc>
      </w:tr>
      <w:tr w:rsidR="00AC0832" w:rsidTr="00BE20ED">
        <w:trPr>
          <w:jc w:val="center"/>
        </w:trPr>
        <w:tc>
          <w:tcPr>
            <w:tcW w:w="1300" w:type="dxa"/>
          </w:tcPr>
          <w:p w:rsidR="00AC0832" w:rsidRDefault="00AC0832">
            <w:pPr>
              <w:pStyle w:val="CellColumn"/>
            </w:pPr>
            <w:r>
              <w:t>Izrađena analiza potreba i studija opravdanosti</w:t>
            </w:r>
          </w:p>
        </w:tc>
        <w:tc>
          <w:tcPr>
            <w:tcW w:w="1300" w:type="dxa"/>
          </w:tcPr>
          <w:p w:rsidR="00AC0832" w:rsidRDefault="00AC0832">
            <w:pPr>
              <w:pStyle w:val="CellColumn"/>
            </w:pPr>
            <w:r>
              <w:t>Definiranje potrebe za uspostavu prijavljenog tijela</w:t>
            </w:r>
          </w:p>
        </w:tc>
        <w:tc>
          <w:tcPr>
            <w:tcW w:w="1300" w:type="dxa"/>
          </w:tcPr>
          <w:p w:rsidR="00AC0832" w:rsidRDefault="00AC0832">
            <w:pPr>
              <w:pStyle w:val="CellColumn"/>
            </w:pPr>
            <w:r>
              <w:t>kom</w:t>
            </w:r>
          </w:p>
        </w:tc>
        <w:tc>
          <w:tcPr>
            <w:tcW w:w="1300" w:type="dxa"/>
          </w:tcPr>
          <w:p w:rsidR="00AC0832" w:rsidRDefault="00AC0832">
            <w:pPr>
              <w:pStyle w:val="CellColumn"/>
            </w:pPr>
            <w:r>
              <w:t>0</w:t>
            </w:r>
          </w:p>
        </w:tc>
        <w:tc>
          <w:tcPr>
            <w:tcW w:w="1300" w:type="dxa"/>
          </w:tcPr>
          <w:p w:rsidR="00AC0832" w:rsidRDefault="00AC0832">
            <w:pPr>
              <w:pStyle w:val="CellColumn"/>
            </w:pPr>
            <w:r>
              <w:t>DZM</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0</w:t>
            </w:r>
          </w:p>
        </w:tc>
      </w:tr>
    </w:tbl>
    <w:p w:rsidR="00AC0832" w:rsidRDefault="00AC0832">
      <w:pPr>
        <w:jc w:val="left"/>
      </w:pPr>
    </w:p>
    <w:p w:rsidR="00AC0832" w:rsidRDefault="00AC0832">
      <w:pPr>
        <w:pStyle w:val="Heading7"/>
      </w:pPr>
      <w:r>
        <w:t>Cilj 2. Razvoj i unaprjeđenje zakonskog mjeriteljstva  Razvoj i unaprjeđenje zakonskog mjeriteljstva  Razvoj i unaprjeđenje zakonskog mjeriteljstva  Razvoj i unaprjeđenje zakonskog mjeriteljstva</w:t>
      </w:r>
    </w:p>
    <w:p w:rsidR="00AC0832" w:rsidRDefault="00AC0832">
      <w:pPr>
        <w:pStyle w:val="Heading8"/>
        <w:jc w:val="left"/>
      </w:pPr>
      <w:r>
        <w:t>Opis provedbe cilja programa</w:t>
      </w:r>
    </w:p>
    <w:p w:rsidR="00AC0832" w:rsidRDefault="00AC0832">
      <w:pPr>
        <w:pStyle w:val="Normal6"/>
      </w:pPr>
      <w:r>
        <w:t>Kako bi se omogućio daljnji razvoj i unaprjeđenje djelatnosti zakonskog mjeriteljstva treba poraditi na jačanju kapaciteta u svim segmentima poslovanja Zavoda. Time će se stvoriti kvaliteta podloga za poboljšanje radnog učinka. Jačanje kapaciteta zakonskog mjeriteljstva također će se odraziti i na kvalitetu gospodarske djelatnosti RH u smislu konkurentnosti.. Da bi se ostvario daljnji rast DZM-a potrebno je uspostaviti što kvalitetniji odnos Zavoda sa proizvođačima i korisnicima mjerila. Proizvođači i korisnici mjerila predstavljaju važnu kariku u lancu poslovnih procesa Zavoda s kojima se mora ostvariti visoki stupanj zadovoljstva i međusobne suradnje da bi se to manifestiralo sa što efikasnijim učincima u praksi DZM-a. Suradnja s drugim TDU i brojim međunarodnim radnim grupama i organizacijama omogućava dobru prepoznatljivost Zavodu na nacionalnoj i  inozemnoj razini te doprinose stvaranju dobrog javnog mišljenja o poslovanju DZM-a.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7"/>
        <w:gridCol w:w="1617"/>
        <w:gridCol w:w="1181"/>
        <w:gridCol w:w="1215"/>
        <w:gridCol w:w="1203"/>
        <w:gridCol w:w="1215"/>
        <w:gridCol w:w="124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kompletiranih postojećih i novih mjeriteljskih laboratorija</w:t>
            </w:r>
          </w:p>
        </w:tc>
        <w:tc>
          <w:tcPr>
            <w:tcW w:w="1300" w:type="dxa"/>
          </w:tcPr>
          <w:p w:rsidR="00AC0832" w:rsidRDefault="00AC0832">
            <w:pPr>
              <w:pStyle w:val="CellColumn"/>
            </w:pPr>
            <w:r>
              <w:t>Sposobnost za ispitivanje više vrsta mjerila</w:t>
            </w:r>
          </w:p>
        </w:tc>
        <w:tc>
          <w:tcPr>
            <w:tcW w:w="1300" w:type="dxa"/>
          </w:tcPr>
          <w:p w:rsidR="00AC0832" w:rsidRDefault="00AC0832">
            <w:pPr>
              <w:pStyle w:val="CellColumn"/>
            </w:pPr>
            <w:r>
              <w:t>broj</w:t>
            </w:r>
          </w:p>
        </w:tc>
        <w:tc>
          <w:tcPr>
            <w:tcW w:w="1300" w:type="dxa"/>
          </w:tcPr>
          <w:p w:rsidR="00AC0832" w:rsidRDefault="00AC0832">
            <w:pPr>
              <w:pStyle w:val="CellColumn"/>
            </w:pPr>
            <w:r>
              <w:t>5</w:t>
            </w:r>
          </w:p>
        </w:tc>
        <w:tc>
          <w:tcPr>
            <w:tcW w:w="1300" w:type="dxa"/>
          </w:tcPr>
          <w:p w:rsidR="00AC0832" w:rsidRDefault="00AC0832">
            <w:pPr>
              <w:pStyle w:val="CellColumn"/>
            </w:pPr>
            <w:r>
              <w:t>DZM</w:t>
            </w:r>
          </w:p>
        </w:tc>
        <w:tc>
          <w:tcPr>
            <w:tcW w:w="1300" w:type="dxa"/>
          </w:tcPr>
          <w:p w:rsidR="00AC0832" w:rsidRDefault="00AC0832">
            <w:pPr>
              <w:pStyle w:val="CellColumn"/>
            </w:pPr>
            <w:r>
              <w:t>8</w:t>
            </w:r>
          </w:p>
        </w:tc>
        <w:tc>
          <w:tcPr>
            <w:tcW w:w="1300" w:type="dxa"/>
          </w:tcPr>
          <w:p w:rsidR="00AC0832" w:rsidRDefault="00AC0832">
            <w:pPr>
              <w:pStyle w:val="CellColumn"/>
            </w:pPr>
            <w:r>
              <w:t>5</w:t>
            </w:r>
          </w:p>
        </w:tc>
      </w:tr>
      <w:tr w:rsidR="00AC0832" w:rsidTr="00BE20ED">
        <w:trPr>
          <w:jc w:val="center"/>
        </w:trPr>
        <w:tc>
          <w:tcPr>
            <w:tcW w:w="1300" w:type="dxa"/>
          </w:tcPr>
          <w:p w:rsidR="00AC0832" w:rsidRDefault="00AC0832">
            <w:pPr>
              <w:pStyle w:val="CellColumn"/>
            </w:pPr>
            <w:r>
              <w:t>Postotak postignute razmjene znanja i iskustva u području mjeriteljstva</w:t>
            </w:r>
          </w:p>
        </w:tc>
        <w:tc>
          <w:tcPr>
            <w:tcW w:w="1300" w:type="dxa"/>
          </w:tcPr>
          <w:p w:rsidR="00AC0832" w:rsidRDefault="00AC0832">
            <w:pPr>
              <w:pStyle w:val="CellColumn"/>
            </w:pPr>
            <w:r>
              <w:t>Razmjena znanja i iskustava i suradnja u području mjeriteljstva</w:t>
            </w:r>
          </w:p>
        </w:tc>
        <w:tc>
          <w:tcPr>
            <w:tcW w:w="1300" w:type="dxa"/>
          </w:tcPr>
          <w:p w:rsidR="00AC0832" w:rsidRDefault="00AC0832">
            <w:pPr>
              <w:pStyle w:val="CellColumn"/>
            </w:pPr>
            <w:r>
              <w:t>%</w:t>
            </w:r>
          </w:p>
        </w:tc>
        <w:tc>
          <w:tcPr>
            <w:tcW w:w="1300" w:type="dxa"/>
          </w:tcPr>
          <w:p w:rsidR="00AC0832" w:rsidRDefault="00AC0832">
            <w:pPr>
              <w:pStyle w:val="CellColumn"/>
            </w:pPr>
            <w:r>
              <w:t>50</w:t>
            </w:r>
          </w:p>
        </w:tc>
        <w:tc>
          <w:tcPr>
            <w:tcW w:w="1300" w:type="dxa"/>
          </w:tcPr>
          <w:p w:rsidR="00AC0832" w:rsidRDefault="00AC0832">
            <w:pPr>
              <w:pStyle w:val="CellColumn"/>
            </w:pPr>
            <w:r>
              <w:t>DZM</w:t>
            </w:r>
          </w:p>
        </w:tc>
        <w:tc>
          <w:tcPr>
            <w:tcW w:w="1300" w:type="dxa"/>
          </w:tcPr>
          <w:p w:rsidR="00AC0832" w:rsidRDefault="00AC0832">
            <w:pPr>
              <w:pStyle w:val="CellColumn"/>
            </w:pPr>
            <w:r>
              <w:t>100</w:t>
            </w:r>
          </w:p>
        </w:tc>
        <w:tc>
          <w:tcPr>
            <w:tcW w:w="1300" w:type="dxa"/>
          </w:tcPr>
          <w:p w:rsidR="00AC0832" w:rsidRDefault="00AC0832">
            <w:pPr>
              <w:pStyle w:val="CellColumn"/>
            </w:pPr>
            <w:r>
              <w:t>60</w:t>
            </w:r>
          </w:p>
        </w:tc>
      </w:tr>
      <w:tr w:rsidR="00AC0832" w:rsidTr="00BE20ED">
        <w:trPr>
          <w:jc w:val="center"/>
        </w:trPr>
        <w:tc>
          <w:tcPr>
            <w:tcW w:w="1300" w:type="dxa"/>
          </w:tcPr>
          <w:p w:rsidR="00AC0832" w:rsidRDefault="00AC0832">
            <w:pPr>
              <w:pStyle w:val="CellColumn"/>
            </w:pPr>
            <w:r>
              <w:t>Postotak ostvarenja suradnje sa nositeljima politike zaštite potrošača</w:t>
            </w:r>
          </w:p>
        </w:tc>
        <w:tc>
          <w:tcPr>
            <w:tcW w:w="1300" w:type="dxa"/>
          </w:tcPr>
          <w:p w:rsidR="00AC0832" w:rsidRDefault="00AC0832">
            <w:pPr>
              <w:pStyle w:val="CellColumn"/>
            </w:pPr>
            <w:r>
              <w:t>Suradnja na rješavanju problema koje imaju potrošači3</w:t>
            </w:r>
          </w:p>
        </w:tc>
        <w:tc>
          <w:tcPr>
            <w:tcW w:w="1300" w:type="dxa"/>
          </w:tcPr>
          <w:p w:rsidR="00AC0832" w:rsidRDefault="00AC0832">
            <w:pPr>
              <w:pStyle w:val="CellColumn"/>
            </w:pPr>
            <w:r>
              <w:t>%</w:t>
            </w:r>
          </w:p>
        </w:tc>
        <w:tc>
          <w:tcPr>
            <w:tcW w:w="1300" w:type="dxa"/>
          </w:tcPr>
          <w:p w:rsidR="00AC0832" w:rsidRDefault="00AC0832">
            <w:pPr>
              <w:pStyle w:val="CellColumn"/>
            </w:pPr>
            <w:r>
              <w:t>50</w:t>
            </w:r>
          </w:p>
        </w:tc>
        <w:tc>
          <w:tcPr>
            <w:tcW w:w="1300" w:type="dxa"/>
          </w:tcPr>
          <w:p w:rsidR="00AC0832" w:rsidRDefault="00AC0832">
            <w:pPr>
              <w:pStyle w:val="CellColumn"/>
            </w:pPr>
            <w:r>
              <w:t>DZM</w:t>
            </w:r>
          </w:p>
        </w:tc>
        <w:tc>
          <w:tcPr>
            <w:tcW w:w="1300" w:type="dxa"/>
          </w:tcPr>
          <w:p w:rsidR="00AC0832" w:rsidRDefault="00AC0832">
            <w:pPr>
              <w:pStyle w:val="CellColumn"/>
            </w:pPr>
            <w:r>
              <w:t>50</w:t>
            </w:r>
          </w:p>
        </w:tc>
        <w:tc>
          <w:tcPr>
            <w:tcW w:w="1300" w:type="dxa"/>
          </w:tcPr>
          <w:p w:rsidR="00AC0832" w:rsidRDefault="00AC0832">
            <w:pPr>
              <w:pStyle w:val="CellColumn"/>
            </w:pPr>
            <w:r>
              <w:t>50</w:t>
            </w:r>
          </w:p>
        </w:tc>
      </w:tr>
      <w:tr w:rsidR="00AC0832" w:rsidTr="00BE20ED">
        <w:trPr>
          <w:jc w:val="center"/>
        </w:trPr>
        <w:tc>
          <w:tcPr>
            <w:tcW w:w="1300" w:type="dxa"/>
          </w:tcPr>
          <w:p w:rsidR="00AC0832" w:rsidRDefault="00AC0832">
            <w:pPr>
              <w:pStyle w:val="CellColumn"/>
            </w:pPr>
            <w:r>
              <w:t>Postotak ostvarenja djelotvornog funkcioniranja državne uprave u aspektima mjeriteljstva</w:t>
            </w:r>
          </w:p>
        </w:tc>
        <w:tc>
          <w:tcPr>
            <w:tcW w:w="1300" w:type="dxa"/>
          </w:tcPr>
          <w:p w:rsidR="00AC0832" w:rsidRDefault="00AC0832">
            <w:pPr>
              <w:pStyle w:val="CellColumn"/>
            </w:pPr>
            <w:r>
              <w:t>Djelotvorno funkcioniranje državne uprave u aspektima mjeriteljstva</w:t>
            </w:r>
          </w:p>
        </w:tc>
        <w:tc>
          <w:tcPr>
            <w:tcW w:w="1300" w:type="dxa"/>
          </w:tcPr>
          <w:p w:rsidR="00AC0832" w:rsidRDefault="00AC0832">
            <w:pPr>
              <w:pStyle w:val="CellColumn"/>
            </w:pPr>
            <w:r>
              <w:t>%</w:t>
            </w:r>
          </w:p>
        </w:tc>
        <w:tc>
          <w:tcPr>
            <w:tcW w:w="1300" w:type="dxa"/>
          </w:tcPr>
          <w:p w:rsidR="00AC0832" w:rsidRDefault="00AC0832">
            <w:pPr>
              <w:pStyle w:val="CellColumn"/>
            </w:pPr>
            <w:r>
              <w:t>20</w:t>
            </w:r>
          </w:p>
        </w:tc>
        <w:tc>
          <w:tcPr>
            <w:tcW w:w="1300" w:type="dxa"/>
          </w:tcPr>
          <w:p w:rsidR="00AC0832" w:rsidRDefault="00AC0832">
            <w:pPr>
              <w:pStyle w:val="CellColumn"/>
            </w:pPr>
            <w:r>
              <w:t>DZM</w:t>
            </w:r>
          </w:p>
        </w:tc>
        <w:tc>
          <w:tcPr>
            <w:tcW w:w="1300" w:type="dxa"/>
          </w:tcPr>
          <w:p w:rsidR="00AC0832" w:rsidRDefault="00AC0832">
            <w:pPr>
              <w:pStyle w:val="CellColumn"/>
            </w:pPr>
            <w:r>
              <w:t>40</w:t>
            </w:r>
          </w:p>
        </w:tc>
        <w:tc>
          <w:tcPr>
            <w:tcW w:w="1300" w:type="dxa"/>
          </w:tcPr>
          <w:p w:rsidR="00AC0832" w:rsidRDefault="00AC0832">
            <w:pPr>
              <w:pStyle w:val="CellColumn"/>
            </w:pPr>
            <w:r>
              <w:t>40</w:t>
            </w:r>
          </w:p>
        </w:tc>
      </w:tr>
      <w:tr w:rsidR="00AC0832" w:rsidTr="00BE20ED">
        <w:trPr>
          <w:jc w:val="center"/>
        </w:trPr>
        <w:tc>
          <w:tcPr>
            <w:tcW w:w="1300" w:type="dxa"/>
          </w:tcPr>
          <w:p w:rsidR="00AC0832" w:rsidRDefault="00AC0832">
            <w:pPr>
              <w:pStyle w:val="CellColumn"/>
            </w:pPr>
            <w:r>
              <w:t>Suradnja na regionalnom, europskom i međunarodnom planu</w:t>
            </w:r>
          </w:p>
        </w:tc>
        <w:tc>
          <w:tcPr>
            <w:tcW w:w="1300" w:type="dxa"/>
          </w:tcPr>
          <w:p w:rsidR="00AC0832" w:rsidRDefault="00AC0832">
            <w:pPr>
              <w:pStyle w:val="CellColumn"/>
            </w:pPr>
            <w:r>
              <w:t>Suradnja na regionalnom, europskom i međunarodnom planu</w:t>
            </w:r>
          </w:p>
        </w:tc>
        <w:tc>
          <w:tcPr>
            <w:tcW w:w="1300" w:type="dxa"/>
          </w:tcPr>
          <w:p w:rsidR="00AC0832" w:rsidRDefault="00AC0832">
            <w:pPr>
              <w:pStyle w:val="CellColumn"/>
            </w:pPr>
            <w:r>
              <w:t>broj</w:t>
            </w:r>
          </w:p>
        </w:tc>
        <w:tc>
          <w:tcPr>
            <w:tcW w:w="1300" w:type="dxa"/>
          </w:tcPr>
          <w:p w:rsidR="00AC0832" w:rsidRDefault="00AC0832">
            <w:pPr>
              <w:pStyle w:val="CellColumn"/>
            </w:pPr>
            <w:r>
              <w:t>3</w:t>
            </w:r>
          </w:p>
        </w:tc>
        <w:tc>
          <w:tcPr>
            <w:tcW w:w="1300" w:type="dxa"/>
          </w:tcPr>
          <w:p w:rsidR="00AC0832" w:rsidRDefault="00AC0832">
            <w:pPr>
              <w:pStyle w:val="CellColumn"/>
            </w:pPr>
            <w:r>
              <w:t>DZM</w:t>
            </w:r>
          </w:p>
        </w:tc>
        <w:tc>
          <w:tcPr>
            <w:tcW w:w="1300" w:type="dxa"/>
          </w:tcPr>
          <w:p w:rsidR="00AC0832" w:rsidRDefault="00AC0832">
            <w:pPr>
              <w:pStyle w:val="CellColumn"/>
            </w:pPr>
            <w:r>
              <w:t>7</w:t>
            </w:r>
          </w:p>
        </w:tc>
        <w:tc>
          <w:tcPr>
            <w:tcW w:w="1300" w:type="dxa"/>
          </w:tcPr>
          <w:p w:rsidR="00AC0832" w:rsidRDefault="00AC0832">
            <w:pPr>
              <w:pStyle w:val="CellColumn"/>
            </w:pPr>
            <w:r>
              <w:t>6</w:t>
            </w:r>
          </w:p>
        </w:tc>
      </w:tr>
      <w:tr w:rsidR="00AC0832" w:rsidTr="00BE20ED">
        <w:trPr>
          <w:jc w:val="center"/>
        </w:trPr>
        <w:tc>
          <w:tcPr>
            <w:tcW w:w="1300" w:type="dxa"/>
          </w:tcPr>
          <w:p w:rsidR="00AC0832" w:rsidRDefault="00AC0832">
            <w:pPr>
              <w:pStyle w:val="CellColumn"/>
            </w:pPr>
            <w:r>
              <w:t>Broj postojećih laboratorija u sastavu DZM-a</w:t>
            </w:r>
          </w:p>
        </w:tc>
        <w:tc>
          <w:tcPr>
            <w:tcW w:w="1300" w:type="dxa"/>
          </w:tcPr>
          <w:p w:rsidR="00AC0832" w:rsidRDefault="00AC0832">
            <w:pPr>
              <w:pStyle w:val="CellColumn"/>
            </w:pPr>
            <w:r>
              <w:t>Ostvarenje jedinstvenog laboratorija DZM s unificiranim i prepoznatljivim načinom rada u skladu s međunarodno priznatim normama</w:t>
            </w:r>
          </w:p>
        </w:tc>
        <w:tc>
          <w:tcPr>
            <w:tcW w:w="1300" w:type="dxa"/>
          </w:tcPr>
          <w:p w:rsidR="00AC0832" w:rsidRDefault="00AC0832">
            <w:pPr>
              <w:pStyle w:val="CellColumn"/>
            </w:pPr>
            <w:r>
              <w:t>broj područja</w:t>
            </w:r>
          </w:p>
        </w:tc>
        <w:tc>
          <w:tcPr>
            <w:tcW w:w="1300" w:type="dxa"/>
          </w:tcPr>
          <w:p w:rsidR="00AC0832" w:rsidRDefault="00AC0832">
            <w:pPr>
              <w:pStyle w:val="CellColumn"/>
            </w:pPr>
            <w:r>
              <w:t>0</w:t>
            </w:r>
          </w:p>
        </w:tc>
        <w:tc>
          <w:tcPr>
            <w:tcW w:w="1300" w:type="dxa"/>
          </w:tcPr>
          <w:p w:rsidR="00AC0832" w:rsidRDefault="00AC0832">
            <w:pPr>
              <w:pStyle w:val="CellColumn"/>
            </w:pPr>
            <w:r>
              <w:t>DZM</w:t>
            </w:r>
          </w:p>
        </w:tc>
        <w:tc>
          <w:tcPr>
            <w:tcW w:w="1300" w:type="dxa"/>
          </w:tcPr>
          <w:p w:rsidR="00AC0832" w:rsidRDefault="00AC0832">
            <w:pPr>
              <w:pStyle w:val="CellColumn"/>
            </w:pPr>
            <w:r>
              <w:t>2</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Postotak ostvarene suradnje s znanstvenim i drugim značajnim institucijama</w:t>
            </w:r>
          </w:p>
        </w:tc>
        <w:tc>
          <w:tcPr>
            <w:tcW w:w="1300" w:type="dxa"/>
          </w:tcPr>
          <w:p w:rsidR="00AC0832" w:rsidRDefault="00AC0832">
            <w:pPr>
              <w:pStyle w:val="CellColumn"/>
            </w:pPr>
            <w:r>
              <w:t>Djelotvorno funkcioniranje mjeriteljskog sustava u područjima koja sam Zavod ne može pokriti</w:t>
            </w:r>
          </w:p>
        </w:tc>
        <w:tc>
          <w:tcPr>
            <w:tcW w:w="1300" w:type="dxa"/>
          </w:tcPr>
          <w:p w:rsidR="00AC0832" w:rsidRDefault="00AC0832">
            <w:pPr>
              <w:pStyle w:val="CellColumn"/>
            </w:pPr>
            <w:r>
              <w:t>broj</w:t>
            </w:r>
          </w:p>
        </w:tc>
        <w:tc>
          <w:tcPr>
            <w:tcW w:w="1300" w:type="dxa"/>
          </w:tcPr>
          <w:p w:rsidR="00AC0832" w:rsidRDefault="00AC0832">
            <w:pPr>
              <w:pStyle w:val="CellColumn"/>
            </w:pPr>
            <w:r>
              <w:t>1</w:t>
            </w:r>
          </w:p>
        </w:tc>
        <w:tc>
          <w:tcPr>
            <w:tcW w:w="1300" w:type="dxa"/>
          </w:tcPr>
          <w:p w:rsidR="00AC0832" w:rsidRDefault="00AC0832">
            <w:pPr>
              <w:pStyle w:val="CellColumn"/>
            </w:pPr>
            <w:r>
              <w:t>DZM</w:t>
            </w:r>
          </w:p>
        </w:tc>
        <w:tc>
          <w:tcPr>
            <w:tcW w:w="1300" w:type="dxa"/>
          </w:tcPr>
          <w:p w:rsidR="00AC0832" w:rsidRDefault="00AC0832">
            <w:pPr>
              <w:pStyle w:val="CellColumn"/>
            </w:pPr>
            <w:r>
              <w:t>2</w:t>
            </w:r>
          </w:p>
        </w:tc>
        <w:tc>
          <w:tcPr>
            <w:tcW w:w="1300" w:type="dxa"/>
          </w:tcPr>
          <w:p w:rsidR="00AC0832" w:rsidRDefault="00AC0832">
            <w:pPr>
              <w:pStyle w:val="CellColumn"/>
            </w:pPr>
            <w:r>
              <w:t>1</w:t>
            </w:r>
          </w:p>
        </w:tc>
      </w:tr>
      <w:tr w:rsidR="00AC0832" w:rsidTr="00BE20ED">
        <w:trPr>
          <w:jc w:val="center"/>
        </w:trPr>
        <w:tc>
          <w:tcPr>
            <w:tcW w:w="1300" w:type="dxa"/>
          </w:tcPr>
          <w:p w:rsidR="00AC0832" w:rsidRDefault="00AC0832">
            <w:pPr>
              <w:pStyle w:val="CellColumn"/>
            </w:pPr>
            <w:r>
              <w:t>Uspostavljen centar mjeriteljske izvrsnosti</w:t>
            </w:r>
          </w:p>
        </w:tc>
        <w:tc>
          <w:tcPr>
            <w:tcW w:w="1300" w:type="dxa"/>
          </w:tcPr>
          <w:p w:rsidR="00AC0832" w:rsidRDefault="00AC0832">
            <w:pPr>
              <w:pStyle w:val="CellColumn"/>
            </w:pPr>
            <w:r>
              <w:t>U centrima mjeriteljske izvrsnosti raditi na unapređenju kompetentnosti svih dionika zakonskog mjeriteljstva</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DZM</w:t>
            </w:r>
          </w:p>
        </w:tc>
        <w:tc>
          <w:tcPr>
            <w:tcW w:w="1300" w:type="dxa"/>
          </w:tcPr>
          <w:p w:rsidR="00AC0832" w:rsidRDefault="00AC0832">
            <w:pPr>
              <w:pStyle w:val="CellColumn"/>
            </w:pPr>
            <w:r>
              <w:t>0</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Uspostavljanje modela nadzora i kontrole poslovnih procesa</w:t>
            </w:r>
          </w:p>
        </w:tc>
        <w:tc>
          <w:tcPr>
            <w:tcW w:w="1300" w:type="dxa"/>
          </w:tcPr>
          <w:p w:rsidR="00AC0832" w:rsidRDefault="00AC0832">
            <w:pPr>
              <w:pStyle w:val="CellColumn"/>
            </w:pPr>
            <w:r>
              <w:t>Efikasnijim upravljanjem resursima i kvalitetom omogućiti bolju zaštitu potrošača</w:t>
            </w:r>
          </w:p>
        </w:tc>
        <w:tc>
          <w:tcPr>
            <w:tcW w:w="1300" w:type="dxa"/>
          </w:tcPr>
          <w:p w:rsidR="00AC0832" w:rsidRDefault="00AC0832">
            <w:pPr>
              <w:pStyle w:val="CellColumn"/>
            </w:pPr>
            <w:r>
              <w:t>%</w:t>
            </w:r>
          </w:p>
        </w:tc>
        <w:tc>
          <w:tcPr>
            <w:tcW w:w="1300" w:type="dxa"/>
          </w:tcPr>
          <w:p w:rsidR="00AC0832" w:rsidRDefault="00AC0832">
            <w:pPr>
              <w:pStyle w:val="CellColumn"/>
            </w:pPr>
            <w:r>
              <w:t>50</w:t>
            </w:r>
          </w:p>
        </w:tc>
        <w:tc>
          <w:tcPr>
            <w:tcW w:w="1300" w:type="dxa"/>
          </w:tcPr>
          <w:p w:rsidR="00AC0832" w:rsidRDefault="00AC0832">
            <w:pPr>
              <w:pStyle w:val="CellColumn"/>
            </w:pPr>
            <w:r>
              <w:t>DZM</w:t>
            </w:r>
          </w:p>
        </w:tc>
        <w:tc>
          <w:tcPr>
            <w:tcW w:w="1300" w:type="dxa"/>
          </w:tcPr>
          <w:p w:rsidR="00AC0832" w:rsidRDefault="00AC0832">
            <w:pPr>
              <w:pStyle w:val="CellColumn"/>
            </w:pPr>
            <w:r>
              <w:t>60</w:t>
            </w:r>
          </w:p>
        </w:tc>
        <w:tc>
          <w:tcPr>
            <w:tcW w:w="1300" w:type="dxa"/>
          </w:tcPr>
          <w:p w:rsidR="00AC0832" w:rsidRDefault="00AC0832">
            <w:pPr>
              <w:pStyle w:val="CellColumn"/>
            </w:pPr>
            <w:r>
              <w:t>60</w:t>
            </w:r>
          </w:p>
        </w:tc>
      </w:tr>
    </w:tbl>
    <w:p w:rsidR="00AC0832" w:rsidRDefault="00AC0832">
      <w:pPr>
        <w:jc w:val="left"/>
      </w:pPr>
    </w:p>
    <w:p w:rsidR="00AC0832" w:rsidRDefault="00AC0832">
      <w:pPr>
        <w:pStyle w:val="Heading7"/>
      </w:pPr>
      <w:r>
        <w:t>Cilj 3. Ostvarivanje načela zakonitosti</w:t>
      </w:r>
    </w:p>
    <w:p w:rsidR="00AC0832" w:rsidRDefault="00AC0832">
      <w:pPr>
        <w:pStyle w:val="Heading8"/>
        <w:jc w:val="left"/>
      </w:pPr>
      <w:r>
        <w:t>Opis provedbe cilja programa</w:t>
      </w:r>
    </w:p>
    <w:p w:rsidR="00AC0832" w:rsidRDefault="00AC0832">
      <w:pPr>
        <w:pStyle w:val="Normal6"/>
      </w:pPr>
      <w:r>
        <w:t>Načelo  zakonitosti kao temelj vladavine prava te usklađenost propisa sa zakonodavstvom EU predstavljaju ključno načelo prilikom donošenja novih zakonskih i podzakonskih akata iz područja mjeriteljstva i nadzora predmeta od plemenitih kovina. Zakonodavstvo i praksa  EU zahtijevaju da se hrvatski pravni sustav, u svim svojim segmentima, pa tako i mjeriteljstvu i nadzor predmeta od plemenitih kovina, harmonizira sa europskim pravnim standardima.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17"/>
        <w:gridCol w:w="1384"/>
        <w:gridCol w:w="1211"/>
        <w:gridCol w:w="1242"/>
        <w:gridCol w:w="1233"/>
        <w:gridCol w:w="1242"/>
        <w:gridCol w:w="125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Usklađeni propisi sa zakonodavstvom EU</w:t>
            </w:r>
          </w:p>
        </w:tc>
        <w:tc>
          <w:tcPr>
            <w:tcW w:w="1300" w:type="dxa"/>
          </w:tcPr>
          <w:p w:rsidR="00AC0832" w:rsidRDefault="00AC0832">
            <w:pPr>
              <w:pStyle w:val="CellColumn"/>
            </w:pPr>
            <w:r>
              <w:t>Izvršenje obveze RH kao države kandidatkinje i kasnije članice EU</w:t>
            </w:r>
          </w:p>
        </w:tc>
        <w:tc>
          <w:tcPr>
            <w:tcW w:w="1300" w:type="dxa"/>
          </w:tcPr>
          <w:p w:rsidR="00AC0832" w:rsidRDefault="00AC0832">
            <w:pPr>
              <w:pStyle w:val="CellColumn"/>
            </w:pPr>
            <w:r>
              <w:t>%</w:t>
            </w:r>
          </w:p>
        </w:tc>
        <w:tc>
          <w:tcPr>
            <w:tcW w:w="1300" w:type="dxa"/>
          </w:tcPr>
          <w:p w:rsidR="00AC0832" w:rsidRDefault="00AC0832">
            <w:pPr>
              <w:pStyle w:val="CellColumn"/>
            </w:pPr>
            <w:r>
              <w:t>100</w:t>
            </w:r>
          </w:p>
        </w:tc>
        <w:tc>
          <w:tcPr>
            <w:tcW w:w="1300" w:type="dxa"/>
          </w:tcPr>
          <w:p w:rsidR="00AC0832" w:rsidRDefault="00AC0832">
            <w:pPr>
              <w:pStyle w:val="CellColumn"/>
            </w:pPr>
            <w:r>
              <w:t>DZM</w:t>
            </w:r>
          </w:p>
        </w:tc>
        <w:tc>
          <w:tcPr>
            <w:tcW w:w="1300" w:type="dxa"/>
          </w:tcPr>
          <w:p w:rsidR="00AC0832" w:rsidRDefault="00AC0832">
            <w:pPr>
              <w:pStyle w:val="CellColumn"/>
            </w:pPr>
            <w:r>
              <w:t>100</w:t>
            </w:r>
          </w:p>
        </w:tc>
        <w:tc>
          <w:tcPr>
            <w:tcW w:w="1300" w:type="dxa"/>
          </w:tcPr>
          <w:p w:rsidR="00AC0832" w:rsidRDefault="00AC0832">
            <w:pPr>
              <w:pStyle w:val="CellColumn"/>
            </w:pPr>
            <w:r>
              <w:t>100</w:t>
            </w:r>
          </w:p>
        </w:tc>
      </w:tr>
      <w:tr w:rsidR="00AC0832" w:rsidTr="00BE20ED">
        <w:trPr>
          <w:jc w:val="center"/>
        </w:trPr>
        <w:tc>
          <w:tcPr>
            <w:tcW w:w="1300" w:type="dxa"/>
          </w:tcPr>
          <w:p w:rsidR="00AC0832" w:rsidRDefault="00AC0832">
            <w:pPr>
              <w:pStyle w:val="CellColumn"/>
            </w:pPr>
            <w:r>
              <w:t>Objavljen Zakon o mjeriteljstvu</w:t>
            </w:r>
          </w:p>
        </w:tc>
        <w:tc>
          <w:tcPr>
            <w:tcW w:w="1300" w:type="dxa"/>
          </w:tcPr>
          <w:p w:rsidR="00AC0832" w:rsidRDefault="00AC0832">
            <w:pPr>
              <w:pStyle w:val="CellColumn"/>
            </w:pPr>
            <w:r>
              <w:t>Cjelovito uređen sustav zakonskog mjeriteljstva</w:t>
            </w:r>
          </w:p>
        </w:tc>
        <w:tc>
          <w:tcPr>
            <w:tcW w:w="1300" w:type="dxa"/>
          </w:tcPr>
          <w:p w:rsidR="00AC0832" w:rsidRDefault="00AC0832">
            <w:pPr>
              <w:pStyle w:val="CellColumn"/>
            </w:pPr>
            <w:r>
              <w:t>kom</w:t>
            </w:r>
          </w:p>
        </w:tc>
        <w:tc>
          <w:tcPr>
            <w:tcW w:w="1300" w:type="dxa"/>
          </w:tcPr>
          <w:p w:rsidR="00AC0832" w:rsidRDefault="00AC0832">
            <w:pPr>
              <w:pStyle w:val="CellColumn"/>
            </w:pPr>
            <w:r>
              <w:t>0</w:t>
            </w:r>
          </w:p>
        </w:tc>
        <w:tc>
          <w:tcPr>
            <w:tcW w:w="1300" w:type="dxa"/>
          </w:tcPr>
          <w:p w:rsidR="00AC0832" w:rsidRDefault="00AC0832">
            <w:pPr>
              <w:pStyle w:val="CellColumn"/>
            </w:pPr>
            <w:r>
              <w:t>DZM</w:t>
            </w:r>
          </w:p>
        </w:tc>
        <w:tc>
          <w:tcPr>
            <w:tcW w:w="1300" w:type="dxa"/>
          </w:tcPr>
          <w:p w:rsidR="00AC0832" w:rsidRDefault="00AC0832">
            <w:pPr>
              <w:pStyle w:val="CellColumn"/>
            </w:pPr>
            <w:r>
              <w:t>1</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Objavljeni pravilnici</w:t>
            </w:r>
          </w:p>
        </w:tc>
        <w:tc>
          <w:tcPr>
            <w:tcW w:w="1300" w:type="dxa"/>
          </w:tcPr>
          <w:p w:rsidR="00AC0832" w:rsidRDefault="00AC0832">
            <w:pPr>
              <w:pStyle w:val="CellColumn"/>
            </w:pPr>
            <w:r>
              <w:t>Cjelovito uređen sustav zakonskog mjeriteljstva</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DZM</w:t>
            </w:r>
          </w:p>
        </w:tc>
        <w:tc>
          <w:tcPr>
            <w:tcW w:w="1300" w:type="dxa"/>
          </w:tcPr>
          <w:p w:rsidR="00AC0832" w:rsidRDefault="00AC0832">
            <w:pPr>
              <w:pStyle w:val="CellColumn"/>
            </w:pPr>
            <w:r>
              <w:t>40</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Objavljen Zakon o nadzoru predmeta od plemenitih kovina</w:t>
            </w:r>
          </w:p>
        </w:tc>
        <w:tc>
          <w:tcPr>
            <w:tcW w:w="1300" w:type="dxa"/>
          </w:tcPr>
          <w:p w:rsidR="00AC0832" w:rsidRDefault="00AC0832">
            <w:pPr>
              <w:pStyle w:val="CellColumn"/>
            </w:pPr>
            <w:r>
              <w:t>Cjelovito uređen sustav nadzora premeta od plemenitih kovina</w:t>
            </w:r>
          </w:p>
        </w:tc>
        <w:tc>
          <w:tcPr>
            <w:tcW w:w="1300" w:type="dxa"/>
          </w:tcPr>
          <w:p w:rsidR="00AC0832" w:rsidRDefault="00AC0832">
            <w:pPr>
              <w:pStyle w:val="CellColumn"/>
            </w:pPr>
            <w:r>
              <w:t>kom</w:t>
            </w:r>
          </w:p>
        </w:tc>
        <w:tc>
          <w:tcPr>
            <w:tcW w:w="1300" w:type="dxa"/>
          </w:tcPr>
          <w:p w:rsidR="00AC0832" w:rsidRDefault="00AC0832">
            <w:pPr>
              <w:pStyle w:val="CellColumn"/>
            </w:pPr>
            <w:r>
              <w:t>0</w:t>
            </w:r>
          </w:p>
        </w:tc>
        <w:tc>
          <w:tcPr>
            <w:tcW w:w="1300" w:type="dxa"/>
          </w:tcPr>
          <w:p w:rsidR="00AC0832" w:rsidRDefault="00AC0832">
            <w:pPr>
              <w:pStyle w:val="CellColumn"/>
            </w:pPr>
            <w:r>
              <w:t>DZM</w:t>
            </w:r>
          </w:p>
        </w:tc>
        <w:tc>
          <w:tcPr>
            <w:tcW w:w="1300" w:type="dxa"/>
          </w:tcPr>
          <w:p w:rsidR="00AC0832" w:rsidRDefault="00AC0832">
            <w:pPr>
              <w:pStyle w:val="CellColumn"/>
            </w:pPr>
            <w:r>
              <w:t>0</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Objavljeni pravilnici</w:t>
            </w:r>
          </w:p>
        </w:tc>
        <w:tc>
          <w:tcPr>
            <w:tcW w:w="1300" w:type="dxa"/>
          </w:tcPr>
          <w:p w:rsidR="00AC0832" w:rsidRDefault="00AC0832">
            <w:pPr>
              <w:pStyle w:val="CellColumn"/>
            </w:pPr>
            <w:r>
              <w:t>Cjelovito uređen sustav nadzora premeta od plemenitih kovina</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DZM</w:t>
            </w:r>
          </w:p>
        </w:tc>
        <w:tc>
          <w:tcPr>
            <w:tcW w:w="1300" w:type="dxa"/>
          </w:tcPr>
          <w:p w:rsidR="00AC0832" w:rsidRDefault="00AC0832">
            <w:pPr>
              <w:pStyle w:val="CellColumn"/>
            </w:pPr>
            <w:r>
              <w:t>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7"/>
      </w:pPr>
      <w:r>
        <w:t>Cilj 4. Cjelovito uređen sustav ovjeravanja</w:t>
      </w:r>
    </w:p>
    <w:p w:rsidR="00AC0832" w:rsidRDefault="00AC0832">
      <w:pPr>
        <w:pStyle w:val="Heading8"/>
        <w:jc w:val="left"/>
      </w:pPr>
      <w:r>
        <w:t>Opis provedbe cilja programa</w:t>
      </w:r>
    </w:p>
    <w:p w:rsidR="00AC0832" w:rsidRDefault="00AC0832">
      <w:pPr>
        <w:pStyle w:val="Normal6"/>
      </w:pPr>
      <w:r>
        <w:t>Cjelovito uređen sustav ovjeravanja omogućio bi postizanje što boljih rezultata prilikom izvršavanja radnih zadataka, a korisnici mjerila i Zavod ostvarili bi obostrane efikasne učinke u sklopu svoje djelatnosti. Uspostavljanje modela nadzora i kontrole poslovnih procesa Zavoda te razvoj umjernih i ispitnih laboratorija važan su preduvjet za što kvalitetnije izvršenje radnih zadataka pojedinih službenika te bi se time značajno unaprijedilo poslovanje DZM-a ali i gospodarske djelatnosti općenito.</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2"/>
        <w:gridCol w:w="1746"/>
        <w:gridCol w:w="1080"/>
        <w:gridCol w:w="1080"/>
        <w:gridCol w:w="1300"/>
        <w:gridCol w:w="1300"/>
        <w:gridCol w:w="1300"/>
      </w:tblGrid>
      <w:tr w:rsidR="00AC0832" w:rsidTr="00595050">
        <w:trPr>
          <w:jc w:val="center"/>
        </w:trPr>
        <w:tc>
          <w:tcPr>
            <w:tcW w:w="1362" w:type="dxa"/>
            <w:shd w:val="clear" w:color="auto" w:fill="B5C0D8"/>
          </w:tcPr>
          <w:p w:rsidR="00AC0832" w:rsidRPr="00BE20ED" w:rsidRDefault="00AC0832">
            <w:pPr>
              <w:rPr>
                <w:sz w:val="20"/>
                <w:lang w:eastAsia="hr-HR"/>
              </w:rPr>
            </w:pPr>
            <w:r w:rsidRPr="00BE20ED">
              <w:rPr>
                <w:sz w:val="20"/>
                <w:lang w:eastAsia="hr-HR"/>
              </w:rPr>
              <w:t>Pokazatelj učinka</w:t>
            </w:r>
          </w:p>
        </w:tc>
        <w:tc>
          <w:tcPr>
            <w:tcW w:w="1746" w:type="dxa"/>
            <w:shd w:val="clear" w:color="auto" w:fill="B5C0D8"/>
          </w:tcPr>
          <w:p w:rsidR="00AC0832" w:rsidRDefault="00AC0832">
            <w:pPr>
              <w:pStyle w:val="CellHeader"/>
            </w:pPr>
            <w:r>
              <w:t>Definicija</w:t>
            </w:r>
          </w:p>
        </w:tc>
        <w:tc>
          <w:tcPr>
            <w:tcW w:w="1080" w:type="dxa"/>
            <w:shd w:val="clear" w:color="auto" w:fill="B5C0D8"/>
          </w:tcPr>
          <w:p w:rsidR="00AC0832" w:rsidRDefault="00AC0832">
            <w:pPr>
              <w:pStyle w:val="CellHeader"/>
            </w:pPr>
            <w:r>
              <w:t>Jedinica</w:t>
            </w:r>
          </w:p>
        </w:tc>
        <w:tc>
          <w:tcPr>
            <w:tcW w:w="108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595050">
        <w:trPr>
          <w:jc w:val="center"/>
        </w:trPr>
        <w:tc>
          <w:tcPr>
            <w:tcW w:w="1362" w:type="dxa"/>
          </w:tcPr>
          <w:p w:rsidR="00AC0832" w:rsidRDefault="00AC0832">
            <w:pPr>
              <w:pStyle w:val="CellColumn"/>
            </w:pPr>
            <w:r>
              <w:t>Uspostavljen model prijenosa stručnih poslova na pravne osobe</w:t>
            </w:r>
          </w:p>
        </w:tc>
        <w:tc>
          <w:tcPr>
            <w:tcW w:w="1746" w:type="dxa"/>
          </w:tcPr>
          <w:p w:rsidR="00AC0832" w:rsidRDefault="00AC0832">
            <w:pPr>
              <w:pStyle w:val="CellColumn"/>
            </w:pPr>
            <w:r>
              <w:t>Mogućnost efikasnog prijenosa ovlasti i kasnijeg nadzora</w:t>
            </w:r>
          </w:p>
        </w:tc>
        <w:tc>
          <w:tcPr>
            <w:tcW w:w="1080" w:type="dxa"/>
          </w:tcPr>
          <w:p w:rsidR="00AC0832" w:rsidRDefault="00AC0832">
            <w:pPr>
              <w:pStyle w:val="CellColumn"/>
            </w:pPr>
            <w:r>
              <w:t>%</w:t>
            </w:r>
          </w:p>
        </w:tc>
        <w:tc>
          <w:tcPr>
            <w:tcW w:w="1080" w:type="dxa"/>
          </w:tcPr>
          <w:p w:rsidR="00AC0832" w:rsidRDefault="00AC0832">
            <w:pPr>
              <w:pStyle w:val="CellColumn"/>
            </w:pPr>
            <w:r>
              <w:t>0</w:t>
            </w:r>
          </w:p>
        </w:tc>
        <w:tc>
          <w:tcPr>
            <w:tcW w:w="1300" w:type="dxa"/>
          </w:tcPr>
          <w:p w:rsidR="00AC0832" w:rsidRDefault="00AC0832">
            <w:pPr>
              <w:pStyle w:val="CellColumn"/>
            </w:pPr>
            <w:r>
              <w:t>DZM</w:t>
            </w:r>
          </w:p>
        </w:tc>
        <w:tc>
          <w:tcPr>
            <w:tcW w:w="1300" w:type="dxa"/>
          </w:tcPr>
          <w:p w:rsidR="00AC0832" w:rsidRDefault="00AC0832">
            <w:pPr>
              <w:pStyle w:val="CellColumn"/>
            </w:pPr>
            <w:r>
              <w:t>100</w:t>
            </w:r>
          </w:p>
        </w:tc>
        <w:tc>
          <w:tcPr>
            <w:tcW w:w="1300" w:type="dxa"/>
          </w:tcPr>
          <w:p w:rsidR="00AC0832" w:rsidRDefault="00AC0832">
            <w:pPr>
              <w:pStyle w:val="CellColumn"/>
            </w:pPr>
            <w:r>
              <w:t>50</w:t>
            </w:r>
          </w:p>
        </w:tc>
      </w:tr>
      <w:tr w:rsidR="00AC0832" w:rsidTr="00595050">
        <w:trPr>
          <w:jc w:val="center"/>
        </w:trPr>
        <w:tc>
          <w:tcPr>
            <w:tcW w:w="1362" w:type="dxa"/>
          </w:tcPr>
          <w:p w:rsidR="00AC0832" w:rsidRDefault="00AC0832">
            <w:pPr>
              <w:pStyle w:val="CellColumn"/>
            </w:pPr>
            <w:r>
              <w:t>Uspostavljen modela nadzora i kontrole rada ovjeravanja</w:t>
            </w:r>
          </w:p>
        </w:tc>
        <w:tc>
          <w:tcPr>
            <w:tcW w:w="1746" w:type="dxa"/>
          </w:tcPr>
          <w:p w:rsidR="00AC0832" w:rsidRDefault="00AC0832">
            <w:pPr>
              <w:pStyle w:val="CellColumn"/>
            </w:pPr>
            <w:r>
              <w:t>Mogućnost efikasne provedbe postupka ovjeravanja i kasnijeg nadzora</w:t>
            </w:r>
          </w:p>
        </w:tc>
        <w:tc>
          <w:tcPr>
            <w:tcW w:w="1080" w:type="dxa"/>
          </w:tcPr>
          <w:p w:rsidR="00AC0832" w:rsidRDefault="00AC0832">
            <w:pPr>
              <w:pStyle w:val="CellColumn"/>
            </w:pPr>
            <w:r>
              <w:t>%</w:t>
            </w:r>
          </w:p>
        </w:tc>
        <w:tc>
          <w:tcPr>
            <w:tcW w:w="1080" w:type="dxa"/>
          </w:tcPr>
          <w:p w:rsidR="00AC0832" w:rsidRDefault="00AC0832">
            <w:pPr>
              <w:pStyle w:val="CellColumn"/>
            </w:pPr>
            <w:r>
              <w:t>0</w:t>
            </w:r>
          </w:p>
        </w:tc>
        <w:tc>
          <w:tcPr>
            <w:tcW w:w="1300" w:type="dxa"/>
          </w:tcPr>
          <w:p w:rsidR="00AC0832" w:rsidRDefault="00AC0832">
            <w:pPr>
              <w:pStyle w:val="CellColumn"/>
            </w:pPr>
            <w:r>
              <w:t>DZM</w:t>
            </w:r>
          </w:p>
        </w:tc>
        <w:tc>
          <w:tcPr>
            <w:tcW w:w="1300" w:type="dxa"/>
          </w:tcPr>
          <w:p w:rsidR="00AC0832" w:rsidRDefault="00AC0832">
            <w:pPr>
              <w:pStyle w:val="CellColumn"/>
            </w:pPr>
            <w:r>
              <w:t>100</w:t>
            </w:r>
          </w:p>
        </w:tc>
        <w:tc>
          <w:tcPr>
            <w:tcW w:w="1300" w:type="dxa"/>
          </w:tcPr>
          <w:p w:rsidR="00AC0832" w:rsidRDefault="00AC0832">
            <w:pPr>
              <w:pStyle w:val="CellColumn"/>
            </w:pPr>
            <w:r>
              <w:t>0</w:t>
            </w:r>
          </w:p>
        </w:tc>
      </w:tr>
      <w:tr w:rsidR="00AC0832" w:rsidTr="00595050">
        <w:trPr>
          <w:jc w:val="center"/>
        </w:trPr>
        <w:tc>
          <w:tcPr>
            <w:tcW w:w="1362" w:type="dxa"/>
          </w:tcPr>
          <w:p w:rsidR="00AC0832" w:rsidRDefault="00AC0832">
            <w:pPr>
              <w:pStyle w:val="CellColumn"/>
            </w:pPr>
            <w:r>
              <w:t>Uspostavljen model licenciranja mjeritelja</w:t>
            </w:r>
          </w:p>
        </w:tc>
        <w:tc>
          <w:tcPr>
            <w:tcW w:w="1746" w:type="dxa"/>
          </w:tcPr>
          <w:p w:rsidR="00AC0832" w:rsidRDefault="00AC0832">
            <w:pPr>
              <w:pStyle w:val="CellColumn"/>
            </w:pPr>
            <w:r>
              <w:t>Mogućnost provedbe obrazovanja i licenciranja mjeritelja</w:t>
            </w:r>
          </w:p>
        </w:tc>
        <w:tc>
          <w:tcPr>
            <w:tcW w:w="1080" w:type="dxa"/>
          </w:tcPr>
          <w:p w:rsidR="00AC0832" w:rsidRDefault="00AC0832">
            <w:pPr>
              <w:pStyle w:val="CellColumn"/>
            </w:pPr>
            <w:r>
              <w:t>%</w:t>
            </w:r>
          </w:p>
        </w:tc>
        <w:tc>
          <w:tcPr>
            <w:tcW w:w="1080" w:type="dxa"/>
          </w:tcPr>
          <w:p w:rsidR="00AC0832" w:rsidRDefault="00AC0832">
            <w:pPr>
              <w:pStyle w:val="CellColumn"/>
            </w:pPr>
            <w:r>
              <w:t>0</w:t>
            </w:r>
          </w:p>
        </w:tc>
        <w:tc>
          <w:tcPr>
            <w:tcW w:w="1300" w:type="dxa"/>
          </w:tcPr>
          <w:p w:rsidR="00AC0832" w:rsidRDefault="00AC0832">
            <w:pPr>
              <w:pStyle w:val="CellColumn"/>
            </w:pPr>
            <w:r>
              <w:t>DZM</w:t>
            </w:r>
          </w:p>
        </w:tc>
        <w:tc>
          <w:tcPr>
            <w:tcW w:w="1300" w:type="dxa"/>
          </w:tcPr>
          <w:p w:rsidR="00AC0832" w:rsidRDefault="00AC0832">
            <w:pPr>
              <w:pStyle w:val="CellColumn"/>
            </w:pPr>
            <w:r>
              <w:t>70</w:t>
            </w:r>
          </w:p>
        </w:tc>
        <w:tc>
          <w:tcPr>
            <w:tcW w:w="1300" w:type="dxa"/>
          </w:tcPr>
          <w:p w:rsidR="00AC0832" w:rsidRDefault="00AC0832">
            <w:pPr>
              <w:pStyle w:val="CellColumn"/>
            </w:pPr>
            <w:r>
              <w:t>0</w:t>
            </w:r>
          </w:p>
        </w:tc>
      </w:tr>
      <w:tr w:rsidR="00AC0832" w:rsidTr="00595050">
        <w:trPr>
          <w:jc w:val="center"/>
        </w:trPr>
        <w:tc>
          <w:tcPr>
            <w:tcW w:w="1362" w:type="dxa"/>
          </w:tcPr>
          <w:p w:rsidR="00AC0832" w:rsidRDefault="00AC0832">
            <w:pPr>
              <w:pStyle w:val="CellColumn"/>
            </w:pPr>
            <w:r>
              <w:t>Broj postojećih i novih mjenih i ispitnih laboratorija laboratorija</w:t>
            </w:r>
          </w:p>
        </w:tc>
        <w:tc>
          <w:tcPr>
            <w:tcW w:w="1746" w:type="dxa"/>
          </w:tcPr>
          <w:p w:rsidR="00AC0832" w:rsidRDefault="00AC0832">
            <w:pPr>
              <w:pStyle w:val="CellColumn"/>
            </w:pPr>
            <w:r>
              <w:t>Sposobnost za ispitivanje i nadzor više vrsta mjerila</w:t>
            </w:r>
          </w:p>
        </w:tc>
        <w:tc>
          <w:tcPr>
            <w:tcW w:w="1080" w:type="dxa"/>
          </w:tcPr>
          <w:p w:rsidR="00AC0832" w:rsidRDefault="00AC0832">
            <w:pPr>
              <w:pStyle w:val="CellColumn"/>
            </w:pPr>
            <w:r>
              <w:t>broj</w:t>
            </w:r>
          </w:p>
        </w:tc>
        <w:tc>
          <w:tcPr>
            <w:tcW w:w="1080" w:type="dxa"/>
          </w:tcPr>
          <w:p w:rsidR="00AC0832" w:rsidRDefault="00AC0832">
            <w:pPr>
              <w:pStyle w:val="CellColumn"/>
            </w:pPr>
            <w:r>
              <w:t>5</w:t>
            </w:r>
          </w:p>
        </w:tc>
        <w:tc>
          <w:tcPr>
            <w:tcW w:w="1300" w:type="dxa"/>
          </w:tcPr>
          <w:p w:rsidR="00AC0832" w:rsidRDefault="00AC0832">
            <w:pPr>
              <w:pStyle w:val="CellColumn"/>
            </w:pPr>
            <w:r>
              <w:t>DZM</w:t>
            </w:r>
          </w:p>
        </w:tc>
        <w:tc>
          <w:tcPr>
            <w:tcW w:w="1300" w:type="dxa"/>
          </w:tcPr>
          <w:p w:rsidR="00AC0832" w:rsidRDefault="00AC0832">
            <w:pPr>
              <w:pStyle w:val="CellColumn"/>
            </w:pPr>
            <w:r>
              <w:t>8</w:t>
            </w:r>
          </w:p>
        </w:tc>
        <w:tc>
          <w:tcPr>
            <w:tcW w:w="1300" w:type="dxa"/>
          </w:tcPr>
          <w:p w:rsidR="00AC0832" w:rsidRDefault="00AC0832">
            <w:pPr>
              <w:pStyle w:val="CellColumn"/>
            </w:pPr>
            <w:r>
              <w:t>5</w:t>
            </w:r>
          </w:p>
        </w:tc>
      </w:tr>
    </w:tbl>
    <w:p w:rsidR="00AC0832" w:rsidRDefault="00AC0832">
      <w:pPr>
        <w:jc w:val="left"/>
      </w:pPr>
    </w:p>
    <w:p w:rsidR="00AC0832" w:rsidRDefault="00AC0832">
      <w:pPr>
        <w:pStyle w:val="Heading7"/>
      </w:pPr>
      <w:r>
        <w:t>Cilj 5. Osuvremenjen sustav nadzora predmeta od plemenitih kovina</w:t>
      </w:r>
    </w:p>
    <w:p w:rsidR="00AC0832" w:rsidRDefault="00AC0832">
      <w:pPr>
        <w:pStyle w:val="Heading8"/>
        <w:jc w:val="left"/>
      </w:pPr>
      <w:r>
        <w:t>Opis provedbe cilja programa</w:t>
      </w:r>
    </w:p>
    <w:p w:rsidR="00AC0832" w:rsidRDefault="00AC0832">
      <w:pPr>
        <w:pStyle w:val="Normal6"/>
      </w:pPr>
      <w:r>
        <w:t xml:space="preserve">Osposobljavanje laboratorija Državnog zavoda za mjeriteljstvo koji provode ispitivanje i žigosanje predmeta od plemenitih kovina, opremanjem suvremenom opremom koja odgovara današnjem stanju tehnike te ujednačenje tehničkih mogućnosti i osposobljenosti svih laboratorija lociranih u područnim jedinicama Državnog zavoda za mjeriteljstvo kako bi se na cjelokupnom teritoriju Republika Hrvatske osiguravala istovjetna zaštita potrošača od mogućih prevara te osposobili laboratoriji zavoda za međunarodno priznavanje ispitivanja i žigosanja i omogućilo potpisivanje odgovarajućih sporazuma na europskoj razini o međusobnome priznavanja takvih ispitivanja i žigova. </w:t>
      </w:r>
    </w:p>
    <w:p w:rsidR="00AC0832" w:rsidRDefault="00AC0832">
      <w:pPr>
        <w:pStyle w:val="Normal6"/>
      </w:pPr>
      <w:r>
        <w:t xml:space="preserve"> </w:t>
      </w:r>
    </w:p>
    <w:p w:rsidR="00AC0832" w:rsidRDefault="00AC0832">
      <w:pPr>
        <w:pStyle w:val="Normal6"/>
      </w:pPr>
      <w:r>
        <w:t xml:space="preserve">Sustav ispitivanja i žigosanja povezati s odgovarajućim europskim i međunarodnim sustavom sudjelovanjem u aktivnostima ispitivanja i žigosanja predmeta od plemenitih kovina te postati punopravnim članom europske Konvencije o nadzoru nad predmetima od plemenitih kovina i njihovu označivanju (Convention on the control and Marking of Articles of Precious Metals). </w:t>
      </w:r>
    </w:p>
    <w:p w:rsidR="00AC0832" w:rsidRDefault="00AC0832">
      <w:pPr>
        <w:pStyle w:val="Normal6"/>
      </w:pPr>
      <w:r>
        <w:t xml:space="preserve"> </w:t>
      </w:r>
    </w:p>
    <w:p w:rsidR="00AC0832" w:rsidRDefault="00AC0832">
      <w:pPr>
        <w:pStyle w:val="Normal6"/>
      </w:pPr>
      <w:r>
        <w:t xml:space="preserve">Osigurati primjereni stupanj informatičke podrške za sustav ispitivanja i žigosanja predmeta od plemenitih kovina i integriranje te baze u cjelovit informatički sustav elektroničkog upravljanja dokumentima i elektroničkog upravljanja poslovnim procesima </w:t>
      </w:r>
    </w:p>
    <w:p w:rsidR="00AC0832" w:rsidRDefault="00AC0832">
      <w:pPr>
        <w:pStyle w:val="Normal6"/>
      </w:pPr>
      <w:r>
        <w:t xml:space="preserve"> </w:t>
      </w:r>
    </w:p>
    <w:p w:rsidR="00AC0832" w:rsidRDefault="00AC0832">
      <w:pPr>
        <w:pStyle w:val="Normal6"/>
      </w:pPr>
      <w:r>
        <w:t>Provoditi trajno školovanje i osposobljavanje stručnjaka zavoda za praćenje razvoja i uvođenje novih metoda u područja ispitivanja predmeta od plemenitih kovina.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51"/>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Količina žigosanih predmeta od plemenitih kovina na tržištu</w:t>
            </w:r>
          </w:p>
        </w:tc>
        <w:tc>
          <w:tcPr>
            <w:tcW w:w="1300" w:type="dxa"/>
          </w:tcPr>
          <w:p w:rsidR="00AC0832" w:rsidRDefault="00AC0832">
            <w:pPr>
              <w:pStyle w:val="CellColumn"/>
            </w:pPr>
            <w:r>
              <w:t>Sposobnost pružanja bolje usluge žigosanja i ispitivanja</w:t>
            </w:r>
          </w:p>
        </w:tc>
        <w:tc>
          <w:tcPr>
            <w:tcW w:w="1300" w:type="dxa"/>
          </w:tcPr>
          <w:p w:rsidR="00AC0832" w:rsidRDefault="00AC0832">
            <w:pPr>
              <w:pStyle w:val="CellColumn"/>
            </w:pPr>
            <w:r>
              <w:t>broj</w:t>
            </w:r>
          </w:p>
        </w:tc>
        <w:tc>
          <w:tcPr>
            <w:tcW w:w="1300" w:type="dxa"/>
          </w:tcPr>
          <w:p w:rsidR="00AC0832" w:rsidRDefault="00AC0832">
            <w:pPr>
              <w:pStyle w:val="CellColumn"/>
            </w:pPr>
            <w:r>
              <w:t>500.000</w:t>
            </w:r>
          </w:p>
        </w:tc>
        <w:tc>
          <w:tcPr>
            <w:tcW w:w="1300" w:type="dxa"/>
          </w:tcPr>
          <w:p w:rsidR="00AC0832" w:rsidRDefault="00AC0832">
            <w:pPr>
              <w:pStyle w:val="CellColumn"/>
            </w:pPr>
            <w:r>
              <w:t>DZM</w:t>
            </w:r>
          </w:p>
        </w:tc>
        <w:tc>
          <w:tcPr>
            <w:tcW w:w="1300" w:type="dxa"/>
          </w:tcPr>
          <w:p w:rsidR="00AC0832" w:rsidRDefault="00AC0832">
            <w:pPr>
              <w:pStyle w:val="CellColumn"/>
            </w:pPr>
            <w:r>
              <w:t>600.000</w:t>
            </w:r>
          </w:p>
        </w:tc>
        <w:tc>
          <w:tcPr>
            <w:tcW w:w="1300" w:type="dxa"/>
          </w:tcPr>
          <w:p w:rsidR="00AC0832" w:rsidRDefault="00AC0832">
            <w:pPr>
              <w:pStyle w:val="CellColumn"/>
            </w:pPr>
            <w:r>
              <w:t>319 775</w:t>
            </w:r>
          </w:p>
        </w:tc>
      </w:tr>
      <w:tr w:rsidR="00AC0832" w:rsidTr="00BE20ED">
        <w:trPr>
          <w:jc w:val="center"/>
        </w:trPr>
        <w:tc>
          <w:tcPr>
            <w:tcW w:w="1300" w:type="dxa"/>
          </w:tcPr>
          <w:p w:rsidR="00AC0832" w:rsidRDefault="00AC0832">
            <w:pPr>
              <w:pStyle w:val="CellColumn"/>
            </w:pPr>
            <w:r>
              <w:t>Ispunjeni zahtjevi za žigosanje i ispitivanje predmeta od plemenitih kovina u što kraćem roku</w:t>
            </w:r>
          </w:p>
        </w:tc>
        <w:tc>
          <w:tcPr>
            <w:tcW w:w="1300" w:type="dxa"/>
          </w:tcPr>
          <w:p w:rsidR="00AC0832" w:rsidRDefault="00AC0832">
            <w:pPr>
              <w:pStyle w:val="CellColumn"/>
            </w:pPr>
            <w:r>
              <w:t>Zadovoljenje zahtjeva definiranih Zakonom o nadzoru predmeta od plemenitih kovina</w:t>
            </w:r>
          </w:p>
        </w:tc>
        <w:tc>
          <w:tcPr>
            <w:tcW w:w="1300" w:type="dxa"/>
          </w:tcPr>
          <w:p w:rsidR="00AC0832" w:rsidRDefault="00AC0832">
            <w:pPr>
              <w:pStyle w:val="CellColumn"/>
            </w:pPr>
            <w:r>
              <w:t>broj</w:t>
            </w:r>
          </w:p>
        </w:tc>
        <w:tc>
          <w:tcPr>
            <w:tcW w:w="1300" w:type="dxa"/>
          </w:tcPr>
          <w:p w:rsidR="00AC0832" w:rsidRDefault="00AC0832">
            <w:pPr>
              <w:pStyle w:val="CellColumn"/>
            </w:pPr>
            <w:r>
              <w:t>1600</w:t>
            </w:r>
          </w:p>
        </w:tc>
        <w:tc>
          <w:tcPr>
            <w:tcW w:w="1300" w:type="dxa"/>
          </w:tcPr>
          <w:p w:rsidR="00AC0832" w:rsidRDefault="00AC0832">
            <w:pPr>
              <w:pStyle w:val="CellColumn"/>
            </w:pPr>
            <w:r>
              <w:t>DZM</w:t>
            </w:r>
          </w:p>
        </w:tc>
        <w:tc>
          <w:tcPr>
            <w:tcW w:w="1300" w:type="dxa"/>
          </w:tcPr>
          <w:p w:rsidR="00AC0832" w:rsidRDefault="00AC0832">
            <w:pPr>
              <w:pStyle w:val="CellColumn"/>
            </w:pPr>
            <w:r>
              <w:t>1700</w:t>
            </w:r>
          </w:p>
        </w:tc>
        <w:tc>
          <w:tcPr>
            <w:tcW w:w="1300" w:type="dxa"/>
          </w:tcPr>
          <w:p w:rsidR="00AC0832" w:rsidRDefault="00AC0832">
            <w:pPr>
              <w:pStyle w:val="CellColumn"/>
            </w:pPr>
            <w:r>
              <w:t>922</w:t>
            </w:r>
          </w:p>
        </w:tc>
      </w:tr>
    </w:tbl>
    <w:p w:rsidR="00AC0832" w:rsidRDefault="00AC0832">
      <w:pPr>
        <w:jc w:val="left"/>
      </w:pPr>
    </w:p>
    <w:p w:rsidR="00AC0832" w:rsidRDefault="00AC0832">
      <w:pPr>
        <w:pStyle w:val="Heading7"/>
      </w:pPr>
      <w:r>
        <w:t>Cilj 6. Povećanje stručnosti i kompetentnosti  Povećanje stručnosti i kompetentnosti</w:t>
      </w:r>
    </w:p>
    <w:p w:rsidR="00AC0832" w:rsidRDefault="00AC0832">
      <w:pPr>
        <w:pStyle w:val="Heading8"/>
        <w:jc w:val="left"/>
      </w:pPr>
      <w:r>
        <w:t>Opis provedbe cilja programa</w:t>
      </w:r>
    </w:p>
    <w:p w:rsidR="00AC0832" w:rsidRDefault="00AC0832">
      <w:pPr>
        <w:pStyle w:val="Normal6"/>
      </w:pPr>
      <w:r>
        <w:t>Intelektualni resursi su jedan od najdostupnijih resursa s kojima Zavod raspolaže. Povećanje kompetencije službenika, stalna edukacija te uspostava odgovarajuće stručne strukture službenika jesu pretpostavka uspješno izvršenih radnih zadataka te preduvjet za daljnje unaprjeđenje poslovnih procesa. Prilikom izvršavanja svojih terenskih radnih zadataka službenicima treba omogućiti što bolju radnu okolinu uz pružanje zaštite zdravlja i sigurnosti života službenika. Unaprjeđenjem sustava zaštite na radu službenicima se omogućuje odbijanje rada u neposrednoj okolini opasnoj po život i zdravlje, a Zavodu se omogućuje vođenje brige o sigurnosti i zdravlju službenika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8"/>
        <w:gridCol w:w="1528"/>
        <w:gridCol w:w="1252"/>
        <w:gridCol w:w="1269"/>
        <w:gridCol w:w="1264"/>
        <w:gridCol w:w="1269"/>
        <w:gridCol w:w="127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Povećana stručnost službenika</w:t>
            </w:r>
          </w:p>
        </w:tc>
        <w:tc>
          <w:tcPr>
            <w:tcW w:w="1300" w:type="dxa"/>
          </w:tcPr>
          <w:p w:rsidR="00AC0832" w:rsidRDefault="00AC0832">
            <w:pPr>
              <w:pStyle w:val="CellColumn"/>
            </w:pPr>
            <w:r>
              <w:t>Odgovarajuća stručnost i kompetentnost službenika Zavoda ključna je za ostvarenje misije i vizije Zavoda</w:t>
            </w:r>
          </w:p>
        </w:tc>
        <w:tc>
          <w:tcPr>
            <w:tcW w:w="1300" w:type="dxa"/>
          </w:tcPr>
          <w:p w:rsidR="00AC0832" w:rsidRDefault="00AC0832">
            <w:pPr>
              <w:pStyle w:val="CellColumn"/>
            </w:pPr>
            <w:r>
              <w:t>%</w:t>
            </w:r>
          </w:p>
        </w:tc>
        <w:tc>
          <w:tcPr>
            <w:tcW w:w="1300" w:type="dxa"/>
          </w:tcPr>
          <w:p w:rsidR="00AC0832" w:rsidRDefault="00AC0832">
            <w:pPr>
              <w:pStyle w:val="CellColumn"/>
            </w:pPr>
            <w:r>
              <w:t>45</w:t>
            </w:r>
          </w:p>
        </w:tc>
        <w:tc>
          <w:tcPr>
            <w:tcW w:w="1300" w:type="dxa"/>
          </w:tcPr>
          <w:p w:rsidR="00AC0832" w:rsidRDefault="00AC0832">
            <w:pPr>
              <w:pStyle w:val="CellColumn"/>
            </w:pPr>
            <w:r>
              <w:t>DZM</w:t>
            </w:r>
          </w:p>
        </w:tc>
        <w:tc>
          <w:tcPr>
            <w:tcW w:w="1300" w:type="dxa"/>
          </w:tcPr>
          <w:p w:rsidR="00AC0832" w:rsidRDefault="00AC0832">
            <w:pPr>
              <w:pStyle w:val="CellColumn"/>
            </w:pPr>
            <w:r>
              <w:t>55</w:t>
            </w:r>
          </w:p>
        </w:tc>
        <w:tc>
          <w:tcPr>
            <w:tcW w:w="1300" w:type="dxa"/>
          </w:tcPr>
          <w:p w:rsidR="00AC0832" w:rsidRDefault="00AC0832">
            <w:pPr>
              <w:pStyle w:val="CellColumn"/>
            </w:pPr>
            <w:r>
              <w:t>55</w:t>
            </w:r>
          </w:p>
        </w:tc>
      </w:tr>
      <w:tr w:rsidR="00AC0832" w:rsidTr="00BE20ED">
        <w:trPr>
          <w:jc w:val="center"/>
        </w:trPr>
        <w:tc>
          <w:tcPr>
            <w:tcW w:w="1300" w:type="dxa"/>
          </w:tcPr>
          <w:p w:rsidR="00AC0832" w:rsidRDefault="00AC0832">
            <w:pPr>
              <w:pStyle w:val="CellColumn"/>
            </w:pPr>
            <w:r>
              <w:t>Kompetencije službenika</w:t>
            </w:r>
          </w:p>
        </w:tc>
        <w:tc>
          <w:tcPr>
            <w:tcW w:w="1300" w:type="dxa"/>
          </w:tcPr>
          <w:p w:rsidR="00AC0832" w:rsidRDefault="00AC0832">
            <w:pPr>
              <w:pStyle w:val="CellColumn"/>
            </w:pPr>
            <w:r>
              <w:t>Odgovarajuća stručnost i kompetentnost službenika Zavoda ključna je za ostvarenje misije i vizije Zavoda</w:t>
            </w:r>
          </w:p>
        </w:tc>
        <w:tc>
          <w:tcPr>
            <w:tcW w:w="1300" w:type="dxa"/>
          </w:tcPr>
          <w:p w:rsidR="00AC0832" w:rsidRDefault="00AC0832">
            <w:pPr>
              <w:pStyle w:val="CellColumn"/>
            </w:pPr>
            <w:r>
              <w:t>%</w:t>
            </w:r>
          </w:p>
        </w:tc>
        <w:tc>
          <w:tcPr>
            <w:tcW w:w="1300" w:type="dxa"/>
          </w:tcPr>
          <w:p w:rsidR="00AC0832" w:rsidRDefault="00AC0832">
            <w:pPr>
              <w:pStyle w:val="CellColumn"/>
            </w:pPr>
            <w:r>
              <w:t>50</w:t>
            </w:r>
          </w:p>
        </w:tc>
        <w:tc>
          <w:tcPr>
            <w:tcW w:w="1300" w:type="dxa"/>
          </w:tcPr>
          <w:p w:rsidR="00AC0832" w:rsidRDefault="00AC0832">
            <w:pPr>
              <w:pStyle w:val="CellColumn"/>
            </w:pPr>
            <w:r>
              <w:t>DZM</w:t>
            </w:r>
          </w:p>
        </w:tc>
        <w:tc>
          <w:tcPr>
            <w:tcW w:w="1300" w:type="dxa"/>
          </w:tcPr>
          <w:p w:rsidR="00AC0832" w:rsidRDefault="00AC0832">
            <w:pPr>
              <w:pStyle w:val="CellColumn"/>
            </w:pPr>
            <w:r>
              <w:t>60</w:t>
            </w:r>
          </w:p>
        </w:tc>
        <w:tc>
          <w:tcPr>
            <w:tcW w:w="1300" w:type="dxa"/>
          </w:tcPr>
          <w:p w:rsidR="00AC0832" w:rsidRDefault="00AC0832">
            <w:pPr>
              <w:pStyle w:val="CellColumn"/>
            </w:pPr>
            <w:r>
              <w:t>60</w:t>
            </w:r>
          </w:p>
        </w:tc>
      </w:tr>
      <w:tr w:rsidR="00AC0832" w:rsidTr="00BE20ED">
        <w:trPr>
          <w:jc w:val="center"/>
        </w:trPr>
        <w:tc>
          <w:tcPr>
            <w:tcW w:w="1300" w:type="dxa"/>
          </w:tcPr>
          <w:p w:rsidR="00AC0832" w:rsidRDefault="00AC0832">
            <w:pPr>
              <w:pStyle w:val="CellColumn"/>
            </w:pPr>
            <w:r>
              <w:t>Funkcionalan sustav prijenosa znanja i informacija</w:t>
            </w:r>
          </w:p>
        </w:tc>
        <w:tc>
          <w:tcPr>
            <w:tcW w:w="1300" w:type="dxa"/>
          </w:tcPr>
          <w:p w:rsidR="00AC0832" w:rsidRDefault="00AC0832">
            <w:pPr>
              <w:pStyle w:val="CellColumn"/>
            </w:pPr>
            <w:r>
              <w:t>Funkcionalan sustav prijenosa znanja i informacija nužan je za povećanje stručnosti i kompetencija službenika Zavoda</w:t>
            </w:r>
          </w:p>
        </w:tc>
        <w:tc>
          <w:tcPr>
            <w:tcW w:w="1300" w:type="dxa"/>
          </w:tcPr>
          <w:p w:rsidR="00AC0832" w:rsidRDefault="00AC0832">
            <w:pPr>
              <w:pStyle w:val="CellColumn"/>
            </w:pPr>
            <w:r>
              <w:t>%</w:t>
            </w:r>
          </w:p>
        </w:tc>
        <w:tc>
          <w:tcPr>
            <w:tcW w:w="1300" w:type="dxa"/>
          </w:tcPr>
          <w:p w:rsidR="00AC0832" w:rsidRDefault="00AC0832">
            <w:pPr>
              <w:pStyle w:val="CellColumn"/>
            </w:pPr>
            <w:r>
              <w:t>25</w:t>
            </w:r>
          </w:p>
        </w:tc>
        <w:tc>
          <w:tcPr>
            <w:tcW w:w="1300" w:type="dxa"/>
          </w:tcPr>
          <w:p w:rsidR="00AC0832" w:rsidRDefault="00AC0832">
            <w:pPr>
              <w:pStyle w:val="CellColumn"/>
            </w:pPr>
            <w:r>
              <w:t>DZM</w:t>
            </w:r>
          </w:p>
        </w:tc>
        <w:tc>
          <w:tcPr>
            <w:tcW w:w="1300" w:type="dxa"/>
          </w:tcPr>
          <w:p w:rsidR="00AC0832" w:rsidRDefault="00AC0832">
            <w:pPr>
              <w:pStyle w:val="CellColumn"/>
            </w:pPr>
            <w:r>
              <w:t>40</w:t>
            </w:r>
          </w:p>
        </w:tc>
        <w:tc>
          <w:tcPr>
            <w:tcW w:w="1300" w:type="dxa"/>
          </w:tcPr>
          <w:p w:rsidR="00AC0832" w:rsidRDefault="00AC0832">
            <w:pPr>
              <w:pStyle w:val="CellColumn"/>
            </w:pPr>
            <w:r>
              <w:t>25</w:t>
            </w:r>
          </w:p>
        </w:tc>
      </w:tr>
      <w:tr w:rsidR="00AC0832" w:rsidTr="00BE20ED">
        <w:trPr>
          <w:jc w:val="center"/>
        </w:trPr>
        <w:tc>
          <w:tcPr>
            <w:tcW w:w="1300" w:type="dxa"/>
          </w:tcPr>
          <w:p w:rsidR="00AC0832" w:rsidRDefault="00AC0832">
            <w:pPr>
              <w:pStyle w:val="CellColumn"/>
            </w:pPr>
            <w:r>
              <w:t>Uspješan sustav cjeloživotnog obrazovanja</w:t>
            </w:r>
          </w:p>
        </w:tc>
        <w:tc>
          <w:tcPr>
            <w:tcW w:w="1300" w:type="dxa"/>
          </w:tcPr>
          <w:p w:rsidR="00AC0832" w:rsidRDefault="00AC0832">
            <w:pPr>
              <w:pStyle w:val="CellColumn"/>
            </w:pPr>
            <w:r>
              <w:t>Uspješan sustav cjeloživotnog obrazovanja nužan je za povećanje stručnosti i kompetencija službenika Zavoda</w:t>
            </w:r>
          </w:p>
        </w:tc>
        <w:tc>
          <w:tcPr>
            <w:tcW w:w="1300" w:type="dxa"/>
          </w:tcPr>
          <w:p w:rsidR="00AC0832" w:rsidRDefault="00AC0832">
            <w:pPr>
              <w:pStyle w:val="CellColumn"/>
            </w:pPr>
            <w:r>
              <w:t>%</w:t>
            </w:r>
          </w:p>
        </w:tc>
        <w:tc>
          <w:tcPr>
            <w:tcW w:w="1300" w:type="dxa"/>
          </w:tcPr>
          <w:p w:rsidR="00AC0832" w:rsidRDefault="00AC0832">
            <w:pPr>
              <w:pStyle w:val="CellColumn"/>
            </w:pPr>
            <w:r>
              <w:t>20</w:t>
            </w:r>
          </w:p>
        </w:tc>
        <w:tc>
          <w:tcPr>
            <w:tcW w:w="1300" w:type="dxa"/>
          </w:tcPr>
          <w:p w:rsidR="00AC0832" w:rsidRDefault="00AC0832">
            <w:pPr>
              <w:pStyle w:val="CellColumn"/>
            </w:pPr>
            <w:r>
              <w:t>DZM</w:t>
            </w:r>
          </w:p>
        </w:tc>
        <w:tc>
          <w:tcPr>
            <w:tcW w:w="1300" w:type="dxa"/>
          </w:tcPr>
          <w:p w:rsidR="00AC0832" w:rsidRDefault="00AC0832">
            <w:pPr>
              <w:pStyle w:val="CellColumn"/>
            </w:pPr>
            <w:r>
              <w:t>35</w:t>
            </w:r>
          </w:p>
        </w:tc>
        <w:tc>
          <w:tcPr>
            <w:tcW w:w="1300" w:type="dxa"/>
          </w:tcPr>
          <w:p w:rsidR="00AC0832" w:rsidRDefault="00AC0832">
            <w:pPr>
              <w:pStyle w:val="CellColumn"/>
            </w:pPr>
            <w:r>
              <w:t>20</w:t>
            </w:r>
          </w:p>
        </w:tc>
      </w:tr>
      <w:tr w:rsidR="00AC0832" w:rsidTr="00BE20ED">
        <w:trPr>
          <w:jc w:val="center"/>
        </w:trPr>
        <w:tc>
          <w:tcPr>
            <w:tcW w:w="1300" w:type="dxa"/>
          </w:tcPr>
          <w:p w:rsidR="00AC0832" w:rsidRDefault="00AC0832">
            <w:pPr>
              <w:pStyle w:val="CellColumn"/>
            </w:pPr>
            <w:r>
              <w:t>Učinkovit sustav zaštite na radu</w:t>
            </w:r>
          </w:p>
        </w:tc>
        <w:tc>
          <w:tcPr>
            <w:tcW w:w="1300" w:type="dxa"/>
          </w:tcPr>
          <w:p w:rsidR="00AC0832" w:rsidRDefault="00AC0832">
            <w:pPr>
              <w:pStyle w:val="CellColumn"/>
            </w:pPr>
            <w:r>
              <w:t>Učinkovit sustav zaštite na radu preduvjet je za sigurnost službenika</w:t>
            </w:r>
          </w:p>
        </w:tc>
        <w:tc>
          <w:tcPr>
            <w:tcW w:w="1300" w:type="dxa"/>
          </w:tcPr>
          <w:p w:rsidR="00AC0832" w:rsidRDefault="00AC0832">
            <w:pPr>
              <w:pStyle w:val="CellColumn"/>
            </w:pPr>
            <w:r>
              <w:t>%</w:t>
            </w:r>
          </w:p>
        </w:tc>
        <w:tc>
          <w:tcPr>
            <w:tcW w:w="1300" w:type="dxa"/>
          </w:tcPr>
          <w:p w:rsidR="00AC0832" w:rsidRDefault="00AC0832">
            <w:pPr>
              <w:pStyle w:val="CellColumn"/>
            </w:pPr>
            <w:r>
              <w:t>30</w:t>
            </w:r>
          </w:p>
        </w:tc>
        <w:tc>
          <w:tcPr>
            <w:tcW w:w="1300" w:type="dxa"/>
          </w:tcPr>
          <w:p w:rsidR="00AC0832" w:rsidRDefault="00AC0832">
            <w:pPr>
              <w:pStyle w:val="CellColumn"/>
            </w:pPr>
            <w:r>
              <w:t>DZM</w:t>
            </w:r>
          </w:p>
        </w:tc>
        <w:tc>
          <w:tcPr>
            <w:tcW w:w="1300" w:type="dxa"/>
          </w:tcPr>
          <w:p w:rsidR="00AC0832" w:rsidRDefault="00AC0832">
            <w:pPr>
              <w:pStyle w:val="CellColumn"/>
            </w:pPr>
            <w:r>
              <w:t>60</w:t>
            </w:r>
          </w:p>
        </w:tc>
        <w:tc>
          <w:tcPr>
            <w:tcW w:w="1300" w:type="dxa"/>
          </w:tcPr>
          <w:p w:rsidR="00AC0832" w:rsidRDefault="00AC0832">
            <w:pPr>
              <w:pStyle w:val="CellColumn"/>
            </w:pPr>
            <w:r>
              <w:t>40</w:t>
            </w:r>
          </w:p>
        </w:tc>
      </w:tr>
    </w:tbl>
    <w:p w:rsidR="00AC0832" w:rsidRDefault="00AC0832">
      <w:pPr>
        <w:jc w:val="left"/>
      </w:pPr>
    </w:p>
    <w:p w:rsidR="00AC0832" w:rsidRDefault="00AC0832">
      <w:pPr>
        <w:pStyle w:val="Heading7"/>
      </w:pPr>
      <w:r>
        <w:t>Cilj 7. Djelotvorna organizacija</w:t>
      </w:r>
    </w:p>
    <w:p w:rsidR="00AC0832" w:rsidRDefault="00AC0832">
      <w:pPr>
        <w:pStyle w:val="Heading8"/>
        <w:jc w:val="left"/>
      </w:pPr>
      <w:r>
        <w:t>Opis provedbe cilja programa</w:t>
      </w:r>
    </w:p>
    <w:p w:rsidR="00AC0832" w:rsidRDefault="00AC0832">
      <w:pPr>
        <w:pStyle w:val="Normal6"/>
      </w:pPr>
      <w:r>
        <w:t xml:space="preserve">Definiranjem  i  opisom najvažnijih poslovnih procesa omogućeno je prepoznavanje realnih potreba poslovanja uz optimizaciju resursa s kojima Zavod raspolaže. Optimizacijom resursa pokušavaju se zadovoljiti realne potrebe poslovanja kroz smanjenje tekućih troškova koji su nužni za uspješno izvršavanje poslovnih procesa uz povećanje prihoda koji proizlaze iz mjeriteljske djelatnosti. Opremanje radnih mjesta potrebnom opremom osigurat će izvršavanje radnih zadataka službenika s povećanim stupnjem efikasnosti i za posljedicu će imati što kvalitetnije izvršene radne zadatke koje je potrebno nagraditi i motivirati kako bi se ta kvaliteta obavljene usluge i efikasnosti zadržala prilikom daljnjeg izvršavanja radnih zadataka. Odredba o unutarnjem ustrojstvu samo bi još jasnije definirala i pojasnila radne zadatke koji proizlaze iz djelatnosti DZM-a uz opis pojedinih radnih mjesta s pripadajućim sistemom bodovanja i mogućnošću korištenja brojnih prava i pogodnosti koji su uređeni takvom uredbom. </w:t>
      </w:r>
    </w:p>
    <w:p w:rsidR="00AC0832" w:rsidRDefault="00AC0832">
      <w:pPr>
        <w:pStyle w:val="Normal6"/>
      </w:pPr>
      <w:r>
        <w:t xml:space="preserve"> </w:t>
      </w:r>
    </w:p>
    <w:p w:rsidR="00AC0832" w:rsidRDefault="00AC0832">
      <w:pPr>
        <w:pStyle w:val="Normal6"/>
      </w:pPr>
      <w:r>
        <w:t xml:space="preserve">ISO 9001 prvenstveno definira sustav upravljanja kvalitetom koji uključuje izraženu odgovornost Zavoda da kroz što efikasnije upravljanje resursima i kvalitetom kroz brojna mjerenja i analize omogući što kvalitetnije usluge svojim subjektima. </w:t>
      </w:r>
    </w:p>
    <w:p w:rsidR="00AC0832" w:rsidRDefault="00AC0832">
      <w:pPr>
        <w:pStyle w:val="Normal6"/>
      </w:pPr>
      <w:r>
        <w:t>Kako HRN ISO 9001, HRN ISO 17025 i HRN ISO 17020 uključuje brojne postupke u važnim područjima DZM-a koja se odnose na zaštitu integriteta podataka, kako što kvalitetnije održavati postojeću opremu te kako eliminirati nepotrebne viškove i osigurati što kvalitetnije prostore za radne zadatke te brojne druge postupke s ciljem što boljeg upravljanja poslovnim procesima DZM-a.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7"/>
        <w:gridCol w:w="1573"/>
        <w:gridCol w:w="1214"/>
        <w:gridCol w:w="1244"/>
        <w:gridCol w:w="1236"/>
        <w:gridCol w:w="1244"/>
        <w:gridCol w:w="126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Izrađena knjiga poslovnih procesa</w:t>
            </w:r>
          </w:p>
        </w:tc>
        <w:tc>
          <w:tcPr>
            <w:tcW w:w="1300" w:type="dxa"/>
          </w:tcPr>
          <w:p w:rsidR="00AC0832" w:rsidRDefault="00AC0832">
            <w:pPr>
              <w:pStyle w:val="CellColumn"/>
            </w:pPr>
            <w:r>
              <w:t>Definiranjem i opisom poslovnih procesa omogućeno je prepoznavanje realnih potreba poslovanja uz optimizaciju resursa kojima Zavod raspolaže</w:t>
            </w:r>
          </w:p>
        </w:tc>
        <w:tc>
          <w:tcPr>
            <w:tcW w:w="1300" w:type="dxa"/>
          </w:tcPr>
          <w:p w:rsidR="00AC0832" w:rsidRDefault="00AC0832">
            <w:pPr>
              <w:pStyle w:val="CellColumn"/>
            </w:pPr>
            <w:r>
              <w:t>%</w:t>
            </w:r>
          </w:p>
        </w:tc>
        <w:tc>
          <w:tcPr>
            <w:tcW w:w="1300" w:type="dxa"/>
          </w:tcPr>
          <w:p w:rsidR="00AC0832" w:rsidRDefault="00AC0832">
            <w:pPr>
              <w:pStyle w:val="CellColumn"/>
            </w:pPr>
            <w:r>
              <w:t>50</w:t>
            </w:r>
          </w:p>
        </w:tc>
        <w:tc>
          <w:tcPr>
            <w:tcW w:w="1300" w:type="dxa"/>
          </w:tcPr>
          <w:p w:rsidR="00AC0832" w:rsidRDefault="00AC0832">
            <w:pPr>
              <w:pStyle w:val="CellColumn"/>
            </w:pPr>
            <w:r>
              <w:t>DZM</w:t>
            </w:r>
          </w:p>
        </w:tc>
        <w:tc>
          <w:tcPr>
            <w:tcW w:w="1300" w:type="dxa"/>
          </w:tcPr>
          <w:p w:rsidR="00AC0832" w:rsidRDefault="00AC0832">
            <w:pPr>
              <w:pStyle w:val="CellColumn"/>
            </w:pPr>
            <w:r>
              <w:t>100</w:t>
            </w:r>
          </w:p>
        </w:tc>
        <w:tc>
          <w:tcPr>
            <w:tcW w:w="1300" w:type="dxa"/>
          </w:tcPr>
          <w:p w:rsidR="00AC0832" w:rsidRDefault="00AC0832">
            <w:pPr>
              <w:pStyle w:val="CellColumn"/>
            </w:pPr>
            <w:r>
              <w:t>75</w:t>
            </w:r>
          </w:p>
        </w:tc>
      </w:tr>
      <w:tr w:rsidR="00AC0832" w:rsidTr="00BE20ED">
        <w:trPr>
          <w:jc w:val="center"/>
        </w:trPr>
        <w:tc>
          <w:tcPr>
            <w:tcW w:w="1300" w:type="dxa"/>
          </w:tcPr>
          <w:p w:rsidR="00AC0832" w:rsidRDefault="00AC0832">
            <w:pPr>
              <w:pStyle w:val="CellColumn"/>
            </w:pPr>
            <w:r>
              <w:t>Primjena norme uz stalno praćenje i unapređivanje</w:t>
            </w:r>
          </w:p>
        </w:tc>
        <w:tc>
          <w:tcPr>
            <w:tcW w:w="1300" w:type="dxa"/>
          </w:tcPr>
          <w:p w:rsidR="00AC0832" w:rsidRDefault="00AC0832">
            <w:pPr>
              <w:pStyle w:val="CellColumn"/>
            </w:pPr>
            <w:r>
              <w:t>Optimizacija rada prema zahtjevima međunarodne norme za upravljanje sustavima HRN EN ISO/IEC 9001</w:t>
            </w:r>
          </w:p>
        </w:tc>
        <w:tc>
          <w:tcPr>
            <w:tcW w:w="1300" w:type="dxa"/>
          </w:tcPr>
          <w:p w:rsidR="00AC0832" w:rsidRDefault="00AC0832">
            <w:pPr>
              <w:pStyle w:val="CellColumn"/>
            </w:pPr>
            <w:r>
              <w:t>%</w:t>
            </w:r>
          </w:p>
        </w:tc>
        <w:tc>
          <w:tcPr>
            <w:tcW w:w="1300" w:type="dxa"/>
          </w:tcPr>
          <w:p w:rsidR="00AC0832" w:rsidRDefault="00AC0832">
            <w:pPr>
              <w:pStyle w:val="CellColumn"/>
            </w:pPr>
            <w:r>
              <w:t>40</w:t>
            </w:r>
          </w:p>
        </w:tc>
        <w:tc>
          <w:tcPr>
            <w:tcW w:w="1300" w:type="dxa"/>
          </w:tcPr>
          <w:p w:rsidR="00AC0832" w:rsidRDefault="00AC0832">
            <w:pPr>
              <w:pStyle w:val="CellColumn"/>
            </w:pPr>
            <w:r>
              <w:t>DZM</w:t>
            </w:r>
          </w:p>
        </w:tc>
        <w:tc>
          <w:tcPr>
            <w:tcW w:w="1300" w:type="dxa"/>
          </w:tcPr>
          <w:p w:rsidR="00AC0832" w:rsidRDefault="00AC0832">
            <w:pPr>
              <w:pStyle w:val="CellColumn"/>
            </w:pPr>
            <w:r>
              <w:t>100</w:t>
            </w:r>
          </w:p>
        </w:tc>
        <w:tc>
          <w:tcPr>
            <w:tcW w:w="1300" w:type="dxa"/>
          </w:tcPr>
          <w:p w:rsidR="00AC0832" w:rsidRDefault="00AC0832">
            <w:pPr>
              <w:pStyle w:val="CellColumn"/>
            </w:pPr>
            <w:r>
              <w:t>40</w:t>
            </w:r>
          </w:p>
        </w:tc>
      </w:tr>
      <w:tr w:rsidR="00AC0832" w:rsidTr="00BE20ED">
        <w:trPr>
          <w:jc w:val="center"/>
        </w:trPr>
        <w:tc>
          <w:tcPr>
            <w:tcW w:w="1300" w:type="dxa"/>
          </w:tcPr>
          <w:p w:rsidR="00AC0832" w:rsidRDefault="00AC0832">
            <w:pPr>
              <w:pStyle w:val="CellColumn"/>
            </w:pPr>
            <w:r>
              <w:t>Primjena norme HRN EN ISO/IEC 17025:2007 i HRN EN ISO/I uz stalno praćenje i unaprjeđenje rada i organizacije</w:t>
            </w:r>
          </w:p>
        </w:tc>
        <w:tc>
          <w:tcPr>
            <w:tcW w:w="1300" w:type="dxa"/>
          </w:tcPr>
          <w:p w:rsidR="00AC0832" w:rsidRDefault="00AC0832">
            <w:pPr>
              <w:pStyle w:val="CellColumn"/>
            </w:pPr>
            <w:r>
              <w:t>Povećanje kompetentnosti i pouzdanosti laboratorijskih mjerenja primjenom norme za umjerne i ispitne laboratorije</w:t>
            </w:r>
          </w:p>
        </w:tc>
        <w:tc>
          <w:tcPr>
            <w:tcW w:w="1300" w:type="dxa"/>
          </w:tcPr>
          <w:p w:rsidR="00AC0832" w:rsidRDefault="00AC0832">
            <w:pPr>
              <w:pStyle w:val="CellColumn"/>
            </w:pPr>
            <w:r>
              <w:t>%</w:t>
            </w:r>
          </w:p>
        </w:tc>
        <w:tc>
          <w:tcPr>
            <w:tcW w:w="1300" w:type="dxa"/>
          </w:tcPr>
          <w:p w:rsidR="00AC0832" w:rsidRDefault="00AC0832">
            <w:pPr>
              <w:pStyle w:val="CellColumn"/>
            </w:pPr>
            <w:r>
              <w:t>40</w:t>
            </w:r>
          </w:p>
        </w:tc>
        <w:tc>
          <w:tcPr>
            <w:tcW w:w="1300" w:type="dxa"/>
          </w:tcPr>
          <w:p w:rsidR="00AC0832" w:rsidRDefault="00AC0832">
            <w:pPr>
              <w:pStyle w:val="CellColumn"/>
            </w:pPr>
            <w:r>
              <w:t>DZM</w:t>
            </w:r>
          </w:p>
        </w:tc>
        <w:tc>
          <w:tcPr>
            <w:tcW w:w="1300" w:type="dxa"/>
          </w:tcPr>
          <w:p w:rsidR="00AC0832" w:rsidRDefault="00AC0832">
            <w:pPr>
              <w:pStyle w:val="CellColumn"/>
            </w:pPr>
            <w:r>
              <w:t>100</w:t>
            </w:r>
          </w:p>
        </w:tc>
        <w:tc>
          <w:tcPr>
            <w:tcW w:w="1300" w:type="dxa"/>
          </w:tcPr>
          <w:p w:rsidR="00AC0832" w:rsidRDefault="00AC0832">
            <w:pPr>
              <w:pStyle w:val="CellColumn"/>
            </w:pPr>
            <w:r>
              <w:t>40</w:t>
            </w:r>
          </w:p>
        </w:tc>
      </w:tr>
      <w:tr w:rsidR="00AC0832" w:rsidTr="00BE20ED">
        <w:trPr>
          <w:jc w:val="center"/>
        </w:trPr>
        <w:tc>
          <w:tcPr>
            <w:tcW w:w="1300" w:type="dxa"/>
          </w:tcPr>
          <w:p w:rsidR="00AC0832" w:rsidRDefault="00AC0832">
            <w:pPr>
              <w:pStyle w:val="CellColumn"/>
            </w:pPr>
            <w:r>
              <w:t>Primjena normi HRN EN ISO/IEC 27001:2005 i HRN EN ISO/IEC 17024:2003 uz stalno praćenje i unaprjeđivanje</w:t>
            </w:r>
          </w:p>
        </w:tc>
        <w:tc>
          <w:tcPr>
            <w:tcW w:w="1300" w:type="dxa"/>
          </w:tcPr>
          <w:p w:rsidR="00AC0832" w:rsidRDefault="00AC0832">
            <w:pPr>
              <w:pStyle w:val="CellColumn"/>
            </w:pPr>
            <w:r>
              <w:t>Povećanje sigurnosti onformacijskog sustava te osiguranje kompetentnosti sustava za licenciranje</w:t>
            </w:r>
          </w:p>
        </w:tc>
        <w:tc>
          <w:tcPr>
            <w:tcW w:w="1300" w:type="dxa"/>
          </w:tcPr>
          <w:p w:rsidR="00AC0832" w:rsidRDefault="00AC0832">
            <w:pPr>
              <w:pStyle w:val="CellColumn"/>
            </w:pPr>
            <w:r>
              <w:t>%</w:t>
            </w:r>
          </w:p>
        </w:tc>
        <w:tc>
          <w:tcPr>
            <w:tcW w:w="1300" w:type="dxa"/>
          </w:tcPr>
          <w:p w:rsidR="00AC0832" w:rsidRDefault="00AC0832">
            <w:pPr>
              <w:pStyle w:val="CellColumn"/>
            </w:pPr>
            <w:r>
              <w:t>1</w:t>
            </w:r>
          </w:p>
        </w:tc>
        <w:tc>
          <w:tcPr>
            <w:tcW w:w="1300" w:type="dxa"/>
          </w:tcPr>
          <w:p w:rsidR="00AC0832" w:rsidRDefault="00AC0832">
            <w:pPr>
              <w:pStyle w:val="CellColumn"/>
            </w:pPr>
            <w:r>
              <w:t>DZM</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1</w:t>
            </w:r>
          </w:p>
        </w:tc>
      </w:tr>
    </w:tbl>
    <w:p w:rsidR="00AC0832" w:rsidRDefault="00AC0832">
      <w:pPr>
        <w:jc w:val="left"/>
      </w:pPr>
    </w:p>
    <w:p w:rsidR="00AC0832" w:rsidRDefault="00AC0832">
      <w:pPr>
        <w:pStyle w:val="Heading6"/>
      </w:pPr>
      <w:r>
        <w:t>A762000 ADMINISTRACIJA I UPRAVLJANJE DRŽAVNOG ZAVODA ZA MJERITELJSTVO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A762000-ADMINISTRACIJA I UPRAVLJANJE DRŽAVNOG ZAVODA ZA MJERITELJSTVO</w:t>
            </w:r>
          </w:p>
        </w:tc>
        <w:tc>
          <w:tcPr>
            <w:tcW w:w="2322" w:type="dxa"/>
          </w:tcPr>
          <w:p w:rsidR="00AC0832" w:rsidRDefault="00AC0832">
            <w:pPr>
              <w:pStyle w:val="CellColumn"/>
            </w:pPr>
            <w:r>
              <w:t>19.178.605</w:t>
            </w:r>
          </w:p>
        </w:tc>
        <w:tc>
          <w:tcPr>
            <w:tcW w:w="2322" w:type="dxa"/>
          </w:tcPr>
          <w:p w:rsidR="00AC0832" w:rsidRDefault="00AC0832">
            <w:pPr>
              <w:pStyle w:val="CellColumn"/>
            </w:pPr>
            <w:r>
              <w:t>18.304.186</w:t>
            </w:r>
          </w:p>
        </w:tc>
        <w:tc>
          <w:tcPr>
            <w:tcW w:w="2322" w:type="dxa"/>
          </w:tcPr>
          <w:p w:rsidR="00AC0832" w:rsidRDefault="00AC0832">
            <w:pPr>
              <w:pStyle w:val="CellColumn"/>
            </w:pPr>
            <w:r>
              <w:t>95,4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Ovaj program ima za cilj obavljanje svih stručnih i administrativnih poslova radi nesmetanog, racionalnog i uspješnog obavljanja djelatnosti Zavoda.Djelatnost Državnog zavod za mjeriteljstvo usmjerena je na osiguranje mjeriteljskog jedinstva Republike Hrvatske u funkciji slobodnog kretanja roba i usluga, a sa ciljem zaštite potrošača i osiguranja sigurnosti i zdravlja ljudi i životinja. Da bi se osigurala misija Državnog zavoda za mjeriteljstvo, i njegova vodeća uloga u upravljanju mjeriteljskim sustavom RH,  nužno je osigurati unapređenje sustava zakonskog mjeriteljstva, ispitivanja i žigosanja predmeta od plemenitih kovina, sustava homologacije vozila,sustava europske naplate cestarina (EENC) te mjeriteljske inspekcije i nadzora. </w:t>
      </w:r>
    </w:p>
    <w:p w:rsidR="00AC0832" w:rsidRDefault="00AC0832">
      <w:pPr>
        <w:pStyle w:val="Normal6"/>
      </w:pPr>
      <w:r>
        <w:t xml:space="preserve"> </w:t>
      </w:r>
    </w:p>
    <w:p w:rsidR="00AC0832" w:rsidRDefault="00AC0832">
      <w:pPr>
        <w:pStyle w:val="Normal6"/>
      </w:pPr>
      <w:r>
        <w:t xml:space="preserve">Rashodi za zaposlene izvršeni su u  iznosu od  ukupno 10 307 363kn, što iznosi 101,18% u odnosu na planirana sredstva. </w:t>
      </w:r>
    </w:p>
    <w:p w:rsidR="00AC0832" w:rsidRDefault="00AC0832">
      <w:pPr>
        <w:pStyle w:val="Normal6"/>
      </w:pPr>
      <w:r>
        <w:t xml:space="preserve">U ukupno izvršenom proračunu udio rashoda za zaposlene iznosi 56,31 %. Od ukupno izvršenih rashoda za zaposlene na plaće za redovan i prekovremeni rad odnosi se 8 603 915 kn, doprinose na plaće 1 375 735 kn, te ostale rashode za zaposlene 327 713 kn. </w:t>
      </w:r>
    </w:p>
    <w:p w:rsidR="00AC0832" w:rsidRDefault="00AC0832">
      <w:pPr>
        <w:pStyle w:val="Normal6"/>
      </w:pPr>
      <w:r>
        <w:t xml:space="preserve">Materijalni rashodi iznose 7 990 161 kn, što je 91,51 % ostvarenje planiranog. U ukupno izvršenom proračunu udio materijalnih rashoda je 42,84 %.  </w:t>
      </w:r>
    </w:p>
    <w:p w:rsidR="00AC0832" w:rsidRDefault="00AC0832">
      <w:pPr>
        <w:pStyle w:val="Normal6"/>
      </w:pPr>
      <w:r>
        <w:t xml:space="preserve">Rashodi za službena putovanja iznose 1 014 712 kn i značajna su stavka materijalnih rashoda što je uvjetovano vrstom posla koji obavljamo ( ovjeravanje mjerila vrši se po cijeloj Republici Hrvatskoj ) i brojem lokacija na kojima smo smješteni ( odjeli u Zagrebu, Osijeku, Rijeci i Splitu). </w:t>
      </w:r>
    </w:p>
    <w:p w:rsidR="00AC0832" w:rsidRDefault="00AC0832">
      <w:pPr>
        <w:pStyle w:val="Normal6"/>
      </w:pPr>
      <w:r>
        <w:t xml:space="preserve">Izdaci za stručno usavršavanje zaposlenih u iznosu od 75 839 kn  takođe su značajna stavka rashoda. Realizacijom ovih rashoda mjeriteljstvo ojačava svoju profesionalnu stručnost kako bi se zadovoljili novi zahtjevi koji proizlaze iz usklađivanja zakonodavstva sa zakonodavstvom Europske unije. </w:t>
      </w:r>
    </w:p>
    <w:p w:rsidR="00AC0832" w:rsidRDefault="00AC0832">
      <w:pPr>
        <w:pStyle w:val="Normal6"/>
      </w:pPr>
      <w:r>
        <w:t xml:space="preserve">Usluge telefona, pošte i prijevoza  u iznosu od 469 770 kn ostvarene su 93,95  % u odnosu na plan i čine veliku stavku rashoda za usluge. Međutim, uvedene su   mjere za kontrolu troškova fiksnih i mobilnih telefona ( ograničeni su pozivi preko fiksnih telefona, limitiran je iznos potrošnje mobilne  mreže ) tako da se ovi rashodi stalno prate i kontroliraju. Također, u 2012. godini sklopljen je novi godišnji ugovor za ove usluge temeljem okvirnog sporazuma sklopljenog preko Državnog ureda Vlade RH za središnju nabavu što će sigurno osigurati nove uštede na ovoj stavki. </w:t>
      </w:r>
    </w:p>
    <w:p w:rsidR="00AC0832" w:rsidRDefault="00AC0832">
      <w:pPr>
        <w:pStyle w:val="Normal6"/>
      </w:pPr>
      <w:r>
        <w:t xml:space="preserve">Usluge tekućeg i investicijskog održavanja iznose 769 246 kn.  </w:t>
      </w:r>
    </w:p>
    <w:p w:rsidR="00AC0832" w:rsidRDefault="00AC0832">
      <w:pPr>
        <w:pStyle w:val="Normal6"/>
      </w:pPr>
      <w:r>
        <w:t xml:space="preserve">Usluge tekućeg i investicijskog održavanja građevinskih objekata su 76 812 kn.  </w:t>
      </w:r>
    </w:p>
    <w:p w:rsidR="00AC0832" w:rsidRDefault="00AC0832">
      <w:pPr>
        <w:pStyle w:val="Normal6"/>
      </w:pPr>
      <w:r>
        <w:t xml:space="preserve">Najveći dio ovih rashoda čine i izdaci za održavanje prijevoznih sredstava koja su zastarjela, a u ovoj godini zbog recesije uopće nisu zamijenjena novima. </w:t>
      </w:r>
    </w:p>
    <w:p w:rsidR="00AC0832" w:rsidRDefault="00AC0832">
      <w:pPr>
        <w:pStyle w:val="Normal6"/>
      </w:pPr>
      <w:r>
        <w:t xml:space="preserve">Značajni izvršeni rashodi za usluge odnose se na rashode za zakupnine i najamnine u iznosu od 1 966 081 kn, odnose se na zakup objekata  s obzirom da smo prisiljeni uzimati prostor u zakup, ali su znatno smanjeni zbog preseljenja dijela stručnih službi na lokaciju u Ibrišimovićevoj bb i iznose 81,92% planiranih. </w:t>
      </w:r>
    </w:p>
    <w:p w:rsidR="00AC0832" w:rsidRDefault="00AC0832">
      <w:pPr>
        <w:pStyle w:val="Normal6"/>
      </w:pPr>
      <w:r>
        <w:t xml:space="preserve">Financijski rashodi odnose se na bankarske usluge, usluge platnog prometa i zatezne kamate, planirani su u iznosu od  </w:t>
      </w:r>
    </w:p>
    <w:p w:rsidR="00AC0832" w:rsidRDefault="00AC0832">
      <w:pPr>
        <w:pStyle w:val="Normal6"/>
      </w:pPr>
      <w:r>
        <w:t xml:space="preserve"> 7 732 kn, a izvršeni u iznosu od 6 662 kn, što iznosi 86,16% u odnosu na  planirana sredstva.  </w:t>
      </w:r>
    </w:p>
    <w:p w:rsidR="00AC0832" w:rsidRDefault="00AC0832">
      <w:pPr>
        <w:pStyle w:val="Normal6"/>
      </w:pPr>
      <w:r>
        <w:t xml:space="preserve"> Rashodi za nabavu nefinancijske imovine izvršeni su u iznosu od 348 914kn, što je 77,36 % od planiranih.  </w:t>
      </w:r>
    </w:p>
    <w:p w:rsidR="00AC0832" w:rsidRDefault="00AC0832">
      <w:pPr>
        <w:pStyle w:val="Normal6"/>
      </w:pPr>
      <w:r>
        <w:t xml:space="preserve"> </w:t>
      </w:r>
    </w:p>
    <w:p w:rsidR="00AC0832" w:rsidRDefault="00AC0832">
      <w:pPr>
        <w:pStyle w:val="Normal6"/>
      </w:pPr>
      <w:r>
        <w:t xml:space="preserve">Ulaganja u postrojenja i opremu iznosila su 348 914 kn i izvršena su 77,54 %. </w:t>
      </w:r>
    </w:p>
    <w:p w:rsidR="00AC0832" w:rsidRDefault="00AC0832">
      <w:pPr>
        <w:pStyle w:val="Normal6"/>
      </w:pPr>
      <w:r>
        <w:t xml:space="preserve">U ukupno izvršenom proračunu udio rashoda za nabavu nefinancijske imovine iznosi  </w:t>
      </w:r>
    </w:p>
    <w:p w:rsidR="00AC0832" w:rsidRDefault="00AC0832">
      <w:pPr>
        <w:pStyle w:val="Normal6"/>
      </w:pPr>
      <w:r>
        <w:t>1,87 % što je gotovo upola manje nego u 2011. godini zbog recesije i smanjenja ulaganja u kapitalne projekte.</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5"/>
        <w:gridCol w:w="1440"/>
        <w:gridCol w:w="1287"/>
        <w:gridCol w:w="1291"/>
        <w:gridCol w:w="1290"/>
        <w:gridCol w:w="1291"/>
        <w:gridCol w:w="129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riješenih zahtjeva u postupku homologacije vozila, traktora i dijelova</w:t>
            </w:r>
          </w:p>
        </w:tc>
        <w:tc>
          <w:tcPr>
            <w:tcW w:w="1300" w:type="dxa"/>
          </w:tcPr>
          <w:p w:rsidR="00AC0832" w:rsidRDefault="00AC0832">
            <w:pPr>
              <w:pStyle w:val="CellColumn"/>
            </w:pPr>
            <w:r>
              <w:t>Osiguranje zaštite potrošača, života i zdravlja ljudi i životinja, zaštite okoliša, ispitivanja i potvrđivanja proizvoda, upravljanja industrijskim procesima i upravljanja kvalitetom.</w:t>
            </w:r>
          </w:p>
        </w:tc>
        <w:tc>
          <w:tcPr>
            <w:tcW w:w="1300" w:type="dxa"/>
          </w:tcPr>
          <w:p w:rsidR="00AC0832" w:rsidRDefault="00AC0832">
            <w:pPr>
              <w:pStyle w:val="CellColumn"/>
            </w:pPr>
            <w:r>
              <w:t>broj</w:t>
            </w:r>
          </w:p>
        </w:tc>
        <w:tc>
          <w:tcPr>
            <w:tcW w:w="1300" w:type="dxa"/>
          </w:tcPr>
          <w:p w:rsidR="00AC0832" w:rsidRDefault="00AC0832">
            <w:pPr>
              <w:pStyle w:val="CellColumn"/>
            </w:pPr>
            <w:r>
              <w:t>650</w:t>
            </w:r>
          </w:p>
        </w:tc>
        <w:tc>
          <w:tcPr>
            <w:tcW w:w="1300" w:type="dxa"/>
          </w:tcPr>
          <w:p w:rsidR="00AC0832" w:rsidRDefault="00AC0832">
            <w:pPr>
              <w:pStyle w:val="CellColumn"/>
            </w:pPr>
            <w:r>
              <w:t>DZM</w:t>
            </w:r>
          </w:p>
        </w:tc>
        <w:tc>
          <w:tcPr>
            <w:tcW w:w="1300" w:type="dxa"/>
          </w:tcPr>
          <w:p w:rsidR="00AC0832" w:rsidRDefault="00AC0832">
            <w:pPr>
              <w:pStyle w:val="CellColumn"/>
            </w:pPr>
            <w:r>
              <w:t>700</w:t>
            </w:r>
          </w:p>
        </w:tc>
        <w:tc>
          <w:tcPr>
            <w:tcW w:w="1300" w:type="dxa"/>
          </w:tcPr>
          <w:p w:rsidR="00AC0832" w:rsidRDefault="00AC0832">
            <w:pPr>
              <w:pStyle w:val="CellColumn"/>
            </w:pPr>
            <w:r>
              <w:t>613</w:t>
            </w:r>
          </w:p>
        </w:tc>
      </w:tr>
      <w:tr w:rsidR="00AC0832" w:rsidTr="00BE20ED">
        <w:trPr>
          <w:jc w:val="center"/>
        </w:trPr>
        <w:tc>
          <w:tcPr>
            <w:tcW w:w="1300" w:type="dxa"/>
          </w:tcPr>
          <w:p w:rsidR="00AC0832" w:rsidRDefault="00AC0832">
            <w:pPr>
              <w:pStyle w:val="CellColumn"/>
            </w:pPr>
            <w:r>
              <w:t>Povećanje broja ovjerenih mjerila</w:t>
            </w:r>
          </w:p>
        </w:tc>
        <w:tc>
          <w:tcPr>
            <w:tcW w:w="1300" w:type="dxa"/>
          </w:tcPr>
          <w:p w:rsidR="00AC0832" w:rsidRDefault="00AC0832">
            <w:pPr>
              <w:pStyle w:val="CellColumn"/>
            </w:pPr>
            <w:r>
              <w:t>Osiguranje zaštite potrošača, života i zdravlja ljudi i životinja, zaštite okoliša, ispitivanja i potvrđivanja proizvoda, upravljanja industrijskim procesima i upravljanja kvalitetom.</w:t>
            </w:r>
          </w:p>
        </w:tc>
        <w:tc>
          <w:tcPr>
            <w:tcW w:w="1300" w:type="dxa"/>
          </w:tcPr>
          <w:p w:rsidR="00AC0832" w:rsidRDefault="00AC0832">
            <w:pPr>
              <w:pStyle w:val="CellColumn"/>
            </w:pPr>
            <w:r>
              <w:t>broj</w:t>
            </w:r>
          </w:p>
        </w:tc>
        <w:tc>
          <w:tcPr>
            <w:tcW w:w="1300" w:type="dxa"/>
          </w:tcPr>
          <w:p w:rsidR="00AC0832" w:rsidRDefault="00AC0832">
            <w:pPr>
              <w:pStyle w:val="CellColumn"/>
            </w:pPr>
            <w:r>
              <w:t>580.000</w:t>
            </w:r>
          </w:p>
        </w:tc>
        <w:tc>
          <w:tcPr>
            <w:tcW w:w="1300" w:type="dxa"/>
          </w:tcPr>
          <w:p w:rsidR="00AC0832" w:rsidRDefault="00AC0832">
            <w:pPr>
              <w:pStyle w:val="CellColumn"/>
            </w:pPr>
            <w:r>
              <w:t>DZM</w:t>
            </w:r>
          </w:p>
        </w:tc>
        <w:tc>
          <w:tcPr>
            <w:tcW w:w="1300" w:type="dxa"/>
          </w:tcPr>
          <w:p w:rsidR="00AC0832" w:rsidRDefault="00AC0832">
            <w:pPr>
              <w:pStyle w:val="CellColumn"/>
            </w:pPr>
            <w:r>
              <w:t>600.000</w:t>
            </w:r>
          </w:p>
        </w:tc>
        <w:tc>
          <w:tcPr>
            <w:tcW w:w="1300" w:type="dxa"/>
          </w:tcPr>
          <w:p w:rsidR="00AC0832" w:rsidRDefault="00AC0832">
            <w:pPr>
              <w:pStyle w:val="CellColumn"/>
            </w:pPr>
            <w:r>
              <w:t>456.975</w:t>
            </w:r>
          </w:p>
        </w:tc>
      </w:tr>
      <w:tr w:rsidR="00AC0832" w:rsidTr="00BE20ED">
        <w:trPr>
          <w:jc w:val="center"/>
        </w:trPr>
        <w:tc>
          <w:tcPr>
            <w:tcW w:w="1300" w:type="dxa"/>
          </w:tcPr>
          <w:p w:rsidR="00AC0832" w:rsidRDefault="00AC0832">
            <w:pPr>
              <w:pStyle w:val="CellColumn"/>
            </w:pPr>
            <w:r>
              <w:t>Povećanje broja realiziranih zahtjeva za ispitivanje i žigosanje predmeta od plemenitih kovina</w:t>
            </w:r>
          </w:p>
        </w:tc>
        <w:tc>
          <w:tcPr>
            <w:tcW w:w="1300" w:type="dxa"/>
          </w:tcPr>
          <w:p w:rsidR="00AC0832" w:rsidRDefault="00AC0832">
            <w:pPr>
              <w:pStyle w:val="CellColumn"/>
            </w:pPr>
            <w:r>
              <w:t>Osiguranje zaštite potrošača, života i zdravlja ljudi i životinja, zaštite okoliša, ispitivanja i potvrđivanja proizvoda, upravljanja industrijskim procesima i upravljanja kvalitetom.</w:t>
            </w:r>
          </w:p>
        </w:tc>
        <w:tc>
          <w:tcPr>
            <w:tcW w:w="1300" w:type="dxa"/>
          </w:tcPr>
          <w:p w:rsidR="00AC0832" w:rsidRDefault="00AC0832">
            <w:pPr>
              <w:pStyle w:val="CellColumn"/>
            </w:pPr>
            <w:r>
              <w:t>broj</w:t>
            </w:r>
          </w:p>
        </w:tc>
        <w:tc>
          <w:tcPr>
            <w:tcW w:w="1300" w:type="dxa"/>
          </w:tcPr>
          <w:p w:rsidR="00AC0832" w:rsidRDefault="00AC0832">
            <w:pPr>
              <w:pStyle w:val="CellColumn"/>
            </w:pPr>
            <w:r>
              <w:t>800</w:t>
            </w:r>
          </w:p>
        </w:tc>
        <w:tc>
          <w:tcPr>
            <w:tcW w:w="1300" w:type="dxa"/>
          </w:tcPr>
          <w:p w:rsidR="00AC0832" w:rsidRDefault="00AC0832">
            <w:pPr>
              <w:pStyle w:val="CellColumn"/>
            </w:pPr>
            <w:r>
              <w:t>DZM</w:t>
            </w:r>
          </w:p>
        </w:tc>
        <w:tc>
          <w:tcPr>
            <w:tcW w:w="1300" w:type="dxa"/>
          </w:tcPr>
          <w:p w:rsidR="00AC0832" w:rsidRDefault="00AC0832">
            <w:pPr>
              <w:pStyle w:val="CellColumn"/>
            </w:pPr>
            <w:r>
              <w:t>900</w:t>
            </w:r>
          </w:p>
        </w:tc>
        <w:tc>
          <w:tcPr>
            <w:tcW w:w="1300" w:type="dxa"/>
          </w:tcPr>
          <w:p w:rsidR="00AC0832" w:rsidRDefault="00AC0832">
            <w:pPr>
              <w:pStyle w:val="CellColumn"/>
            </w:pPr>
            <w:r>
              <w:t>922</w:t>
            </w:r>
          </w:p>
        </w:tc>
      </w:tr>
      <w:tr w:rsidR="00AC0832" w:rsidTr="00BE20ED">
        <w:trPr>
          <w:jc w:val="center"/>
        </w:trPr>
        <w:tc>
          <w:tcPr>
            <w:tcW w:w="1300" w:type="dxa"/>
          </w:tcPr>
          <w:p w:rsidR="00AC0832" w:rsidRDefault="00AC0832">
            <w:pPr>
              <w:pStyle w:val="CellColumn"/>
            </w:pPr>
            <w:r>
              <w:t>Izrada nacrta zakona, njihove izmjene i dopune u području mjeriteljstva, homologacije vozila i nadzora od plemenitih kovina</w:t>
            </w:r>
          </w:p>
        </w:tc>
        <w:tc>
          <w:tcPr>
            <w:tcW w:w="1300" w:type="dxa"/>
          </w:tcPr>
          <w:p w:rsidR="00AC0832" w:rsidRDefault="00AC0832">
            <w:pPr>
              <w:pStyle w:val="CellColumn"/>
            </w:pPr>
            <w:r>
              <w:t>Donošenjem novih zakona i podzakonskih akata  cjelovito će se urediti sustav nadzora u mjeriteljstvu u  RH.</w:t>
            </w:r>
          </w:p>
        </w:tc>
        <w:tc>
          <w:tcPr>
            <w:tcW w:w="1300" w:type="dxa"/>
          </w:tcPr>
          <w:p w:rsidR="00AC0832" w:rsidRDefault="00AC0832">
            <w:pPr>
              <w:pStyle w:val="CellColumn"/>
            </w:pPr>
            <w:r>
              <w:t>%</w:t>
            </w:r>
          </w:p>
        </w:tc>
        <w:tc>
          <w:tcPr>
            <w:tcW w:w="1300" w:type="dxa"/>
          </w:tcPr>
          <w:p w:rsidR="00AC0832" w:rsidRDefault="00AC0832">
            <w:pPr>
              <w:pStyle w:val="CellColumn"/>
            </w:pPr>
            <w:r>
              <w:t>20</w:t>
            </w:r>
          </w:p>
        </w:tc>
        <w:tc>
          <w:tcPr>
            <w:tcW w:w="1300" w:type="dxa"/>
          </w:tcPr>
          <w:p w:rsidR="00AC0832" w:rsidRDefault="00AC0832">
            <w:pPr>
              <w:pStyle w:val="CellColumn"/>
            </w:pPr>
            <w:r>
              <w:t>DZM</w:t>
            </w:r>
          </w:p>
        </w:tc>
        <w:tc>
          <w:tcPr>
            <w:tcW w:w="1300" w:type="dxa"/>
          </w:tcPr>
          <w:p w:rsidR="00AC0832" w:rsidRDefault="00AC0832">
            <w:pPr>
              <w:pStyle w:val="CellColumn"/>
            </w:pPr>
            <w:r>
              <w:t>40</w:t>
            </w:r>
          </w:p>
        </w:tc>
        <w:tc>
          <w:tcPr>
            <w:tcW w:w="1300" w:type="dxa"/>
          </w:tcPr>
          <w:p w:rsidR="00AC0832" w:rsidRDefault="00AC0832">
            <w:pPr>
              <w:pStyle w:val="CellColumn"/>
            </w:pPr>
            <w:r>
              <w:t>40</w:t>
            </w:r>
          </w:p>
        </w:tc>
      </w:tr>
    </w:tbl>
    <w:p w:rsidR="00AC0832" w:rsidRDefault="00AC0832">
      <w:pPr>
        <w:jc w:val="left"/>
      </w:pPr>
    </w:p>
    <w:p w:rsidR="00AC0832" w:rsidRDefault="00AC0832">
      <w:pPr>
        <w:pStyle w:val="Heading6"/>
      </w:pPr>
      <w:r>
        <w:t>K762001 OSIGURANJE POTREBNE RAZINE KVALITETE KROZ PROCESE AKREDITACIJE I CERTIFIKACIJE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K762001-OSIGURANJE POTREBNE RAZINE KVALITETE KROZ PROCESE AKREDITACIJE I CERTIFIKACIJE</w:t>
            </w:r>
          </w:p>
        </w:tc>
        <w:tc>
          <w:tcPr>
            <w:tcW w:w="2322" w:type="dxa"/>
          </w:tcPr>
          <w:p w:rsidR="00AC0832" w:rsidRDefault="00AC0832">
            <w:pPr>
              <w:pStyle w:val="CellColumn"/>
            </w:pPr>
            <w:r>
              <w:t>210.000</w:t>
            </w:r>
          </w:p>
        </w:tc>
        <w:tc>
          <w:tcPr>
            <w:tcW w:w="2322" w:type="dxa"/>
          </w:tcPr>
          <w:p w:rsidR="00AC0832" w:rsidRDefault="00AC0832">
            <w:pPr>
              <w:pStyle w:val="CellColumn"/>
            </w:pPr>
            <w:r>
              <w:t>109.900</w:t>
            </w:r>
          </w:p>
        </w:tc>
        <w:tc>
          <w:tcPr>
            <w:tcW w:w="2322" w:type="dxa"/>
          </w:tcPr>
          <w:p w:rsidR="00AC0832" w:rsidRDefault="00AC0832">
            <w:pPr>
              <w:pStyle w:val="CellColumn"/>
            </w:pPr>
            <w:r>
              <w:t>52,3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projektu K 762001 Osiguranje potrebne razina kvalitete kroz procese akreditacije i certifikacije na stavci 4225 Instrumenti, uređaji i strojevi planirali smo  109 900 kn što je dostatno samo za  eventualnu hitnu zamjenu dotrajale mjeriteljske opreme.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495"/>
        <w:gridCol w:w="1289"/>
        <w:gridCol w:w="1294"/>
        <w:gridCol w:w="1293"/>
        <w:gridCol w:w="1294"/>
        <w:gridCol w:w="129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Certifikacija po normi HRN ISO 9001</w:t>
            </w:r>
          </w:p>
        </w:tc>
        <w:tc>
          <w:tcPr>
            <w:tcW w:w="1300" w:type="dxa"/>
          </w:tcPr>
          <w:p w:rsidR="00AC0832" w:rsidRDefault="00AC0832">
            <w:pPr>
              <w:pStyle w:val="CellColumn"/>
            </w:pPr>
            <w:r>
              <w:t>Definiran sustav upravljanja kvalitetom koji uključuje izraženu odgovornost Zavoda da kroz što efikasnije upravljanje resursima i kvalitetom kroz brojna mjerenja i analize omogući što kvalitetnije usluge svojim subjektima</w:t>
            </w:r>
          </w:p>
        </w:tc>
        <w:tc>
          <w:tcPr>
            <w:tcW w:w="1300" w:type="dxa"/>
          </w:tcPr>
          <w:p w:rsidR="00AC0832" w:rsidRDefault="00AC0832">
            <w:pPr>
              <w:pStyle w:val="CellColumn"/>
            </w:pPr>
            <w:r>
              <w:t>kom</w:t>
            </w:r>
          </w:p>
        </w:tc>
        <w:tc>
          <w:tcPr>
            <w:tcW w:w="1300" w:type="dxa"/>
          </w:tcPr>
          <w:p w:rsidR="00AC0832" w:rsidRDefault="00AC0832">
            <w:pPr>
              <w:pStyle w:val="CellColumn"/>
            </w:pPr>
            <w:r>
              <w:t>0</w:t>
            </w: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Akreditirani umjerni i ispitni laboratoriji po normi HRN ISO 17025</w:t>
            </w:r>
          </w:p>
        </w:tc>
        <w:tc>
          <w:tcPr>
            <w:tcW w:w="1300" w:type="dxa"/>
          </w:tcPr>
          <w:p w:rsidR="00AC0832" w:rsidRDefault="00AC0832">
            <w:pPr>
              <w:pStyle w:val="CellColumn"/>
            </w:pPr>
            <w:r>
              <w:t>Tehnička kompetencija i mjerna sljedivost mjerenja</w:t>
            </w:r>
          </w:p>
        </w:tc>
        <w:tc>
          <w:tcPr>
            <w:tcW w:w="1300" w:type="dxa"/>
          </w:tcPr>
          <w:p w:rsidR="00AC0832" w:rsidRDefault="00AC0832">
            <w:pPr>
              <w:pStyle w:val="CellColumn"/>
            </w:pPr>
            <w:r>
              <w:t>kom</w:t>
            </w:r>
          </w:p>
        </w:tc>
        <w:tc>
          <w:tcPr>
            <w:tcW w:w="1300" w:type="dxa"/>
          </w:tcPr>
          <w:p w:rsidR="00AC0832" w:rsidRDefault="00AC0832">
            <w:pPr>
              <w:pStyle w:val="CellColumn"/>
            </w:pPr>
            <w:r>
              <w:t>0</w:t>
            </w: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Akreditirani odjel mjeriteljskog nadzora po normi 17020</w:t>
            </w:r>
          </w:p>
        </w:tc>
        <w:tc>
          <w:tcPr>
            <w:tcW w:w="1300" w:type="dxa"/>
          </w:tcPr>
          <w:p w:rsidR="00AC0832" w:rsidRDefault="00AC0832">
            <w:pPr>
              <w:pStyle w:val="CellColumn"/>
            </w:pPr>
            <w:r>
              <w:t>Pouzdanost procesa nadzora ovjeravanja</w:t>
            </w:r>
          </w:p>
        </w:tc>
        <w:tc>
          <w:tcPr>
            <w:tcW w:w="1300" w:type="dxa"/>
          </w:tcPr>
          <w:p w:rsidR="00AC0832" w:rsidRDefault="00AC0832">
            <w:pPr>
              <w:pStyle w:val="CellColumn"/>
            </w:pPr>
            <w:r>
              <w:t>kom</w:t>
            </w:r>
          </w:p>
        </w:tc>
        <w:tc>
          <w:tcPr>
            <w:tcW w:w="1300" w:type="dxa"/>
          </w:tcPr>
          <w:p w:rsidR="00AC0832" w:rsidRDefault="00AC0832">
            <w:pPr>
              <w:pStyle w:val="CellColumn"/>
            </w:pPr>
            <w:r>
              <w:t>0</w:t>
            </w: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Siguran informatički sustav kroz norme HRN ISO 27001 i HRN ISO 17024</w:t>
            </w:r>
          </w:p>
        </w:tc>
        <w:tc>
          <w:tcPr>
            <w:tcW w:w="1300" w:type="dxa"/>
          </w:tcPr>
          <w:p w:rsidR="00AC0832" w:rsidRDefault="00AC0832">
            <w:pPr>
              <w:pStyle w:val="CellColumn"/>
            </w:pPr>
            <w:r>
              <w:t>Sigurnost informacijskog sustava</w:t>
            </w:r>
          </w:p>
        </w:tc>
        <w:tc>
          <w:tcPr>
            <w:tcW w:w="1300" w:type="dxa"/>
          </w:tcPr>
          <w:p w:rsidR="00AC0832" w:rsidRDefault="00AC0832">
            <w:pPr>
              <w:pStyle w:val="CellColumn"/>
            </w:pPr>
            <w:r>
              <w:t>kom</w:t>
            </w:r>
          </w:p>
        </w:tc>
        <w:tc>
          <w:tcPr>
            <w:tcW w:w="1300" w:type="dxa"/>
          </w:tcPr>
          <w:p w:rsidR="00AC0832" w:rsidRDefault="00AC0832">
            <w:pPr>
              <w:pStyle w:val="CellColumn"/>
            </w:pPr>
            <w:r>
              <w:t>0</w:t>
            </w: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K762002 IZGRADNJA I OPREMANJE POSLOVNOG PROSTORA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K762002-IZGRADNJA I OPREMANJE POSLOVNOG PROSTORA</w:t>
            </w:r>
          </w:p>
        </w:tc>
        <w:tc>
          <w:tcPr>
            <w:tcW w:w="2322" w:type="dxa"/>
          </w:tcPr>
          <w:p w:rsidR="00AC0832" w:rsidRDefault="00AC0832">
            <w:pPr>
              <w:pStyle w:val="CellColumn"/>
            </w:pPr>
            <w:r>
              <w:t>40.000</w:t>
            </w:r>
          </w:p>
        </w:tc>
        <w:tc>
          <w:tcPr>
            <w:tcW w:w="2322" w:type="dxa"/>
          </w:tcPr>
          <w:p w:rsidR="00AC0832" w:rsidRDefault="00AC0832">
            <w:pPr>
              <w:pStyle w:val="CellColumn"/>
            </w:pPr>
            <w:r>
              <w:t>39.760</w:t>
            </w:r>
          </w:p>
        </w:tc>
        <w:tc>
          <w:tcPr>
            <w:tcW w:w="2322" w:type="dxa"/>
          </w:tcPr>
          <w:p w:rsidR="00AC0832" w:rsidRDefault="00AC0832">
            <w:pPr>
              <w:pStyle w:val="CellColumn"/>
            </w:pPr>
            <w:r>
              <w:t>99,4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Zbog recesije planirana su sredstva samo za hitne nabave namještaja te zamjenu dotrajale opreme.</w:t>
      </w:r>
    </w:p>
    <w:p w:rsidR="00AC0832" w:rsidRDefault="00AC0832">
      <w:pPr>
        <w:pStyle w:val="Heading6"/>
      </w:pPr>
      <w:r>
        <w:t>K762003 OBNOVA VOZNOG PARKA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K762003-OBNOVA VOZNOG PARKA</w:t>
            </w:r>
          </w:p>
        </w:tc>
        <w:tc>
          <w:tcPr>
            <w:tcW w:w="2322" w:type="dxa"/>
          </w:tcPr>
          <w:p w:rsidR="00AC0832" w:rsidRDefault="00AC0832">
            <w:pPr>
              <w:pStyle w:val="CellColumn"/>
            </w:pPr>
            <w:r>
              <w:t>Sap podatak nije pronađen!</w:t>
            </w:r>
          </w:p>
        </w:tc>
        <w:tc>
          <w:tcPr>
            <w:tcW w:w="2322" w:type="dxa"/>
          </w:tcPr>
          <w:p w:rsidR="00AC0832" w:rsidRDefault="00AC0832">
            <w:pPr>
              <w:pStyle w:val="CellColumn"/>
            </w:pPr>
            <w:r>
              <w:t>Sap podatak nije pronađen!</w:t>
            </w:r>
          </w:p>
        </w:tc>
        <w:tc>
          <w:tcPr>
            <w:tcW w:w="2322" w:type="dxa"/>
          </w:tcPr>
          <w:p w:rsidR="00AC0832" w:rsidRDefault="00AC0832">
            <w:pPr>
              <w:pStyle w:val="CellColumn"/>
            </w:pPr>
            <w:r>
              <w:t>Sap podatak nije pronađen!</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projektu K 762003 Obnova voznog parka planirali smo nabavu vozila na operativni leasing. Zbog vrste posla koji obavljamo ( ovjeravanje mjerila vrši se po cijeloj Republici Hrvatskoj ) i brojem lokacija na kojima smo smješteni ( odjeli u Zagrebu, Osijeku, Rijeci i Splitu) nužno je kontinuirano vršiti zamjenu dotrajalih vozila.Zbog dotrajalosti, održavanje voznog parka je gotovo neisplativo. </w:t>
      </w:r>
    </w:p>
    <w:p w:rsidR="00AC0832" w:rsidRDefault="00AC0832">
      <w:pPr>
        <w:pStyle w:val="Normal6"/>
      </w:pPr>
      <w:r>
        <w:t>Zbog recesije nije nabavljeno niti jedno vozilo na operativni leasing.</w:t>
      </w: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Nabavljena vozila na operativni leasing</w:t>
            </w:r>
          </w:p>
        </w:tc>
        <w:tc>
          <w:tcPr>
            <w:tcW w:w="1300" w:type="dxa"/>
          </w:tcPr>
          <w:p w:rsidR="00AC0832" w:rsidRDefault="00AC0832">
            <w:pPr>
              <w:pStyle w:val="CellColumn"/>
            </w:pPr>
            <w:r>
              <w:t>Osiguranje većeg stupnja efikasnosti rada.</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DZM</w:t>
            </w:r>
          </w:p>
        </w:tc>
        <w:tc>
          <w:tcPr>
            <w:tcW w:w="1300" w:type="dxa"/>
          </w:tcPr>
          <w:p w:rsidR="00AC0832" w:rsidRDefault="00AC0832">
            <w:pPr>
              <w:pStyle w:val="CellColumn"/>
            </w:pPr>
            <w:r>
              <w:t>8</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K762004 INFORMATIZACIJA ZAVODA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K762004-INFORMATIZACIJA ZAVODA</w:t>
            </w:r>
          </w:p>
        </w:tc>
        <w:tc>
          <w:tcPr>
            <w:tcW w:w="2322" w:type="dxa"/>
          </w:tcPr>
          <w:p w:rsidR="00AC0832" w:rsidRDefault="00AC0832">
            <w:pPr>
              <w:pStyle w:val="CellColumn"/>
            </w:pPr>
            <w:r>
              <w:t>201.000</w:t>
            </w:r>
          </w:p>
        </w:tc>
        <w:tc>
          <w:tcPr>
            <w:tcW w:w="2322" w:type="dxa"/>
          </w:tcPr>
          <w:p w:rsidR="00AC0832" w:rsidRDefault="00AC0832">
            <w:pPr>
              <w:pStyle w:val="CellColumn"/>
            </w:pPr>
            <w:r>
              <w:t>199.255</w:t>
            </w:r>
          </w:p>
        </w:tc>
        <w:tc>
          <w:tcPr>
            <w:tcW w:w="2322" w:type="dxa"/>
          </w:tcPr>
          <w:p w:rsidR="00AC0832" w:rsidRDefault="00AC0832">
            <w:pPr>
              <w:pStyle w:val="CellColumn"/>
            </w:pPr>
            <w:r>
              <w:t>99,1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Rashodi za nabavu računala i računalne opreme  izvršeni su u iznosu od 199 255kn, što je 99,1 % od planiranih. U cijelosti su najstarija računala i računalna oprema zamijenjeni novom i time osigurano kvalitetno izvršavanje radnih zadataka  mjeritelja.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8"/>
        <w:gridCol w:w="1684"/>
        <w:gridCol w:w="1239"/>
        <w:gridCol w:w="1260"/>
        <w:gridCol w:w="1255"/>
        <w:gridCol w:w="1260"/>
        <w:gridCol w:w="127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Integriran informacijski sustav</w:t>
            </w:r>
          </w:p>
        </w:tc>
        <w:tc>
          <w:tcPr>
            <w:tcW w:w="1300" w:type="dxa"/>
          </w:tcPr>
          <w:p w:rsidR="00AC0832" w:rsidRDefault="00AC0832">
            <w:pPr>
              <w:pStyle w:val="CellColumn"/>
            </w:pPr>
            <w:r>
              <w:t>Uspostavljanjem cjelovitog informatičkog sustava omogućit će se unapređenje sustava mjeriteljstva RH,</w:t>
            </w:r>
          </w:p>
        </w:tc>
        <w:tc>
          <w:tcPr>
            <w:tcW w:w="1300" w:type="dxa"/>
          </w:tcPr>
          <w:p w:rsidR="00AC0832" w:rsidRDefault="00AC0832">
            <w:pPr>
              <w:pStyle w:val="CellColumn"/>
            </w:pPr>
            <w:r>
              <w:t>%</w:t>
            </w:r>
          </w:p>
        </w:tc>
        <w:tc>
          <w:tcPr>
            <w:tcW w:w="1300" w:type="dxa"/>
          </w:tcPr>
          <w:p w:rsidR="00AC0832" w:rsidRDefault="00AC0832">
            <w:pPr>
              <w:pStyle w:val="CellColumn"/>
            </w:pPr>
            <w:r>
              <w:t>20</w:t>
            </w:r>
          </w:p>
        </w:tc>
        <w:tc>
          <w:tcPr>
            <w:tcW w:w="1300" w:type="dxa"/>
          </w:tcPr>
          <w:p w:rsidR="00AC0832" w:rsidRDefault="00AC0832">
            <w:pPr>
              <w:pStyle w:val="CellColumn"/>
            </w:pPr>
            <w:r>
              <w:t>DZM</w:t>
            </w:r>
          </w:p>
        </w:tc>
        <w:tc>
          <w:tcPr>
            <w:tcW w:w="1300" w:type="dxa"/>
          </w:tcPr>
          <w:p w:rsidR="00AC0832" w:rsidRDefault="00AC0832">
            <w:pPr>
              <w:pStyle w:val="CellColumn"/>
            </w:pPr>
            <w:r>
              <w:t>20</w:t>
            </w:r>
          </w:p>
        </w:tc>
        <w:tc>
          <w:tcPr>
            <w:tcW w:w="1300" w:type="dxa"/>
          </w:tcPr>
          <w:p w:rsidR="00AC0832" w:rsidRDefault="00AC0832">
            <w:pPr>
              <w:pStyle w:val="CellColumn"/>
            </w:pPr>
            <w:r>
              <w:t>20</w:t>
            </w:r>
          </w:p>
        </w:tc>
      </w:tr>
    </w:tbl>
    <w:p w:rsidR="00AC0832" w:rsidRDefault="00AC0832">
      <w:pPr>
        <w:jc w:val="left"/>
      </w:pPr>
    </w:p>
    <w:p w:rsidR="00AC0832" w:rsidRDefault="00AC0832">
      <w:pPr>
        <w:pStyle w:val="Heading2"/>
      </w:pPr>
      <w:r>
        <w:t>04980 Hrvatski zavod za norme</w:t>
      </w:r>
    </w:p>
    <w:p w:rsidR="00AC0832" w:rsidRDefault="00AC0832">
      <w:pPr>
        <w:pStyle w:val="Heading4"/>
      </w:pPr>
      <w:r>
        <w:t>Uvod</w:t>
      </w:r>
    </w:p>
    <w:p w:rsidR="00AC0832" w:rsidRDefault="00AC0832">
      <w:pPr>
        <w:pStyle w:val="Normal3"/>
      </w:pPr>
      <w:r>
        <w:t xml:space="preserve">Hrvatski zavod za norme (u daljnjem tekstu: HZN)  je neovisna javna ustanova osnovana kao nacionalno normirno tijelo Republike Hrvatske radi ostvarivanja zakonom utvrđenih ciljeva normizacije: povećanje razine sigurnosti proizvoda i procesa, čuvanje zdravlja i života ljudi te zaštita okoliša, promicanje kvalitete proizvoda, procesa i usluga, osiguranje svrsishodne uporabe rada, materijala i energije, poboljšanje proizvodne učinkovitosti, ograničenje raznolikosti, osiguranje spojivosti i zamjenjivosti te otklanjanje tehničkih zapreka u međunarodnoj trgovini.  </w:t>
      </w:r>
    </w:p>
    <w:p w:rsidR="00AC0832" w:rsidRDefault="00AC0832">
      <w:pPr>
        <w:pStyle w:val="Normal3"/>
      </w:pPr>
      <w:r>
        <w:t xml:space="preserve"> </w:t>
      </w:r>
    </w:p>
    <w:p w:rsidR="00AC0832" w:rsidRDefault="00AC0832">
      <w:pPr>
        <w:pStyle w:val="Normal3"/>
      </w:pPr>
      <w:r>
        <w:t xml:space="preserve">HZN u svojem radu primjenjuje temeljem Zakona o normizaciji (NN 163/03) sljedeća načela i pravila normizacije: konsenzus, uključivanjem zainteresiranih strana, javnost rada, stupanj razvoja tehnike i koherentnost zbirke normi međunarodne normizacije. </w:t>
      </w:r>
    </w:p>
    <w:p w:rsidR="00AC0832" w:rsidRDefault="00AC0832">
      <w:pPr>
        <w:pStyle w:val="Normal3"/>
      </w:pPr>
      <w:r>
        <w:t xml:space="preserve"> </w:t>
      </w:r>
    </w:p>
    <w:p w:rsidR="00AC0832" w:rsidRDefault="00AC0832">
      <w:pPr>
        <w:pStyle w:val="Normal3"/>
      </w:pPr>
      <w:r>
        <w:t xml:space="preserve">HZN je punopravni član Europskog odbora za normizaciju (European Committee for Standardization, CEN), Europskog odbor za elektrotehničku normizaciju (European Committee for Electrotechnical Standardization, CENELEC), Europskog instituta za telekomunikacijske norme (European Telecommunications Standards Institute, ETSI), Međunarodne organizacije za normizaciju (ISO) i Međunarodnog elektrotehničkog povjerenstva (IEC). </w:t>
      </w:r>
    </w:p>
    <w:p w:rsidR="00AC0832" w:rsidRDefault="00AC0832">
      <w:pPr>
        <w:pStyle w:val="Normal3"/>
      </w:pPr>
      <w:r>
        <w:t xml:space="preserve">Vizija HZN-a je potpuno zadovoljavanje potreba svih nacionalnih korisnika norma razvojem, prihvaćanjem i uporabom europski i međunarodno usklađenih norma u svim tehničkim područjima. </w:t>
      </w:r>
    </w:p>
    <w:p w:rsidR="00AC0832" w:rsidRDefault="00AC0832">
      <w:pPr>
        <w:pStyle w:val="Normal3"/>
      </w:pPr>
      <w:r>
        <w:t>Misija HZN-a je  promicanje konkurentnosti hrvatske industrije prihvaćanjem norma usklađenih na europskoj i međunarodnoj razini i njihovom primjenom na način kojim će se poboljšati sigurnost proizvoda i kvaliteta života građana.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04980-Hrvatski zavod za norme</w:t>
            </w:r>
          </w:p>
        </w:tc>
        <w:tc>
          <w:tcPr>
            <w:tcW w:w="2322" w:type="dxa"/>
          </w:tcPr>
          <w:p w:rsidR="00AC0832" w:rsidRDefault="00AC0832">
            <w:pPr>
              <w:pStyle w:val="CellColumn"/>
            </w:pPr>
            <w:r>
              <w:t>11.444.679</w:t>
            </w:r>
          </w:p>
        </w:tc>
        <w:tc>
          <w:tcPr>
            <w:tcW w:w="2322" w:type="dxa"/>
          </w:tcPr>
          <w:p w:rsidR="00AC0832" w:rsidRDefault="00AC0832">
            <w:pPr>
              <w:pStyle w:val="CellColumn"/>
            </w:pPr>
            <w:r>
              <w:t>10.696.887</w:t>
            </w:r>
          </w:p>
        </w:tc>
        <w:tc>
          <w:tcPr>
            <w:tcW w:w="2322" w:type="dxa"/>
          </w:tcPr>
          <w:p w:rsidR="00AC0832" w:rsidRDefault="00AC0832">
            <w:pPr>
              <w:pStyle w:val="CellColumn"/>
            </w:pPr>
            <w:r>
              <w:t>93,5</w:t>
            </w:r>
          </w:p>
        </w:tc>
      </w:tr>
      <w:tr w:rsidR="00AC0832" w:rsidTr="00BE20ED">
        <w:trPr>
          <w:jc w:val="center"/>
        </w:trPr>
        <w:tc>
          <w:tcPr>
            <w:tcW w:w="2322" w:type="dxa"/>
          </w:tcPr>
          <w:p w:rsidR="00AC0832" w:rsidRDefault="00AC0832">
            <w:pPr>
              <w:pStyle w:val="CellColumnSmall"/>
            </w:pPr>
            <w:r>
              <w:t>3205-STANDARDIZACIJA U GOSPODARSTVU</w:t>
            </w:r>
          </w:p>
        </w:tc>
        <w:tc>
          <w:tcPr>
            <w:tcW w:w="2322" w:type="dxa"/>
          </w:tcPr>
          <w:p w:rsidR="00AC0832" w:rsidRDefault="00AC0832">
            <w:pPr>
              <w:pStyle w:val="CellColumnSmall"/>
            </w:pPr>
            <w:r>
              <w:t>11.444.679</w:t>
            </w:r>
          </w:p>
        </w:tc>
        <w:tc>
          <w:tcPr>
            <w:tcW w:w="2322" w:type="dxa"/>
          </w:tcPr>
          <w:p w:rsidR="00AC0832" w:rsidRDefault="00AC0832">
            <w:pPr>
              <w:pStyle w:val="CellColumnSmall"/>
            </w:pPr>
            <w:r>
              <w:t>10.696.887</w:t>
            </w:r>
          </w:p>
        </w:tc>
        <w:tc>
          <w:tcPr>
            <w:tcW w:w="2322" w:type="dxa"/>
          </w:tcPr>
          <w:p w:rsidR="00AC0832" w:rsidRDefault="00AC0832">
            <w:pPr>
              <w:pStyle w:val="CellColumnSmall"/>
            </w:pPr>
            <w:r>
              <w:t>93,5</w:t>
            </w:r>
          </w:p>
        </w:tc>
      </w:tr>
    </w:tbl>
    <w:p w:rsidR="00AC0832" w:rsidRDefault="00AC0832">
      <w:pPr>
        <w:jc w:val="left"/>
      </w:pPr>
    </w:p>
    <w:p w:rsidR="00AC0832" w:rsidRDefault="00AC0832">
      <w:pPr>
        <w:pStyle w:val="Heading4"/>
      </w:pPr>
      <w:r>
        <w:t>OBRAZLOŽENJE PROGRAMA</w:t>
      </w:r>
    </w:p>
    <w:p w:rsidR="00AC0832" w:rsidRDefault="00AC0832">
      <w:pPr>
        <w:pStyle w:val="Heading5"/>
      </w:pPr>
      <w:r>
        <w:t>3205 STANDARDIZACIJA U GOSPODARSTVU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3205-STANDARDIZACIJA U GOSPODARSTVU</w:t>
            </w:r>
          </w:p>
        </w:tc>
        <w:tc>
          <w:tcPr>
            <w:tcW w:w="2322" w:type="dxa"/>
          </w:tcPr>
          <w:p w:rsidR="00AC0832" w:rsidRDefault="00AC0832">
            <w:pPr>
              <w:pStyle w:val="CellColumn"/>
            </w:pPr>
            <w:r>
              <w:t>11.444.679</w:t>
            </w:r>
          </w:p>
        </w:tc>
        <w:tc>
          <w:tcPr>
            <w:tcW w:w="2322" w:type="dxa"/>
          </w:tcPr>
          <w:p w:rsidR="00AC0832" w:rsidRDefault="00AC0832">
            <w:pPr>
              <w:pStyle w:val="CellColumn"/>
            </w:pPr>
            <w:r>
              <w:t>10.696.887</w:t>
            </w:r>
          </w:p>
        </w:tc>
        <w:tc>
          <w:tcPr>
            <w:tcW w:w="2322" w:type="dxa"/>
          </w:tcPr>
          <w:p w:rsidR="00AC0832" w:rsidRDefault="00AC0832">
            <w:pPr>
              <w:pStyle w:val="CellColumn"/>
            </w:pPr>
            <w:r>
              <w:t>93,5</w:t>
            </w:r>
          </w:p>
        </w:tc>
      </w:tr>
    </w:tbl>
    <w:p w:rsidR="00AC0832" w:rsidRDefault="00AC0832">
      <w:pPr>
        <w:jc w:val="left"/>
      </w:pPr>
    </w:p>
    <w:p w:rsidR="00AC0832" w:rsidRDefault="00AC0832">
      <w:pPr>
        <w:pStyle w:val="Heading6"/>
      </w:pPr>
      <w:r>
        <w:t>Opis programa</w:t>
      </w:r>
    </w:p>
    <w:p w:rsidR="00AC0832" w:rsidRDefault="00AC0832">
      <w:pPr>
        <w:pStyle w:val="Normal5"/>
      </w:pPr>
      <w:r>
        <w:t xml:space="preserve">Djelatnost HZN-a obavlja se u jedinom programu Standardizacija u gospodarstvu (3205) aktivnosti A651002, koji se mora realizirati u skladu s pravilima europskih i međunarodnih organizacija za normizaciju te Kodeksom dobre prakse za normizaciju Svjetske trgovinske organizacije. </w:t>
      </w:r>
    </w:p>
    <w:p w:rsidR="00AC0832" w:rsidRDefault="00AC0832">
      <w:pPr>
        <w:pStyle w:val="Normal5"/>
      </w:pPr>
      <w:r>
        <w:t xml:space="preserve"> U poslovima nacionalne normizacije, prednost se daje prihvaćanju europskih odnosno međunarodnih norma kao hrvatskih norma u izvorniku s prijevodom ili bez prijevoda. Donošenje izvornih hrvatskih norma, s obzirom na to da one mogu predstavljati tehničku zapreku u trgovini, ograničeno je samo u slučajevima kada za određeni predmet normizacije ne postoje odgovarajuće europske ili međunarodne norme. </w:t>
      </w:r>
    </w:p>
    <w:p w:rsidR="00AC0832" w:rsidRDefault="00AC0832">
      <w:pPr>
        <w:pStyle w:val="Normal5"/>
      </w:pPr>
      <w:r>
        <w:t xml:space="preserve">Normizacija je instrument za postizanje najboljeg stupnja uređenosti i olakšavanje tehničke suradnje u industriji i gospodarstvu. Norme su sporazumi između svih bitnih interesnih skupina (uključujući gospodarstvo u cjelini i državna tijela) koji služe za njihove vlastite potrebe. Ti se sporazumi uspostavljaju u tehničkim odborima u kojima se izrađuju norme, a temelje se na konsenzusu svih sudionika čime se onemogućuje nametanje pojedinačnih interesa i stjecanje posebne gospodarske prednosti bilo koje od strana. Norme upotrebljavaju ne samo gospodarski subjekti nego praktično sve organizirane skupine društva te država i njezina tijela. Normama se kodificira najbolja tehnička praksa te one obično predstavljaju trenutačno stanje tehnike.  </w:t>
      </w:r>
    </w:p>
    <w:p w:rsidR="00AC0832" w:rsidRDefault="00AC0832">
      <w:pPr>
        <w:pStyle w:val="Normal5"/>
      </w:pPr>
      <w:r>
        <w:t xml:space="preserve">Norme obuhvaćaju proizvode, sustave, procese i usluge te omogućuju racionalizaciju i osiguravanje kakvoće u industriji, tehnici i upravi. One osiguravaju mogućnost zajedničkoga rada i međusobnu zamjenjivost proizvoda i sustava, racionalno uređivanje tržišta i sporazumijevanje između tržišnih partnera. Norme pomažu slobodnom kretanju roba i usluga, pridonose sigurnosti osoba i imovine te olakšavaju zaštitu okoliša i poboljšavanje kakvoće u svim područjima života. U privredi norme osiguravaju sukladnost dijelova i funkcionalnu spojivost mreža, smanjuju troškove proizvodnje i skladištenja.  </w:t>
      </w:r>
    </w:p>
    <w:p w:rsidR="00AC0832" w:rsidRDefault="00AC0832">
      <w:pPr>
        <w:pStyle w:val="Normal5"/>
      </w:pPr>
      <w:r>
        <w:t xml:space="preserve">Norme omogućuju da se određene zadaće u svezi s izradbom tehničkih propisa delegiraju na nevladine organizacije čime se omogućuje deregulacija i poboljšavanje upravljanja jer pomažu smanjivanju razine podrobnosti u zakonskom uređivanju bitnih zahtjeva potrebnih za postizanje ciljeva propisa kao što su zaštita zdravlja, sigurnost i zaštita okoliša.  </w:t>
      </w:r>
    </w:p>
    <w:p w:rsidR="00AC0832" w:rsidRDefault="00AC0832">
      <w:pPr>
        <w:pStyle w:val="Normal5"/>
      </w:pPr>
      <w:r>
        <w:t>Europske norme i iz njih preuzete nacionalne norme komplementarne su s tehničkim propisima i pravnim sustavom EU, te tako i s nacionalnim tehničkim propisima i nacionalnim pravnim sustavom, te su na taj način temelj funkcioniranja jedinstvenoga europskog tržišta i jedan od temeljnih elemenata u sustavu infrastrukture kvalitete koji između ostalog uključuje postupke ocjene sukladnosti i nadzor nad tržištem.</w:t>
      </w:r>
    </w:p>
    <w:p w:rsidR="00AC0832" w:rsidRDefault="00AC0832">
      <w:pPr>
        <w:pStyle w:val="Heading6"/>
      </w:pPr>
      <w:r>
        <w:t>Zakonske i druge pravne osnove</w:t>
      </w:r>
    </w:p>
    <w:p w:rsidR="00AC0832" w:rsidRDefault="00AC0832">
      <w:pPr>
        <w:pStyle w:val="Normal5"/>
      </w:pPr>
      <w:r>
        <w:t>Djelatnost HZN-a obuhvaća poslove koji se temelje na Zakonu o normizaciji (Narodne novine 163/2003) i Uredbi o osnivanju Hrvatskog zavoda za norme (Narodne novine 154/2004; Narodne novine 44/2005; Narodne novine 30/2010; Narodne novine 34/2012; Narodne novine 79/2012 ).</w:t>
      </w:r>
    </w:p>
    <w:p w:rsidR="00AC0832" w:rsidRDefault="00AC0832">
      <w:pPr>
        <w:pStyle w:val="Heading7"/>
      </w:pPr>
      <w:r>
        <w:t>Cilj 1. Razvoj normizacijskog sustava koji će u cijelosti zadovoljiti potrebe gospodarstva, državne uprave i ostalih interesnih skupina u Republici Hrvatskoj</w:t>
      </w:r>
    </w:p>
    <w:p w:rsidR="00AC0832" w:rsidRDefault="00AC0832">
      <w:pPr>
        <w:pStyle w:val="Heading8"/>
        <w:jc w:val="left"/>
      </w:pPr>
      <w:r>
        <w:t>Opis provedbe cilja programa</w:t>
      </w:r>
    </w:p>
    <w:p w:rsidR="00AC0832" w:rsidRDefault="00AC0832">
      <w:pPr>
        <w:pStyle w:val="Normal6"/>
      </w:pPr>
      <w:r>
        <w:t xml:space="preserve">Normizacija je trajan, dinamičan proces i HZN prati dinamiku razvoja europskih norma te u skladu s tom dinamikom prihvaća europske norme u nacionalni normizacijski sustavu u skladu s datumima predviđenim za njihovo prihvaćanje. Do kraja 2012. godine prihvatio ukupno 33822 normativnih dokumenata  za potrebe korisnika  u Republici Hrvatskoj.   </w:t>
      </w:r>
    </w:p>
    <w:p w:rsidR="00AC0832" w:rsidRDefault="00AC0832">
      <w:pPr>
        <w:pStyle w:val="Normal6"/>
      </w:pPr>
      <w:r>
        <w:t xml:space="preserve">Trenutačno je u hrvatski normizacijski sustav prihvaćeno oko 95 % europskih norma što zadovoljava uvjete članstva u europskim normizacijskim organizacijama. </w:t>
      </w:r>
    </w:p>
    <w:p w:rsidR="00AC0832" w:rsidRDefault="00AC0832">
      <w:pPr>
        <w:pStyle w:val="Normal6"/>
      </w:pPr>
      <w:r>
        <w:t xml:space="preserve"> </w:t>
      </w:r>
    </w:p>
    <w:p w:rsidR="00AC0832" w:rsidRDefault="00AC0832">
      <w:pPr>
        <w:pStyle w:val="Normal6"/>
      </w:pPr>
      <w:r>
        <w:t xml:space="preserve">HZN je sukladno potrebama hrvatskog gospodarstva osnivao nove tehničke odbore. Poticao  suradnju s hrvatskim gospodarstvom i drugim zainteresiranim stranama za primjenu norma (tijela državne uprave, obrazovne i znanstvene ustanove, komore, strukovne udruge itd.) te sudjelovanje hrvatskih stručnjaka u radu nacionalnih, europskih i međunarodnih tehničkih odbora.  </w:t>
      </w:r>
    </w:p>
    <w:p w:rsidR="00AC0832" w:rsidRDefault="00AC0832">
      <w:pPr>
        <w:pStyle w:val="Normal6"/>
      </w:pPr>
      <w:r>
        <w:t xml:space="preserve">HZN je za tijela državne uprave izrađivao popise usklađenih hrvatskih norma koje služe za provedbu usklađenog zakonodavstva koje se temelji na načelima novoga pristupa radi njihova objavljivanja u Narodnim novinama.  </w:t>
      </w:r>
    </w:p>
    <w:p w:rsidR="00AC0832" w:rsidRDefault="00AC0832">
      <w:pPr>
        <w:pStyle w:val="Normal6"/>
      </w:pPr>
      <w:r>
        <w:t xml:space="preserve">Trajno se ažurira  katalog hrvatskih norma u kojem se na  prikladan način javnosti pružaju sve informacije o hrvatskim normama. </w:t>
      </w:r>
    </w:p>
    <w:p w:rsidR="00AC0832" w:rsidRDefault="00AC0832">
      <w:pPr>
        <w:pStyle w:val="Normal6"/>
      </w:pPr>
      <w:r>
        <w:t xml:space="preserve"> </w:t>
      </w:r>
    </w:p>
    <w:p w:rsidR="00AC0832" w:rsidRDefault="00AC0832">
      <w:pPr>
        <w:pStyle w:val="Normal6"/>
      </w:pPr>
      <w:r>
        <w:t xml:space="preserve">Nastavljen je i rad na prevođenju europskih norma iz područja graditeljstva za projektiranje građevnih konstrukcija (tzv. eurokodova) i izradi nacionalnih dodataka tim normama koji omogućuju njihovu nacionalnu primjenu. Taj projekt obuhvaća prihvaćanje odgovarajućih europskih norma i njihovo prevođenje na hrvatski jezik (niz od 58 norma s oko 6000 stranica teksta) te izradu 57 nacionalnih dodataka (nacionalno odredivih parametara specifičnih za zemljopisno područje Republike Hrvatske). Za izradu nacionalnih dodataka priređeni su geofizički podaci za seizmološke karte te podaci za karte klimatološko-meteoroloških parametara. Veći broj seizmoloških i klimatološko-meteoroloških karata Republike Hrvatske je objavljen i tiskan (npr. potresnih područja, vjetrova, oborina, najviših temperatura, najnižih temperatura i dr.). Do sada je preveden cijeli skup navedenih izvornih norma (cca 6000 stranica) dok se rad na nacionalnim dodacima nastavlja i dovršava. Usporedno s prevođenjem i izradom nacionalnih dodataka odvija se grafičko uređivanje za izdavanje tih norma zajedno s nacionalnim dodacima na hrvatskom jeziku.  </w:t>
      </w:r>
    </w:p>
    <w:p w:rsidR="00AC0832" w:rsidRDefault="00AC0832">
      <w:pPr>
        <w:pStyle w:val="Normal6"/>
      </w:pPr>
      <w:r>
        <w:t xml:space="preserve"> </w:t>
      </w:r>
    </w:p>
    <w:p w:rsidR="00AC0832" w:rsidRDefault="00AC0832">
      <w:pPr>
        <w:pStyle w:val="Normal6"/>
      </w:pPr>
      <w:r>
        <w:t xml:space="preserve">U skladu sa sporazumom između HZN-a, nekadašnjeg Ministarstva zaštite okoliša, prostornog uređenja i graditeljstva (sada Ministarstvo graditeljstva i prostornog uređenja) te Komore inženjera građevinarstva, zajedničkim financiranjem provedena je nabava seizmičkih karata koje je izradio Geofizički zavod Prirodoslovno-matematičkog fakulteta Sveučilišta u Zagrebu potrebnih za primjenu nacionalnih dodatka. Te su karte u skladu s navedenim sporazumom osim kao dio priloga u odgovarajućim normama i javno dostupne.  </w:t>
      </w:r>
    </w:p>
    <w:p w:rsidR="00AC0832" w:rsidRDefault="00AC0832">
      <w:pPr>
        <w:pStyle w:val="Normal6"/>
      </w:pPr>
      <w:r>
        <w:t xml:space="preserve">Prema zahtjevu Ministarstvo graditeljstva i prostornog uređenja započet je krajem 2012. godine rad na pripremi prijevoda svih 57 nacionalnih dodataka na engleski jezik. Samo prevođenje će započeti kada svi nacionalni dodaci u potpunosti budu prihvaćeni kao hrvatski normativni dokumenti nakon što završe sve javne rasprave o njima i još jednom se razmotre sve primjedbe na njih. </w:t>
      </w:r>
    </w:p>
    <w:p w:rsidR="00AC0832" w:rsidRDefault="00AC0832">
      <w:pPr>
        <w:pStyle w:val="Normal6"/>
      </w:pPr>
      <w:r>
        <w:t xml:space="preserve"> </w:t>
      </w:r>
    </w:p>
    <w:p w:rsidR="00AC0832" w:rsidRDefault="00AC0832">
      <w:pPr>
        <w:pStyle w:val="Normal6"/>
      </w:pPr>
      <w:r>
        <w:t xml:space="preserve">Provedba cilja razvoj normizacijskog sustava ostvarivao se kroz: </w:t>
      </w:r>
    </w:p>
    <w:p w:rsidR="00AC0832" w:rsidRDefault="00AC0832">
      <w:pPr>
        <w:pStyle w:val="Normal6"/>
      </w:pPr>
      <w:r>
        <w:t xml:space="preserve"> </w:t>
      </w:r>
    </w:p>
    <w:p w:rsidR="00AC0832" w:rsidRDefault="00AC0832">
      <w:pPr>
        <w:pStyle w:val="Normal6"/>
      </w:pPr>
      <w:r>
        <w:t xml:space="preserve">1. osiguravanje tehničke podloge za provedbu tehničkih propisa  </w:t>
      </w:r>
    </w:p>
    <w:p w:rsidR="00AC0832" w:rsidRDefault="00AC0832">
      <w:pPr>
        <w:pStyle w:val="Normal6"/>
      </w:pPr>
      <w:r>
        <w:t xml:space="preserve"> </w:t>
      </w:r>
    </w:p>
    <w:p w:rsidR="00AC0832" w:rsidRDefault="00AC0832">
      <w:pPr>
        <w:pStyle w:val="Normal6"/>
      </w:pPr>
      <w:r>
        <w:t xml:space="preserve">2. otklanjanje tehničkih zapreka u trgovini, poboljšanje kvalitete proizvoda, procesa i usluga, osiguranje spojivosti i zamjenjivosti proizvoda, ograničenje raznolikosti te racionalna upotreba rada, materijala i energije u gospodarstvu </w:t>
      </w:r>
    </w:p>
    <w:p w:rsidR="00AC0832" w:rsidRDefault="00AC0832">
      <w:pPr>
        <w:pStyle w:val="Normal6"/>
      </w:pPr>
      <w:r>
        <w:t xml:space="preserve"> </w:t>
      </w:r>
    </w:p>
    <w:p w:rsidR="00AC0832" w:rsidRDefault="00AC0832">
      <w:pPr>
        <w:pStyle w:val="Normal6"/>
      </w:pPr>
      <w:r>
        <w:t xml:space="preserve">3. prenošenje gospodarstvu novih tehničkih znanja i praksa aktivnim sudjelovanjem u procesu normizacije na europskoj i međunarodnoj razini te stjecanje znanja o novim pravcima razvoja i tehnologijama te njihovo prenošenje hrvatskoj industriji i gospodarstvu </w:t>
      </w:r>
    </w:p>
    <w:p w:rsidR="00AC0832" w:rsidRDefault="00AC0832">
      <w:pPr>
        <w:pStyle w:val="Normal6"/>
      </w:pPr>
      <w:r>
        <w:t xml:space="preserve"> </w:t>
      </w:r>
    </w:p>
    <w:p w:rsidR="00AC0832" w:rsidRDefault="00AC0832">
      <w:pPr>
        <w:pStyle w:val="Normal6"/>
      </w:pPr>
      <w:r>
        <w:t>4. omogućivanje nacionalnim interesnim skupinama aktivnog sudjelovanja u europskoj i međunarodnoj normizaciji te promicanje interesa nacionalnih sudionika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5"/>
        <w:gridCol w:w="1606"/>
        <w:gridCol w:w="1268"/>
        <w:gridCol w:w="1279"/>
        <w:gridCol w:w="1276"/>
        <w:gridCol w:w="1279"/>
        <w:gridCol w:w="128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prihvaćenih norma koje služe za potrebe korisnicima u Republici Hrvatskoj</w:t>
            </w:r>
          </w:p>
        </w:tc>
        <w:tc>
          <w:tcPr>
            <w:tcW w:w="1300" w:type="dxa"/>
          </w:tcPr>
          <w:p w:rsidR="00AC0832" w:rsidRDefault="00AC0832">
            <w:pPr>
              <w:pStyle w:val="CellColumn"/>
            </w:pPr>
            <w:r>
              <w:t>Osiguranje temelja za provedbu tehničkog zakonodavstva, povećanje zaštite zdravlja, okoliša, sigurnosti, kvalitete proizvoda i usluga</w:t>
            </w:r>
          </w:p>
        </w:tc>
        <w:tc>
          <w:tcPr>
            <w:tcW w:w="1300" w:type="dxa"/>
          </w:tcPr>
          <w:p w:rsidR="00AC0832" w:rsidRDefault="00AC0832">
            <w:pPr>
              <w:pStyle w:val="CellColumn"/>
            </w:pPr>
            <w:r>
              <w:t>broj norma</w:t>
            </w:r>
          </w:p>
        </w:tc>
        <w:tc>
          <w:tcPr>
            <w:tcW w:w="1300" w:type="dxa"/>
          </w:tcPr>
          <w:p w:rsidR="00AC0832" w:rsidRDefault="00AC0832">
            <w:pPr>
              <w:pStyle w:val="CellColumn"/>
            </w:pPr>
            <w:r>
              <w:t>29750</w:t>
            </w:r>
          </w:p>
        </w:tc>
        <w:tc>
          <w:tcPr>
            <w:tcW w:w="1300" w:type="dxa"/>
          </w:tcPr>
          <w:p w:rsidR="00AC0832" w:rsidRDefault="00AC0832">
            <w:pPr>
              <w:pStyle w:val="CellColumn"/>
            </w:pPr>
            <w:r>
              <w:t>HZN</w:t>
            </w:r>
          </w:p>
        </w:tc>
        <w:tc>
          <w:tcPr>
            <w:tcW w:w="1300" w:type="dxa"/>
          </w:tcPr>
          <w:p w:rsidR="00AC0832" w:rsidRDefault="00AC0832">
            <w:pPr>
              <w:pStyle w:val="CellColumn"/>
            </w:pPr>
            <w:r>
              <w:t>30550</w:t>
            </w:r>
          </w:p>
        </w:tc>
        <w:tc>
          <w:tcPr>
            <w:tcW w:w="1300" w:type="dxa"/>
          </w:tcPr>
          <w:p w:rsidR="00AC0832" w:rsidRDefault="00AC0832">
            <w:pPr>
              <w:pStyle w:val="CellColumn"/>
            </w:pPr>
            <w:r>
              <w:t>33822</w:t>
            </w:r>
          </w:p>
        </w:tc>
      </w:tr>
    </w:tbl>
    <w:p w:rsidR="00AC0832" w:rsidRDefault="00AC0832">
      <w:pPr>
        <w:jc w:val="left"/>
      </w:pPr>
    </w:p>
    <w:p w:rsidR="00AC0832" w:rsidRDefault="00AC0832">
      <w:pPr>
        <w:pStyle w:val="Heading6"/>
      </w:pPr>
      <w:r>
        <w:t>A651002 ADMINISTRACIJA I UPRAVLJANJE HRVATSKOG ZAVODA ZA NORME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A651002-ADMINISTRACIJA I UPRAVLJANJE HRVATSKOG ZAVODA ZA NORME</w:t>
            </w:r>
          </w:p>
        </w:tc>
        <w:tc>
          <w:tcPr>
            <w:tcW w:w="2322" w:type="dxa"/>
          </w:tcPr>
          <w:p w:rsidR="00AC0832" w:rsidRDefault="00AC0832">
            <w:pPr>
              <w:pStyle w:val="CellColumn"/>
            </w:pPr>
            <w:r>
              <w:t>10.983.735</w:t>
            </w:r>
          </w:p>
        </w:tc>
        <w:tc>
          <w:tcPr>
            <w:tcW w:w="2322" w:type="dxa"/>
          </w:tcPr>
          <w:p w:rsidR="00AC0832" w:rsidRDefault="00AC0832">
            <w:pPr>
              <w:pStyle w:val="CellColumn"/>
            </w:pPr>
            <w:r>
              <w:t>10.326.359</w:t>
            </w:r>
          </w:p>
        </w:tc>
        <w:tc>
          <w:tcPr>
            <w:tcW w:w="2322" w:type="dxa"/>
          </w:tcPr>
          <w:p w:rsidR="00AC0832" w:rsidRDefault="00AC0832">
            <w:pPr>
              <w:pStyle w:val="CellColumn"/>
            </w:pPr>
            <w:r>
              <w:t>94,0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HZN ima jedan program -3205 Standardizacija u gospodarstvu unutar kojeg je jedna aktivnost  koja čini 96%  ukupnih planiranih sredstava i jedan kapitalni projekt za informatizaciju zavoda koji čine 4 %. </w:t>
      </w:r>
    </w:p>
    <w:p w:rsidR="00AC0832" w:rsidRDefault="00AC0832">
      <w:pPr>
        <w:pStyle w:val="Normal6"/>
      </w:pPr>
      <w:r>
        <w:t xml:space="preserve">Unutar navedene aktivnosti planiraju se rashodi za zaposlene koji čine 60% sredstava ove aktivnosti dok materijalni rashodi čine 39 % i neznatan dio  čine financijski rashodi te rashodi za nabavu nefinancijske imovine. </w:t>
      </w:r>
    </w:p>
    <w:p w:rsidR="00AC0832" w:rsidRDefault="00AC0832">
      <w:pPr>
        <w:pStyle w:val="Normal6"/>
      </w:pPr>
      <w:r>
        <w:t xml:space="preserve"> </w:t>
      </w:r>
    </w:p>
    <w:p w:rsidR="00AC0832" w:rsidRDefault="00AC0832">
      <w:pPr>
        <w:pStyle w:val="Normal6"/>
      </w:pPr>
      <w:r>
        <w:t xml:space="preserve">Rashodi za zaposlene izvršeni su prema Zakonu o plaćama u javnim službama i propisanoj proračunskoj osnovici, navedeno izvršenje je 97 % plana.  </w:t>
      </w:r>
    </w:p>
    <w:p w:rsidR="00AC0832" w:rsidRDefault="00AC0832">
      <w:pPr>
        <w:pStyle w:val="Normal6"/>
      </w:pPr>
      <w:r>
        <w:t xml:space="preserve"> </w:t>
      </w:r>
    </w:p>
    <w:p w:rsidR="00AC0832" w:rsidRDefault="00AC0832">
      <w:pPr>
        <w:pStyle w:val="Normal6"/>
      </w:pPr>
      <w:r>
        <w:t xml:space="preserve">Izvršenje materijalnih rashoda je 91% od plana, financijskih rashoda 71 % plana a rashodi za nefinancijsku imovinu 76 % od plana. </w:t>
      </w:r>
    </w:p>
    <w:p w:rsidR="00AC0832" w:rsidRDefault="00AC0832">
      <w:pPr>
        <w:pStyle w:val="Normal6"/>
      </w:pPr>
      <w:r>
        <w:t xml:space="preserve"> </w:t>
      </w:r>
    </w:p>
    <w:p w:rsidR="00AC0832" w:rsidRDefault="00AC0832">
      <w:pPr>
        <w:pStyle w:val="Normal6"/>
      </w:pPr>
      <w:r>
        <w:t xml:space="preserve">HZN ima obvezu plaćanja članarina u europskim i međunarodnim organizacija koje iznose 44 % materijalnih rashoda odnosno 17 % ukupnih sredstava ove aktivnosti. </w:t>
      </w:r>
    </w:p>
    <w:p w:rsidR="00AC0832" w:rsidRDefault="00AC0832">
      <w:pPr>
        <w:pStyle w:val="Normal6"/>
      </w:pPr>
      <w:r>
        <w:t xml:space="preserve"> </w:t>
      </w:r>
    </w:p>
    <w:p w:rsidR="00AC0832" w:rsidRDefault="00AC0832">
      <w:pPr>
        <w:pStyle w:val="Normal6"/>
      </w:pPr>
      <w:r>
        <w:t xml:space="preserve">Rad i aktivnost HZN-a u 2012. godini bio je usmjeren na izvršavanje obveza koje proizlaze iz punopravnoga članstva u europskim normizacijskim organizacijama, preuzimanje europskih norma te poboljšavanje i unaprjeđenje normizacijske djelatnosti.  </w:t>
      </w:r>
    </w:p>
    <w:p w:rsidR="00AC0832" w:rsidRDefault="00AC0832">
      <w:pPr>
        <w:pStyle w:val="Normal6"/>
      </w:pPr>
      <w:r>
        <w:t xml:space="preserve">HZN je kao punopravni član Europskog odbora za normizaciju (European Committee for Standardization, CEN) i Europskog odbora za elektrotehničku normizaciju (European Committee for Electrotechnical Standardization, CENELEC) te kao nacionalno normizacijsko tijelo član Europskog instituta za telekomunikacijske norme (European Telecommunications Standards Institute, ETSI) redovito sudjelovao u aktivnostima tih organizacija. </w:t>
      </w:r>
    </w:p>
    <w:p w:rsidR="00AC0832" w:rsidRDefault="00AC0832">
      <w:pPr>
        <w:pStyle w:val="Normal6"/>
      </w:pPr>
      <w:r>
        <w:t xml:space="preserve"> </w:t>
      </w:r>
    </w:p>
    <w:p w:rsidR="00AC0832" w:rsidRDefault="00AC0832">
      <w:pPr>
        <w:pStyle w:val="Normal6"/>
      </w:pPr>
      <w:r>
        <w:t xml:space="preserve">Slijedom obveza HZN-a koje proizlaze iz članstva u europskim organizacijama za normizaciju, HZN je u 2012. godini aktivno sudjelovao u radu Tehničke uprave CEN-a (CEN/BT) i Tehničke uprave CENELEC-a (CENELEC/BT), na sastancima Upravnog vijeća CEN-a (CEN/CA) i upravnih tijela i savjetodavnih skupina CEN-a.  </w:t>
      </w:r>
    </w:p>
    <w:p w:rsidR="00AC0832" w:rsidRDefault="00AC0832">
      <w:pPr>
        <w:pStyle w:val="Normal6"/>
      </w:pPr>
      <w:r>
        <w:t xml:space="preserve"> </w:t>
      </w:r>
    </w:p>
    <w:p w:rsidR="00AC0832" w:rsidRDefault="00AC0832">
      <w:pPr>
        <w:pStyle w:val="Normal6"/>
      </w:pPr>
      <w:r>
        <w:t xml:space="preserve">U skladu s obvezama članstva HZN je redovito glasovao na sve radne dokumente CEN/BT-a i CENELEC/BT-a, kao i na dokumente CEN/CA, CEN/GA, CENELEC/CA i CENELEC/GA. </w:t>
      </w:r>
    </w:p>
    <w:p w:rsidR="00AC0832" w:rsidRDefault="00AC0832">
      <w:pPr>
        <w:pStyle w:val="Normal6"/>
      </w:pPr>
      <w:r>
        <w:t xml:space="preserve"> Predstavnici HZN-a sudjelovali su u radu : Europskog foruma za distribuciju norma, 43. sastanak EFSD, Skupine za informatizaciju CEN-a i CENELEC-a i radne skupine za odnose s javnošću, CEN/CENELEC PR Roundtable. </w:t>
      </w:r>
    </w:p>
    <w:p w:rsidR="00AC0832" w:rsidRDefault="00AC0832">
      <w:pPr>
        <w:pStyle w:val="Normal6"/>
      </w:pPr>
      <w:r>
        <w:t xml:space="preserve"> Predstavnica HZN-a sudjelovala je u radu sjednice vezano uz obavješćivanje i primjenu Direktive 98/34/EC te u radu SAGS-a (strategijske savjetodavne skupine za politiku normizacije u području usluga). </w:t>
      </w:r>
    </w:p>
    <w:p w:rsidR="00AC0832" w:rsidRDefault="00AC0832">
      <w:pPr>
        <w:pStyle w:val="Normal6"/>
      </w:pPr>
      <w:r>
        <w:t xml:space="preserve">Suradnja HZN-a s europskim (CEN, CENELEC), međunarodnim (ISO, IEC), nekim nacionalnim normirnim tijelima (DIN, VDE, BSI) i američkim tijelom ASTM o distribuciji norma tih organizacija korisnicima u Republici Hrvatskoj realizira se na temelju ugovora koji su sklopljeni s tim organizacijama. HZN time ostvaruje određene prihode ali ima i izdatke prilikom prodaje inozemnih norma (ISO, IEC, DIN, BS, ASTM i dr.) sukladno potpisanim ugovorima o njihovoj distribuciji. </w:t>
      </w:r>
    </w:p>
    <w:p w:rsidR="00AC0832" w:rsidRDefault="00AC0832">
      <w:pPr>
        <w:pStyle w:val="Normal6"/>
      </w:pPr>
      <w:r>
        <w:t xml:space="preserve"> </w:t>
      </w:r>
    </w:p>
    <w:p w:rsidR="00AC0832" w:rsidRDefault="00AC0832">
      <w:pPr>
        <w:pStyle w:val="Normal6"/>
      </w:pPr>
      <w:r>
        <w:t xml:space="preserve">S obzirom da se radi pripreme Republike Hrvatske za pristupanje u EU, hrvatsko zakonodavstvo usklađuje s europskim, povećana je potreba prevođenja norma koje su podrška primjeni novog zakonodavstva, kao i zbog zahtjeva drugih tijela državne uprave. </w:t>
      </w:r>
    </w:p>
    <w:p w:rsidR="00AC0832" w:rsidRDefault="00AC0832">
      <w:pPr>
        <w:pStyle w:val="Normal6"/>
      </w:pPr>
      <w:r>
        <w:t xml:space="preserve">Vlada Republike Hrvatske 21. listopada 2010. odredila je HZN kao notifikacijsko tijelo u smislu Sporazuma o tehničkim zaprekama u trgovini (TBT) pri Svjetskoj trgovinskoj organizaciji (WTO). </w:t>
      </w:r>
    </w:p>
    <w:p w:rsidR="00AC0832" w:rsidRDefault="00AC0832">
      <w:pPr>
        <w:pStyle w:val="Normal6"/>
      </w:pPr>
      <w:r>
        <w:t xml:space="preserve">Informacijska središnjica WTO/TBT redovito pruža zainteresiranim stranama iz zemlje i inozemstva informacije o važećim hrvatskim normama i tehničkim propisima. Predstavnici HZN-a sudjelovali su na redovitim sastancima Odbora za tehničke zapreke trgovini WTO-a (WTO/TBT). </w:t>
      </w:r>
    </w:p>
    <w:p w:rsidR="00AC0832" w:rsidRDefault="00AC0832">
      <w:pPr>
        <w:pStyle w:val="Normal6"/>
      </w:pPr>
      <w:r>
        <w:t xml:space="preserve">Kontaktna točka za Codex Alimentarius trajno zaprima radne dokumente koji se prosljeđuju članovima nacionale skupine za Codex Alimentarius.  </w:t>
      </w:r>
    </w:p>
    <w:p w:rsidR="00AC0832" w:rsidRDefault="00AC0832">
      <w:pPr>
        <w:pStyle w:val="Normal6"/>
      </w:pPr>
      <w:r>
        <w:t xml:space="preserve">HZN također sudjeluje u europskom sustavu CEN iPROJEX – National implementation redovitim upisom podataka o hrvatskim normama koje su prihvaćene europske norme u informacijski sustav CEN-a u skladu s pravilima tog sustava. Podaci o prihvaćenim hrvatskim normama dostupni su, zajedno s podacima svih redovitih članica CEN-a, na internetskim stranicama CEN-a. </w:t>
      </w:r>
    </w:p>
    <w:p w:rsidR="00AC0832" w:rsidRDefault="00AC0832">
      <w:pPr>
        <w:pStyle w:val="Normal6"/>
      </w:pPr>
      <w:r>
        <w:t xml:space="preserve"> </w:t>
      </w:r>
    </w:p>
    <w:p w:rsidR="00AC0832" w:rsidRDefault="00AC0832">
      <w:pPr>
        <w:pStyle w:val="Normal6"/>
      </w:pPr>
      <w:r>
        <w:t xml:space="preserve">Obavijesti o hrvatskim normama koje su prihvaćene europske norme CENELEC-a i ETSI-ja dostavljaju se tim organizacijama u skladu s njihovim pravilima. </w:t>
      </w:r>
    </w:p>
    <w:p w:rsidR="00AC0832" w:rsidRDefault="00AC0832">
      <w:pPr>
        <w:pStyle w:val="Normal6"/>
      </w:pPr>
      <w:r>
        <w:t xml:space="preserve"> </w:t>
      </w:r>
    </w:p>
    <w:p w:rsidR="00AC0832" w:rsidRDefault="00AC0832">
      <w:pPr>
        <w:pStyle w:val="Normal6"/>
      </w:pPr>
      <w:r>
        <w:t>HZN je uključen i u sustav CEN INFOPRO za prijavljivanje (notifikaciju) izvornih hrvatskih norma u skladu s europskom Direktivom 98/34/EC o obavješćivanju. Podaci o izvornim hrvatskim normama redovito se objavljuju u mjesečnom izvještaju o novim prijavama CEN Monthly Notification Register i CENELEC Register of New National Standardization Initiatives zajedno s podacima svih punopravnih članova CEN-a i CENELEC-a.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1551"/>
        <w:gridCol w:w="1283"/>
        <w:gridCol w:w="1249"/>
        <w:gridCol w:w="1241"/>
        <w:gridCol w:w="1249"/>
        <w:gridCol w:w="126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Prihvaćene usklađene europske norme</w:t>
            </w:r>
          </w:p>
        </w:tc>
        <w:tc>
          <w:tcPr>
            <w:tcW w:w="1300" w:type="dxa"/>
          </w:tcPr>
          <w:p w:rsidR="00AC0832" w:rsidRDefault="00AC0832">
            <w:pPr>
              <w:pStyle w:val="CellColumn"/>
            </w:pPr>
            <w:r>
              <w:t>Primjenom usklađenih europskih norma omogućit će se provedba tehničkog zakono-davstva u Republici Hrvatskoj i nadzor nad tržištem</w:t>
            </w:r>
          </w:p>
        </w:tc>
        <w:tc>
          <w:tcPr>
            <w:tcW w:w="1300" w:type="dxa"/>
          </w:tcPr>
          <w:p w:rsidR="00AC0832" w:rsidRDefault="00AC0832">
            <w:pPr>
              <w:pStyle w:val="CellColumn"/>
            </w:pPr>
            <w:r>
              <w:t>broj norma</w:t>
            </w:r>
          </w:p>
        </w:tc>
        <w:tc>
          <w:tcPr>
            <w:tcW w:w="1300" w:type="dxa"/>
          </w:tcPr>
          <w:p w:rsidR="00AC0832" w:rsidRDefault="00AC0832">
            <w:pPr>
              <w:pStyle w:val="CellColumn"/>
            </w:pPr>
            <w:r>
              <w:t>3950</w:t>
            </w:r>
          </w:p>
        </w:tc>
        <w:tc>
          <w:tcPr>
            <w:tcW w:w="1300" w:type="dxa"/>
          </w:tcPr>
          <w:p w:rsidR="00AC0832" w:rsidRDefault="00AC0832">
            <w:pPr>
              <w:pStyle w:val="CellColumn"/>
            </w:pPr>
            <w:r>
              <w:t>HZN</w:t>
            </w:r>
          </w:p>
        </w:tc>
        <w:tc>
          <w:tcPr>
            <w:tcW w:w="1300" w:type="dxa"/>
          </w:tcPr>
          <w:p w:rsidR="00AC0832" w:rsidRDefault="00AC0832">
            <w:pPr>
              <w:pStyle w:val="CellColumn"/>
            </w:pPr>
            <w:r>
              <w:t>4050</w:t>
            </w:r>
          </w:p>
        </w:tc>
        <w:tc>
          <w:tcPr>
            <w:tcW w:w="1300" w:type="dxa"/>
          </w:tcPr>
          <w:p w:rsidR="00AC0832" w:rsidRDefault="00AC0832">
            <w:pPr>
              <w:pStyle w:val="CellColumn"/>
            </w:pPr>
            <w:r>
              <w:t>4174</w:t>
            </w:r>
          </w:p>
        </w:tc>
      </w:tr>
      <w:tr w:rsidR="00AC0832" w:rsidTr="00BE20ED">
        <w:trPr>
          <w:jc w:val="center"/>
        </w:trPr>
        <w:tc>
          <w:tcPr>
            <w:tcW w:w="1300" w:type="dxa"/>
          </w:tcPr>
          <w:p w:rsidR="00AC0832" w:rsidRDefault="00AC0832">
            <w:pPr>
              <w:pStyle w:val="CellColumn"/>
            </w:pPr>
            <w:r>
              <w:t>Prihvaćene europske i međunarodne norme</w:t>
            </w:r>
          </w:p>
        </w:tc>
        <w:tc>
          <w:tcPr>
            <w:tcW w:w="1300" w:type="dxa"/>
          </w:tcPr>
          <w:p w:rsidR="00AC0832" w:rsidRDefault="00AC0832">
            <w:pPr>
              <w:pStyle w:val="CellColumn"/>
            </w:pPr>
            <w:r>
              <w:t>Primjenom usklađenih europskih i međunaro-dnih norma definiraju se sigurnosni zahtjevi koje moraju zadovoljiti proizvodi, omogućuje se provedba tehničkog zakonodavstva i nadzor nad tržištem, te podiže kvaliteta proizvoda  i osigurava njihova funkcionalnost i spojivost</w:t>
            </w:r>
          </w:p>
        </w:tc>
        <w:tc>
          <w:tcPr>
            <w:tcW w:w="1300" w:type="dxa"/>
          </w:tcPr>
          <w:p w:rsidR="00AC0832" w:rsidRDefault="00AC0832">
            <w:pPr>
              <w:pStyle w:val="CellColumn"/>
            </w:pPr>
            <w:r>
              <w:t>broj norma</w:t>
            </w:r>
          </w:p>
        </w:tc>
        <w:tc>
          <w:tcPr>
            <w:tcW w:w="1300" w:type="dxa"/>
          </w:tcPr>
          <w:p w:rsidR="00AC0832" w:rsidRDefault="00AC0832">
            <w:pPr>
              <w:pStyle w:val="CellColumn"/>
            </w:pPr>
            <w:r>
              <w:t>25800</w:t>
            </w:r>
          </w:p>
        </w:tc>
        <w:tc>
          <w:tcPr>
            <w:tcW w:w="1300" w:type="dxa"/>
          </w:tcPr>
          <w:p w:rsidR="00AC0832" w:rsidRDefault="00AC0832">
            <w:pPr>
              <w:pStyle w:val="CellColumn"/>
            </w:pPr>
            <w:r>
              <w:t>HZN</w:t>
            </w:r>
          </w:p>
        </w:tc>
        <w:tc>
          <w:tcPr>
            <w:tcW w:w="1300" w:type="dxa"/>
          </w:tcPr>
          <w:p w:rsidR="00AC0832" w:rsidRDefault="00AC0832">
            <w:pPr>
              <w:pStyle w:val="CellColumn"/>
            </w:pPr>
            <w:r>
              <w:t>26500</w:t>
            </w:r>
          </w:p>
        </w:tc>
        <w:tc>
          <w:tcPr>
            <w:tcW w:w="1300" w:type="dxa"/>
          </w:tcPr>
          <w:p w:rsidR="00AC0832" w:rsidRDefault="00AC0832">
            <w:pPr>
              <w:pStyle w:val="CellColumn"/>
            </w:pPr>
            <w:r>
              <w:t>28218</w:t>
            </w:r>
          </w:p>
        </w:tc>
      </w:tr>
      <w:tr w:rsidR="00AC0832" w:rsidTr="00BE20ED">
        <w:trPr>
          <w:jc w:val="center"/>
        </w:trPr>
        <w:tc>
          <w:tcPr>
            <w:tcW w:w="1300" w:type="dxa"/>
          </w:tcPr>
          <w:p w:rsidR="00AC0832" w:rsidRDefault="00AC0832">
            <w:pPr>
              <w:pStyle w:val="CellColumn"/>
            </w:pPr>
            <w:r>
              <w:t>Zastupljenost interesnih skupina u tehničkim odborima HZN-a</w:t>
            </w:r>
          </w:p>
        </w:tc>
        <w:tc>
          <w:tcPr>
            <w:tcW w:w="1300" w:type="dxa"/>
          </w:tcPr>
          <w:p w:rsidR="00AC0832" w:rsidRDefault="00AC0832">
            <w:pPr>
              <w:pStyle w:val="CellColumn"/>
            </w:pPr>
            <w:r>
              <w:t>Radom u tehničkim odborima HZN-a omogućuje se stručnjacima stjecanje specifičnih znanja korisnih hrvatskom gospodarstvu</w:t>
            </w:r>
          </w:p>
        </w:tc>
        <w:tc>
          <w:tcPr>
            <w:tcW w:w="1300" w:type="dxa"/>
          </w:tcPr>
          <w:p w:rsidR="00AC0832" w:rsidRDefault="00AC0832">
            <w:pPr>
              <w:pStyle w:val="CellColumn"/>
            </w:pPr>
            <w:r>
              <w:t>Broj tehničkih odbora HZN-a</w:t>
            </w:r>
          </w:p>
        </w:tc>
        <w:tc>
          <w:tcPr>
            <w:tcW w:w="1300" w:type="dxa"/>
          </w:tcPr>
          <w:p w:rsidR="00AC0832" w:rsidRDefault="00AC0832">
            <w:pPr>
              <w:pStyle w:val="CellColumn"/>
            </w:pPr>
            <w:r>
              <w:t>170</w:t>
            </w:r>
          </w:p>
        </w:tc>
        <w:tc>
          <w:tcPr>
            <w:tcW w:w="1300" w:type="dxa"/>
          </w:tcPr>
          <w:p w:rsidR="00AC0832" w:rsidRDefault="00AC0832">
            <w:pPr>
              <w:pStyle w:val="CellColumn"/>
            </w:pPr>
            <w:r>
              <w:t>HZN</w:t>
            </w:r>
          </w:p>
        </w:tc>
        <w:tc>
          <w:tcPr>
            <w:tcW w:w="1300" w:type="dxa"/>
          </w:tcPr>
          <w:p w:rsidR="00AC0832" w:rsidRDefault="00AC0832">
            <w:pPr>
              <w:pStyle w:val="CellColumn"/>
            </w:pPr>
            <w:r>
              <w:t>175</w:t>
            </w:r>
          </w:p>
        </w:tc>
        <w:tc>
          <w:tcPr>
            <w:tcW w:w="1300" w:type="dxa"/>
          </w:tcPr>
          <w:p w:rsidR="00AC0832" w:rsidRDefault="00AC0832">
            <w:pPr>
              <w:pStyle w:val="CellColumn"/>
            </w:pPr>
            <w:r>
              <w:t>172</w:t>
            </w:r>
          </w:p>
        </w:tc>
      </w:tr>
      <w:tr w:rsidR="00AC0832" w:rsidTr="00BE20ED">
        <w:trPr>
          <w:jc w:val="center"/>
        </w:trPr>
        <w:tc>
          <w:tcPr>
            <w:tcW w:w="1300" w:type="dxa"/>
          </w:tcPr>
          <w:p w:rsidR="00AC0832" w:rsidRDefault="00AC0832">
            <w:pPr>
              <w:pStyle w:val="CellColumn"/>
            </w:pPr>
            <w:r>
              <w:t>Sudjelovanje stručnjaka iz Republike Hrvatske u radu europskih i među-narodnih tehničkih obora</w:t>
            </w:r>
          </w:p>
        </w:tc>
        <w:tc>
          <w:tcPr>
            <w:tcW w:w="1300" w:type="dxa"/>
          </w:tcPr>
          <w:p w:rsidR="00AC0832" w:rsidRDefault="00AC0832">
            <w:pPr>
              <w:pStyle w:val="CellColumn"/>
            </w:pPr>
            <w:r>
              <w:t>Svojim sudjelovanjem u izradi norma na europskoj i međunarodnoj razini interesne skupine mogu utjecati na sadržaj normativnih dokumenata i na taj način štiti svoje tržišne interese</w:t>
            </w:r>
          </w:p>
        </w:tc>
        <w:tc>
          <w:tcPr>
            <w:tcW w:w="1300" w:type="dxa"/>
          </w:tcPr>
          <w:p w:rsidR="00AC0832" w:rsidRDefault="00AC0832">
            <w:pPr>
              <w:pStyle w:val="CellColumn"/>
            </w:pPr>
            <w:r>
              <w:t>Broj radnih doku-menata CEN a, CENELEC-a, ETSI-a, ISO-a i IEC-a</w:t>
            </w:r>
          </w:p>
        </w:tc>
        <w:tc>
          <w:tcPr>
            <w:tcW w:w="1300" w:type="dxa"/>
          </w:tcPr>
          <w:p w:rsidR="00AC0832" w:rsidRDefault="00AC0832">
            <w:pPr>
              <w:pStyle w:val="CellColumn"/>
            </w:pPr>
            <w:r>
              <w:t>1600</w:t>
            </w:r>
          </w:p>
        </w:tc>
        <w:tc>
          <w:tcPr>
            <w:tcW w:w="1300" w:type="dxa"/>
          </w:tcPr>
          <w:p w:rsidR="00AC0832" w:rsidRDefault="00AC0832">
            <w:pPr>
              <w:pStyle w:val="CellColumn"/>
            </w:pPr>
            <w:r>
              <w:t>HZN</w:t>
            </w:r>
          </w:p>
        </w:tc>
        <w:tc>
          <w:tcPr>
            <w:tcW w:w="1300" w:type="dxa"/>
          </w:tcPr>
          <w:p w:rsidR="00AC0832" w:rsidRDefault="00AC0832">
            <w:pPr>
              <w:pStyle w:val="CellColumn"/>
            </w:pPr>
            <w:r>
              <w:t>1650</w:t>
            </w:r>
          </w:p>
        </w:tc>
        <w:tc>
          <w:tcPr>
            <w:tcW w:w="1300" w:type="dxa"/>
          </w:tcPr>
          <w:p w:rsidR="00AC0832" w:rsidRDefault="00AC0832">
            <w:pPr>
              <w:pStyle w:val="CellColumn"/>
            </w:pPr>
            <w:r>
              <w:t>7045</w:t>
            </w:r>
          </w:p>
        </w:tc>
      </w:tr>
    </w:tbl>
    <w:p w:rsidR="00AC0832" w:rsidRDefault="00AC0832">
      <w:pPr>
        <w:jc w:val="left"/>
      </w:pPr>
    </w:p>
    <w:p w:rsidR="00AC0832" w:rsidRDefault="00AC0832">
      <w:pPr>
        <w:pStyle w:val="Heading6"/>
      </w:pPr>
      <w:r>
        <w:t>K651011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K651011-INFORMATIZACIJA</w:t>
            </w:r>
          </w:p>
        </w:tc>
        <w:tc>
          <w:tcPr>
            <w:tcW w:w="2322" w:type="dxa"/>
          </w:tcPr>
          <w:p w:rsidR="00AC0832" w:rsidRDefault="00AC0832">
            <w:pPr>
              <w:pStyle w:val="CellColumn"/>
            </w:pPr>
            <w:r>
              <w:t>460.944</w:t>
            </w:r>
          </w:p>
        </w:tc>
        <w:tc>
          <w:tcPr>
            <w:tcW w:w="2322" w:type="dxa"/>
          </w:tcPr>
          <w:p w:rsidR="00AC0832" w:rsidRDefault="00AC0832">
            <w:pPr>
              <w:pStyle w:val="CellColumn"/>
            </w:pPr>
            <w:r>
              <w:t>370.528</w:t>
            </w:r>
          </w:p>
        </w:tc>
        <w:tc>
          <w:tcPr>
            <w:tcW w:w="2322" w:type="dxa"/>
          </w:tcPr>
          <w:p w:rsidR="00AC0832" w:rsidRDefault="00AC0832">
            <w:pPr>
              <w:pStyle w:val="CellColumn"/>
            </w:pPr>
            <w:r>
              <w:t>80,4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Za kapitalni projekt Informatizacija zavoda za norme planirana su sredstva 4 % ukupnog plana. Kapitalni  projekt ostvaren je 80% u odnosu na planirane rashode. </w:t>
      </w:r>
    </w:p>
    <w:p w:rsidR="00AC0832" w:rsidRDefault="00AC0832">
      <w:pPr>
        <w:pStyle w:val="Normal6"/>
      </w:pPr>
      <w:r>
        <w:t>HZN kontinuirano razvija svoj informatički sustav kao programsku potporu radnicima HZN-a radi brzog i jednostavnog rješavanja svakodnevnih poslovnih zadataka, kao podrška u cilju normizacije poslovnih procesa i poboljšanja komunikacije između domaćih i međunarodnih organizacija u području normizacije te interakcije s vanjskim članovima tehničkih odbora.</w:t>
      </w:r>
    </w:p>
    <w:p w:rsidR="00AC0832" w:rsidRDefault="00AC0832">
      <w:pPr>
        <w:pStyle w:val="Heading2"/>
      </w:pPr>
      <w:r>
        <w:t>04985 Hrvatska akreditacijska agencija</w:t>
      </w:r>
    </w:p>
    <w:p w:rsidR="00AC0832" w:rsidRDefault="00AC0832">
      <w:pPr>
        <w:pStyle w:val="Heading4"/>
      </w:pPr>
      <w:r>
        <w:t>Uvod</w:t>
      </w:r>
    </w:p>
    <w:p w:rsidR="00AC0832" w:rsidRDefault="00AC0832">
      <w:pPr>
        <w:pStyle w:val="Normal3"/>
      </w:pPr>
      <w:r>
        <w:t xml:space="preserve">Hrvatska akreditacijska agencija (dalje u tekstu: HAA) je javna ustanova koja obavlja poslove nacionalne službe za akreditaciju u RH. HAA predstavlja Republiku Hrvatsku u europskim i međunarodnim organizacijama za akreditaciju i sudjeluje u njihovu radu.   </w:t>
      </w:r>
    </w:p>
    <w:p w:rsidR="00AC0832" w:rsidRDefault="00AC0832">
      <w:pPr>
        <w:pStyle w:val="Normal3"/>
      </w:pPr>
      <w:r>
        <w:t>Sukladno Zakonu o akreditaciji i Uredbi o osnivanju HAA obavlja slijedeće poslove: akreditiranje ispitnih i umjernih laboratorija, akreditiranje pravnih ili fizičkih osoba za potvrđivanje proizvoda, sustava upravljanja i osoblja, akreditiranje pravnih ili fizičkih osoba koje obavljaju tehnički nadzor ili slične radnje, druga ocjenjivanja ili potvrđivanja osposobljenosti za provođenje postupaka ocjenjivanja sukladnosti, uključujući utvrđivanje ispunjavanja zahtjeva za ocjenjivanje sukladnosti u skladu s propisima za ocjenjivanje sukladnosti za pravne ili fizičke osobe. Cilj HAA je stalno povećanje broja akreditiranih institucija (laboratorija, certifikacijskih i inspekcijskih tijela) potrebnih za provedbu novih tehničkih propisa, usklađenih sa zakonodavstvom EU (direktive novog i starog pristupa i drugi propisi za sigurnost proizvoda).Od 01.01.2010. godine HAA je glava u razdjelu Ministarstva gospodarstva.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04985-Hrvatska akreditacijska agencija</w:t>
            </w:r>
          </w:p>
        </w:tc>
        <w:tc>
          <w:tcPr>
            <w:tcW w:w="2322" w:type="dxa"/>
          </w:tcPr>
          <w:p w:rsidR="00AC0832" w:rsidRDefault="00AC0832">
            <w:pPr>
              <w:pStyle w:val="CellColumn"/>
            </w:pPr>
            <w:r>
              <w:t>7.796.851</w:t>
            </w:r>
          </w:p>
        </w:tc>
        <w:tc>
          <w:tcPr>
            <w:tcW w:w="2322" w:type="dxa"/>
          </w:tcPr>
          <w:p w:rsidR="00AC0832" w:rsidRDefault="00AC0832">
            <w:pPr>
              <w:pStyle w:val="CellColumn"/>
            </w:pPr>
            <w:r>
              <w:t>7.560.058</w:t>
            </w:r>
          </w:p>
        </w:tc>
        <w:tc>
          <w:tcPr>
            <w:tcW w:w="2322" w:type="dxa"/>
          </w:tcPr>
          <w:p w:rsidR="00AC0832" w:rsidRDefault="00AC0832">
            <w:pPr>
              <w:pStyle w:val="CellColumn"/>
            </w:pPr>
            <w:r>
              <w:t>97,0</w:t>
            </w:r>
          </w:p>
        </w:tc>
      </w:tr>
      <w:tr w:rsidR="00AC0832" w:rsidTr="00BE20ED">
        <w:trPr>
          <w:jc w:val="center"/>
        </w:trPr>
        <w:tc>
          <w:tcPr>
            <w:tcW w:w="2322" w:type="dxa"/>
          </w:tcPr>
          <w:p w:rsidR="00AC0832" w:rsidRDefault="00AC0832">
            <w:pPr>
              <w:pStyle w:val="CellColumnSmall"/>
            </w:pPr>
            <w:r>
              <w:t>3205-STANDARDIZACIJA U GOSPODARSTVU</w:t>
            </w:r>
          </w:p>
        </w:tc>
        <w:tc>
          <w:tcPr>
            <w:tcW w:w="2322" w:type="dxa"/>
          </w:tcPr>
          <w:p w:rsidR="00AC0832" w:rsidRDefault="00AC0832">
            <w:pPr>
              <w:pStyle w:val="CellColumnSmall"/>
            </w:pPr>
            <w:r>
              <w:t>7.796.851</w:t>
            </w:r>
          </w:p>
        </w:tc>
        <w:tc>
          <w:tcPr>
            <w:tcW w:w="2322" w:type="dxa"/>
          </w:tcPr>
          <w:p w:rsidR="00AC0832" w:rsidRDefault="00AC0832">
            <w:pPr>
              <w:pStyle w:val="CellColumnSmall"/>
            </w:pPr>
            <w:r>
              <w:t>7.560.058</w:t>
            </w:r>
          </w:p>
        </w:tc>
        <w:tc>
          <w:tcPr>
            <w:tcW w:w="2322" w:type="dxa"/>
          </w:tcPr>
          <w:p w:rsidR="00AC0832" w:rsidRDefault="00AC0832">
            <w:pPr>
              <w:pStyle w:val="CellColumnSmall"/>
            </w:pPr>
            <w:r>
              <w:t>97,0</w:t>
            </w:r>
          </w:p>
        </w:tc>
      </w:tr>
    </w:tbl>
    <w:p w:rsidR="00AC0832" w:rsidRDefault="00AC0832">
      <w:pPr>
        <w:jc w:val="left"/>
      </w:pPr>
    </w:p>
    <w:p w:rsidR="00AC0832" w:rsidRDefault="00AC0832">
      <w:pPr>
        <w:pStyle w:val="Heading4"/>
      </w:pPr>
      <w:r>
        <w:t>OBRAZLOŽENJE PROGRAMA</w:t>
      </w:r>
    </w:p>
    <w:p w:rsidR="00AC0832" w:rsidRDefault="00AC0832">
      <w:pPr>
        <w:pStyle w:val="Heading5"/>
      </w:pPr>
      <w:r>
        <w:t>3205 STANDARDIZACIJA U GOSPODARSTVU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3205-STANDARDIZACIJA U GOSPODARSTVU</w:t>
            </w:r>
          </w:p>
        </w:tc>
        <w:tc>
          <w:tcPr>
            <w:tcW w:w="2322" w:type="dxa"/>
          </w:tcPr>
          <w:p w:rsidR="00AC0832" w:rsidRDefault="00AC0832">
            <w:pPr>
              <w:pStyle w:val="CellColumn"/>
            </w:pPr>
            <w:r>
              <w:t>7.796.851</w:t>
            </w:r>
          </w:p>
        </w:tc>
        <w:tc>
          <w:tcPr>
            <w:tcW w:w="2322" w:type="dxa"/>
          </w:tcPr>
          <w:p w:rsidR="00AC0832" w:rsidRDefault="00AC0832">
            <w:pPr>
              <w:pStyle w:val="CellColumn"/>
            </w:pPr>
            <w:r>
              <w:t>7.560.058</w:t>
            </w:r>
          </w:p>
        </w:tc>
        <w:tc>
          <w:tcPr>
            <w:tcW w:w="2322" w:type="dxa"/>
          </w:tcPr>
          <w:p w:rsidR="00AC0832" w:rsidRDefault="00AC0832">
            <w:pPr>
              <w:pStyle w:val="CellColumn"/>
            </w:pPr>
            <w:r>
              <w:t>97,0</w:t>
            </w:r>
          </w:p>
        </w:tc>
      </w:tr>
    </w:tbl>
    <w:p w:rsidR="00AC0832" w:rsidRDefault="00AC0832">
      <w:pPr>
        <w:jc w:val="left"/>
      </w:pPr>
    </w:p>
    <w:p w:rsidR="00AC0832" w:rsidRDefault="00AC0832">
      <w:pPr>
        <w:pStyle w:val="Heading6"/>
      </w:pPr>
      <w:r>
        <w:t>Opis programa</w:t>
      </w:r>
    </w:p>
    <w:p w:rsidR="00AC0832" w:rsidRDefault="00AC0832">
      <w:pPr>
        <w:pStyle w:val="Normal5"/>
      </w:pPr>
      <w:r>
        <w:t xml:space="preserve">HAA je nacionalno akreditacijsko tijelo i osnovana je s ciljem da: osigura kompetentno tržište usluga ispitivanja, mjerenja, umjeravanja, certifikacije i inspekcije na području  RH; osigura priznavanje izvještaja o ispitivanju i certifikata o sukladnosti izdanih u RH na drugim tržištima; daje tehničku potporu hrvatskom gospodarstvu u ostvarivanju  konkurentnosti na međunarodnom tržištu;  osigurava povjerenje u sigurnost i kvalitetu proizvoda i usluga na hrvatskom tržištu; daje tehničku potporu tijelima državne uprave u provedbi propisa u području sigurnosti i zdravlja građana, zaštite okoliša, zaštite potrošača i drugih javnih interesa. </w:t>
      </w:r>
    </w:p>
    <w:p w:rsidR="00AC0832" w:rsidRDefault="00AC0832">
      <w:pPr>
        <w:pStyle w:val="Normal5"/>
      </w:pPr>
      <w:r>
        <w:t xml:space="preserve">Navedene aktivnosti su u skladu s posebnim ciljem 2.1. Strategije Vladinih programa za razdoblje 2011. – 2013.  -  Jačanje konkurentnosti gospodarskih subjekata. </w:t>
      </w:r>
    </w:p>
    <w:p w:rsidR="00AC0832" w:rsidRDefault="00AC0832">
      <w:pPr>
        <w:pStyle w:val="Normal5"/>
      </w:pPr>
      <w:r>
        <w:t>HAA je u zahtjevnom trogodišnjem postupku evaluacije, od strane Europske organizacije za akreditaciju (EA), ocijenjena kao kompetentna i pouzdana institucija te je na sjednici Vijeća za multilateralne sporazume (EA MAC) održanoj u Frankfurtu 27. travnja 2010. godine odlučeno da se sa HAA zaključe Multilateralni sporazumi o priznavanju akreditacije (EA MLA) za sve prijavljene i ocijenjene akreditacijske sheme.  Dana 29. travnja 2010. godine zaključen je Multilateralni sporazum o uzajamnom priznavanju akreditacije za ispitne i umjerne laboratorije s Međunarodnom organizacijom za akreditaciju laboratorija (ILAC MRA)</w:t>
      </w:r>
    </w:p>
    <w:p w:rsidR="00AC0832" w:rsidRDefault="00AC0832">
      <w:pPr>
        <w:pStyle w:val="Heading6"/>
      </w:pPr>
      <w:r>
        <w:t>Zakonske i druge pravne osnove</w:t>
      </w:r>
    </w:p>
    <w:p w:rsidR="00AC0832" w:rsidRDefault="00AC0832">
      <w:pPr>
        <w:pStyle w:val="Normal5"/>
      </w:pPr>
      <w:r>
        <w:t xml:space="preserve">Uredba Vlade Republike Hrvatske (NN 158/04, NN 44/05 i NN 30/10),  Zakon o akreditaciji (NN 158/03 i 75/09).  </w:t>
      </w:r>
    </w:p>
    <w:p w:rsidR="00AC0832" w:rsidRDefault="00AC0832">
      <w:pPr>
        <w:pStyle w:val="Normal5"/>
      </w:pPr>
      <w:r>
        <w:t xml:space="preserve">Sustav upravljanja poslovanjem HAA uspostavljen je  u skladu sa zahtjevima norme HRN EN ISO/IEC 17011:2005. </w:t>
      </w:r>
    </w:p>
    <w:p w:rsidR="00AC0832" w:rsidRDefault="00AC0832">
      <w:pPr>
        <w:pStyle w:val="Normal5"/>
      </w:pPr>
      <w:r>
        <w:t>U dokumentaciju su također ugrađene upute i preporuke Europske suradnje na akreditaciji (EA) i međunarodnih organizacija za akreditaciju ILAC i IAF.</w:t>
      </w:r>
    </w:p>
    <w:p w:rsidR="00AC0832" w:rsidRDefault="00AC0832">
      <w:pPr>
        <w:pStyle w:val="Heading7"/>
      </w:pPr>
      <w:r>
        <w:t>Cilj 1. Održavanje i razvoj akreditacije u Republici Hrvatskoj - Povećanje broja akreditiranih tijela</w:t>
      </w:r>
    </w:p>
    <w:p w:rsidR="00AC0832" w:rsidRDefault="00AC0832">
      <w:pPr>
        <w:pStyle w:val="Heading8"/>
        <w:jc w:val="left"/>
      </w:pPr>
      <w:r>
        <w:t>Opis provedbe cilja programa</w:t>
      </w:r>
    </w:p>
    <w:p w:rsidR="00AC0832" w:rsidRDefault="00AC0832">
      <w:pPr>
        <w:pStyle w:val="Normal6"/>
      </w:pPr>
      <w:r>
        <w:t xml:space="preserve">Glavni cilj HAA je održavanje i razvoj, tj. stalno  proširivanje područja akreditacije i povećanje broja akreditiranih institucija (laboratorija, certifikacijskih i inspekcijskih tijela) potrebnih za provedbu novih tehničkih propisa, usklađenih sa zakonodavstvom EU (direktive „novog“ i „starog“ pristupa i drugi propisi za sigurnost proizvoda, zaštitu okoliša, zaštitu zdravlja, zaštitu potrošača). HAA izravno pridonosi uređivanju hrvatskog tržišta proizvoda i usluga, te stvaranju uvjeta za punopravno uključivanje u unutarnje tržište EU i međunarodne razmjene proizvoda, usluga i informacija. </w:t>
      </w:r>
    </w:p>
    <w:p w:rsidR="00AC0832" w:rsidRDefault="00AC0832">
      <w:pPr>
        <w:pStyle w:val="Normal6"/>
      </w:pPr>
      <w:r>
        <w:t xml:space="preserve">Cilj 1.1.    Povećanje broja akreditiranih tijela </w:t>
      </w:r>
    </w:p>
    <w:p w:rsidR="00AC0832" w:rsidRDefault="00AC0832">
      <w:pPr>
        <w:pStyle w:val="Normal6"/>
      </w:pPr>
      <w:r>
        <w:t xml:space="preserve">Povećanje broja akreditiranih tijela utječe na opći i posebni uspjeh gospodarstva, budući da akreditacija, odnosno ocjenjivanje stručne i tehničke osposobljenosti laboratorija, certifikacijskih i inspekcijskih tijela, postaje glavni oslonac ministarstvima u provedbi propisa  i u značajnijoj je mjeri podigla kvalitetu usluga ispitivanja, mjerenja, certifikacije i inspekcije na hrvatskom tržištu, a samim time i konkurentnosti hrvatskog gospodarstva na tržištu EU i šire.  </w:t>
      </w:r>
    </w:p>
    <w:p w:rsidR="00AC0832" w:rsidRDefault="00AC0832">
      <w:pPr>
        <w:pStyle w:val="Normal6"/>
      </w:pPr>
      <w:r>
        <w:t xml:space="preserve">Neprovođenje akreditacije imalo bi za posljedicu ugrožavanje konkurentnosti hrvatskog gospodarstva za izlazak na tržišta EU i šire radi nemogućnosti dokazivanja sigurnosti i kvalitete proizvoda u kompetentnim institucijama koje su ocjenjene prema međunarodnim kriterijima (akreditiranim institucijama). </w:t>
      </w:r>
    </w:p>
    <w:p w:rsidR="00AC0832" w:rsidRDefault="00AC0832">
      <w:pPr>
        <w:pStyle w:val="Normal6"/>
      </w:pPr>
      <w:r>
        <w:t xml:space="preserve">Neposredni korisnici usluga HAA su: ispitni, umjerni i medicinski laboratoriji, inspekcijska tijela, certifikacijska tijela za proizvode, certifikacijska tijela za sustave upravljanja: za kvalitetu QMS, za okoliš EMS, certifikacijska tijela za osobe. </w:t>
      </w:r>
    </w:p>
    <w:p w:rsidR="00AC0832" w:rsidRDefault="00AC0832">
      <w:pPr>
        <w:pStyle w:val="Normal6"/>
      </w:pPr>
      <w:r>
        <w:t xml:space="preserve">Posredni korisnici su tijela državne uprave u čijoj su nadležnosti propisi u određenom području: dokazivanje kompetentne provedbe tehničkog zakonodavstva radi osiguranja slobode kretanja i sigurnosti proizvoda na tržištu EU, sigurnost proizvoda, zaštita okoliša, zaštita zdravlja, zaštita potrošača, odnosno gospodarstvo – uvjet konkurentnosti na međunarodnom tržištu.   </w:t>
      </w:r>
    </w:p>
    <w:p w:rsidR="00AC0832" w:rsidRDefault="00AC0832">
      <w:pPr>
        <w:pStyle w:val="Normal6"/>
      </w:pPr>
      <w:r>
        <w:t>HAA je na kraju 2012. godine u Registru akreditiranih tijela imala ukupno 322 akreditirana tijela. (Registar se ažurira na dnevnoj bazi). 2 akreditirana  laboratorija bila su u postupku re-akreditacije koji nije završio do kraja godine.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6"/>
        <w:gridCol w:w="1317"/>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akreditiranih tijela</w:t>
            </w:r>
          </w:p>
        </w:tc>
        <w:tc>
          <w:tcPr>
            <w:tcW w:w="1300" w:type="dxa"/>
          </w:tcPr>
          <w:p w:rsidR="00AC0832" w:rsidRDefault="00AC0832">
            <w:pPr>
              <w:pStyle w:val="CellColumn"/>
            </w:pPr>
            <w:r>
              <w:t>Povećanjem broja prijava za akreditaciju povećati će se broj akreditiranih tijela</w:t>
            </w:r>
          </w:p>
        </w:tc>
        <w:tc>
          <w:tcPr>
            <w:tcW w:w="1300" w:type="dxa"/>
          </w:tcPr>
          <w:p w:rsidR="00AC0832" w:rsidRDefault="00AC0832">
            <w:pPr>
              <w:pStyle w:val="CellColumn"/>
            </w:pPr>
            <w:r>
              <w:t>broj</w:t>
            </w:r>
          </w:p>
        </w:tc>
        <w:tc>
          <w:tcPr>
            <w:tcW w:w="1300" w:type="dxa"/>
          </w:tcPr>
          <w:p w:rsidR="00AC0832" w:rsidRDefault="00AC0832">
            <w:pPr>
              <w:pStyle w:val="CellColumn"/>
            </w:pPr>
            <w:r>
              <w:t>274</w:t>
            </w:r>
          </w:p>
        </w:tc>
        <w:tc>
          <w:tcPr>
            <w:tcW w:w="1300" w:type="dxa"/>
          </w:tcPr>
          <w:p w:rsidR="00AC0832" w:rsidRDefault="00AC0832">
            <w:pPr>
              <w:pStyle w:val="CellColumn"/>
            </w:pPr>
            <w:r>
              <w:t>HAA</w:t>
            </w:r>
          </w:p>
        </w:tc>
        <w:tc>
          <w:tcPr>
            <w:tcW w:w="1300" w:type="dxa"/>
          </w:tcPr>
          <w:p w:rsidR="00AC0832" w:rsidRDefault="00AC0832">
            <w:pPr>
              <w:pStyle w:val="CellColumn"/>
            </w:pPr>
            <w:r>
              <w:t>324</w:t>
            </w:r>
          </w:p>
        </w:tc>
        <w:tc>
          <w:tcPr>
            <w:tcW w:w="1300" w:type="dxa"/>
          </w:tcPr>
          <w:p w:rsidR="00AC0832" w:rsidRDefault="00AC0832">
            <w:pPr>
              <w:pStyle w:val="CellColumn"/>
            </w:pPr>
            <w:r>
              <w:t>322</w:t>
            </w:r>
          </w:p>
        </w:tc>
      </w:tr>
    </w:tbl>
    <w:p w:rsidR="00AC0832" w:rsidRDefault="00AC0832">
      <w:pPr>
        <w:jc w:val="left"/>
      </w:pPr>
    </w:p>
    <w:p w:rsidR="00AC0832" w:rsidRDefault="00AC0832">
      <w:pPr>
        <w:pStyle w:val="Heading7"/>
      </w:pPr>
      <w:r>
        <w:t>Cilj 2. Održavanje i razvoj sustava akreditacije u Republici Hrvatskoj - Povećanje broja ocjenitelja</w:t>
      </w:r>
    </w:p>
    <w:p w:rsidR="00AC0832" w:rsidRDefault="00AC0832">
      <w:pPr>
        <w:pStyle w:val="Heading8"/>
        <w:jc w:val="left"/>
      </w:pPr>
      <w:r>
        <w:t>Opis provedbe cilja programa</w:t>
      </w:r>
    </w:p>
    <w:p w:rsidR="00AC0832" w:rsidRDefault="00AC0832">
      <w:pPr>
        <w:pStyle w:val="Normal6"/>
      </w:pPr>
      <w:r>
        <w:t>Kako bi se povećao broj akreditiranih tijela, treba povećati odnosno osposobiti veći broj vodećih ocjenitelja, stručnih ocjenitelja i eksperata po svim područjima i shemama. Ocjenitelji su zaposlenici HAA kao i vanjski suradnici iz raznih institucija – fakulteti, instituti, gospodarstvo ovisno o području akreditacije. HAA provodi kontinuiranu izobrazbu postojećih i novih ocjenitelja internom izobrazbom, seminarima i monitorinzima kako u već postojećim shemama tako i u novim shemama  prema potrebama propisa i tržišta. HAA je na kraju 2012. godine u Registru ocjenitelja imala ukupno registrirano 210 ocjenitelja (ocjenitelja i eksperata).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61"/>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ocjenitelja</w:t>
            </w:r>
          </w:p>
        </w:tc>
        <w:tc>
          <w:tcPr>
            <w:tcW w:w="1300" w:type="dxa"/>
          </w:tcPr>
          <w:p w:rsidR="00AC0832" w:rsidRDefault="00AC0832">
            <w:pPr>
              <w:pStyle w:val="CellColumn"/>
            </w:pPr>
            <w:r>
              <w:t>Internom izobrazbom, seminarima i monitorinzima osposobiti nove ocjenitelje i proširiti područje rada postojećim ocjeniteljima</w:t>
            </w:r>
          </w:p>
        </w:tc>
        <w:tc>
          <w:tcPr>
            <w:tcW w:w="1300" w:type="dxa"/>
          </w:tcPr>
          <w:p w:rsidR="00AC0832" w:rsidRDefault="00AC0832">
            <w:pPr>
              <w:pStyle w:val="CellColumn"/>
            </w:pPr>
            <w:r>
              <w:t>broj</w:t>
            </w:r>
          </w:p>
        </w:tc>
        <w:tc>
          <w:tcPr>
            <w:tcW w:w="1300" w:type="dxa"/>
          </w:tcPr>
          <w:p w:rsidR="00AC0832" w:rsidRDefault="00AC0832">
            <w:pPr>
              <w:pStyle w:val="CellColumn"/>
            </w:pPr>
            <w:r>
              <w:t>177</w:t>
            </w:r>
          </w:p>
        </w:tc>
        <w:tc>
          <w:tcPr>
            <w:tcW w:w="1300" w:type="dxa"/>
          </w:tcPr>
          <w:p w:rsidR="00AC0832" w:rsidRDefault="00AC0832">
            <w:pPr>
              <w:pStyle w:val="CellColumn"/>
            </w:pPr>
            <w:r>
              <w:t>HAA</w:t>
            </w:r>
          </w:p>
        </w:tc>
        <w:tc>
          <w:tcPr>
            <w:tcW w:w="1300" w:type="dxa"/>
          </w:tcPr>
          <w:p w:rsidR="00AC0832" w:rsidRDefault="00AC0832">
            <w:pPr>
              <w:pStyle w:val="CellColumn"/>
            </w:pPr>
            <w:r>
              <w:t>197</w:t>
            </w:r>
          </w:p>
        </w:tc>
        <w:tc>
          <w:tcPr>
            <w:tcW w:w="1300" w:type="dxa"/>
          </w:tcPr>
          <w:p w:rsidR="00AC0832" w:rsidRDefault="00AC0832">
            <w:pPr>
              <w:pStyle w:val="CellColumn"/>
            </w:pPr>
            <w:r>
              <w:t>210</w:t>
            </w:r>
          </w:p>
        </w:tc>
      </w:tr>
    </w:tbl>
    <w:p w:rsidR="00AC0832" w:rsidRDefault="00AC0832">
      <w:pPr>
        <w:jc w:val="left"/>
      </w:pPr>
    </w:p>
    <w:p w:rsidR="00AC0832" w:rsidRDefault="00AC0832">
      <w:pPr>
        <w:pStyle w:val="Heading6"/>
      </w:pPr>
      <w:r>
        <w:t>A652002 ADMINISTRACIJA I UPRAVLJANJE HRVATSKE AKREDITACIJSKE AGENCIJE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A652002-ADMINISTRACIJA I UPRAVLJANJE HRVATSKE AKREDITACIJSKE AGENCIJE</w:t>
            </w:r>
          </w:p>
        </w:tc>
        <w:tc>
          <w:tcPr>
            <w:tcW w:w="2322" w:type="dxa"/>
          </w:tcPr>
          <w:p w:rsidR="00AC0832" w:rsidRDefault="00AC0832">
            <w:pPr>
              <w:pStyle w:val="CellColumn"/>
            </w:pPr>
            <w:r>
              <w:t>7.651.851</w:t>
            </w:r>
          </w:p>
        </w:tc>
        <w:tc>
          <w:tcPr>
            <w:tcW w:w="2322" w:type="dxa"/>
          </w:tcPr>
          <w:p w:rsidR="00AC0832" w:rsidRDefault="00AC0832">
            <w:pPr>
              <w:pStyle w:val="CellColumn"/>
            </w:pPr>
            <w:r>
              <w:t>7.418.087</w:t>
            </w:r>
          </w:p>
        </w:tc>
        <w:tc>
          <w:tcPr>
            <w:tcW w:w="2322" w:type="dxa"/>
          </w:tcPr>
          <w:p w:rsidR="00AC0832" w:rsidRDefault="00AC0832">
            <w:pPr>
              <w:pStyle w:val="CellColumn"/>
            </w:pPr>
            <w:r>
              <w:t>96,9</w:t>
            </w:r>
          </w:p>
        </w:tc>
      </w:tr>
    </w:tbl>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Aktivnost Administracija i upravljanje HAA odnosno razvoj akreditacijskog sustava glavna je aktivnost HAA i putem te aktivnosti HAA provodi svoje poslovanje - akreditiranje ispitnih i umjernih laboratorija; akreditiranje pravnih ili fizičkih osoba za potvrđivanje proizvoda, sustava upravljanja i osoblja; akreditiranje pravnih ili fizičkih osoba koje obavljaju tehnički nadzor ili slične radnje i dr. </w:t>
      </w:r>
    </w:p>
    <w:p w:rsidR="00AC0832" w:rsidRDefault="00AC0832">
      <w:pPr>
        <w:pStyle w:val="Normal6"/>
      </w:pPr>
      <w:r>
        <w:t xml:space="preserve">HAA za postupke akreditacije angažira vanjske stručne suradnike i eksperte iz zemlje i inozemstva, a prema prirodi, vrsti i specifičnosti postupka. Vanjski suradnici HAA su stručnjaci i ocjenitelji koji obavljaju postupke ocjenjivanja i nadzor nad radom akreditiranih tijela, a osnovom kojih se izdaje potvrda o akreditaciji. Te troškove snose akreditirane pravne osobe i uplaćuju ih u Državni proračun. HAA stalno poduzima korake, pismenim i usmenim kontaktima, kako bi tijela za ocjenjivanje sukladnosti što redovitije uplaćivali svoje obveze u državni proračun. </w:t>
      </w:r>
    </w:p>
    <w:p w:rsidR="00AC0832" w:rsidRDefault="00AC0832">
      <w:pPr>
        <w:pStyle w:val="Normal6"/>
      </w:pPr>
      <w:r>
        <w:t xml:space="preserve">HAA vanjske suradnike isplaćuje sa stavke -  Intelektualne usluge,  i ta stavka je značajna za redovno poslovanje HAA. Izvršenjem te stavke ujedno se izvršava osnovna djelatnost HAA - provođenje postupka akreditacije i nadzora. </w:t>
      </w:r>
    </w:p>
    <w:p w:rsidR="00AC0832" w:rsidRDefault="00AC0832">
      <w:pPr>
        <w:pStyle w:val="Normal6"/>
      </w:pPr>
      <w:r>
        <w:t xml:space="preserve">Povećanjem broja akreditacija povećavaju se troškovi intelektualnih usluga i troškovi službenih putovanja kako zaposlenika tako i angažiranih vanjskih suradnika jer se akreditacije provode na terenu kod korisnika po cijeloj RH, ali istovremeno se povećavaju i uplate u državni proračun. U 2012.g. uplaćeno je od strane korisnika usluga akreditacije ukupno 7.364.833,39 kuna u državni proračun. </w:t>
      </w:r>
    </w:p>
    <w:p w:rsidR="00AC0832" w:rsidRDefault="00AC0832">
      <w:pPr>
        <w:pStyle w:val="Normal6"/>
      </w:pPr>
      <w:r>
        <w:t xml:space="preserve">Provođenjem postupaka akreditacije HAA izravno doprinosi uređivanju hrvatskog tržišta proizvoda i usluga, te stvaranju uvjeta za punopravno uključivanje u unutarnje tržište EU i međunarodne razmjene proizvoda, usluga i informacija. </w:t>
      </w:r>
    </w:p>
    <w:p w:rsidR="00AC0832" w:rsidRDefault="00AC0832">
      <w:pPr>
        <w:pStyle w:val="Normal6"/>
      </w:pPr>
      <w:r>
        <w:t xml:space="preserve">Sredstvima koja su planirana u okviru ove aktivnosti financirani su troškovi redovne djelatnosti HAA – provođenje postupka akreditacije i nadzora nad već akreditiranim tijelima. Rashodi za zaposlene izvršeni su sa 98,48 % plana i 43,19 % ukupnog plana proračuna HAA. U odnosu na 2011. godinu rashodi za zaposlene izvršeni su manje za 9,19 % jer je jedan djelatnik otišao u mirovinu sa 31.12.2011. godine i još dva djelatnika sredinom 2012. godine.Rashodi za zaposlene isplaćivani  su u skladu s poreznim propisima, brojem zaposlenih i utvrđenim koeficijentima. Materijalni rashodi izvršeni su sa 99,2 % plana i 52,68 % ukupnog plana proračuna.   U odnosu na 2011. godinu izvršeni su manje za 0,85 %. U strukturi izvršenih materijalnih rashoda vrijednosno najznačajniji su rashodi za intelektualne usluge – plaćanje vanjskih stručnjaka - ocjenitelja i eksperata - 60,34 % ukupnih materijalnih rashoda, a u sveukupnim rashodima HAA učestvuju sa 32,19 %. Značajne stavke su i troškovi prijevoza i smještaja zaposlenika i vanjskih suradnika i međunarodne članarine – a sve vezano uz osnovnu djelatnost HAA.  Financijski rashodi izvršeni su sa 89,49 % plana i 0,16 % ukupnog plana proračuna. Odnose se na bankarske usluge plaćanja autorskih ugovora angažiranim inozemnim ocjeniteljima i ekspertima, te plaćanja deviznih računa članarina međunarodnim organizacijama.  Sve stavke rashoda su unutar planiranih iznosa na trećoj razini. HAA je i u 2012. godini poslovala krajnje racionalno u skladu s mjerama i politikom Vlade RH.Tokom 2012. godine je od 26 djelatnika čak 5 djelatnica bilo na bolovanju zbog čuvanja trudnoće ili na porodnom (nekoliko mjeseci čak četiri djelatnice istovremeno). Da bi se posao mogao redovito obaviti, prisutni djelatnici morali su se dodatno angažirati kako bi zadovoljili svim traženjima stranaka i nadležnih institucija. </w:t>
      </w:r>
    </w:p>
    <w:p w:rsidR="00AC0832" w:rsidRDefault="00AC0832">
      <w:pPr>
        <w:pStyle w:val="Normal6"/>
      </w:pPr>
      <w:r>
        <w:t>HAA je također prepoznata kao kompetentan partner za potporu u razvoju akreditacijskog sustava u zemljama okruženja. Tako je tokom 2012. godine sklopila ugovore sa Slovenskom akreditacijom (akreditacijskim tijelom iz zemlje koja je punopravna članica Europske unije) za pripremu i provedbu aktivnosti u uspostavi i provedbi akreditacijskih procedura-shema u tri područja. Akreditacijsko tijelo Ujedinjenog Kraljevstva (UKAS) zatražilo je da HAA obavi ocjenjivanje odnosno nadzor certifikacijskog tijela koje je UKAS akreditirao a koje se nalazi na području RH. HAA je uključena u PTB projekt koji provodi njemačka institucija Physikalich-Technische Bundesanstalt (PTB).Glavni cilj projekta je promocija regionalne suradnje zemalja jugoistočne Europe u području uspostave infrastrukture kvalitete. Uloga HAA u projektu je sudjelovanje u pripremi i  provođenju treninga, radionica i seminara iz područja akreditacije te omogućavanje ocjeniteljima iz akreditacijskih tijela iz regije da sudjeluju u postupcima akreditacije HAA kao promatrači. Također HAA, kao punopravna članica Europske organizacije za akreditaciju EA ima obvezu sudjelovati u radu upravnih i tehničkih odbora EA.</w:t>
      </w:r>
    </w:p>
    <w:p w:rsidR="00AC0832" w:rsidRDefault="00AC0832">
      <w:pPr>
        <w:pStyle w:val="Heading6"/>
      </w:pPr>
      <w:r>
        <w:t>K652006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K652006-INFORMATIZACIJA</w:t>
            </w:r>
          </w:p>
        </w:tc>
        <w:tc>
          <w:tcPr>
            <w:tcW w:w="2322" w:type="dxa"/>
          </w:tcPr>
          <w:p w:rsidR="00AC0832" w:rsidRDefault="00AC0832">
            <w:pPr>
              <w:pStyle w:val="CellColumn"/>
            </w:pPr>
            <w:r>
              <w:t>145.000</w:t>
            </w:r>
          </w:p>
        </w:tc>
        <w:tc>
          <w:tcPr>
            <w:tcW w:w="2322" w:type="dxa"/>
          </w:tcPr>
          <w:p w:rsidR="00AC0832" w:rsidRDefault="00AC0832">
            <w:pPr>
              <w:pStyle w:val="CellColumn"/>
            </w:pPr>
            <w:r>
              <w:t>141.970</w:t>
            </w:r>
          </w:p>
        </w:tc>
        <w:tc>
          <w:tcPr>
            <w:tcW w:w="2322" w:type="dxa"/>
          </w:tcPr>
          <w:p w:rsidR="00AC0832" w:rsidRDefault="00AC0832">
            <w:pPr>
              <w:pStyle w:val="CellColumn"/>
            </w:pPr>
            <w:r>
              <w:t>97,9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 obzirom da računalna oprema predstavlja kritičnu opremu za održavanje radnih procesa u HAA, HAA kontinuirano nadograđuje postojeću računalnu opremu i vrši zamjenu dijela starije računalne opreme koja se ne može nadograditi. </w:t>
      </w:r>
    </w:p>
    <w:p w:rsidR="00AC0832" w:rsidRDefault="00AC0832">
      <w:pPr>
        <w:pStyle w:val="Normal6"/>
      </w:pPr>
      <w:r>
        <w:t>HAA nema posebni prostor za arhivu (zbog pomanjkanja prostora u zgradi u kojoj djeluje) a što je i bio prigovor Hrvatskog državnog arhiva pri redovnom nadzoru. Da bi djelomično udovoljila zapisniku HDA, HAA je u 2012. godini nabavila sigurnosne ormare za arhiviranje i čuvanje dokumentacije. HAA ima uspostavljenu bazu podataka – implementiranu na platformi Centrix poslovnog rješenja, prilagođenog potrebama i specifičnostima djelatnosti HAA. Poslovno rješenje je projektirano tako da omogućava kontinuiranu nadogradnju i poboljšavanje u skladu s potrebama  HAA i zakonskim propisima.  Tokom 2012. godine HAA je nadogradila program Automatizacije pokretanja akreditacijskog postupka i specifikacije modela informacijskog sustava za automatizaciju otpreme prijavne dokumentacije.</w:t>
      </w:r>
    </w:p>
    <w:p w:rsidR="00AC0832" w:rsidRDefault="00AC0832">
      <w:pPr>
        <w:pStyle w:val="Heading1"/>
      </w:pPr>
      <w:r>
        <w:t>051 MINISTARSTVO PODUZETNIŠTVA I OBRTA</w:t>
      </w:r>
    </w:p>
    <w:p w:rsidR="00AC0832" w:rsidRDefault="00AC0832">
      <w:pPr>
        <w:pStyle w:val="Heading4"/>
      </w:pPr>
      <w:r>
        <w:t>Uvod</w:t>
      </w:r>
    </w:p>
    <w:p w:rsidR="00AC0832" w:rsidRDefault="00AC0832">
      <w:pPr>
        <w:pStyle w:val="Normal3"/>
      </w:pPr>
      <w:r>
        <w:t xml:space="preserve">Ministarstvo poduzetništva i obrta obavlja upravne i druge poslove koji se odnose na malo i srednje poduzetništvo; obrtništvo; zadrugarstvo; poticanje izvoza i stranih ulaganja, te unapređenja konkurentnosti u području maloga i srednjega poduzetništva; ravnomjerni regionalni razvoj poduzetništva; djelovanje instrumenata gospodarskog sustava i mjera gospodarske politike na razvoj obrtništva, zadrugarstva, malog i srednjeg poduzetništva te poslovanje obrtnika i poduzetnika; poticanje primjene inovacija, novih tehnologija i osnivanja i poslovanja slobodnih i poduzetničkih zona u području maloga i srednjega poduzetništva; sustavno poticanje poduzetništva, djelovanje instrumenata gospodarskog sustava i mjera gospodarske politike na razvoj obrtništva, zadrugarstva, maloga i srednjega poduzetništva, te poslovanje obrtnika i poduzetnika; poticanje sudjelovanja malih i srednjih poduzetnika u poslovima javne nabave i javno-privatnog partnerstva; ostvarivanje međunarodne suradnje u području obrtništva te maloga i srednjega poduzetništva; pripreme i provedbu strateških i operativnih dokumenata i programa za korištenje sredstava fondova Europske unije i ostalih međunarodnih izvora financiranja namijenjenih unapređenju konkurentnosti obrtništva, zadrugarstva, maloga i srednjega poduzetništva; pripremu i provedbu posebnih programa Vlade Republike Hrvatske u području ekonomskog razvoja i konkurentnosti obrtništva, zadrugarstva, malog i srednjeg poduzetništva. </w:t>
      </w:r>
    </w:p>
    <w:p w:rsidR="00AC0832" w:rsidRDefault="00AC0832">
      <w:pPr>
        <w:pStyle w:val="Normal3"/>
      </w:pPr>
      <w:r>
        <w:t>Tijela koja obuhvaća Razdjel su: 05105 Ministarstvo poduzeništva i obrta, 05110 Hrvatska agencija za malo gospodarstvo.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05105-Ministarstvo poduzetništva i obrta</w:t>
            </w:r>
          </w:p>
        </w:tc>
        <w:tc>
          <w:tcPr>
            <w:tcW w:w="2322" w:type="dxa"/>
          </w:tcPr>
          <w:p w:rsidR="00AC0832" w:rsidRDefault="00AC0832">
            <w:pPr>
              <w:pStyle w:val="CellColumn"/>
            </w:pPr>
            <w:r>
              <w:t>316.534.112</w:t>
            </w:r>
          </w:p>
        </w:tc>
        <w:tc>
          <w:tcPr>
            <w:tcW w:w="2322" w:type="dxa"/>
          </w:tcPr>
          <w:p w:rsidR="00AC0832" w:rsidRDefault="00AC0832">
            <w:pPr>
              <w:pStyle w:val="CellColumn"/>
            </w:pPr>
            <w:r>
              <w:t>294.470.328</w:t>
            </w:r>
          </w:p>
        </w:tc>
        <w:tc>
          <w:tcPr>
            <w:tcW w:w="2322" w:type="dxa"/>
          </w:tcPr>
          <w:p w:rsidR="00AC0832" w:rsidRDefault="00AC0832">
            <w:pPr>
              <w:pStyle w:val="CellColumn"/>
            </w:pPr>
            <w:r>
              <w:t>93,0</w:t>
            </w:r>
          </w:p>
        </w:tc>
      </w:tr>
      <w:tr w:rsidR="00AC0832" w:rsidTr="00BE20ED">
        <w:trPr>
          <w:jc w:val="center"/>
        </w:trPr>
        <w:tc>
          <w:tcPr>
            <w:tcW w:w="2322" w:type="dxa"/>
          </w:tcPr>
          <w:p w:rsidR="00AC0832" w:rsidRDefault="00AC0832">
            <w:pPr>
              <w:pStyle w:val="CellColumn"/>
            </w:pPr>
            <w:r>
              <w:t>05110-Hrvatska agencija za malo gospodarstvo</w:t>
            </w:r>
          </w:p>
        </w:tc>
        <w:tc>
          <w:tcPr>
            <w:tcW w:w="2322" w:type="dxa"/>
          </w:tcPr>
          <w:p w:rsidR="00AC0832" w:rsidRDefault="00AC0832">
            <w:pPr>
              <w:pStyle w:val="CellColumn"/>
            </w:pPr>
            <w:r>
              <w:t>64.220.700</w:t>
            </w:r>
          </w:p>
        </w:tc>
        <w:tc>
          <w:tcPr>
            <w:tcW w:w="2322" w:type="dxa"/>
          </w:tcPr>
          <w:p w:rsidR="00AC0832" w:rsidRDefault="00AC0832">
            <w:pPr>
              <w:pStyle w:val="CellColumn"/>
            </w:pPr>
            <w:r>
              <w:t>60.015.070</w:t>
            </w:r>
          </w:p>
        </w:tc>
        <w:tc>
          <w:tcPr>
            <w:tcW w:w="2322" w:type="dxa"/>
          </w:tcPr>
          <w:p w:rsidR="00AC0832" w:rsidRDefault="00AC0832">
            <w:pPr>
              <w:pStyle w:val="CellColumn"/>
            </w:pPr>
            <w:r>
              <w:t>93,5</w:t>
            </w:r>
          </w:p>
        </w:tc>
      </w:tr>
      <w:tr w:rsidR="00AC0832" w:rsidTr="00BE20ED">
        <w:trPr>
          <w:jc w:val="center"/>
        </w:trPr>
        <w:tc>
          <w:tcPr>
            <w:tcW w:w="2322" w:type="dxa"/>
            <w:shd w:val="clear" w:color="auto" w:fill="B5C0D8"/>
          </w:tcPr>
          <w:p w:rsidR="00AC0832" w:rsidRDefault="00AC0832">
            <w:pPr>
              <w:pStyle w:val="CellColumn"/>
            </w:pPr>
            <w:r>
              <w:t>Ukupno 051-MINISTARSTVO PODUZETNIŠTVA I OBRTA</w:t>
            </w:r>
          </w:p>
        </w:tc>
        <w:tc>
          <w:tcPr>
            <w:tcW w:w="2322" w:type="dxa"/>
            <w:shd w:val="clear" w:color="auto" w:fill="B5C0D8"/>
          </w:tcPr>
          <w:p w:rsidR="00AC0832" w:rsidRDefault="00AC0832">
            <w:pPr>
              <w:pStyle w:val="CellColumn"/>
            </w:pPr>
            <w:r>
              <w:t>380.754.812</w:t>
            </w:r>
          </w:p>
        </w:tc>
        <w:tc>
          <w:tcPr>
            <w:tcW w:w="2322" w:type="dxa"/>
            <w:shd w:val="clear" w:color="auto" w:fill="B5C0D8"/>
          </w:tcPr>
          <w:p w:rsidR="00AC0832" w:rsidRDefault="00AC0832">
            <w:pPr>
              <w:pStyle w:val="CellColumn"/>
            </w:pPr>
            <w:r>
              <w:t>354.485.398</w:t>
            </w:r>
          </w:p>
        </w:tc>
        <w:tc>
          <w:tcPr>
            <w:tcW w:w="2322" w:type="dxa"/>
            <w:shd w:val="clear" w:color="auto" w:fill="B5C0D8"/>
          </w:tcPr>
          <w:p w:rsidR="00AC0832" w:rsidRDefault="00AC0832">
            <w:pPr>
              <w:pStyle w:val="CellColumn"/>
            </w:pPr>
            <w:r>
              <w:t>93,1</w:t>
            </w:r>
          </w:p>
        </w:tc>
      </w:tr>
    </w:tbl>
    <w:p w:rsidR="00AC0832" w:rsidRDefault="00AC0832">
      <w:pPr>
        <w:jc w:val="left"/>
      </w:pPr>
    </w:p>
    <w:p w:rsidR="00AC0832" w:rsidRDefault="00AC0832">
      <w:pPr>
        <w:pStyle w:val="Heading2"/>
      </w:pPr>
      <w:r>
        <w:t>05105 Ministarstvo poduzetništva i obrta</w:t>
      </w:r>
    </w:p>
    <w:p w:rsidR="00AC0832" w:rsidRDefault="00AC0832">
      <w:pPr>
        <w:pStyle w:val="Heading4"/>
      </w:pPr>
      <w:r>
        <w:t>Uvod</w:t>
      </w:r>
    </w:p>
    <w:p w:rsidR="00AC0832" w:rsidRDefault="00AC0832">
      <w:pPr>
        <w:pStyle w:val="Normal3"/>
      </w:pPr>
      <w:r>
        <w:t>Ministarstvo poduzetništva i obrta obavlja upravne i druge poslove koji se odnose na malo i srednje poduzetništvo; obrtništvo; zadrugarstvo; poticanje izvoza i stranih ulaganja, te unapređenja konkurentnosti u području maloga i srednjega poduzetništva; ravnomjerni regionalni razvoj poduzetništva; djelovanje instrumenata gospodarskog sustava i mjera gospodarske politike na razvoj obrtništva, zadrugarstva, malog i srednjeg poduzetništva, te poslovanje obrtnika i poduzetnika; poticanje primjene inovacija, novih tehnologija i osnivanja i poslovanja slobodnih i poduzetničkih zona u području maloga i srednjega poduzetništva; sustavno poticanje poduzetništva, djelovanje instrumenata gospodarskog sustava i mjera gospodarske politike na razvoj obrtništva, zadrugarstva, maloga i srednjega poduzetništva, te poslovanje obrtnika i poduzetnika; poticanje sudjelovanja malih i srednjih poduzetnika u poslovima javne nabave i javno-privatnog partnerstva; ostvarivanje međunarodne suradnje u području obrtništva, te maloga i srednjega poduzetništva; pripreme i provedbu strateških i operativnih dokumenata i programa za korištenje sredstava fondova Europske unije i ostalih međunarodnih izvora financiranja namijenjenih unapređenju konkurentnosti obrtništva, zadrugarstva, maloga i srednjega poduzetništva; pripremu i provedbu posebnih programa Vlade Republike Hrvatske u području ekonomskog razvoja i konkurentnosti obrtništva, zadrugarstva, malog i srednjeg poduzetništva.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05105-Ministarstvo poduzetništva i obrta</w:t>
            </w:r>
          </w:p>
        </w:tc>
        <w:tc>
          <w:tcPr>
            <w:tcW w:w="2322" w:type="dxa"/>
          </w:tcPr>
          <w:p w:rsidR="00AC0832" w:rsidRDefault="00AC0832">
            <w:pPr>
              <w:pStyle w:val="CellColumn"/>
            </w:pPr>
            <w:r>
              <w:t>316.534.112</w:t>
            </w:r>
          </w:p>
        </w:tc>
        <w:tc>
          <w:tcPr>
            <w:tcW w:w="2322" w:type="dxa"/>
          </w:tcPr>
          <w:p w:rsidR="00AC0832" w:rsidRDefault="00AC0832">
            <w:pPr>
              <w:pStyle w:val="CellColumn"/>
            </w:pPr>
            <w:r>
              <w:t>294.470.328</w:t>
            </w:r>
          </w:p>
        </w:tc>
        <w:tc>
          <w:tcPr>
            <w:tcW w:w="2322" w:type="dxa"/>
          </w:tcPr>
          <w:p w:rsidR="00AC0832" w:rsidRDefault="00AC0832">
            <w:pPr>
              <w:pStyle w:val="CellColumn"/>
            </w:pPr>
            <w:r>
              <w:t>93,0</w:t>
            </w:r>
          </w:p>
        </w:tc>
      </w:tr>
      <w:tr w:rsidR="00AC0832" w:rsidTr="00BE20ED">
        <w:trPr>
          <w:jc w:val="center"/>
        </w:trPr>
        <w:tc>
          <w:tcPr>
            <w:tcW w:w="2322" w:type="dxa"/>
          </w:tcPr>
          <w:p w:rsidR="00AC0832" w:rsidRDefault="00AC0832">
            <w:pPr>
              <w:pStyle w:val="CellColumnSmall"/>
            </w:pPr>
            <w:r>
              <w:t>3202-JAČANJE KONKURENTNOSTI MALOG I SREDNJEG PODUZETNIŠTVA</w:t>
            </w:r>
          </w:p>
        </w:tc>
        <w:tc>
          <w:tcPr>
            <w:tcW w:w="2322" w:type="dxa"/>
          </w:tcPr>
          <w:p w:rsidR="00AC0832" w:rsidRDefault="00AC0832">
            <w:pPr>
              <w:pStyle w:val="CellColumnSmall"/>
            </w:pPr>
            <w:r>
              <w:t>316.534.112</w:t>
            </w:r>
          </w:p>
        </w:tc>
        <w:tc>
          <w:tcPr>
            <w:tcW w:w="2322" w:type="dxa"/>
          </w:tcPr>
          <w:p w:rsidR="00AC0832" w:rsidRDefault="00AC0832">
            <w:pPr>
              <w:pStyle w:val="CellColumnSmall"/>
            </w:pPr>
            <w:r>
              <w:t>294.470.328</w:t>
            </w:r>
          </w:p>
        </w:tc>
        <w:tc>
          <w:tcPr>
            <w:tcW w:w="2322" w:type="dxa"/>
          </w:tcPr>
          <w:p w:rsidR="00AC0832" w:rsidRDefault="00AC0832">
            <w:pPr>
              <w:pStyle w:val="CellColumnSmall"/>
            </w:pPr>
            <w:r>
              <w:t>93,0</w:t>
            </w:r>
          </w:p>
        </w:tc>
      </w:tr>
    </w:tbl>
    <w:p w:rsidR="00AC0832" w:rsidRDefault="00AC0832">
      <w:pPr>
        <w:jc w:val="left"/>
      </w:pPr>
    </w:p>
    <w:p w:rsidR="00AC0832" w:rsidRDefault="00AC0832">
      <w:pPr>
        <w:pStyle w:val="Heading4"/>
      </w:pPr>
      <w:r>
        <w:t>OBRAZLOŽENJE PROGRAMA</w:t>
      </w:r>
    </w:p>
    <w:p w:rsidR="00AC0832" w:rsidRDefault="00AC0832">
      <w:pPr>
        <w:pStyle w:val="Heading5"/>
      </w:pPr>
      <w:r>
        <w:t>3202 JAČANJE KONKURENTNOSTI MALOG I SREDNJEG PODUZETNIŠTVA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3202-JAČANJE KONKURENTNOSTI MALOG I SREDNJEG PODUZETNIŠTVA</w:t>
            </w:r>
          </w:p>
        </w:tc>
        <w:tc>
          <w:tcPr>
            <w:tcW w:w="2322" w:type="dxa"/>
          </w:tcPr>
          <w:p w:rsidR="00AC0832" w:rsidRDefault="00AC0832">
            <w:pPr>
              <w:pStyle w:val="CellColumn"/>
            </w:pPr>
            <w:r>
              <w:t>316.534.112</w:t>
            </w:r>
          </w:p>
        </w:tc>
        <w:tc>
          <w:tcPr>
            <w:tcW w:w="2322" w:type="dxa"/>
          </w:tcPr>
          <w:p w:rsidR="00AC0832" w:rsidRDefault="00AC0832">
            <w:pPr>
              <w:pStyle w:val="CellColumn"/>
            </w:pPr>
            <w:r>
              <w:t>294.470.328</w:t>
            </w:r>
          </w:p>
        </w:tc>
        <w:tc>
          <w:tcPr>
            <w:tcW w:w="2322" w:type="dxa"/>
          </w:tcPr>
          <w:p w:rsidR="00AC0832" w:rsidRDefault="00AC0832">
            <w:pPr>
              <w:pStyle w:val="CellColumn"/>
            </w:pPr>
            <w:r>
              <w:t>93,0</w:t>
            </w:r>
          </w:p>
        </w:tc>
      </w:tr>
    </w:tbl>
    <w:p w:rsidR="00AC0832" w:rsidRDefault="00AC0832">
      <w:pPr>
        <w:jc w:val="left"/>
      </w:pPr>
    </w:p>
    <w:p w:rsidR="00AC0832" w:rsidRDefault="00AC0832">
      <w:pPr>
        <w:pStyle w:val="Heading6"/>
      </w:pPr>
      <w:r>
        <w:t>Opis programa</w:t>
      </w:r>
    </w:p>
    <w:p w:rsidR="00AC0832" w:rsidRDefault="00AC0832">
      <w:pPr>
        <w:pStyle w:val="Normal5"/>
      </w:pPr>
      <w:r>
        <w:t xml:space="preserve">Ovim programom se provodi Program poticanja malog i srednjeg poduzetništva  te, stvaranje uvjeta za razvoj malog i srednjeg poduzetništva zahtijeva usklađenu državnu politiku kojom se obuhvaćaju aktivnosti različitih područja. Ključ razvitka poduzetničke klime je sustavna, koordinirana i dosljedna provedba gospodarske politike za poticanje poduzetništva. </w:t>
      </w:r>
    </w:p>
    <w:p w:rsidR="00AC0832" w:rsidRDefault="00AC0832">
      <w:pPr>
        <w:pStyle w:val="Normal5"/>
      </w:pPr>
      <w:r>
        <w:t xml:space="preserve">Cilj jačanja konkurentnosti malog gospodarstva ostvaruje se kroz  mjere i poticajne instrumente za jačanje konkurentnosti poduzetništva i obrtništva, poticanje razvojnih i inovacijskih projekata, te umrežavanja malih i srednjih poduzetnika i međunarodne konkurentnosti. Planiranim poticajnim mjerama obuhvaćene su nove tehnologije, poticaji za jačanje međunarodne konkurentnosti, najuspješniji - gazele, normizacija i znakovi kvalitete, razvoj i primjena inovacija, klasteri, franšizno poslovanje, sajmovi i marketing, žene poduzetnice, mladi u poduzetništvu, poduzetnici početnici, poduzetništvo u kulturi i socijalno poduzetništvo, zadružno poduzetništvo i obrtništvo. </w:t>
      </w:r>
    </w:p>
    <w:p w:rsidR="00AC0832" w:rsidRDefault="00AC0832">
      <w:pPr>
        <w:pStyle w:val="Normal5"/>
      </w:pPr>
      <w:r>
        <w:t xml:space="preserve">Ciljevi prate Program Vlade RH za mandat od 2011.-2015. godine kojim su utvrđene  smjernice da se u kratkom roku gospodarsku politiku usmjeriti prema stvaranju povoljnijih uvjeta za rast investicija i povećanje konkurentnosti hrvatskoga gospodarstva. Malom i srednjem poduzetništvu i obrtništvu je u Programu posvećena naročita pozornost imajući na umu činjenicu da u Hrvatskoj malo i srednje poduzetništvo čini više od 99% ukupnog gospodarstva. U Programu Vlade RH za mandat od 2011.-2013. godine su mjere poticanja konkurentnosti poduzetništva i obrtništva u tri glavna područja i to: </w:t>
      </w:r>
    </w:p>
    <w:p w:rsidR="00AC0832" w:rsidRDefault="00AC0832">
      <w:pPr>
        <w:pStyle w:val="Normal5"/>
      </w:pPr>
      <w:r>
        <w:t>-</w:t>
      </w:r>
      <w:r>
        <w:tab/>
        <w:t xml:space="preserve">Gospodarski oporavak i razvoj poduzetništva,  </w:t>
      </w:r>
    </w:p>
    <w:p w:rsidR="00AC0832" w:rsidRDefault="00AC0832">
      <w:pPr>
        <w:pStyle w:val="Normal5"/>
      </w:pPr>
      <w:r>
        <w:t>-</w:t>
      </w:r>
      <w:r>
        <w:tab/>
        <w:t xml:space="preserve">Tehnološki razvoj i jačanje konkurentnosti i  </w:t>
      </w:r>
    </w:p>
    <w:p w:rsidR="00AC0832" w:rsidRDefault="00AC0832">
      <w:pPr>
        <w:pStyle w:val="Normal5"/>
      </w:pPr>
      <w:r>
        <w:t>-</w:t>
      </w:r>
      <w:r>
        <w:tab/>
        <w:t xml:space="preserve">Regionalni razvoj i korištenje fondova EU. </w:t>
      </w:r>
    </w:p>
    <w:p w:rsidR="00AC0832" w:rsidRDefault="00AC0832">
      <w:pPr>
        <w:pStyle w:val="Normal5"/>
      </w:pPr>
      <w:r>
        <w:t xml:space="preserve">Za osnaživanje gospodarske konkurentnosti prioritetno je stvaranje uvjeta za produktivnije poslovanje poduzetnika. Poticaji za osnivanje i potpora  za brzo rastuće djelatnosti, povećanje udjela gospodarskih subjekata temeljenih na visokim tehnologijama, povećanje ukupnih ulaganja u gospodarstvo, podizanje ukupne razine gospodarstva i izvoz temelji su većeg zapošljavanja i konkurentnosti.  Konkurentnost je i cjeloživotno obrazovanje za poduzetništvo i strukovno obrazovanje sukladno potrebama gospodarstva, te fleksibilni oblici zapošljavanja.    </w:t>
      </w:r>
    </w:p>
    <w:p w:rsidR="00AC0832" w:rsidRDefault="00AC0832">
      <w:pPr>
        <w:pStyle w:val="Normal5"/>
      </w:pPr>
      <w:r>
        <w:t xml:space="preserve">Podaci o gospodarskoj aktivnosti na županijskom nivou, mjereno u odnosu na registrirane gospodarske subjekte, pokazuje velike regionalne nejednakosti i koncentraciju malih i srednjih poduzeća u nekoliko velikih urbanih središta i njihovoj okolici. Gospodarska aktivnost je iz tog razloga u velikoj mjeri povezana s velikih urbanim središtima (Zagreb, Split, Rijeka) i područjima koja gravitiraju prema njima. Gospodarski instrumenti poticanja razvoja poduzetništva i obrta kojima je cilj ravnomjeran regionalni razvoj programirati će se dugoročnije i kroz sredstva i fondove EU.  </w:t>
      </w:r>
    </w:p>
    <w:p w:rsidR="00AC0832" w:rsidRDefault="00AC0832">
      <w:pPr>
        <w:pStyle w:val="Normal5"/>
      </w:pPr>
      <w:r>
        <w:t xml:space="preserve">Sukladno Planu poticanja poduzetništva za 2012. godinu „Poduzetnički impuls“, Ministarstvo poduzetništva i obrta, u cilju jačanja konkurentnosti poduzetništva i obrtništva, poticanja razvojnih i inovacijskih projekata, ulaganja u nove tehnologije te umrežavanja malih i srednjih poduzetnika, provesti će 25 mjera bespovratnih potpora. „Poduzetnički impuls“ obuhvaća sljedeća programska područja:  </w:t>
      </w:r>
    </w:p>
    <w:p w:rsidR="00AC0832" w:rsidRDefault="00AC0832">
      <w:pPr>
        <w:pStyle w:val="Normal5"/>
      </w:pPr>
      <w:r>
        <w:t>-</w:t>
      </w:r>
      <w:r>
        <w:tab/>
        <w:t xml:space="preserve">Konkurentno poduzetništvo,  </w:t>
      </w:r>
    </w:p>
    <w:p w:rsidR="00AC0832" w:rsidRDefault="00AC0832">
      <w:pPr>
        <w:pStyle w:val="Normal5"/>
      </w:pPr>
      <w:r>
        <w:t>-</w:t>
      </w:r>
      <w:r>
        <w:tab/>
        <w:t xml:space="preserve">Povoljno financiranje i jamstva,  </w:t>
      </w:r>
    </w:p>
    <w:p w:rsidR="00AC0832" w:rsidRDefault="00AC0832">
      <w:pPr>
        <w:pStyle w:val="Normal5"/>
      </w:pPr>
      <w:r>
        <w:t>-</w:t>
      </w:r>
      <w:r>
        <w:tab/>
        <w:t xml:space="preserve">Obrazovanje za poduzetništvo i obrtništvo,  </w:t>
      </w:r>
    </w:p>
    <w:p w:rsidR="00AC0832" w:rsidRDefault="00AC0832">
      <w:pPr>
        <w:pStyle w:val="Normal5"/>
      </w:pPr>
      <w:r>
        <w:t>-</w:t>
      </w:r>
      <w:r>
        <w:tab/>
        <w:t xml:space="preserve">Unaprjeđenje poduzetničke infrastrukture </w:t>
      </w:r>
    </w:p>
    <w:p w:rsidR="00AC0832" w:rsidRDefault="00AC0832">
      <w:pPr>
        <w:pStyle w:val="Normal5"/>
      </w:pPr>
      <w:r>
        <w:t>-</w:t>
      </w:r>
      <w:r>
        <w:tab/>
        <w:t xml:space="preserve">EU projekti i </w:t>
      </w:r>
    </w:p>
    <w:p w:rsidR="00AC0832" w:rsidRDefault="00AC0832">
      <w:pPr>
        <w:pStyle w:val="Normal5"/>
      </w:pPr>
      <w:r>
        <w:t>-</w:t>
      </w:r>
      <w:r>
        <w:tab/>
        <w:t xml:space="preserve">Institucionalna podrška razvoju poduzetništva i obrta </w:t>
      </w:r>
    </w:p>
    <w:p w:rsidR="00AC0832" w:rsidRDefault="00AC0832">
      <w:pPr>
        <w:pStyle w:val="Normal5"/>
      </w:pPr>
      <w:r>
        <w:t>Pozitivan utjecaj sustava potpora ocjenjuje se temeljem informacija iz više izvora i sustava, a objedinjuje se kroz Registar potpora malog gospodarstva koji je osnovan kao baza podataka u Ministarstvu poduzetništva i obrta.</w:t>
      </w:r>
    </w:p>
    <w:p w:rsidR="00AC0832" w:rsidRDefault="00AC0832">
      <w:pPr>
        <w:pStyle w:val="Heading6"/>
      </w:pPr>
      <w:r>
        <w:t>Zakonske i druge pravne osnove</w:t>
      </w:r>
    </w:p>
    <w:p w:rsidR="00AC0832" w:rsidRDefault="00AC0832">
      <w:pPr>
        <w:pStyle w:val="Normal5"/>
      </w:pPr>
      <w:r>
        <w:t>-</w:t>
      </w:r>
      <w:r>
        <w:tab/>
        <w:t xml:space="preserve">Zakon o poticanju razvoja malog gospodarstva (NN 29/02) i Zakon o izmjenama i dopunama Zakona o poticanju razvoja malog gospodarstva (NN 63/07); </w:t>
      </w:r>
    </w:p>
    <w:p w:rsidR="00AC0832" w:rsidRDefault="00AC0832">
      <w:pPr>
        <w:pStyle w:val="Normal5"/>
      </w:pPr>
      <w:r>
        <w:t>-</w:t>
      </w:r>
      <w:r>
        <w:tab/>
        <w:t xml:space="preserve">Zakon o poticanju ulaganja i izmjene i dopune (NN 138/06, 61/2011) </w:t>
      </w:r>
    </w:p>
    <w:p w:rsidR="00AC0832" w:rsidRDefault="00AC0832">
      <w:pPr>
        <w:pStyle w:val="Normal5"/>
      </w:pPr>
      <w:r>
        <w:t>-</w:t>
      </w:r>
      <w:r>
        <w:tab/>
        <w:t xml:space="preserve">Zakon o državnim potporama (NN 140/2005);  </w:t>
      </w:r>
    </w:p>
    <w:p w:rsidR="00AC0832" w:rsidRDefault="00AC0832">
      <w:pPr>
        <w:pStyle w:val="Normal5"/>
      </w:pPr>
      <w:r>
        <w:t>-</w:t>
      </w:r>
      <w:r>
        <w:tab/>
        <w:t xml:space="preserve">Uredba o državnim potporama (50/2006); </w:t>
      </w:r>
    </w:p>
    <w:p w:rsidR="00AC0832" w:rsidRDefault="00AC0832">
      <w:pPr>
        <w:pStyle w:val="Normal5"/>
      </w:pPr>
      <w:r>
        <w:t>-</w:t>
      </w:r>
      <w:r>
        <w:tab/>
        <w:t xml:space="preserve">Odluka o objavljivanju pravila o potporama male vrijednosti (NN 45/2007);  </w:t>
      </w:r>
    </w:p>
    <w:p w:rsidR="00AC0832" w:rsidRDefault="00AC0832">
      <w:pPr>
        <w:pStyle w:val="Normal5"/>
      </w:pPr>
      <w:r>
        <w:t>-</w:t>
      </w:r>
      <w:r>
        <w:tab/>
        <w:t xml:space="preserve">Odluka o objavljivanju popisa pravila o državnim potporama (NN 012/2009); </w:t>
      </w:r>
    </w:p>
    <w:p w:rsidR="00AC0832" w:rsidRDefault="00AC0832">
      <w:pPr>
        <w:pStyle w:val="Normal5"/>
      </w:pPr>
      <w:r>
        <w:t>-</w:t>
      </w:r>
      <w:r>
        <w:tab/>
        <w:t xml:space="preserve">Plan poticanja poduzetništva za 2012. godinu „Poduzetnički impuls“;  </w:t>
      </w:r>
    </w:p>
    <w:p w:rsidR="00AC0832" w:rsidRDefault="00AC0832">
      <w:pPr>
        <w:pStyle w:val="Normal5"/>
      </w:pPr>
      <w:r>
        <w:t>-</w:t>
      </w:r>
      <w:r>
        <w:tab/>
        <w:t xml:space="preserve">Program poticanja međunarodne konkurentnosti i internacionalizacije gospodarstva Republike Hrvatske 2010.-2012. </w:t>
      </w:r>
    </w:p>
    <w:p w:rsidR="00AC0832" w:rsidRDefault="00AC0832">
      <w:pPr>
        <w:pStyle w:val="Normal5"/>
      </w:pPr>
      <w:r>
        <w:t>-</w:t>
      </w:r>
      <w:r>
        <w:tab/>
        <w:t xml:space="preserve">Strategija razvoja klastera u Republici Hrvatskoj 2011.-2020. </w:t>
      </w:r>
    </w:p>
    <w:p w:rsidR="00AC0832" w:rsidRDefault="00AC0832">
      <w:pPr>
        <w:pStyle w:val="Normal5"/>
      </w:pPr>
      <w:r>
        <w:t>-</w:t>
      </w:r>
      <w:r>
        <w:tab/>
        <w:t xml:space="preserve">Strategija razvoja ženskog poduzetništva u RH 2010.-2013. i Akcijski plan za provedbu Strategije </w:t>
      </w:r>
    </w:p>
    <w:p w:rsidR="00AC0832" w:rsidRDefault="00AC0832">
      <w:pPr>
        <w:pStyle w:val="Normal5"/>
      </w:pPr>
      <w:r>
        <w:t>-</w:t>
      </w:r>
      <w:r>
        <w:tab/>
        <w:t>Strategija učenja za poduzetništvo 2010.-2014.</w:t>
      </w:r>
    </w:p>
    <w:p w:rsidR="00AC0832" w:rsidRDefault="00AC0832">
      <w:pPr>
        <w:pStyle w:val="Heading7"/>
      </w:pPr>
      <w:r>
        <w:t>Cilj 1. Jačanje konkurentnosti hrvatskog poduzetništva</w:t>
      </w:r>
    </w:p>
    <w:p w:rsidR="00AC0832" w:rsidRDefault="00AC0832">
      <w:pPr>
        <w:pStyle w:val="Heading8"/>
        <w:jc w:val="left"/>
      </w:pPr>
      <w:r>
        <w:t>Opis provedbe cilja programa</w:t>
      </w:r>
    </w:p>
    <w:p w:rsidR="00AC0832" w:rsidRDefault="00AC0832">
      <w:pPr>
        <w:pStyle w:val="Normal6"/>
      </w:pPr>
      <w:r>
        <w:t xml:space="preserve">Jačanju konkurentnosti hrvatskog malog i srednjeg poduzetništva se dugoročno teži kako bi se u kratkom roku stvorili povoljni uvjeti za rast investicija i povećanje konkurentnosti. Konkurentnost i tržišni položaj malih i srednjih gospodarskih subjekata izravno zavisi o poslovnom okruženju, o olakšavanju poreznog tereta smanjenjem poreza i drugih davanja, o poticajima za povećanje zaposlenosti i jačanje sustava socijalne sigurnosti, o smanjenju troškova države, te o povećanju udjela znanosti, inovacija i novih tehnologija u poduzetništvu uključiv i inovacije u uslužnom sektoru. Sustav poticaja poduzetništva i obrta obuhvaća potpore za osnivanje proizvodnih gospodarskih subjekata i za brzo rastuće djelatnosti kojima je cilj povećanje udjela gospodarstva temeljenog na visokim tehnologijama, potpore za povećanje ukupnih ulaganja u razvojne projekte malog i srednjeg poduzetništva, podizanje ukupne razine gospodarskih djelatnosti kojima su poslovni rezultat novi proizvodi i nove vrijednosti, te izvoz uz primjenu EU i međunarodnih normi.   Poticanjem razvoja malog i srednjeg poduzetništva kroz projekte i mjere,  potiče se gospodarske subjekte na primjenu novih tehnologija i prijenos znanja (know-how),  uvođenje međunarodnih standarda, marketinške aktivnosti i sudjelovanje na sajmovima i gospodarskim manifestacijama te na zaštitu intelektualnog i industrijskog vlasništva. </w:t>
      </w:r>
    </w:p>
    <w:p w:rsidR="00AC0832" w:rsidRDefault="00AC0832">
      <w:pPr>
        <w:pStyle w:val="Normal6"/>
      </w:pPr>
      <w:r>
        <w:t>Ministarstvo poduzetništva i obrta u okviru postojećeg sustava poticajnih mjera za ulaganja (ZPU), odobrava potpore za opravdane troškove otvaranja novih radnih mjesta povezanih s ulaganjem te kontinuirano prati visinu odobrenih  i isplaćenih bespovratnih novčanih potpora za otvaranje novih radnih mjesta povezanih s ulaganjem. Rezultat primjene postojećeg sustava poticajnih mjera za ulaganja je povećanje zaposlenosti i daljnji gospodarski razvoj.</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30"/>
        <w:gridCol w:w="1729"/>
        <w:gridCol w:w="1015"/>
        <w:gridCol w:w="1114"/>
        <w:gridCol w:w="1417"/>
        <w:gridCol w:w="1114"/>
        <w:gridCol w:w="116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potpora za nove tehnologije</w:t>
            </w:r>
          </w:p>
        </w:tc>
        <w:tc>
          <w:tcPr>
            <w:tcW w:w="1300" w:type="dxa"/>
          </w:tcPr>
          <w:p w:rsidR="00AC0832" w:rsidRDefault="00AC0832">
            <w:pPr>
              <w:pStyle w:val="CellColumn"/>
            </w:pPr>
            <w:r>
              <w:t>Broj potpora za nove tehnologije</w:t>
            </w:r>
          </w:p>
        </w:tc>
        <w:tc>
          <w:tcPr>
            <w:tcW w:w="1300" w:type="dxa"/>
          </w:tcPr>
          <w:p w:rsidR="00AC0832" w:rsidRDefault="00AC0832">
            <w:pPr>
              <w:pStyle w:val="CellColumn"/>
            </w:pPr>
            <w:r>
              <w:t>Broj</w:t>
            </w:r>
          </w:p>
        </w:tc>
        <w:tc>
          <w:tcPr>
            <w:tcW w:w="1300" w:type="dxa"/>
          </w:tcPr>
          <w:p w:rsidR="00AC0832" w:rsidRDefault="00AC0832">
            <w:pPr>
              <w:pStyle w:val="CellColumn"/>
            </w:pPr>
            <w:r>
              <w:t>90</w:t>
            </w:r>
          </w:p>
        </w:tc>
        <w:tc>
          <w:tcPr>
            <w:tcW w:w="1300" w:type="dxa"/>
          </w:tcPr>
          <w:p w:rsidR="00AC0832" w:rsidRDefault="00AC0832">
            <w:pPr>
              <w:pStyle w:val="CellColumn"/>
            </w:pPr>
            <w:r>
              <w:t>Registar potpora malom gospodarstvu</w:t>
            </w:r>
          </w:p>
        </w:tc>
        <w:tc>
          <w:tcPr>
            <w:tcW w:w="1300" w:type="dxa"/>
          </w:tcPr>
          <w:p w:rsidR="00AC0832" w:rsidRDefault="00AC0832">
            <w:pPr>
              <w:pStyle w:val="CellColumn"/>
            </w:pPr>
            <w:r>
              <w:t>90</w:t>
            </w:r>
          </w:p>
        </w:tc>
        <w:tc>
          <w:tcPr>
            <w:tcW w:w="1300" w:type="dxa"/>
          </w:tcPr>
          <w:p w:rsidR="00AC0832" w:rsidRDefault="00AC0832">
            <w:pPr>
              <w:pStyle w:val="CellColumn"/>
            </w:pPr>
            <w:r>
              <w:t>59</w:t>
            </w:r>
          </w:p>
        </w:tc>
      </w:tr>
      <w:tr w:rsidR="00AC0832" w:rsidTr="00BE20ED">
        <w:trPr>
          <w:jc w:val="center"/>
        </w:trPr>
        <w:tc>
          <w:tcPr>
            <w:tcW w:w="1300" w:type="dxa"/>
          </w:tcPr>
          <w:p w:rsidR="00AC0832" w:rsidRDefault="00AC0832">
            <w:pPr>
              <w:pStyle w:val="CellColumn"/>
            </w:pPr>
            <w:r>
              <w:t>Broj zaštita intelektualnog i industrijskog vlasništva i drugih certifikata</w:t>
            </w:r>
          </w:p>
        </w:tc>
        <w:tc>
          <w:tcPr>
            <w:tcW w:w="1300" w:type="dxa"/>
          </w:tcPr>
          <w:p w:rsidR="00AC0832" w:rsidRDefault="00AC0832">
            <w:pPr>
              <w:pStyle w:val="CellColumn"/>
            </w:pPr>
            <w:r>
              <w:t>Broj zaštita intelektualnog i industrijskog vlasništva i drugih certifikata</w:t>
            </w:r>
          </w:p>
        </w:tc>
        <w:tc>
          <w:tcPr>
            <w:tcW w:w="1300" w:type="dxa"/>
          </w:tcPr>
          <w:p w:rsidR="00AC0832" w:rsidRDefault="00AC0832">
            <w:pPr>
              <w:pStyle w:val="CellColumn"/>
            </w:pPr>
            <w:r>
              <w:t>Broj</w:t>
            </w:r>
          </w:p>
        </w:tc>
        <w:tc>
          <w:tcPr>
            <w:tcW w:w="1300" w:type="dxa"/>
          </w:tcPr>
          <w:p w:rsidR="00AC0832" w:rsidRDefault="00AC0832">
            <w:pPr>
              <w:pStyle w:val="CellColumn"/>
            </w:pPr>
            <w:r>
              <w:t>160</w:t>
            </w:r>
          </w:p>
        </w:tc>
        <w:tc>
          <w:tcPr>
            <w:tcW w:w="1300" w:type="dxa"/>
          </w:tcPr>
          <w:p w:rsidR="00AC0832" w:rsidRDefault="00AC0832">
            <w:pPr>
              <w:pStyle w:val="CellColumn"/>
            </w:pPr>
            <w:r>
              <w:t>Registar potpora malom gospodarstvu</w:t>
            </w:r>
          </w:p>
        </w:tc>
        <w:tc>
          <w:tcPr>
            <w:tcW w:w="1300" w:type="dxa"/>
          </w:tcPr>
          <w:p w:rsidR="00AC0832" w:rsidRDefault="00AC0832">
            <w:pPr>
              <w:pStyle w:val="CellColumn"/>
            </w:pPr>
            <w:r>
              <w:t>160</w:t>
            </w:r>
          </w:p>
        </w:tc>
        <w:tc>
          <w:tcPr>
            <w:tcW w:w="1300" w:type="dxa"/>
          </w:tcPr>
          <w:p w:rsidR="00AC0832" w:rsidRDefault="00AC0832">
            <w:pPr>
              <w:pStyle w:val="CellColumn"/>
            </w:pPr>
            <w:r>
              <w:t>159</w:t>
            </w:r>
          </w:p>
        </w:tc>
      </w:tr>
      <w:tr w:rsidR="00AC0832" w:rsidTr="00BE20ED">
        <w:trPr>
          <w:jc w:val="center"/>
        </w:trPr>
        <w:tc>
          <w:tcPr>
            <w:tcW w:w="1300" w:type="dxa"/>
          </w:tcPr>
          <w:p w:rsidR="00AC0832" w:rsidRDefault="00AC0832">
            <w:pPr>
              <w:pStyle w:val="CellColumn"/>
            </w:pPr>
            <w:r>
              <w:t>Broj novih ili poboljšanih proizvoda/usluga</w:t>
            </w:r>
          </w:p>
        </w:tc>
        <w:tc>
          <w:tcPr>
            <w:tcW w:w="1300" w:type="dxa"/>
          </w:tcPr>
          <w:p w:rsidR="00AC0832" w:rsidRDefault="00AC0832">
            <w:pPr>
              <w:pStyle w:val="CellColumn"/>
            </w:pPr>
            <w:r>
              <w:t>Broj novih ili poboljšanih proizvoda/usluga</w:t>
            </w:r>
          </w:p>
        </w:tc>
        <w:tc>
          <w:tcPr>
            <w:tcW w:w="1300" w:type="dxa"/>
          </w:tcPr>
          <w:p w:rsidR="00AC0832" w:rsidRDefault="00AC0832">
            <w:pPr>
              <w:pStyle w:val="CellColumn"/>
            </w:pPr>
            <w:r>
              <w:t>Broj</w:t>
            </w:r>
          </w:p>
        </w:tc>
        <w:tc>
          <w:tcPr>
            <w:tcW w:w="1300" w:type="dxa"/>
          </w:tcPr>
          <w:p w:rsidR="00AC0832" w:rsidRDefault="00AC0832">
            <w:pPr>
              <w:pStyle w:val="CellColumn"/>
            </w:pPr>
            <w:r>
              <w:t>120</w:t>
            </w:r>
          </w:p>
        </w:tc>
        <w:tc>
          <w:tcPr>
            <w:tcW w:w="1300" w:type="dxa"/>
          </w:tcPr>
          <w:p w:rsidR="00AC0832" w:rsidRDefault="00AC0832">
            <w:pPr>
              <w:pStyle w:val="CellColumn"/>
            </w:pPr>
            <w:r>
              <w:t>Registar potpora malom gospodarstvu</w:t>
            </w:r>
          </w:p>
        </w:tc>
        <w:tc>
          <w:tcPr>
            <w:tcW w:w="1300" w:type="dxa"/>
          </w:tcPr>
          <w:p w:rsidR="00AC0832" w:rsidRDefault="00AC0832">
            <w:pPr>
              <w:pStyle w:val="CellColumn"/>
            </w:pPr>
            <w:r>
              <w:t>120</w:t>
            </w:r>
          </w:p>
        </w:tc>
        <w:tc>
          <w:tcPr>
            <w:tcW w:w="1300" w:type="dxa"/>
          </w:tcPr>
          <w:p w:rsidR="00AC0832" w:rsidRDefault="00AC0832">
            <w:pPr>
              <w:pStyle w:val="CellColumn"/>
            </w:pPr>
            <w:r>
              <w:t>96</w:t>
            </w:r>
          </w:p>
        </w:tc>
      </w:tr>
      <w:tr w:rsidR="00AC0832" w:rsidTr="00BE20ED">
        <w:trPr>
          <w:jc w:val="center"/>
        </w:trPr>
        <w:tc>
          <w:tcPr>
            <w:tcW w:w="1300" w:type="dxa"/>
          </w:tcPr>
          <w:p w:rsidR="00AC0832" w:rsidRDefault="00AC0832">
            <w:pPr>
              <w:pStyle w:val="CellColumn"/>
            </w:pPr>
            <w:r>
              <w:t>Broj korisnika potpora poslovno najuspješnijih subjekat - Gazela</w:t>
            </w:r>
          </w:p>
        </w:tc>
        <w:tc>
          <w:tcPr>
            <w:tcW w:w="1300" w:type="dxa"/>
          </w:tcPr>
          <w:p w:rsidR="00AC0832" w:rsidRDefault="00AC0832">
            <w:pPr>
              <w:pStyle w:val="CellColumn"/>
            </w:pPr>
            <w:r>
              <w:t>Broj korisnika potpora poslovno najuspješnijih subjekat - Gazela</w:t>
            </w:r>
          </w:p>
        </w:tc>
        <w:tc>
          <w:tcPr>
            <w:tcW w:w="1300" w:type="dxa"/>
          </w:tcPr>
          <w:p w:rsidR="00AC0832" w:rsidRDefault="00AC0832">
            <w:pPr>
              <w:pStyle w:val="CellColumn"/>
            </w:pPr>
            <w:r>
              <w:t>Broj</w:t>
            </w:r>
          </w:p>
        </w:tc>
        <w:tc>
          <w:tcPr>
            <w:tcW w:w="1300" w:type="dxa"/>
          </w:tcPr>
          <w:p w:rsidR="00AC0832" w:rsidRDefault="00AC0832">
            <w:pPr>
              <w:pStyle w:val="CellColumn"/>
            </w:pPr>
            <w:r>
              <w:t>15</w:t>
            </w:r>
          </w:p>
        </w:tc>
        <w:tc>
          <w:tcPr>
            <w:tcW w:w="1300" w:type="dxa"/>
          </w:tcPr>
          <w:p w:rsidR="00AC0832" w:rsidRDefault="00AC0832">
            <w:pPr>
              <w:pStyle w:val="CellColumn"/>
            </w:pPr>
            <w:r>
              <w:t>Registar potpora malom gospodarstvu</w:t>
            </w:r>
          </w:p>
        </w:tc>
        <w:tc>
          <w:tcPr>
            <w:tcW w:w="1300" w:type="dxa"/>
          </w:tcPr>
          <w:p w:rsidR="00AC0832" w:rsidRDefault="00AC0832">
            <w:pPr>
              <w:pStyle w:val="CellColumn"/>
            </w:pPr>
            <w:r>
              <w:t>15</w:t>
            </w:r>
          </w:p>
        </w:tc>
        <w:tc>
          <w:tcPr>
            <w:tcW w:w="1300" w:type="dxa"/>
          </w:tcPr>
          <w:p w:rsidR="00AC0832" w:rsidRDefault="00AC0832">
            <w:pPr>
              <w:pStyle w:val="CellColumn"/>
            </w:pPr>
            <w:r>
              <w:t>10</w:t>
            </w:r>
          </w:p>
        </w:tc>
      </w:tr>
      <w:tr w:rsidR="00AC0832" w:rsidTr="00BE20ED">
        <w:trPr>
          <w:jc w:val="center"/>
        </w:trPr>
        <w:tc>
          <w:tcPr>
            <w:tcW w:w="1300" w:type="dxa"/>
          </w:tcPr>
          <w:p w:rsidR="00AC0832" w:rsidRDefault="00AC0832">
            <w:pPr>
              <w:pStyle w:val="CellColumn"/>
            </w:pPr>
            <w:r>
              <w:t>Broj novih i osnovanih održivih klastera</w:t>
            </w:r>
          </w:p>
        </w:tc>
        <w:tc>
          <w:tcPr>
            <w:tcW w:w="1300" w:type="dxa"/>
          </w:tcPr>
          <w:p w:rsidR="00AC0832" w:rsidRDefault="00AC0832">
            <w:pPr>
              <w:pStyle w:val="CellColumn"/>
            </w:pPr>
            <w:r>
              <w:t>Broj novih i osnovanih održivih klastera</w:t>
            </w:r>
          </w:p>
        </w:tc>
        <w:tc>
          <w:tcPr>
            <w:tcW w:w="1300" w:type="dxa"/>
          </w:tcPr>
          <w:p w:rsidR="00AC0832" w:rsidRDefault="00AC0832">
            <w:pPr>
              <w:pStyle w:val="CellColumn"/>
            </w:pPr>
            <w:r>
              <w:t>Broj</w:t>
            </w:r>
          </w:p>
        </w:tc>
        <w:tc>
          <w:tcPr>
            <w:tcW w:w="1300" w:type="dxa"/>
          </w:tcPr>
          <w:p w:rsidR="00AC0832" w:rsidRDefault="00AC0832">
            <w:pPr>
              <w:pStyle w:val="CellColumn"/>
            </w:pPr>
            <w:r>
              <w:t>30</w:t>
            </w:r>
          </w:p>
        </w:tc>
        <w:tc>
          <w:tcPr>
            <w:tcW w:w="1300" w:type="dxa"/>
          </w:tcPr>
          <w:p w:rsidR="00AC0832" w:rsidRDefault="00AC0832">
            <w:pPr>
              <w:pStyle w:val="CellColumn"/>
            </w:pPr>
            <w:r>
              <w:t>Registar potpora malom gospodarstvu</w:t>
            </w:r>
          </w:p>
        </w:tc>
        <w:tc>
          <w:tcPr>
            <w:tcW w:w="1300" w:type="dxa"/>
          </w:tcPr>
          <w:p w:rsidR="00AC0832" w:rsidRDefault="00AC0832">
            <w:pPr>
              <w:pStyle w:val="CellColumn"/>
            </w:pPr>
            <w:r>
              <w:t>30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Broj inkubacija</w:t>
            </w:r>
          </w:p>
        </w:tc>
        <w:tc>
          <w:tcPr>
            <w:tcW w:w="1300" w:type="dxa"/>
          </w:tcPr>
          <w:p w:rsidR="00AC0832" w:rsidRDefault="00AC0832">
            <w:pPr>
              <w:pStyle w:val="CellColumn"/>
            </w:pPr>
            <w:r>
              <w:t>Broj inkubacija</w:t>
            </w:r>
          </w:p>
        </w:tc>
        <w:tc>
          <w:tcPr>
            <w:tcW w:w="1300" w:type="dxa"/>
          </w:tcPr>
          <w:p w:rsidR="00AC0832" w:rsidRDefault="00AC0832">
            <w:pPr>
              <w:pStyle w:val="CellColumn"/>
            </w:pPr>
            <w:r>
              <w:t>Broj</w:t>
            </w:r>
          </w:p>
        </w:tc>
        <w:tc>
          <w:tcPr>
            <w:tcW w:w="1300" w:type="dxa"/>
          </w:tcPr>
          <w:p w:rsidR="00AC0832" w:rsidRDefault="00AC0832">
            <w:pPr>
              <w:pStyle w:val="CellColumn"/>
            </w:pPr>
            <w:r>
              <w:t>200</w:t>
            </w:r>
          </w:p>
        </w:tc>
        <w:tc>
          <w:tcPr>
            <w:tcW w:w="1300" w:type="dxa"/>
          </w:tcPr>
          <w:p w:rsidR="00AC0832" w:rsidRDefault="00AC0832">
            <w:pPr>
              <w:pStyle w:val="CellColumn"/>
            </w:pPr>
            <w:r>
              <w:t>Registar potpora malom gospodarstvu</w:t>
            </w:r>
          </w:p>
        </w:tc>
        <w:tc>
          <w:tcPr>
            <w:tcW w:w="1300" w:type="dxa"/>
          </w:tcPr>
          <w:p w:rsidR="00AC0832" w:rsidRDefault="00AC0832">
            <w:pPr>
              <w:pStyle w:val="CellColumn"/>
            </w:pPr>
            <w:r>
              <w:t>200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Broj nastupa hrvatskih tvrtki na inozemnim sajmovima, izvoznih proizvoda i izvoznih ugovora</w:t>
            </w:r>
          </w:p>
        </w:tc>
        <w:tc>
          <w:tcPr>
            <w:tcW w:w="1300" w:type="dxa"/>
          </w:tcPr>
          <w:p w:rsidR="00AC0832" w:rsidRDefault="00AC0832">
            <w:pPr>
              <w:pStyle w:val="CellColumn"/>
            </w:pPr>
            <w:r>
              <w:t>Broj nastupa hrvatskih tvrtki na inozemnim sajmovima, izvoznih proizvoda i izvoznih ugovora</w:t>
            </w:r>
          </w:p>
        </w:tc>
        <w:tc>
          <w:tcPr>
            <w:tcW w:w="1300" w:type="dxa"/>
          </w:tcPr>
          <w:p w:rsidR="00AC0832" w:rsidRDefault="00AC0832">
            <w:pPr>
              <w:pStyle w:val="CellColumn"/>
            </w:pPr>
            <w:r>
              <w:t>Broj</w:t>
            </w:r>
          </w:p>
        </w:tc>
        <w:tc>
          <w:tcPr>
            <w:tcW w:w="1300" w:type="dxa"/>
          </w:tcPr>
          <w:p w:rsidR="00AC0832" w:rsidRDefault="00AC0832">
            <w:pPr>
              <w:pStyle w:val="CellColumn"/>
            </w:pPr>
            <w:r>
              <w:t>175</w:t>
            </w:r>
          </w:p>
        </w:tc>
        <w:tc>
          <w:tcPr>
            <w:tcW w:w="1300" w:type="dxa"/>
          </w:tcPr>
          <w:p w:rsidR="00AC0832" w:rsidRDefault="00AC0832">
            <w:pPr>
              <w:pStyle w:val="CellColumn"/>
            </w:pPr>
            <w:r>
              <w:t>Registar potpora malom gospodarstvu</w:t>
            </w:r>
          </w:p>
        </w:tc>
        <w:tc>
          <w:tcPr>
            <w:tcW w:w="1300" w:type="dxa"/>
          </w:tcPr>
          <w:p w:rsidR="00AC0832" w:rsidRDefault="00AC0832">
            <w:pPr>
              <w:pStyle w:val="CellColumn"/>
            </w:pPr>
            <w:r>
              <w:t>190</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7"/>
      </w:pPr>
      <w:r>
        <w:t xml:space="preserve">Cilj 2. Jačanje konkurentnosti hrvatskog obrtništva </w:t>
      </w:r>
    </w:p>
    <w:p w:rsidR="00AC0832" w:rsidRDefault="00AC0832">
      <w:pPr>
        <w:pStyle w:val="Heading8"/>
        <w:jc w:val="left"/>
      </w:pPr>
      <w:r>
        <w:t>Opis provedbe cilja programa</w:t>
      </w:r>
    </w:p>
    <w:p w:rsidR="00AC0832" w:rsidRDefault="00AC0832">
      <w:pPr>
        <w:pStyle w:val="Normal6"/>
      </w:pPr>
      <w:r>
        <w:t>Zahvaljujući projektu koji je bio provođen radi stjecanja kvalifikacija za obavljanje vezanih obrta registrirana su 122 nova obrta, te je educirano preko 1.300 osoba koje su stekle kvalifikacije za uspješno uključivanje u svijet obrtništva.Kroz projekt Očuvanje tradicijskih i umjetničkih obrta 102 obrta su unaprijedila proizvodne procese i poboljšale uvjete rada, a 15 novih tradicijskih i umjetničkih obrta stekla su znak tradicijsk/umjetnički obrt. Kroz projekt Stipendije učenicima u obrtničkim zanimanjima stipendirano je 348 učenika koji se obrazuju deficitarnim obrtničkim zanimanjima. Nadalje opremljeno je 25 praktikuma obrtničkih strukovnih škola suvremenom opremom, nastavnim sredstvima i pomagalima radi podizanja opremljenosti čime se omogućuje stjecanje vještina učenika koji se obrazuju u obrtničkim zanimanjima, te 6 srednjih strukovnih škola/ ustanova koje provode programe cjeloživotnog obrazovanja obrtnika kroz nabavu nove opreme i novih tehnologija.Temeljem projekta naukovanje za obrtnička zanimanja potaknuto je 211 subjekata koji sudjeluju u obrazovanju naučnika, kod kojih se obrazovalo 854 učenika.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3"/>
        <w:gridCol w:w="1912"/>
        <w:gridCol w:w="920"/>
        <w:gridCol w:w="1037"/>
        <w:gridCol w:w="1368"/>
        <w:gridCol w:w="1037"/>
        <w:gridCol w:w="1101"/>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obrta (kumulativ)</w:t>
            </w:r>
          </w:p>
        </w:tc>
        <w:tc>
          <w:tcPr>
            <w:tcW w:w="1300" w:type="dxa"/>
          </w:tcPr>
          <w:p w:rsidR="00AC0832" w:rsidRDefault="00AC0832">
            <w:pPr>
              <w:pStyle w:val="CellColumn"/>
            </w:pPr>
            <w:r>
              <w:t>Broj obrta (kumulativ)</w:t>
            </w:r>
          </w:p>
        </w:tc>
        <w:tc>
          <w:tcPr>
            <w:tcW w:w="1300" w:type="dxa"/>
          </w:tcPr>
          <w:p w:rsidR="00AC0832" w:rsidRDefault="00AC0832">
            <w:pPr>
              <w:pStyle w:val="CellColumn"/>
            </w:pPr>
            <w:r>
              <w:t>Broj</w:t>
            </w:r>
          </w:p>
        </w:tc>
        <w:tc>
          <w:tcPr>
            <w:tcW w:w="1300" w:type="dxa"/>
          </w:tcPr>
          <w:p w:rsidR="00AC0832" w:rsidRDefault="00AC0832">
            <w:pPr>
              <w:pStyle w:val="CellColumn"/>
            </w:pPr>
            <w:r>
              <w:t>86.226</w:t>
            </w:r>
          </w:p>
        </w:tc>
        <w:tc>
          <w:tcPr>
            <w:tcW w:w="1300" w:type="dxa"/>
          </w:tcPr>
          <w:p w:rsidR="00AC0832" w:rsidRDefault="00AC0832">
            <w:pPr>
              <w:pStyle w:val="CellColumn"/>
            </w:pPr>
            <w:r>
              <w:t>Registar potpora malom gospodarstvu</w:t>
            </w:r>
          </w:p>
        </w:tc>
        <w:tc>
          <w:tcPr>
            <w:tcW w:w="1300" w:type="dxa"/>
          </w:tcPr>
          <w:p w:rsidR="00AC0832" w:rsidRDefault="00AC0832">
            <w:pPr>
              <w:pStyle w:val="CellColumn"/>
            </w:pPr>
            <w:r>
              <w:t>86.226</w:t>
            </w:r>
          </w:p>
        </w:tc>
        <w:tc>
          <w:tcPr>
            <w:tcW w:w="1300" w:type="dxa"/>
          </w:tcPr>
          <w:p w:rsidR="00AC0832" w:rsidRDefault="00AC0832">
            <w:pPr>
              <w:pStyle w:val="CellColumn"/>
            </w:pPr>
            <w:r>
              <w:t>83485</w:t>
            </w:r>
          </w:p>
        </w:tc>
      </w:tr>
      <w:tr w:rsidR="00AC0832" w:rsidTr="00BE20ED">
        <w:trPr>
          <w:jc w:val="center"/>
        </w:trPr>
        <w:tc>
          <w:tcPr>
            <w:tcW w:w="1300" w:type="dxa"/>
          </w:tcPr>
          <w:p w:rsidR="00AC0832" w:rsidRDefault="00AC0832">
            <w:pPr>
              <w:pStyle w:val="CellColumn"/>
            </w:pPr>
            <w:r>
              <w:t>Broj fizičkih i pravnih osoba koje primaju učenike na praksu (kumulativ)</w:t>
            </w:r>
          </w:p>
        </w:tc>
        <w:tc>
          <w:tcPr>
            <w:tcW w:w="1300" w:type="dxa"/>
          </w:tcPr>
          <w:p w:rsidR="00AC0832" w:rsidRDefault="00AC0832">
            <w:pPr>
              <w:pStyle w:val="CellColumn"/>
            </w:pPr>
            <w:r>
              <w:t>Broj fizičkih i pravnih osoba koje primaju učenike na praksu (kumulativ)</w:t>
            </w:r>
          </w:p>
        </w:tc>
        <w:tc>
          <w:tcPr>
            <w:tcW w:w="1300" w:type="dxa"/>
          </w:tcPr>
          <w:p w:rsidR="00AC0832" w:rsidRDefault="00AC0832">
            <w:pPr>
              <w:pStyle w:val="CellColumn"/>
            </w:pPr>
            <w:r>
              <w:t>Broj</w:t>
            </w:r>
          </w:p>
        </w:tc>
        <w:tc>
          <w:tcPr>
            <w:tcW w:w="1300" w:type="dxa"/>
          </w:tcPr>
          <w:p w:rsidR="00AC0832" w:rsidRDefault="00AC0832">
            <w:pPr>
              <w:pStyle w:val="CellColumn"/>
            </w:pPr>
            <w:r>
              <w:t>8.200</w:t>
            </w:r>
          </w:p>
        </w:tc>
        <w:tc>
          <w:tcPr>
            <w:tcW w:w="1300" w:type="dxa"/>
          </w:tcPr>
          <w:p w:rsidR="00AC0832" w:rsidRDefault="00AC0832">
            <w:pPr>
              <w:pStyle w:val="CellColumn"/>
            </w:pPr>
            <w:r>
              <w:t>Registar potpora malom gospodarstvu</w:t>
            </w:r>
          </w:p>
        </w:tc>
        <w:tc>
          <w:tcPr>
            <w:tcW w:w="1300" w:type="dxa"/>
          </w:tcPr>
          <w:p w:rsidR="00AC0832" w:rsidRDefault="00AC0832">
            <w:pPr>
              <w:pStyle w:val="CellColumn"/>
            </w:pPr>
            <w:r>
              <w:t>8.200</w:t>
            </w:r>
          </w:p>
        </w:tc>
        <w:tc>
          <w:tcPr>
            <w:tcW w:w="1300" w:type="dxa"/>
          </w:tcPr>
          <w:p w:rsidR="00AC0832" w:rsidRDefault="00AC0832">
            <w:pPr>
              <w:pStyle w:val="CellColumn"/>
            </w:pPr>
            <w:r>
              <w:t>8317</w:t>
            </w:r>
          </w:p>
        </w:tc>
      </w:tr>
      <w:tr w:rsidR="00AC0832" w:rsidTr="00BE20ED">
        <w:trPr>
          <w:jc w:val="center"/>
        </w:trPr>
        <w:tc>
          <w:tcPr>
            <w:tcW w:w="1300" w:type="dxa"/>
          </w:tcPr>
          <w:p w:rsidR="00AC0832" w:rsidRDefault="00AC0832">
            <w:pPr>
              <w:pStyle w:val="CellColumn"/>
            </w:pPr>
            <w:r>
              <w:t>Broj učenika koji se obrazuju za obrtnička zanimanja po Jedinstvenom modelu obrazovanja (kumulativ)</w:t>
            </w:r>
          </w:p>
        </w:tc>
        <w:tc>
          <w:tcPr>
            <w:tcW w:w="1300" w:type="dxa"/>
          </w:tcPr>
          <w:p w:rsidR="00AC0832" w:rsidRDefault="00AC0832">
            <w:pPr>
              <w:pStyle w:val="CellColumn"/>
            </w:pPr>
            <w:r>
              <w:t>Broj učenika koji se obrazuju za obrtnička zanimanja po Jedinstvenom modelu obrazovanja (kumulativ)</w:t>
            </w:r>
          </w:p>
        </w:tc>
        <w:tc>
          <w:tcPr>
            <w:tcW w:w="1300" w:type="dxa"/>
          </w:tcPr>
          <w:p w:rsidR="00AC0832" w:rsidRDefault="00AC0832">
            <w:pPr>
              <w:pStyle w:val="CellColumn"/>
            </w:pPr>
            <w:r>
              <w:t>Broj</w:t>
            </w:r>
          </w:p>
        </w:tc>
        <w:tc>
          <w:tcPr>
            <w:tcW w:w="1300" w:type="dxa"/>
          </w:tcPr>
          <w:p w:rsidR="00AC0832" w:rsidRDefault="00AC0832">
            <w:pPr>
              <w:pStyle w:val="CellColumn"/>
            </w:pPr>
            <w:r>
              <w:t>27.942</w:t>
            </w:r>
          </w:p>
        </w:tc>
        <w:tc>
          <w:tcPr>
            <w:tcW w:w="1300" w:type="dxa"/>
          </w:tcPr>
          <w:p w:rsidR="00AC0832" w:rsidRDefault="00AC0832">
            <w:pPr>
              <w:pStyle w:val="CellColumn"/>
            </w:pPr>
            <w:r>
              <w:t>Registar potpora malom gospodarstvu</w:t>
            </w:r>
          </w:p>
        </w:tc>
        <w:tc>
          <w:tcPr>
            <w:tcW w:w="1300" w:type="dxa"/>
          </w:tcPr>
          <w:p w:rsidR="00AC0832" w:rsidRDefault="00AC0832">
            <w:pPr>
              <w:pStyle w:val="CellColumn"/>
            </w:pPr>
            <w:r>
              <w:t>27.942</w:t>
            </w:r>
          </w:p>
        </w:tc>
        <w:tc>
          <w:tcPr>
            <w:tcW w:w="1300" w:type="dxa"/>
          </w:tcPr>
          <w:p w:rsidR="00AC0832" w:rsidRDefault="00AC0832">
            <w:pPr>
              <w:pStyle w:val="CellColumn"/>
            </w:pPr>
            <w:r>
              <w:t>26192</w:t>
            </w:r>
          </w:p>
        </w:tc>
      </w:tr>
      <w:tr w:rsidR="00AC0832" w:rsidTr="00BE20ED">
        <w:trPr>
          <w:jc w:val="center"/>
        </w:trPr>
        <w:tc>
          <w:tcPr>
            <w:tcW w:w="1300" w:type="dxa"/>
          </w:tcPr>
          <w:p w:rsidR="00AC0832" w:rsidRDefault="00AC0832">
            <w:pPr>
              <w:pStyle w:val="CellColumn"/>
            </w:pPr>
            <w:r>
              <w:t>Broj nositelja znaka tradicijski/umjetnički obrt (kumulativ)</w:t>
            </w:r>
          </w:p>
        </w:tc>
        <w:tc>
          <w:tcPr>
            <w:tcW w:w="1300" w:type="dxa"/>
          </w:tcPr>
          <w:p w:rsidR="00AC0832" w:rsidRDefault="00AC0832">
            <w:pPr>
              <w:pStyle w:val="CellColumn"/>
            </w:pPr>
            <w:r>
              <w:t>Broj nositelja znaka tradicijski/umjetnički obrt (kumulativ)</w:t>
            </w:r>
          </w:p>
        </w:tc>
        <w:tc>
          <w:tcPr>
            <w:tcW w:w="1300" w:type="dxa"/>
          </w:tcPr>
          <w:p w:rsidR="00AC0832" w:rsidRDefault="00AC0832">
            <w:pPr>
              <w:pStyle w:val="CellColumn"/>
            </w:pPr>
            <w:r>
              <w:t>Broj</w:t>
            </w:r>
          </w:p>
        </w:tc>
        <w:tc>
          <w:tcPr>
            <w:tcW w:w="1300" w:type="dxa"/>
          </w:tcPr>
          <w:p w:rsidR="00AC0832" w:rsidRDefault="00AC0832">
            <w:pPr>
              <w:pStyle w:val="CellColumn"/>
            </w:pPr>
            <w:r>
              <w:t>81</w:t>
            </w:r>
          </w:p>
        </w:tc>
        <w:tc>
          <w:tcPr>
            <w:tcW w:w="1300" w:type="dxa"/>
          </w:tcPr>
          <w:p w:rsidR="00AC0832" w:rsidRDefault="00AC0832">
            <w:pPr>
              <w:pStyle w:val="CellColumn"/>
            </w:pPr>
            <w:r>
              <w:t>Registar potpora malom gospodarstvu</w:t>
            </w:r>
          </w:p>
        </w:tc>
        <w:tc>
          <w:tcPr>
            <w:tcW w:w="1300" w:type="dxa"/>
          </w:tcPr>
          <w:p w:rsidR="00AC0832" w:rsidRDefault="00AC0832">
            <w:pPr>
              <w:pStyle w:val="CellColumn"/>
            </w:pPr>
            <w:r>
              <w:t>81</w:t>
            </w:r>
          </w:p>
        </w:tc>
        <w:tc>
          <w:tcPr>
            <w:tcW w:w="1300" w:type="dxa"/>
          </w:tcPr>
          <w:p w:rsidR="00AC0832" w:rsidRDefault="00AC0832">
            <w:pPr>
              <w:pStyle w:val="CellColumn"/>
            </w:pPr>
            <w:r>
              <w:t>96</w:t>
            </w:r>
          </w:p>
        </w:tc>
      </w:tr>
    </w:tbl>
    <w:p w:rsidR="00AC0832" w:rsidRDefault="00AC0832">
      <w:pPr>
        <w:jc w:val="left"/>
      </w:pPr>
    </w:p>
    <w:p w:rsidR="00AC0832" w:rsidRDefault="00AC0832">
      <w:pPr>
        <w:pStyle w:val="Heading7"/>
      </w:pPr>
      <w:r>
        <w:t>Cilj 3. Jačanje konkurentnosti malog i srednjeg poduzetništva učinkovitim korištenjem sredstava iz fondova EU</w:t>
      </w:r>
    </w:p>
    <w:p w:rsidR="00AC0832" w:rsidRDefault="00AC0832">
      <w:pPr>
        <w:pStyle w:val="Heading8"/>
        <w:jc w:val="left"/>
      </w:pPr>
      <w:r>
        <w:t>Opis provedbe cilja programa</w:t>
      </w:r>
    </w:p>
    <w:p w:rsidR="00AC0832" w:rsidRDefault="00AC0832">
      <w:pPr>
        <w:pStyle w:val="Normal6"/>
      </w:pPr>
      <w:r>
        <w:t>U ostvarenju općeg cilja  „Jačanje konkurentnosti malog i srednjeg poduzetništva učinkovitim korištenjem sredstava iz fondova EU“ pridonjelii smo  uspješnim povlačenjem sredstava iz fondova Europske unije putem kvalitetno osmišljenih projekata i sudjelovanja u osiguranju učinkovitog sustava za upravljanje i provedbu Operativnog programa. Uspješno su  završena 4 ugovora o uslugama i jedan o nabavi opreme, u ukpunom iznosu od cca 9MEUR.  Također ukupno je certificirano 9,8MEUR, što je 40% više od obveze koju je ministarstvo do kraja 2012. godine imalo.</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2"/>
        <w:gridCol w:w="1362"/>
        <w:gridCol w:w="1280"/>
        <w:gridCol w:w="1288"/>
        <w:gridCol w:w="1417"/>
        <w:gridCol w:w="1288"/>
        <w:gridCol w:w="1291"/>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i financijska vrijednost uspješno provedenih projekata o uslugama  - prema odobrenim finalnim izvješćima</w:t>
            </w:r>
          </w:p>
        </w:tc>
        <w:tc>
          <w:tcPr>
            <w:tcW w:w="1300" w:type="dxa"/>
          </w:tcPr>
          <w:p w:rsidR="00AC0832" w:rsidRDefault="00AC0832">
            <w:pPr>
              <w:pStyle w:val="CellColumn"/>
            </w:pPr>
            <w:r>
              <w:t>Broj i financijska vrijednost uspješno provedenih projekata o uslugama  - prema odobrenim finalnim izvješćima</w:t>
            </w:r>
          </w:p>
        </w:tc>
        <w:tc>
          <w:tcPr>
            <w:tcW w:w="1300" w:type="dxa"/>
          </w:tcPr>
          <w:p w:rsidR="00AC0832" w:rsidRDefault="00AC0832">
            <w:pPr>
              <w:pStyle w:val="CellColumn"/>
            </w:pPr>
            <w:r>
              <w:t>Broj EUR</w:t>
            </w:r>
          </w:p>
        </w:tc>
        <w:tc>
          <w:tcPr>
            <w:tcW w:w="1300" w:type="dxa"/>
          </w:tcPr>
          <w:p w:rsidR="00AC0832" w:rsidRDefault="00AC0832">
            <w:pPr>
              <w:pStyle w:val="CellColumn"/>
            </w:pPr>
            <w:r>
              <w:t>0</w:t>
            </w:r>
          </w:p>
        </w:tc>
        <w:tc>
          <w:tcPr>
            <w:tcW w:w="1300" w:type="dxa"/>
          </w:tcPr>
          <w:p w:rsidR="00AC0832" w:rsidRDefault="00AC0832">
            <w:pPr>
              <w:pStyle w:val="CellColumn"/>
            </w:pPr>
            <w:r>
              <w:t>Registar potpora malom gospodarstvu</w:t>
            </w:r>
          </w:p>
        </w:tc>
        <w:tc>
          <w:tcPr>
            <w:tcW w:w="1300" w:type="dxa"/>
          </w:tcPr>
          <w:p w:rsidR="00AC0832" w:rsidRDefault="00AC0832">
            <w:pPr>
              <w:pStyle w:val="CellColumn"/>
            </w:pPr>
            <w:r>
              <w:t xml:space="preserve">4 </w:t>
            </w:r>
          </w:p>
          <w:p w:rsidR="00AC0832" w:rsidRDefault="00AC0832">
            <w:pPr>
              <w:pStyle w:val="CellColumn"/>
            </w:pPr>
            <w:r>
              <w:t>8,6 mil €</w:t>
            </w:r>
          </w:p>
        </w:tc>
        <w:tc>
          <w:tcPr>
            <w:tcW w:w="1300" w:type="dxa"/>
          </w:tcPr>
          <w:p w:rsidR="00AC0832" w:rsidRDefault="00AC0832">
            <w:pPr>
              <w:pStyle w:val="CellColumn"/>
            </w:pPr>
            <w:r>
              <w:t xml:space="preserve">4 </w:t>
            </w:r>
          </w:p>
          <w:p w:rsidR="00AC0832" w:rsidRDefault="00AC0832">
            <w:pPr>
              <w:pStyle w:val="CellColumn"/>
            </w:pPr>
            <w:r>
              <w:t>8.600.345  €</w:t>
            </w:r>
          </w:p>
        </w:tc>
      </w:tr>
      <w:tr w:rsidR="00AC0832" w:rsidTr="00BE20ED">
        <w:trPr>
          <w:jc w:val="center"/>
        </w:trPr>
        <w:tc>
          <w:tcPr>
            <w:tcW w:w="1300" w:type="dxa"/>
          </w:tcPr>
          <w:p w:rsidR="00AC0832" w:rsidRDefault="00AC0832">
            <w:pPr>
              <w:pStyle w:val="CellColumn"/>
            </w:pPr>
            <w:r>
              <w:t>Broj i financijska vrijednost uspješno provedenih projekata o nabavi  - prema odobrenim finalnim izvješćima</w:t>
            </w:r>
          </w:p>
        </w:tc>
        <w:tc>
          <w:tcPr>
            <w:tcW w:w="1300" w:type="dxa"/>
          </w:tcPr>
          <w:p w:rsidR="00AC0832" w:rsidRDefault="00AC0832">
            <w:pPr>
              <w:pStyle w:val="CellColumn"/>
            </w:pPr>
            <w:r>
              <w:t>Broj i financijska vrijednost uspješno provedenih projekata o nabavi  - prema odobrenim finalnim izvješćima</w:t>
            </w:r>
          </w:p>
        </w:tc>
        <w:tc>
          <w:tcPr>
            <w:tcW w:w="1300" w:type="dxa"/>
          </w:tcPr>
          <w:p w:rsidR="00AC0832" w:rsidRDefault="00AC0832">
            <w:pPr>
              <w:pStyle w:val="CellColumn"/>
            </w:pPr>
            <w:r>
              <w:t>Broj EUR</w:t>
            </w:r>
          </w:p>
        </w:tc>
        <w:tc>
          <w:tcPr>
            <w:tcW w:w="1300" w:type="dxa"/>
          </w:tcPr>
          <w:p w:rsidR="00AC0832" w:rsidRDefault="00AC0832">
            <w:pPr>
              <w:pStyle w:val="CellColumn"/>
            </w:pPr>
            <w:r>
              <w:t>0</w:t>
            </w:r>
          </w:p>
        </w:tc>
        <w:tc>
          <w:tcPr>
            <w:tcW w:w="1300" w:type="dxa"/>
          </w:tcPr>
          <w:p w:rsidR="00AC0832" w:rsidRDefault="00AC0832">
            <w:pPr>
              <w:pStyle w:val="CellColumn"/>
            </w:pPr>
            <w:r>
              <w:t>Registar potpora malom gospodarstvu</w:t>
            </w:r>
          </w:p>
        </w:tc>
        <w:tc>
          <w:tcPr>
            <w:tcW w:w="1300" w:type="dxa"/>
          </w:tcPr>
          <w:p w:rsidR="00AC0832" w:rsidRDefault="00AC0832">
            <w:pPr>
              <w:pStyle w:val="CellColumn"/>
            </w:pPr>
            <w:r>
              <w:t xml:space="preserve">1 </w:t>
            </w:r>
          </w:p>
          <w:p w:rsidR="00AC0832" w:rsidRDefault="00AC0832">
            <w:pPr>
              <w:pStyle w:val="CellColumn"/>
            </w:pPr>
            <w:r>
              <w:t>357.8 €</w:t>
            </w:r>
          </w:p>
        </w:tc>
        <w:tc>
          <w:tcPr>
            <w:tcW w:w="1300" w:type="dxa"/>
          </w:tcPr>
          <w:p w:rsidR="00AC0832" w:rsidRDefault="00AC0832">
            <w:pPr>
              <w:pStyle w:val="CellColumn"/>
            </w:pPr>
            <w:r>
              <w:t xml:space="preserve">1 </w:t>
            </w:r>
          </w:p>
          <w:p w:rsidR="00AC0832" w:rsidRDefault="00AC0832">
            <w:pPr>
              <w:pStyle w:val="CellColumn"/>
            </w:pPr>
            <w:r>
              <w:t>357.797  €</w:t>
            </w:r>
          </w:p>
        </w:tc>
      </w:tr>
      <w:tr w:rsidR="00AC0832" w:rsidTr="00BE20ED">
        <w:trPr>
          <w:jc w:val="center"/>
        </w:trPr>
        <w:tc>
          <w:tcPr>
            <w:tcW w:w="1300" w:type="dxa"/>
          </w:tcPr>
          <w:p w:rsidR="00AC0832" w:rsidRDefault="00AC0832">
            <w:pPr>
              <w:pStyle w:val="CellColumn"/>
            </w:pPr>
            <w:r>
              <w:t>Broj i financijska vrijednost raspisanih natječaja za dodjelu bespovratnih sredstava</w:t>
            </w:r>
          </w:p>
        </w:tc>
        <w:tc>
          <w:tcPr>
            <w:tcW w:w="1300" w:type="dxa"/>
          </w:tcPr>
          <w:p w:rsidR="00AC0832" w:rsidRDefault="00AC0832">
            <w:pPr>
              <w:pStyle w:val="CellColumn"/>
            </w:pPr>
            <w:r>
              <w:t>Broj i financijska vrijednost raspisanih natječaja za dodjelu bespovratnih sredstava</w:t>
            </w:r>
          </w:p>
        </w:tc>
        <w:tc>
          <w:tcPr>
            <w:tcW w:w="1300" w:type="dxa"/>
          </w:tcPr>
          <w:p w:rsidR="00AC0832" w:rsidRDefault="00AC0832">
            <w:pPr>
              <w:pStyle w:val="CellColumn"/>
            </w:pPr>
            <w:r>
              <w:t xml:space="preserve">Broj </w:t>
            </w:r>
          </w:p>
          <w:p w:rsidR="00AC0832" w:rsidRDefault="00AC0832">
            <w:pPr>
              <w:pStyle w:val="CellColumn"/>
            </w:pPr>
            <w:r>
              <w:t>EUR</w:t>
            </w:r>
          </w:p>
        </w:tc>
        <w:tc>
          <w:tcPr>
            <w:tcW w:w="1300" w:type="dxa"/>
          </w:tcPr>
          <w:p w:rsidR="00AC0832" w:rsidRDefault="00AC0832">
            <w:pPr>
              <w:pStyle w:val="CellColumn"/>
            </w:pPr>
            <w:r>
              <w:t xml:space="preserve">1 </w:t>
            </w:r>
          </w:p>
          <w:p w:rsidR="00AC0832" w:rsidRDefault="00AC0832">
            <w:pPr>
              <w:pStyle w:val="CellColumn"/>
            </w:pPr>
            <w:r>
              <w:t>3 mil €</w:t>
            </w:r>
          </w:p>
        </w:tc>
        <w:tc>
          <w:tcPr>
            <w:tcW w:w="1300" w:type="dxa"/>
          </w:tcPr>
          <w:p w:rsidR="00AC0832" w:rsidRDefault="00AC0832">
            <w:pPr>
              <w:pStyle w:val="CellColumn"/>
            </w:pPr>
            <w:r>
              <w:t>Registar potpora malom gospodarstvu</w:t>
            </w:r>
          </w:p>
        </w:tc>
        <w:tc>
          <w:tcPr>
            <w:tcW w:w="1300" w:type="dxa"/>
          </w:tcPr>
          <w:p w:rsidR="00AC0832" w:rsidRDefault="00AC0832">
            <w:pPr>
              <w:pStyle w:val="CellColumn"/>
            </w:pPr>
            <w:r>
              <w:t xml:space="preserve">1 </w:t>
            </w:r>
          </w:p>
          <w:p w:rsidR="00AC0832" w:rsidRDefault="00AC0832">
            <w:pPr>
              <w:pStyle w:val="CellColumn"/>
            </w:pPr>
            <w:r>
              <w:t>3 mil €</w:t>
            </w:r>
          </w:p>
        </w:tc>
        <w:tc>
          <w:tcPr>
            <w:tcW w:w="1300" w:type="dxa"/>
          </w:tcPr>
          <w:p w:rsidR="00AC0832" w:rsidRDefault="00AC0832">
            <w:pPr>
              <w:pStyle w:val="CellColumn"/>
            </w:pPr>
            <w:r>
              <w:t xml:space="preserve">1 </w:t>
            </w:r>
          </w:p>
          <w:p w:rsidR="00AC0832" w:rsidRDefault="00AC0832">
            <w:pPr>
              <w:pStyle w:val="CellColumn"/>
            </w:pPr>
            <w:r>
              <w:t>4.457.000  €</w:t>
            </w:r>
          </w:p>
        </w:tc>
      </w:tr>
      <w:tr w:rsidR="00AC0832" w:rsidTr="00BE20ED">
        <w:trPr>
          <w:jc w:val="center"/>
        </w:trPr>
        <w:tc>
          <w:tcPr>
            <w:tcW w:w="1300" w:type="dxa"/>
          </w:tcPr>
          <w:p w:rsidR="00AC0832" w:rsidRDefault="00AC0832">
            <w:pPr>
              <w:pStyle w:val="CellColumn"/>
            </w:pPr>
            <w:r>
              <w:t>Broj i financijska vrijednost uspješno provedenih ugovorenih projekata za male i srednje poduzetnike - prema odobrenim finalnim izvješćima</w:t>
            </w:r>
          </w:p>
        </w:tc>
        <w:tc>
          <w:tcPr>
            <w:tcW w:w="1300" w:type="dxa"/>
          </w:tcPr>
          <w:p w:rsidR="00AC0832" w:rsidRDefault="00AC0832">
            <w:pPr>
              <w:pStyle w:val="CellColumn"/>
            </w:pPr>
            <w:r>
              <w:t>Broj i financijska vrijednost uspješno provedenih ugovorenih projekata za male i srednje poduzetnike - prema odobrenim finalnim izvješćima</w:t>
            </w:r>
          </w:p>
        </w:tc>
        <w:tc>
          <w:tcPr>
            <w:tcW w:w="1300" w:type="dxa"/>
          </w:tcPr>
          <w:p w:rsidR="00AC0832" w:rsidRDefault="00AC0832">
            <w:pPr>
              <w:pStyle w:val="CellColumn"/>
            </w:pPr>
            <w:r>
              <w:t xml:space="preserve">Broj </w:t>
            </w:r>
          </w:p>
          <w:p w:rsidR="00AC0832" w:rsidRDefault="00AC0832">
            <w:pPr>
              <w:pStyle w:val="CellColumn"/>
            </w:pPr>
            <w:r>
              <w:t>EUR</w:t>
            </w:r>
          </w:p>
        </w:tc>
        <w:tc>
          <w:tcPr>
            <w:tcW w:w="1300" w:type="dxa"/>
          </w:tcPr>
          <w:p w:rsidR="00AC0832" w:rsidRDefault="00AC0832">
            <w:pPr>
              <w:pStyle w:val="CellColumn"/>
            </w:pPr>
            <w:r>
              <w:t>0</w:t>
            </w:r>
          </w:p>
        </w:tc>
        <w:tc>
          <w:tcPr>
            <w:tcW w:w="1300" w:type="dxa"/>
          </w:tcPr>
          <w:p w:rsidR="00AC0832" w:rsidRDefault="00AC0832">
            <w:pPr>
              <w:pStyle w:val="CellColumn"/>
            </w:pPr>
            <w:r>
              <w:t>Registar potpora malom gospodarstvu</w:t>
            </w:r>
          </w:p>
        </w:tc>
        <w:tc>
          <w:tcPr>
            <w:tcW w:w="1300" w:type="dxa"/>
          </w:tcPr>
          <w:p w:rsidR="00AC0832" w:rsidRDefault="00AC0832">
            <w:pPr>
              <w:pStyle w:val="CellColumn"/>
            </w:pPr>
            <w:r>
              <w:t>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A544026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A544026-ADMINISTRACIJA I UPRAVLJANJE</w:t>
            </w:r>
          </w:p>
        </w:tc>
        <w:tc>
          <w:tcPr>
            <w:tcW w:w="2322" w:type="dxa"/>
          </w:tcPr>
          <w:p w:rsidR="00AC0832" w:rsidRDefault="00AC0832">
            <w:pPr>
              <w:pStyle w:val="CellColumn"/>
            </w:pPr>
            <w:r>
              <w:t>18.949.454</w:t>
            </w:r>
          </w:p>
        </w:tc>
        <w:tc>
          <w:tcPr>
            <w:tcW w:w="2322" w:type="dxa"/>
          </w:tcPr>
          <w:p w:rsidR="00AC0832" w:rsidRDefault="00AC0832">
            <w:pPr>
              <w:pStyle w:val="CellColumn"/>
            </w:pPr>
            <w:r>
              <w:t>16.843.326</w:t>
            </w:r>
          </w:p>
        </w:tc>
        <w:tc>
          <w:tcPr>
            <w:tcW w:w="2322" w:type="dxa"/>
          </w:tcPr>
          <w:p w:rsidR="00AC0832" w:rsidRDefault="00AC0832">
            <w:pPr>
              <w:pStyle w:val="CellColumn"/>
            </w:pPr>
            <w:r>
              <w:t>88,9</w:t>
            </w:r>
          </w:p>
        </w:tc>
      </w:tr>
    </w:tbl>
    <w:p w:rsidR="00AC0832" w:rsidRDefault="00AC0832">
      <w:pPr>
        <w:jc w:val="left"/>
      </w:pPr>
    </w:p>
    <w:p w:rsidR="00AC0832" w:rsidRDefault="00AC0832">
      <w:pPr>
        <w:pStyle w:val="Heading8"/>
        <w:jc w:val="left"/>
      </w:pPr>
      <w:r>
        <w:t>Opis provedbe aktivnosti / projekta</w:t>
      </w:r>
    </w:p>
    <w:p w:rsidR="00AC0832" w:rsidRDefault="00AC0832" w:rsidP="00595050">
      <w:pPr>
        <w:pStyle w:val="Normal6"/>
      </w:pPr>
      <w:r>
        <w:t>Sredstvima koja su planirana u okviru ove ativnosti financirani su troškovi obavljanja redovite djelatnosti MINISTARSTVA PODUZETNIŠTVA I OBRTA: plaće i ostali izdaci za zaposlene, materijani troškvi, opremanje namještajem, informatičkom i ostalom opremom. Odstupanja koja su nastala u izvršavanju ove ativnosti u odnosu na planirana sredstva rezultat su provedenih ušteda.</w:t>
      </w:r>
    </w:p>
    <w:p w:rsidR="00AC0832" w:rsidRDefault="00AC0832">
      <w:pPr>
        <w:pStyle w:val="Heading6"/>
      </w:pPr>
    </w:p>
    <w:p w:rsidR="00AC0832" w:rsidRDefault="00AC0832">
      <w:pPr>
        <w:pStyle w:val="Heading6"/>
      </w:pPr>
      <w:r>
        <w:t>A544029 RAZVOJ TRADICIJSKIH  UMJETNIČKIH OBRTA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A544029-RAZVOJ TRADICIJSKIH I UMJETNIČKIH OBRTA</w:t>
            </w:r>
          </w:p>
        </w:tc>
        <w:tc>
          <w:tcPr>
            <w:tcW w:w="2322" w:type="dxa"/>
          </w:tcPr>
          <w:p w:rsidR="00AC0832" w:rsidRDefault="00AC0832">
            <w:pPr>
              <w:pStyle w:val="CellColumn"/>
            </w:pPr>
            <w:r>
              <w:t>6.000.000</w:t>
            </w:r>
          </w:p>
        </w:tc>
        <w:tc>
          <w:tcPr>
            <w:tcW w:w="2322" w:type="dxa"/>
          </w:tcPr>
          <w:p w:rsidR="00AC0832" w:rsidRDefault="00AC0832">
            <w:pPr>
              <w:pStyle w:val="CellColumn"/>
            </w:pPr>
            <w:r>
              <w:t>6.000.000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Dodijeljeno je 108 potpora u iznosu od 6.000.000,00 kuna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novi tradicijskih i umjeničkih obrta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MINPO</w:t>
            </w:r>
          </w:p>
        </w:tc>
        <w:tc>
          <w:tcPr>
            <w:tcW w:w="1300" w:type="dxa"/>
          </w:tcPr>
          <w:p w:rsidR="00AC0832" w:rsidRDefault="00AC0832">
            <w:pPr>
              <w:pStyle w:val="CellColumn"/>
            </w:pPr>
            <w:r>
              <w:t>10</w:t>
            </w:r>
          </w:p>
        </w:tc>
        <w:tc>
          <w:tcPr>
            <w:tcW w:w="1300" w:type="dxa"/>
          </w:tcPr>
          <w:p w:rsidR="00AC0832" w:rsidRDefault="00AC0832">
            <w:pPr>
              <w:pStyle w:val="CellColumn"/>
            </w:pPr>
            <w:r>
              <w:t>15</w:t>
            </w:r>
          </w:p>
        </w:tc>
      </w:tr>
      <w:tr w:rsidR="00AC0832" w:rsidTr="00BE20ED">
        <w:trPr>
          <w:jc w:val="center"/>
        </w:trPr>
        <w:tc>
          <w:tcPr>
            <w:tcW w:w="1300" w:type="dxa"/>
          </w:tcPr>
          <w:p w:rsidR="00AC0832" w:rsidRDefault="00AC0832">
            <w:pPr>
              <w:pStyle w:val="CellColumn"/>
            </w:pPr>
            <w:r>
              <w:t>broj tradicijskih obrta sa unapređenim procesima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MINPO</w:t>
            </w:r>
          </w:p>
        </w:tc>
        <w:tc>
          <w:tcPr>
            <w:tcW w:w="1300" w:type="dxa"/>
          </w:tcPr>
          <w:p w:rsidR="00AC0832" w:rsidRDefault="00AC0832">
            <w:pPr>
              <w:pStyle w:val="CellColumn"/>
            </w:pPr>
            <w:r>
              <w:t>250</w:t>
            </w:r>
          </w:p>
        </w:tc>
        <w:tc>
          <w:tcPr>
            <w:tcW w:w="1300" w:type="dxa"/>
          </w:tcPr>
          <w:p w:rsidR="00AC0832" w:rsidRDefault="00AC0832">
            <w:pPr>
              <w:pStyle w:val="CellColumn"/>
            </w:pPr>
            <w:r>
              <w:t>108</w:t>
            </w:r>
          </w:p>
        </w:tc>
      </w:tr>
    </w:tbl>
    <w:p w:rsidR="00AC0832" w:rsidRDefault="00AC0832">
      <w:pPr>
        <w:jc w:val="left"/>
      </w:pPr>
    </w:p>
    <w:p w:rsidR="00AC0832" w:rsidRDefault="00AC0832">
      <w:pPr>
        <w:pStyle w:val="Heading6"/>
      </w:pPr>
      <w:r>
        <w:t>A544032 POTICANJE EDUKACIJE-SEECEL-REGIONALNI CENTAR ZA RAZVOJ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A544032-POTICANJE EDUKACIJE-SEECEL-REGIONALNI CENTAR ZA RAZVOJ</w:t>
            </w:r>
          </w:p>
        </w:tc>
        <w:tc>
          <w:tcPr>
            <w:tcW w:w="2322" w:type="dxa"/>
          </w:tcPr>
          <w:p w:rsidR="00AC0832" w:rsidRDefault="00AC0832">
            <w:pPr>
              <w:pStyle w:val="CellColumn"/>
            </w:pPr>
            <w:r>
              <w:t>1.000.000</w:t>
            </w:r>
          </w:p>
        </w:tc>
        <w:tc>
          <w:tcPr>
            <w:tcW w:w="2322" w:type="dxa"/>
          </w:tcPr>
          <w:p w:rsidR="00AC0832" w:rsidRDefault="00AC0832">
            <w:pPr>
              <w:pStyle w:val="CellColumn"/>
            </w:pPr>
            <w:r>
              <w:t>953.678</w:t>
            </w:r>
          </w:p>
        </w:tc>
        <w:tc>
          <w:tcPr>
            <w:tcW w:w="2322" w:type="dxa"/>
          </w:tcPr>
          <w:p w:rsidR="00AC0832" w:rsidRDefault="00AC0832">
            <w:pPr>
              <w:pStyle w:val="CellColumn"/>
            </w:pPr>
            <w:r>
              <w:t>95,4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«Regionalni centar za razvoj poduzetničkih kompetencija za zemlje Jugoistočne Europe – SEECEL» prvi je rezultat institucionalnog oblika provedbe “European Charter for SME for Western Balkans countries – Europska povelja za malo gospodarstvo” , odnosno sada SBA Small Business Act for Europe. Financiranje je  planirano za period 2009-2011 u iznosu od 1,7 mil EUR-a, te  sufinanciranje od strane Hrvatske u iznosu od cca 300 000 eura. Na taj način Hrvatska je osigurala vodeću poziciju u cijelom procesu. Projekt je potpuno podržan od strane svih zemalja u regiji, a uz 7 zemalja uključenih u prvotni projektni prijedlog (Albanija, Bosna i Hercegovina, Crna Gora, Hrvatska, Kosovo, Makedonija, Srbija) DG Enlargment uključuje i Tursku . Interes za suradnju iskazuju i zemlje članice EU. SEECEL-ova misija je unaprijeđenje učenja za poduzetništvo na razini osnovnih škola i visokog školstva te razvoj sustava praćenja potreba za edukacijom poduzetnika, a sve s ciljem jačanja konkurentnosti.</w:t>
      </w:r>
    </w:p>
    <w:p w:rsidR="00AC0832" w:rsidRDefault="00AC0832">
      <w:pPr>
        <w:pStyle w:val="Heading6"/>
      </w:pPr>
      <w:r>
        <w:t>A560089 UNAPREĐENJE INFRASTRUKTURE PODUZETNIČKIH ZONA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A560089-UNAPREĐENJE INFRASTRUKTURE PODUZETNIČKIH ZONA</w:t>
            </w:r>
          </w:p>
        </w:tc>
        <w:tc>
          <w:tcPr>
            <w:tcW w:w="2322" w:type="dxa"/>
          </w:tcPr>
          <w:p w:rsidR="00AC0832" w:rsidRDefault="00AC0832">
            <w:pPr>
              <w:pStyle w:val="CellColumn"/>
            </w:pPr>
            <w:r>
              <w:t>42.000.000</w:t>
            </w:r>
          </w:p>
        </w:tc>
        <w:tc>
          <w:tcPr>
            <w:tcW w:w="2322" w:type="dxa"/>
          </w:tcPr>
          <w:p w:rsidR="00AC0832" w:rsidRDefault="00AC0832">
            <w:pPr>
              <w:pStyle w:val="CellColumn"/>
            </w:pPr>
            <w:r>
              <w:t>42.000.000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Ukupno izvršenje je 100%. Specifičnost programa je trajanje 18 mjeseci, te protekom tog roka će se vidjeti konačni rezultati. U projektu poduzetničke zone ciljana vrijednost je 400 izrađenih novih projekata/poslovnih poduhvata za poduzetnike, 200 inkubiranih poduzetnika.</w:t>
      </w:r>
    </w:p>
    <w:p w:rsidR="00AC0832" w:rsidRDefault="00AC0832">
      <w:pPr>
        <w:pStyle w:val="Heading6"/>
      </w:pPr>
      <w:r>
        <w:t>A560091 SUBVENCIJE KAMATA ZA PODUZETNIČKE KREDITE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A560091-SUBVENCIJE KAMATA ZA PODUZETNIČKE KREDITE</w:t>
            </w:r>
          </w:p>
        </w:tc>
        <w:tc>
          <w:tcPr>
            <w:tcW w:w="2322" w:type="dxa"/>
          </w:tcPr>
          <w:p w:rsidR="00AC0832" w:rsidRDefault="00AC0832">
            <w:pPr>
              <w:pStyle w:val="CellColumn"/>
            </w:pPr>
            <w:r>
              <w:t>37.041.341</w:t>
            </w:r>
          </w:p>
        </w:tc>
        <w:tc>
          <w:tcPr>
            <w:tcW w:w="2322" w:type="dxa"/>
          </w:tcPr>
          <w:p w:rsidR="00AC0832" w:rsidRDefault="00AC0832">
            <w:pPr>
              <w:pStyle w:val="CellColumn"/>
            </w:pPr>
            <w:r>
              <w:t>36.619.010</w:t>
            </w:r>
          </w:p>
        </w:tc>
        <w:tc>
          <w:tcPr>
            <w:tcW w:w="2322" w:type="dxa"/>
          </w:tcPr>
          <w:p w:rsidR="00AC0832" w:rsidRDefault="00AC0832">
            <w:pPr>
              <w:pStyle w:val="CellColumn"/>
            </w:pPr>
            <w:r>
              <w:t>98,9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Poticanje boljeg financiranja malog i srednjeg poduzetništva i obrtništva temelji se na pravilima za državne potpore u obliku subvencija kamata na poduzetničke kredite. U razdoblju od 2004. do 2007. godine provedena je kreditna linija „Lokalni projekti razvoja – Poduzetnik“ u suradnji sa županijama/Gradom Zagrebom i svim većim poslovnim banakama u Hrvatskoj, a temeljem tripartitnog ugovora. Krediti su odobravani za 6 kreditnih potprograma „Poduzetnik“, „Branitelji“, „Socijalne usluge“, Nove tehnologije“, „Poduzetništvo žena“ i  „Poduzetništvo mladih“ . Troškovi obrade kredita iznosili su do 0,8% uz rok otplate do 10 godina u koji je uključen poček od najviše 2 godine. Ukupno je odobreno 3.778 kredita u vrijednosti 4.065.823.913 kuna, te se prema roku otplate subvencije i dalje uredno servisiraju.   </w:t>
      </w:r>
    </w:p>
    <w:p w:rsidR="00AC0832" w:rsidRDefault="00AC0832">
      <w:pPr>
        <w:pStyle w:val="Normal6"/>
      </w:pPr>
      <w:r>
        <w:t>U 2009. godini započinje provedba dva kreditna projekta, „Lokalni projekti razvoja malog gospodarstva“ (LPR-MG) i „Lokalni projekti razvoja –mikrokreditiranje“ (LPR-MK) po modelu uvedenom prilikom provedbe kreditnog projekta LPR-P, tj. uz sudjelovanje županija/Grada Zagreba i poslovnih banaka.</w:t>
      </w:r>
    </w:p>
    <w:p w:rsidR="00AC0832" w:rsidRDefault="00AC0832">
      <w:pPr>
        <w:pStyle w:val="Heading6"/>
      </w:pPr>
      <w:r>
        <w:t>A563116 POTICANJE PODUZETNIČKIH POTPORNIH INSTITUCIJA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A563116-POTICANJE PODUZETNIČKIH POTPORNIH INSTITUCIJA</w:t>
            </w:r>
          </w:p>
        </w:tc>
        <w:tc>
          <w:tcPr>
            <w:tcW w:w="2322" w:type="dxa"/>
          </w:tcPr>
          <w:p w:rsidR="00AC0832" w:rsidRDefault="00AC0832">
            <w:pPr>
              <w:pStyle w:val="CellColumn"/>
            </w:pPr>
            <w:r>
              <w:t>5.000.000</w:t>
            </w:r>
          </w:p>
        </w:tc>
        <w:tc>
          <w:tcPr>
            <w:tcW w:w="2322" w:type="dxa"/>
          </w:tcPr>
          <w:p w:rsidR="00AC0832" w:rsidRDefault="00AC0832">
            <w:pPr>
              <w:pStyle w:val="CellColumn"/>
            </w:pPr>
            <w:r>
              <w:t>5.000.000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Ukupno izvršenje je 100%. Specifičnost programa je trajanje 18 mjeseci, te protekom tog roka će se vidjeti konačni rezultati. U  projektu poduzetničke potporne institucije očkivane rezultati objavljeni su u poduzetničkom impulsu 2012.</w:t>
      </w:r>
    </w:p>
    <w:p w:rsidR="00AC0832" w:rsidRDefault="00AC0832">
      <w:pPr>
        <w:pStyle w:val="Heading6"/>
      </w:pPr>
      <w:r>
        <w:t>O I INOVACIJE - EIP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A822015-IPA I 2011 PROGRAM ZAJEDNICE ZA PODUZETNIŠTVO I INOVACIJE - EIP</w:t>
            </w:r>
          </w:p>
        </w:tc>
        <w:tc>
          <w:tcPr>
            <w:tcW w:w="2322" w:type="dxa"/>
          </w:tcPr>
          <w:p w:rsidR="00AC0832" w:rsidRDefault="00AC0832">
            <w:pPr>
              <w:pStyle w:val="CellColumn"/>
            </w:pPr>
            <w:r>
              <w:t>8.144.316</w:t>
            </w:r>
          </w:p>
        </w:tc>
        <w:tc>
          <w:tcPr>
            <w:tcW w:w="2322" w:type="dxa"/>
          </w:tcPr>
          <w:p w:rsidR="00AC0832" w:rsidRDefault="00AC0832">
            <w:pPr>
              <w:pStyle w:val="CellColumn"/>
            </w:pPr>
            <w:r>
              <w:t>8.966.686</w:t>
            </w:r>
          </w:p>
        </w:tc>
        <w:tc>
          <w:tcPr>
            <w:tcW w:w="2322" w:type="dxa"/>
          </w:tcPr>
          <w:p w:rsidR="00AC0832" w:rsidRDefault="00AC0832">
            <w:pPr>
              <w:pStyle w:val="CellColumn"/>
            </w:pPr>
            <w:r>
              <w:t>110,1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CIP-EIP program namijenjen je MSP i ima za cilj olakšati pristup zajmovima kroz financijske mogućnosti EU, poticati inovacije, napose eko-inovacije, te promicati najbolju praksu EU u pogledu razvoja politika MSP.  MINPO je, kao koordinator CIP-EIP programa, zaduženo za plaćanje članarine i promociju programa.  O kvaliteti podnesenih projekata ovisi koliko će se uspješno povući sredstva  (2010 ta je stopa iznosila 154%).</w:t>
      </w:r>
    </w:p>
    <w:p w:rsidR="00AC0832" w:rsidRDefault="00AC0832">
      <w:pPr>
        <w:pStyle w:val="Heading6"/>
      </w:pPr>
      <w:r>
        <w:t>A822029 OBRAZOVANJE ZA PODUZETNIŠTVO I OBRTNIŠTVO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A822029-OBRAZOVANJE ZA PODUZETNIŠTVO I OBRTNIŠTVO</w:t>
            </w:r>
          </w:p>
        </w:tc>
        <w:tc>
          <w:tcPr>
            <w:tcW w:w="2322" w:type="dxa"/>
          </w:tcPr>
          <w:p w:rsidR="00AC0832" w:rsidRDefault="00AC0832">
            <w:pPr>
              <w:pStyle w:val="CellColumn"/>
            </w:pPr>
            <w:r>
              <w:t>18.428.890</w:t>
            </w:r>
          </w:p>
        </w:tc>
        <w:tc>
          <w:tcPr>
            <w:tcW w:w="2322" w:type="dxa"/>
          </w:tcPr>
          <w:p w:rsidR="00AC0832" w:rsidRDefault="00AC0832">
            <w:pPr>
              <w:pStyle w:val="CellColumn"/>
            </w:pPr>
            <w:r>
              <w:t>18.387.717</w:t>
            </w:r>
          </w:p>
        </w:tc>
        <w:tc>
          <w:tcPr>
            <w:tcW w:w="2322" w:type="dxa"/>
          </w:tcPr>
          <w:p w:rsidR="00AC0832" w:rsidRDefault="00AC0832">
            <w:pPr>
              <w:pStyle w:val="CellColumn"/>
            </w:pPr>
            <w:r>
              <w:t>99,8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Utrošena sredstva su u skladu s planiranima, odstupanja su rezultat povrata nenamjenski utrošenih sredstava u državni proračun.  </w:t>
      </w:r>
    </w:p>
    <w:p w:rsidR="00AC0832" w:rsidRDefault="00AC0832">
      <w:pPr>
        <w:pStyle w:val="Normal6"/>
      </w:pPr>
      <w:r>
        <w:t>U obrazovanje u poduzetništvo odobreno je 138 potpora, u cjeloživotno obrazovanje za obrništvo 1088 potpora, u informatičke kompetencije obrtnika 50 potpora, u opremanje praktikuma obrtničkih strukovnih škola 25 potpora, u stipendije učenicima iu obrtničkim zanimanjima 25 potpora, u majstorske škole 6 potpora, u naukovanje za obrtnička zanimanja 185 potpora. Sveukupno dodijeljeno je 1517 potpora.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4"/>
        <w:gridCol w:w="1236"/>
        <w:gridCol w:w="1219"/>
        <w:gridCol w:w="1247"/>
        <w:gridCol w:w="1240"/>
        <w:gridCol w:w="1281"/>
        <w:gridCol w:w="1281"/>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educiranih poduzetnika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MINPO</w:t>
            </w:r>
          </w:p>
        </w:tc>
        <w:tc>
          <w:tcPr>
            <w:tcW w:w="1300" w:type="dxa"/>
          </w:tcPr>
          <w:p w:rsidR="00AC0832" w:rsidRDefault="00AC0832">
            <w:pPr>
              <w:pStyle w:val="CellColumn"/>
            </w:pPr>
            <w:r>
              <w:t>3000</w:t>
            </w:r>
          </w:p>
        </w:tc>
        <w:tc>
          <w:tcPr>
            <w:tcW w:w="1300" w:type="dxa"/>
          </w:tcPr>
          <w:p w:rsidR="00AC0832" w:rsidRDefault="00AC0832">
            <w:pPr>
              <w:pStyle w:val="CellColumn"/>
            </w:pPr>
            <w:r>
              <w:t>3000</w:t>
            </w:r>
          </w:p>
        </w:tc>
      </w:tr>
      <w:tr w:rsidR="00AC0832" w:rsidTr="00BE20ED">
        <w:trPr>
          <w:jc w:val="center"/>
        </w:trPr>
        <w:tc>
          <w:tcPr>
            <w:tcW w:w="1300" w:type="dxa"/>
          </w:tcPr>
          <w:p w:rsidR="00AC0832" w:rsidRDefault="00AC0832">
            <w:pPr>
              <w:pStyle w:val="CellColumn"/>
            </w:pPr>
            <w:r>
              <w:t>iznos odobrenih potpora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kn</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MINPO</w:t>
            </w:r>
          </w:p>
        </w:tc>
        <w:tc>
          <w:tcPr>
            <w:tcW w:w="1300" w:type="dxa"/>
          </w:tcPr>
          <w:p w:rsidR="00AC0832" w:rsidRDefault="00AC0832">
            <w:pPr>
              <w:pStyle w:val="CellColumn"/>
            </w:pPr>
            <w:r>
              <w:t>18.428.890</w:t>
            </w:r>
          </w:p>
        </w:tc>
        <w:tc>
          <w:tcPr>
            <w:tcW w:w="1300" w:type="dxa"/>
          </w:tcPr>
          <w:p w:rsidR="00AC0832" w:rsidRDefault="00AC0832">
            <w:pPr>
              <w:pStyle w:val="CellColumn"/>
            </w:pPr>
            <w:r>
              <w:t>18.457.474</w:t>
            </w:r>
          </w:p>
        </w:tc>
      </w:tr>
      <w:tr w:rsidR="00AC0832" w:rsidTr="00BE20ED">
        <w:trPr>
          <w:jc w:val="center"/>
        </w:trPr>
        <w:tc>
          <w:tcPr>
            <w:tcW w:w="1300" w:type="dxa"/>
          </w:tcPr>
          <w:p w:rsidR="00AC0832" w:rsidRDefault="00AC0832">
            <w:pPr>
              <w:pStyle w:val="CellColumn"/>
            </w:pPr>
            <w:r>
              <w:t>broj opremljenih učeničkih zadruga i vježbeničkih tvrtki</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MINPO</w:t>
            </w:r>
          </w:p>
        </w:tc>
        <w:tc>
          <w:tcPr>
            <w:tcW w:w="1300" w:type="dxa"/>
          </w:tcPr>
          <w:p w:rsidR="00AC0832" w:rsidRDefault="00AC0832">
            <w:pPr>
              <w:pStyle w:val="CellColumn"/>
            </w:pPr>
            <w:r>
              <w:t>120</w:t>
            </w:r>
          </w:p>
        </w:tc>
        <w:tc>
          <w:tcPr>
            <w:tcW w:w="1300" w:type="dxa"/>
          </w:tcPr>
          <w:p w:rsidR="00AC0832" w:rsidRDefault="00AC0832">
            <w:pPr>
              <w:pStyle w:val="CellColumn"/>
            </w:pPr>
            <w:r>
              <w:t>74</w:t>
            </w:r>
          </w:p>
        </w:tc>
      </w:tr>
      <w:tr w:rsidR="00AC0832" w:rsidTr="00BE20ED">
        <w:trPr>
          <w:jc w:val="center"/>
        </w:trPr>
        <w:tc>
          <w:tcPr>
            <w:tcW w:w="1300" w:type="dxa"/>
          </w:tcPr>
          <w:p w:rsidR="00AC0832" w:rsidRDefault="00AC0832">
            <w:pPr>
              <w:pStyle w:val="CellColumn"/>
            </w:pPr>
            <w:r>
              <w:t>broj uključenih obrazovnih institucija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MINPO</w:t>
            </w:r>
          </w:p>
        </w:tc>
        <w:tc>
          <w:tcPr>
            <w:tcW w:w="1300" w:type="dxa"/>
          </w:tcPr>
          <w:p w:rsidR="00AC0832" w:rsidRDefault="00AC0832">
            <w:pPr>
              <w:pStyle w:val="CellColumn"/>
            </w:pPr>
            <w:r>
              <w:t>50</w:t>
            </w:r>
          </w:p>
        </w:tc>
        <w:tc>
          <w:tcPr>
            <w:tcW w:w="1300" w:type="dxa"/>
          </w:tcPr>
          <w:p w:rsidR="00AC0832" w:rsidRDefault="00AC0832">
            <w:pPr>
              <w:pStyle w:val="CellColumn"/>
            </w:pPr>
            <w:r>
              <w:t>50</w:t>
            </w:r>
          </w:p>
        </w:tc>
      </w:tr>
      <w:tr w:rsidR="00AC0832" w:rsidTr="00BE20ED">
        <w:trPr>
          <w:jc w:val="center"/>
        </w:trPr>
        <w:tc>
          <w:tcPr>
            <w:tcW w:w="1300" w:type="dxa"/>
          </w:tcPr>
          <w:p w:rsidR="00AC0832" w:rsidRDefault="00AC0832">
            <w:pPr>
              <w:pStyle w:val="CellColumn"/>
            </w:pPr>
            <w:r>
              <w:t>broj educiranih osoba kroz programe cjeloživotnog obrazovanja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MINPO</w:t>
            </w:r>
          </w:p>
        </w:tc>
        <w:tc>
          <w:tcPr>
            <w:tcW w:w="1300" w:type="dxa"/>
          </w:tcPr>
          <w:p w:rsidR="00AC0832" w:rsidRDefault="00AC0832">
            <w:pPr>
              <w:pStyle w:val="CellColumn"/>
            </w:pPr>
            <w:r>
              <w:t>1100</w:t>
            </w:r>
          </w:p>
        </w:tc>
        <w:tc>
          <w:tcPr>
            <w:tcW w:w="1300" w:type="dxa"/>
          </w:tcPr>
          <w:p w:rsidR="00AC0832" w:rsidRDefault="00AC0832">
            <w:pPr>
              <w:pStyle w:val="CellColumn"/>
            </w:pPr>
            <w:r>
              <w:t>1328</w:t>
            </w:r>
          </w:p>
        </w:tc>
      </w:tr>
      <w:tr w:rsidR="00AC0832" w:rsidTr="00BE20ED">
        <w:trPr>
          <w:jc w:val="center"/>
        </w:trPr>
        <w:tc>
          <w:tcPr>
            <w:tcW w:w="1300" w:type="dxa"/>
          </w:tcPr>
          <w:p w:rsidR="00AC0832" w:rsidRDefault="00AC0832">
            <w:pPr>
              <w:pStyle w:val="CellColumn"/>
            </w:pPr>
            <w:r>
              <w:t>broj novoregistriranih obrta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MINPO</w:t>
            </w:r>
          </w:p>
        </w:tc>
        <w:tc>
          <w:tcPr>
            <w:tcW w:w="1300" w:type="dxa"/>
          </w:tcPr>
          <w:p w:rsidR="00AC0832" w:rsidRDefault="00AC0832">
            <w:pPr>
              <w:pStyle w:val="CellColumn"/>
            </w:pPr>
            <w:r>
              <w:t>100</w:t>
            </w:r>
          </w:p>
        </w:tc>
        <w:tc>
          <w:tcPr>
            <w:tcW w:w="1300" w:type="dxa"/>
          </w:tcPr>
          <w:p w:rsidR="00AC0832" w:rsidRDefault="00AC0832">
            <w:pPr>
              <w:pStyle w:val="CellColumn"/>
            </w:pPr>
            <w:r>
              <w:t>122</w:t>
            </w:r>
          </w:p>
        </w:tc>
      </w:tr>
      <w:tr w:rsidR="00AC0832" w:rsidTr="00BE20ED">
        <w:trPr>
          <w:jc w:val="center"/>
        </w:trPr>
        <w:tc>
          <w:tcPr>
            <w:tcW w:w="1300" w:type="dxa"/>
          </w:tcPr>
          <w:p w:rsidR="00AC0832" w:rsidRDefault="00AC0832">
            <w:pPr>
              <w:pStyle w:val="CellColumn"/>
            </w:pPr>
            <w:r>
              <w:t>broj obrtnika sa unaprijeđenim informatičkim kompentencijama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MINPO</w:t>
            </w:r>
          </w:p>
        </w:tc>
        <w:tc>
          <w:tcPr>
            <w:tcW w:w="1300" w:type="dxa"/>
          </w:tcPr>
          <w:p w:rsidR="00AC0832" w:rsidRDefault="00AC0832">
            <w:pPr>
              <w:pStyle w:val="CellColumn"/>
            </w:pPr>
            <w:r>
              <w:t>800</w:t>
            </w:r>
          </w:p>
        </w:tc>
        <w:tc>
          <w:tcPr>
            <w:tcW w:w="1300" w:type="dxa"/>
          </w:tcPr>
          <w:p w:rsidR="00AC0832" w:rsidRDefault="00AC0832">
            <w:pPr>
              <w:pStyle w:val="CellColumn"/>
            </w:pPr>
            <w:r>
              <w:t>967</w:t>
            </w:r>
          </w:p>
        </w:tc>
      </w:tr>
      <w:tr w:rsidR="00AC0832" w:rsidTr="00BE20ED">
        <w:trPr>
          <w:jc w:val="center"/>
        </w:trPr>
        <w:tc>
          <w:tcPr>
            <w:tcW w:w="1300" w:type="dxa"/>
          </w:tcPr>
          <w:p w:rsidR="00AC0832" w:rsidRDefault="00AC0832">
            <w:pPr>
              <w:pStyle w:val="CellColumn"/>
            </w:pPr>
            <w:r>
              <w:t>broj stipendiranih učenika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MINPO</w:t>
            </w:r>
          </w:p>
        </w:tc>
        <w:tc>
          <w:tcPr>
            <w:tcW w:w="1300" w:type="dxa"/>
          </w:tcPr>
          <w:p w:rsidR="00AC0832" w:rsidRDefault="00AC0832">
            <w:pPr>
              <w:pStyle w:val="CellColumn"/>
            </w:pPr>
            <w:r>
              <w:t>350</w:t>
            </w:r>
          </w:p>
        </w:tc>
        <w:tc>
          <w:tcPr>
            <w:tcW w:w="1300" w:type="dxa"/>
          </w:tcPr>
          <w:p w:rsidR="00AC0832" w:rsidRDefault="00AC0832">
            <w:pPr>
              <w:pStyle w:val="CellColumn"/>
            </w:pPr>
            <w:r>
              <w:t>348</w:t>
            </w:r>
          </w:p>
        </w:tc>
      </w:tr>
      <w:tr w:rsidR="00AC0832" w:rsidTr="00BE20ED">
        <w:trPr>
          <w:jc w:val="center"/>
        </w:trPr>
        <w:tc>
          <w:tcPr>
            <w:tcW w:w="1300" w:type="dxa"/>
          </w:tcPr>
          <w:p w:rsidR="00AC0832" w:rsidRDefault="00AC0832">
            <w:pPr>
              <w:pStyle w:val="CellColumn"/>
            </w:pPr>
            <w:r>
              <w:t>broj opremljenih praktikuma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MINPO</w:t>
            </w:r>
          </w:p>
        </w:tc>
        <w:tc>
          <w:tcPr>
            <w:tcW w:w="1300" w:type="dxa"/>
          </w:tcPr>
          <w:p w:rsidR="00AC0832" w:rsidRDefault="00AC0832">
            <w:pPr>
              <w:pStyle w:val="CellColumn"/>
            </w:pPr>
            <w:r>
              <w:t>40</w:t>
            </w:r>
          </w:p>
        </w:tc>
        <w:tc>
          <w:tcPr>
            <w:tcW w:w="1300" w:type="dxa"/>
          </w:tcPr>
          <w:p w:rsidR="00AC0832" w:rsidRDefault="00AC0832">
            <w:pPr>
              <w:pStyle w:val="CellColumn"/>
            </w:pPr>
            <w:r>
              <w:t>25</w:t>
            </w:r>
          </w:p>
        </w:tc>
      </w:tr>
      <w:tr w:rsidR="00AC0832" w:rsidTr="00BE20ED">
        <w:trPr>
          <w:jc w:val="center"/>
        </w:trPr>
        <w:tc>
          <w:tcPr>
            <w:tcW w:w="1300" w:type="dxa"/>
          </w:tcPr>
          <w:p w:rsidR="00AC0832" w:rsidRDefault="00AC0832">
            <w:pPr>
              <w:pStyle w:val="CellColumn"/>
            </w:pPr>
            <w:r>
              <w:t>broj opremljenih škola/ustanova za obrazovanje odraslih</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MINPO</w:t>
            </w:r>
          </w:p>
        </w:tc>
        <w:tc>
          <w:tcPr>
            <w:tcW w:w="1300" w:type="dxa"/>
          </w:tcPr>
          <w:p w:rsidR="00AC0832" w:rsidRDefault="00AC0832">
            <w:pPr>
              <w:pStyle w:val="CellColumn"/>
            </w:pPr>
            <w:r>
              <w:t>5</w:t>
            </w:r>
          </w:p>
        </w:tc>
        <w:tc>
          <w:tcPr>
            <w:tcW w:w="1300" w:type="dxa"/>
          </w:tcPr>
          <w:p w:rsidR="00AC0832" w:rsidRDefault="00AC0832">
            <w:pPr>
              <w:pStyle w:val="CellColumn"/>
            </w:pPr>
            <w:r>
              <w:t>6</w:t>
            </w:r>
          </w:p>
        </w:tc>
      </w:tr>
    </w:tbl>
    <w:p w:rsidR="00AC0832" w:rsidRDefault="00AC0832">
      <w:pPr>
        <w:jc w:val="left"/>
      </w:pPr>
    </w:p>
    <w:p w:rsidR="00AC0832" w:rsidRDefault="00AC0832">
      <w:pPr>
        <w:pStyle w:val="Heading6"/>
      </w:pPr>
      <w:r>
        <w:t>K822018 IPA III C 2. OPERATIVNI PROGRAM ZA REGIONALNU KONKURENTNOST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K822018-IPA III C 2. OPERATIVNI PROGRAM ZA REGIONALNU KONKURENTNOST</w:t>
            </w:r>
          </w:p>
        </w:tc>
        <w:tc>
          <w:tcPr>
            <w:tcW w:w="2322" w:type="dxa"/>
          </w:tcPr>
          <w:p w:rsidR="00AC0832" w:rsidRDefault="00AC0832">
            <w:pPr>
              <w:pStyle w:val="CellColumn"/>
            </w:pPr>
            <w:r>
              <w:t>51.090.027</w:t>
            </w:r>
          </w:p>
        </w:tc>
        <w:tc>
          <w:tcPr>
            <w:tcW w:w="2322" w:type="dxa"/>
          </w:tcPr>
          <w:p w:rsidR="00AC0832" w:rsidRDefault="00AC0832">
            <w:pPr>
              <w:pStyle w:val="CellColumn"/>
            </w:pPr>
            <w:r>
              <w:t>37.099.965</w:t>
            </w:r>
          </w:p>
        </w:tc>
        <w:tc>
          <w:tcPr>
            <w:tcW w:w="2322" w:type="dxa"/>
          </w:tcPr>
          <w:p w:rsidR="00AC0832" w:rsidRDefault="00AC0832">
            <w:pPr>
              <w:pStyle w:val="CellColumn"/>
            </w:pPr>
            <w:r>
              <w:t>72,6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Operativni program za regionalnu konkurentnost IPA komponente IIIc je  strateški dokument za područje regionalne konkurentnosti. To podrazumi¬jeva korištenje raspoloživih financijskih sredstava za mjere jačanja gospodarske konkurentnosti i pot¬icanja razvoja manje razvijenih područja. Glavna okosnica poticanja razvoja i rasta je poduzetništvo, odnosno stvaranje boljih uvjeta poslovanja i potpore malim i srednjim poduzetnicima.Ministarstvo poduzetništva i obrta kao Tijelo nadležno za Prioritet 2. Jačanje konkurentnosti hrvatskog gospodarstva, Mjeru 2.1. Poboljšanje poslovne klime iz Operativnog programa za regionalnu konkurentnost (OPRK)  pridonosi ostvarivanju Općeg cilja „Stvaranja konkurentnog i dinamičnog na znanju utemeljenog gospodarstva“ temeljem uspješnog povlačenja sredstava iz fondova Europske unije putem kvalitetno osmišljenih projekata i sudjelovanja u osiguranju učinkovitog sustava za upravljanje i provedbu Operativnog programa.</w:t>
      </w:r>
    </w:p>
    <w:p w:rsidR="00AC0832" w:rsidRDefault="00AC0832">
      <w:pPr>
        <w:pStyle w:val="Heading6"/>
      </w:pPr>
      <w:r>
        <w:t>T544022 ULAGANJE U FONDOVE ZA GOSPODARSKU SURADNJU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08"/>
        <w:gridCol w:w="1800"/>
        <w:gridCol w:w="1458"/>
        <w:gridCol w:w="2322"/>
      </w:tblGrid>
      <w:tr w:rsidR="00AC0832" w:rsidTr="00595050">
        <w:trPr>
          <w:jc w:val="center"/>
        </w:trPr>
        <w:tc>
          <w:tcPr>
            <w:tcW w:w="3708" w:type="dxa"/>
            <w:shd w:val="clear" w:color="auto" w:fill="B5C0D8"/>
          </w:tcPr>
          <w:p w:rsidR="00AC0832" w:rsidRDefault="00AC0832">
            <w:pPr>
              <w:pStyle w:val="CellHeader"/>
            </w:pPr>
            <w:r>
              <w:t>Naziv aktivnosti</w:t>
            </w:r>
          </w:p>
        </w:tc>
        <w:tc>
          <w:tcPr>
            <w:tcW w:w="1800" w:type="dxa"/>
            <w:shd w:val="clear" w:color="auto" w:fill="B5C0D8"/>
          </w:tcPr>
          <w:p w:rsidR="00AC0832" w:rsidRDefault="00AC0832">
            <w:pPr>
              <w:pStyle w:val="CellHeader"/>
            </w:pPr>
            <w:r>
              <w:t>Plan 2012. (kn)</w:t>
            </w:r>
          </w:p>
        </w:tc>
        <w:tc>
          <w:tcPr>
            <w:tcW w:w="1458"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595050">
        <w:trPr>
          <w:jc w:val="center"/>
        </w:trPr>
        <w:tc>
          <w:tcPr>
            <w:tcW w:w="3708" w:type="dxa"/>
          </w:tcPr>
          <w:p w:rsidR="00AC0832" w:rsidRDefault="00AC0832">
            <w:pPr>
              <w:pStyle w:val="CellColumn"/>
            </w:pPr>
            <w:r>
              <w:t>T544022-ULAGANJE U FONDOVE ZA GOSPODARSKU SURADNJU</w:t>
            </w:r>
          </w:p>
        </w:tc>
        <w:tc>
          <w:tcPr>
            <w:tcW w:w="1800" w:type="dxa"/>
          </w:tcPr>
          <w:p w:rsidR="00AC0832" w:rsidRDefault="00AC0832">
            <w:pPr>
              <w:pStyle w:val="CellColumn"/>
            </w:pPr>
            <w:r>
              <w:t>50.000.000</w:t>
            </w:r>
          </w:p>
        </w:tc>
        <w:tc>
          <w:tcPr>
            <w:tcW w:w="1458" w:type="dxa"/>
          </w:tcPr>
          <w:p w:rsidR="00AC0832" w:rsidRDefault="00AC0832">
            <w:pPr>
              <w:pStyle w:val="CellColumn"/>
            </w:pPr>
            <w:r>
              <w:t>50.000.000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2011. godini osnovani su Fondovi za gospodarsku suradnju. Kroz Fodnove za gospodarsku suradnju osim stvaranja pozitivne ulagačka klime gdje se dijeli  rizik s “privatnim” sektorom koji se pokazao uspješnim u stvaranju nove vrijednosti, razvija se industrija fondova rizičnog kapitala kao pokretača novih industrija (Internet, web, mediji, obnovljivi izvori energije, itd.). Ulazak u EU stvoriti će uvjete za korištenje financijskih instrumenata EU među kojima su i fondovi rizičnog kapitala, te je potrebno osmisliti proračunski učinkovit omjer javno privatnog-partnerstva do izlaska države iz takvih fondova u cilju jačanja financijskog i fondovskog tržišta sukladno EU.</w:t>
      </w:r>
    </w:p>
    <w:p w:rsidR="00AC0832" w:rsidRDefault="00AC0832">
      <w:pPr>
        <w:pStyle w:val="Heading2"/>
      </w:pPr>
      <w:r>
        <w:t>05110 Hrvatska agencija za malo gospodarstvo</w:t>
      </w:r>
    </w:p>
    <w:p w:rsidR="00AC0832" w:rsidRDefault="00AC0832">
      <w:pPr>
        <w:pStyle w:val="Heading4"/>
      </w:pPr>
      <w:r>
        <w:t>Uvod</w:t>
      </w:r>
    </w:p>
    <w:p w:rsidR="00AC0832" w:rsidRDefault="00AC0832">
      <w:pPr>
        <w:pStyle w:val="Normal3"/>
      </w:pPr>
      <w:r>
        <w:t xml:space="preserve">Hrvatska agencija za malo gospodarstvo (HAMAG) najveća je agencija za poticanje poduzetništva u Republici Hrvatskoj. Cjelokupna djelatnost Agencije usmjerena je na razvoj malog i srednjeg poduzetništva. Niz je aktivnosti i mjera kojima HAMAG potiče razvoj poduzetništva i konkurentnost gospodarskih subjekata od kojih su svakako najprepoznatljivije izdavanje jamstava i bespovratnih potpora, certificiranje konzultanata, sufinanciranje konzultantskih usluga i razvoj poduzetničke infrastrukture. Programe i aktivnosti HAMAG kreira sukladno zahtjevima i potrebama  tržišta, kako bi u potpunosti ostvarili svoju namjenu. </w:t>
      </w:r>
    </w:p>
    <w:p w:rsidR="00AC0832" w:rsidRDefault="00AC0832">
      <w:pPr>
        <w:pStyle w:val="Normal3"/>
      </w:pPr>
      <w:r>
        <w:t>Uspješnom suradnjom s domaćim i inozemnim partnerima HAMAG kontinuirano  ulaže u jačanje vlastitih kapaciteta koje ga čine neizostavnom karikom razvoja malog i srednjeg poduzetništva. U prilog tome govori i činjenica da ulaskom Republike Hrvatske u Europsku uniju HAMAG očekuje važna uloga posredničkog tijela za provedbu strukturnih fondova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05110-Hrvatska agencija za malo gospodarstvo</w:t>
            </w:r>
          </w:p>
        </w:tc>
        <w:tc>
          <w:tcPr>
            <w:tcW w:w="2322" w:type="dxa"/>
          </w:tcPr>
          <w:p w:rsidR="00AC0832" w:rsidRDefault="00AC0832">
            <w:pPr>
              <w:pStyle w:val="CellColumn"/>
            </w:pPr>
            <w:r>
              <w:t>64.220.700</w:t>
            </w:r>
          </w:p>
        </w:tc>
        <w:tc>
          <w:tcPr>
            <w:tcW w:w="2322" w:type="dxa"/>
          </w:tcPr>
          <w:p w:rsidR="00AC0832" w:rsidRDefault="00AC0832">
            <w:pPr>
              <w:pStyle w:val="CellColumn"/>
            </w:pPr>
            <w:r>
              <w:t>60.015.070</w:t>
            </w:r>
          </w:p>
        </w:tc>
        <w:tc>
          <w:tcPr>
            <w:tcW w:w="2322" w:type="dxa"/>
          </w:tcPr>
          <w:p w:rsidR="00AC0832" w:rsidRDefault="00AC0832">
            <w:pPr>
              <w:pStyle w:val="CellColumn"/>
            </w:pPr>
            <w:r>
              <w:t>93,5</w:t>
            </w:r>
          </w:p>
        </w:tc>
      </w:tr>
      <w:tr w:rsidR="00AC0832" w:rsidTr="00BE20ED">
        <w:trPr>
          <w:jc w:val="center"/>
        </w:trPr>
        <w:tc>
          <w:tcPr>
            <w:tcW w:w="2322" w:type="dxa"/>
          </w:tcPr>
          <w:p w:rsidR="00AC0832" w:rsidRDefault="00AC0832">
            <w:pPr>
              <w:pStyle w:val="CellColumnSmall"/>
            </w:pPr>
            <w:r>
              <w:t>3202-JAČANJE KONKURENTNOSTI MALOG I SREDNJEG PODUZETNIŠTVA</w:t>
            </w:r>
          </w:p>
        </w:tc>
        <w:tc>
          <w:tcPr>
            <w:tcW w:w="2322" w:type="dxa"/>
          </w:tcPr>
          <w:p w:rsidR="00AC0832" w:rsidRDefault="00AC0832">
            <w:pPr>
              <w:pStyle w:val="CellColumnSmall"/>
            </w:pPr>
            <w:r>
              <w:t>64.220.700</w:t>
            </w:r>
          </w:p>
        </w:tc>
        <w:tc>
          <w:tcPr>
            <w:tcW w:w="2322" w:type="dxa"/>
          </w:tcPr>
          <w:p w:rsidR="00AC0832" w:rsidRDefault="00AC0832">
            <w:pPr>
              <w:pStyle w:val="CellColumnSmall"/>
            </w:pPr>
            <w:r>
              <w:t>60.015.070</w:t>
            </w:r>
          </w:p>
        </w:tc>
        <w:tc>
          <w:tcPr>
            <w:tcW w:w="2322" w:type="dxa"/>
          </w:tcPr>
          <w:p w:rsidR="00AC0832" w:rsidRDefault="00AC0832">
            <w:pPr>
              <w:pStyle w:val="CellColumnSmall"/>
            </w:pPr>
            <w:r>
              <w:t>93,5</w:t>
            </w:r>
          </w:p>
        </w:tc>
      </w:tr>
    </w:tbl>
    <w:p w:rsidR="00AC0832" w:rsidRDefault="00AC0832">
      <w:pPr>
        <w:jc w:val="left"/>
      </w:pPr>
    </w:p>
    <w:p w:rsidR="00AC0832" w:rsidRDefault="00AC0832">
      <w:pPr>
        <w:pStyle w:val="Heading4"/>
      </w:pPr>
      <w:r>
        <w:t>OBRAZLOŽENJE PROGRAMA</w:t>
      </w:r>
    </w:p>
    <w:p w:rsidR="00AC0832" w:rsidRDefault="00AC0832">
      <w:pPr>
        <w:pStyle w:val="Heading5"/>
      </w:pPr>
      <w:r>
        <w:t>3202 JAČANJE KONKURENTNOSTI MALOG I SREDNJEG PODUZETNIŠTVA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3202-JAČANJE KONKURENTNOSTI MALOG I SREDNJEG PODUZETNIŠTVA</w:t>
            </w:r>
          </w:p>
        </w:tc>
        <w:tc>
          <w:tcPr>
            <w:tcW w:w="2322" w:type="dxa"/>
          </w:tcPr>
          <w:p w:rsidR="00AC0832" w:rsidRDefault="00AC0832">
            <w:pPr>
              <w:pStyle w:val="CellColumn"/>
            </w:pPr>
            <w:r>
              <w:t>64.220.700</w:t>
            </w:r>
          </w:p>
        </w:tc>
        <w:tc>
          <w:tcPr>
            <w:tcW w:w="2322" w:type="dxa"/>
          </w:tcPr>
          <w:p w:rsidR="00AC0832" w:rsidRDefault="00AC0832">
            <w:pPr>
              <w:pStyle w:val="CellColumn"/>
            </w:pPr>
            <w:r>
              <w:t>60.015.070</w:t>
            </w:r>
          </w:p>
        </w:tc>
        <w:tc>
          <w:tcPr>
            <w:tcW w:w="2322" w:type="dxa"/>
          </w:tcPr>
          <w:p w:rsidR="00AC0832" w:rsidRDefault="00AC0832">
            <w:pPr>
              <w:pStyle w:val="CellColumn"/>
            </w:pPr>
            <w:r>
              <w:t>93,5</w:t>
            </w:r>
          </w:p>
        </w:tc>
      </w:tr>
    </w:tbl>
    <w:p w:rsidR="00AC0832" w:rsidRDefault="00AC0832">
      <w:pPr>
        <w:jc w:val="left"/>
      </w:pPr>
    </w:p>
    <w:p w:rsidR="00AC0832" w:rsidRDefault="00AC0832">
      <w:pPr>
        <w:pStyle w:val="Heading6"/>
      </w:pPr>
      <w:r>
        <w:t>Opis programa</w:t>
      </w:r>
    </w:p>
    <w:p w:rsidR="00AC0832" w:rsidRDefault="00AC0832">
      <w:pPr>
        <w:pStyle w:val="Normal5"/>
      </w:pPr>
      <w:r>
        <w:t>Ovaj program ima za cilj poticanje razvoja malog gospodarstva nizom mjera koje HAMAG provodi u cilju olakšanog pristupa poduzetnika izvorima financiranja kroz izdavanje jamstava i bespovratnih potpora, certificiranje konzultanata, sufinanciranje konzultantskih usluga i razvoj poduzetničke infrastrukture. Programe i aktivnosti HAMAG kreira sukladno zahtjevima i potrebama  tržišta, kako bi u potpunosti ostvarili svoju namjenu.</w:t>
      </w:r>
    </w:p>
    <w:p w:rsidR="00AC0832" w:rsidRDefault="00AC0832">
      <w:pPr>
        <w:pStyle w:val="Heading6"/>
      </w:pPr>
      <w:r>
        <w:t>Zakonske i druge pravne osnove</w:t>
      </w:r>
    </w:p>
    <w:p w:rsidR="00AC0832" w:rsidRDefault="00AC0832">
      <w:pPr>
        <w:pStyle w:val="Normal5"/>
      </w:pPr>
      <w:r>
        <w:t xml:space="preserve">Zakon o poticanju razvoja malog gospodarstva (NN 29/02) </w:t>
      </w:r>
    </w:p>
    <w:p w:rsidR="00AC0832" w:rsidRDefault="00AC0832">
      <w:pPr>
        <w:pStyle w:val="Normal5"/>
      </w:pPr>
      <w:r>
        <w:t xml:space="preserve">Zakon o izmjenama i dopunama Zakona o poticanju razvoja malog gospodarstva (NN 63/07) </w:t>
      </w:r>
    </w:p>
    <w:p w:rsidR="00AC0832" w:rsidRDefault="00AC0832">
      <w:pPr>
        <w:pStyle w:val="Normal5"/>
      </w:pPr>
      <w:r>
        <w:t xml:space="preserve">Program Vlade Republike Hrvatske o poticanju malog i srednjeg poduzetništva 2008. – 2012. </w:t>
      </w:r>
    </w:p>
    <w:p w:rsidR="00AC0832" w:rsidRDefault="00AC0832">
      <w:pPr>
        <w:pStyle w:val="Normal5"/>
      </w:pPr>
      <w:r>
        <w:t xml:space="preserve">odobrenim od Vlade RH 18. travnja 2008. godine </w:t>
      </w:r>
    </w:p>
    <w:p w:rsidR="00AC0832" w:rsidRDefault="00AC0832">
      <w:pPr>
        <w:pStyle w:val="Normal5"/>
      </w:pPr>
      <w:r>
        <w:t xml:space="preserve">Zakon o državnim potporama (N.N. 140/05), </w:t>
      </w:r>
    </w:p>
    <w:p w:rsidR="00AC0832" w:rsidRDefault="00AC0832">
      <w:pPr>
        <w:pStyle w:val="Normal5"/>
      </w:pPr>
      <w:r>
        <w:t>Uredba o državnim potporama (N.N. 50/06).</w:t>
      </w:r>
    </w:p>
    <w:p w:rsidR="00AC0832" w:rsidRDefault="00AC0832">
      <w:pPr>
        <w:pStyle w:val="Heading7"/>
      </w:pPr>
      <w:r>
        <w:t>Cilj 1. Lakša dostupnost financiranju poduzetničkih projekata-izdavanje jamstava</w:t>
      </w:r>
    </w:p>
    <w:p w:rsidR="00AC0832" w:rsidRDefault="00AC0832">
      <w:pPr>
        <w:pStyle w:val="Heading8"/>
        <w:jc w:val="left"/>
      </w:pPr>
      <w:r>
        <w:t>Opis provedbe cilja programa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29"/>
        <w:gridCol w:w="1300"/>
        <w:gridCol w:w="1329"/>
        <w:gridCol w:w="132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odobrenih jamstava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112</w:t>
            </w:r>
          </w:p>
        </w:tc>
        <w:tc>
          <w:tcPr>
            <w:tcW w:w="1300" w:type="dxa"/>
          </w:tcPr>
          <w:p w:rsidR="00AC0832" w:rsidRDefault="00AC0832">
            <w:pPr>
              <w:pStyle w:val="CellColumn"/>
            </w:pPr>
            <w:r>
              <w:t>HAMAG</w:t>
            </w:r>
          </w:p>
        </w:tc>
        <w:tc>
          <w:tcPr>
            <w:tcW w:w="1300" w:type="dxa"/>
          </w:tcPr>
          <w:p w:rsidR="00AC0832" w:rsidRDefault="00AC0832">
            <w:pPr>
              <w:pStyle w:val="CellColumn"/>
            </w:pPr>
            <w:r>
              <w:t>140</w:t>
            </w:r>
          </w:p>
        </w:tc>
        <w:tc>
          <w:tcPr>
            <w:tcW w:w="1300" w:type="dxa"/>
          </w:tcPr>
          <w:p w:rsidR="00AC0832" w:rsidRDefault="00AC0832">
            <w:pPr>
              <w:pStyle w:val="CellColumn"/>
            </w:pPr>
            <w:r>
              <w:t>243</w:t>
            </w:r>
          </w:p>
        </w:tc>
      </w:tr>
      <w:tr w:rsidR="00AC0832" w:rsidTr="00BE20ED">
        <w:trPr>
          <w:jc w:val="center"/>
        </w:trPr>
        <w:tc>
          <w:tcPr>
            <w:tcW w:w="1300" w:type="dxa"/>
          </w:tcPr>
          <w:p w:rsidR="00AC0832" w:rsidRDefault="00AC0832">
            <w:pPr>
              <w:pStyle w:val="CellColumn"/>
            </w:pPr>
            <w:r>
              <w:t>Iznos odobrenih jamstava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kn</w:t>
            </w:r>
          </w:p>
        </w:tc>
        <w:tc>
          <w:tcPr>
            <w:tcW w:w="1300" w:type="dxa"/>
          </w:tcPr>
          <w:p w:rsidR="00AC0832" w:rsidRDefault="00AC0832">
            <w:pPr>
              <w:pStyle w:val="CellColumn"/>
            </w:pPr>
            <w:r>
              <w:t>154.264.185</w:t>
            </w:r>
          </w:p>
        </w:tc>
        <w:tc>
          <w:tcPr>
            <w:tcW w:w="1300" w:type="dxa"/>
          </w:tcPr>
          <w:p w:rsidR="00AC0832" w:rsidRDefault="00AC0832">
            <w:pPr>
              <w:pStyle w:val="CellColumn"/>
            </w:pPr>
            <w:r>
              <w:t>HAMAG</w:t>
            </w:r>
          </w:p>
        </w:tc>
        <w:tc>
          <w:tcPr>
            <w:tcW w:w="1300" w:type="dxa"/>
          </w:tcPr>
          <w:p w:rsidR="00AC0832" w:rsidRDefault="00AC0832">
            <w:pPr>
              <w:pStyle w:val="CellColumn"/>
            </w:pPr>
            <w:r>
              <w:t>187.500.000</w:t>
            </w:r>
          </w:p>
        </w:tc>
        <w:tc>
          <w:tcPr>
            <w:tcW w:w="1300" w:type="dxa"/>
          </w:tcPr>
          <w:p w:rsidR="00AC0832" w:rsidRDefault="00AC0832">
            <w:pPr>
              <w:pStyle w:val="CellColumn"/>
            </w:pPr>
            <w:r>
              <w:t>315073092</w:t>
            </w:r>
          </w:p>
        </w:tc>
      </w:tr>
      <w:tr w:rsidR="00AC0832" w:rsidTr="00BE20ED">
        <w:trPr>
          <w:jc w:val="center"/>
        </w:trPr>
        <w:tc>
          <w:tcPr>
            <w:tcW w:w="1300" w:type="dxa"/>
          </w:tcPr>
          <w:p w:rsidR="00AC0832" w:rsidRDefault="00AC0832">
            <w:pPr>
              <w:pStyle w:val="CellColumn"/>
            </w:pPr>
            <w:r>
              <w:t>Iznos mogućih investicija putem jamstva HAMAG-a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kn</w:t>
            </w:r>
          </w:p>
        </w:tc>
        <w:tc>
          <w:tcPr>
            <w:tcW w:w="1300" w:type="dxa"/>
          </w:tcPr>
          <w:p w:rsidR="00AC0832" w:rsidRDefault="00AC0832">
            <w:pPr>
              <w:pStyle w:val="CellColumn"/>
            </w:pPr>
            <w:r>
              <w:t>494.269.086</w:t>
            </w:r>
          </w:p>
        </w:tc>
        <w:tc>
          <w:tcPr>
            <w:tcW w:w="1300" w:type="dxa"/>
          </w:tcPr>
          <w:p w:rsidR="00AC0832" w:rsidRDefault="00AC0832">
            <w:pPr>
              <w:pStyle w:val="CellColumn"/>
            </w:pPr>
            <w:r>
              <w:t>HAMAG</w:t>
            </w:r>
          </w:p>
        </w:tc>
        <w:tc>
          <w:tcPr>
            <w:tcW w:w="1300" w:type="dxa"/>
          </w:tcPr>
          <w:p w:rsidR="00AC0832" w:rsidRDefault="00AC0832">
            <w:pPr>
              <w:pStyle w:val="CellColumn"/>
            </w:pPr>
            <w:r>
              <w:t>572.050.000</w:t>
            </w:r>
          </w:p>
        </w:tc>
        <w:tc>
          <w:tcPr>
            <w:tcW w:w="1300" w:type="dxa"/>
          </w:tcPr>
          <w:p w:rsidR="00AC0832" w:rsidRDefault="00AC0832">
            <w:pPr>
              <w:pStyle w:val="CellColumn"/>
            </w:pPr>
            <w:r>
              <w:t>923.968.273</w:t>
            </w:r>
          </w:p>
        </w:tc>
      </w:tr>
    </w:tbl>
    <w:p w:rsidR="00AC0832" w:rsidRDefault="00AC0832">
      <w:pPr>
        <w:jc w:val="left"/>
      </w:pPr>
    </w:p>
    <w:p w:rsidR="00AC0832" w:rsidRDefault="00AC0832">
      <w:pPr>
        <w:pStyle w:val="Heading7"/>
      </w:pPr>
      <w:r>
        <w:t>Cilj 2. Jačanje konkurentne sposobnosti subjekata malog gospodarstva kroz dodjelu bespovratnih potpora</w:t>
      </w:r>
    </w:p>
    <w:p w:rsidR="00AC0832" w:rsidRDefault="00AC0832">
      <w:pPr>
        <w:pStyle w:val="Heading8"/>
        <w:jc w:val="left"/>
      </w:pPr>
      <w:r>
        <w:t>Opis provedbe cilja programa</w:t>
      </w:r>
    </w:p>
    <w:p w:rsidR="00AC0832" w:rsidRDefault="00AC0832">
      <w:pPr>
        <w:pStyle w:val="Heading7"/>
      </w:pPr>
      <w:r>
        <w:t>Cilj 3. Podizanje kvalitete tržišta savjetodavnih usluga za malo gospodarstvo i olakšanje pristupa poduzetnika savjetodavnim uslugama</w:t>
      </w: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1"/>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certificiranih konzultanata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98</w:t>
            </w:r>
          </w:p>
        </w:tc>
        <w:tc>
          <w:tcPr>
            <w:tcW w:w="1300" w:type="dxa"/>
          </w:tcPr>
          <w:p w:rsidR="00AC0832" w:rsidRDefault="00AC0832">
            <w:pPr>
              <w:pStyle w:val="CellColumn"/>
            </w:pPr>
            <w:r>
              <w:t>HAMAG</w:t>
            </w:r>
          </w:p>
        </w:tc>
        <w:tc>
          <w:tcPr>
            <w:tcW w:w="1300" w:type="dxa"/>
          </w:tcPr>
          <w:p w:rsidR="00AC0832" w:rsidRDefault="00AC0832">
            <w:pPr>
              <w:pStyle w:val="CellColumn"/>
            </w:pPr>
            <w:r>
              <w:t>110</w:t>
            </w:r>
          </w:p>
        </w:tc>
        <w:tc>
          <w:tcPr>
            <w:tcW w:w="1300" w:type="dxa"/>
          </w:tcPr>
          <w:p w:rsidR="00AC0832" w:rsidRDefault="00AC0832">
            <w:pPr>
              <w:pStyle w:val="CellColumn"/>
            </w:pPr>
            <w:r>
              <w:t>94</w:t>
            </w:r>
          </w:p>
        </w:tc>
      </w:tr>
      <w:tr w:rsidR="00AC0832" w:rsidTr="00BE20ED">
        <w:trPr>
          <w:jc w:val="center"/>
        </w:trPr>
        <w:tc>
          <w:tcPr>
            <w:tcW w:w="1300" w:type="dxa"/>
          </w:tcPr>
          <w:p w:rsidR="00AC0832" w:rsidRDefault="00AC0832">
            <w:pPr>
              <w:pStyle w:val="CellColumn"/>
            </w:pPr>
            <w:r>
              <w:t>Broj izdanih vaučera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137</w:t>
            </w:r>
          </w:p>
        </w:tc>
        <w:tc>
          <w:tcPr>
            <w:tcW w:w="1300" w:type="dxa"/>
          </w:tcPr>
          <w:p w:rsidR="00AC0832" w:rsidRDefault="00AC0832">
            <w:pPr>
              <w:pStyle w:val="CellColumn"/>
            </w:pPr>
            <w:r>
              <w:t>HAMAG</w:t>
            </w:r>
          </w:p>
        </w:tc>
        <w:tc>
          <w:tcPr>
            <w:tcW w:w="1300" w:type="dxa"/>
          </w:tcPr>
          <w:p w:rsidR="00AC0832" w:rsidRDefault="00AC0832">
            <w:pPr>
              <w:pStyle w:val="CellColumn"/>
            </w:pPr>
            <w:r>
              <w:t>150</w:t>
            </w:r>
          </w:p>
        </w:tc>
        <w:tc>
          <w:tcPr>
            <w:tcW w:w="1300" w:type="dxa"/>
          </w:tcPr>
          <w:p w:rsidR="00AC0832" w:rsidRDefault="00AC0832">
            <w:pPr>
              <w:pStyle w:val="CellColumn"/>
            </w:pPr>
            <w:r>
              <w:t>120</w:t>
            </w:r>
          </w:p>
        </w:tc>
      </w:tr>
    </w:tbl>
    <w:p w:rsidR="00AC0832" w:rsidRDefault="00AC0832">
      <w:pPr>
        <w:jc w:val="left"/>
      </w:pPr>
    </w:p>
    <w:p w:rsidR="00AC0832" w:rsidRDefault="00AC0832">
      <w:pPr>
        <w:pStyle w:val="Heading6"/>
      </w:pPr>
      <w:r>
        <w:t>A560095 POTICANJE PODUZETNIKA POČETNIKA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A560095-POTICANJE PODUZETNIKA POČETNIKA</w:t>
            </w:r>
          </w:p>
        </w:tc>
        <w:tc>
          <w:tcPr>
            <w:tcW w:w="2322" w:type="dxa"/>
          </w:tcPr>
          <w:p w:rsidR="00AC0832" w:rsidRDefault="00AC0832">
            <w:pPr>
              <w:pStyle w:val="CellColumn"/>
            </w:pPr>
            <w:r>
              <w:t>3.000.000</w:t>
            </w:r>
          </w:p>
        </w:tc>
        <w:tc>
          <w:tcPr>
            <w:tcW w:w="2322" w:type="dxa"/>
          </w:tcPr>
          <w:p w:rsidR="00AC0832" w:rsidRDefault="00AC0832">
            <w:pPr>
              <w:pStyle w:val="CellColumn"/>
            </w:pPr>
            <w:r>
              <w:t>2.885.200</w:t>
            </w:r>
          </w:p>
        </w:tc>
        <w:tc>
          <w:tcPr>
            <w:tcW w:w="2322" w:type="dxa"/>
          </w:tcPr>
          <w:p w:rsidR="00AC0832" w:rsidRDefault="00AC0832">
            <w:pPr>
              <w:pStyle w:val="CellColumn"/>
            </w:pPr>
            <w:r>
              <w:t>96,2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Po projektu Poduzetnik početnik- A560095 u okviru Poduzetničkog impulsa za 2012. godinu dodijeljene su 32 bespovratne potpore te je ukupno isplaćeno 2.885.200 kuna.</w:t>
      </w:r>
    </w:p>
    <w:p w:rsidR="00AC0832" w:rsidRDefault="00AC0832">
      <w:pPr>
        <w:pStyle w:val="Heading6"/>
      </w:pPr>
      <w:r>
        <w:t>A563025 ADMINISTRACIJA I UPRAVLJANJE HRVATSKE AGENCIJE ZA MALO GOSPODARSTVO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A563025-ADMINISTRACIJA I UPRAVLJANJE HRVATSKE AGENCIJE ZA MALO GOSPODARSTVO</w:t>
            </w:r>
          </w:p>
        </w:tc>
        <w:tc>
          <w:tcPr>
            <w:tcW w:w="2322" w:type="dxa"/>
          </w:tcPr>
          <w:p w:rsidR="00AC0832" w:rsidRDefault="00AC0832">
            <w:pPr>
              <w:pStyle w:val="CellColumn"/>
            </w:pPr>
            <w:r>
              <w:t>10.540.700</w:t>
            </w:r>
          </w:p>
        </w:tc>
        <w:tc>
          <w:tcPr>
            <w:tcW w:w="2322" w:type="dxa"/>
          </w:tcPr>
          <w:p w:rsidR="00AC0832" w:rsidRDefault="00AC0832">
            <w:pPr>
              <w:pStyle w:val="CellColumn"/>
            </w:pPr>
            <w:r>
              <w:t>9.794.658</w:t>
            </w:r>
          </w:p>
        </w:tc>
        <w:tc>
          <w:tcPr>
            <w:tcW w:w="2322" w:type="dxa"/>
          </w:tcPr>
          <w:p w:rsidR="00AC0832" w:rsidRDefault="00AC0832">
            <w:pPr>
              <w:pStyle w:val="CellColumn"/>
            </w:pPr>
            <w:r>
              <w:t>92,9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Sredstvima koja su planirana u okviru ove aktivnosti financirani su troškovi obavljanja redovite djelatnosti HAMAG INVEST-a: plaće i ostali izdaci za zaposlene, materijalni troškovi, opremanje namještanjem, informatičkom i ostalom opremom. Odstupanja koja su nastala u izvršavnju ove aktivnosti u odnosu na planirana sredstva rezultat su provedenih ušteda.</w:t>
      </w:r>
    </w:p>
    <w:p w:rsidR="00AC0832" w:rsidRDefault="00AC0832">
      <w:pPr>
        <w:pStyle w:val="Heading6"/>
      </w:pPr>
      <w:r>
        <w:t>A563026 JAMSTVA ZA MALO GOSPODARSTVO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A563026-JAMSTVA ZA MALO GOSPODARSTVO</w:t>
            </w:r>
          </w:p>
        </w:tc>
        <w:tc>
          <w:tcPr>
            <w:tcW w:w="2322" w:type="dxa"/>
          </w:tcPr>
          <w:p w:rsidR="00AC0832" w:rsidRDefault="00AC0832">
            <w:pPr>
              <w:pStyle w:val="CellColumn"/>
            </w:pPr>
            <w:r>
              <w:t>20.000.000</w:t>
            </w:r>
          </w:p>
        </w:tc>
        <w:tc>
          <w:tcPr>
            <w:tcW w:w="2322" w:type="dxa"/>
          </w:tcPr>
          <w:p w:rsidR="00AC0832" w:rsidRDefault="00AC0832">
            <w:pPr>
              <w:pStyle w:val="CellColumn"/>
            </w:pPr>
            <w:r>
              <w:t>17.317.864</w:t>
            </w:r>
          </w:p>
        </w:tc>
        <w:tc>
          <w:tcPr>
            <w:tcW w:w="2322" w:type="dxa"/>
          </w:tcPr>
          <w:p w:rsidR="00AC0832" w:rsidRDefault="00AC0832">
            <w:pPr>
              <w:pStyle w:val="CellColumn"/>
            </w:pPr>
            <w:r>
              <w:t>86,6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Prema procjenama potencijanih aktivacija u planu za 2012 godinu se naveo veći iznos za aktivaciju po danim zajmovima trgovačkim društvima. Aktivacije koja su uslijedile u 2012 godini su pokazale:  </w:t>
      </w:r>
    </w:p>
    <w:p w:rsidR="00AC0832" w:rsidRDefault="00AC0832">
      <w:pPr>
        <w:pStyle w:val="Normal6"/>
      </w:pPr>
      <w:r>
        <w:t xml:space="preserve">Iznos planiran za aktivaciju tijekom 2012 godine koji se odnosI na trgovačka društva  je realiziran  svega 12,16%  ,dok je velik broj potencijalnih aktivacija obrtnika aktiviran od strane banke što je čak 98,24% više od planiranog. </w:t>
      </w:r>
    </w:p>
    <w:p w:rsidR="00AC0832" w:rsidRDefault="00AC0832">
      <w:pPr>
        <w:pStyle w:val="Normal6"/>
      </w:pPr>
      <w:r>
        <w:t>Ukupan zbroj po obe stavke  je manji od odobrenog  te iznosi 86,59% realizacije za 2012 godinu. Iznos neutrošen u 2012. godini  iznosi 2.682.136 kn</w:t>
      </w:r>
    </w:p>
    <w:p w:rsidR="00AC0832" w:rsidRDefault="00AC0832">
      <w:pPr>
        <w:pStyle w:val="Heading6"/>
      </w:pPr>
      <w:r>
        <w:t>A563040 POTICANJE MARKETINŠKIH AKTIVNOSTI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A563040-POTICANJE MARKETINŠKIH AKTIVNOSTI</w:t>
            </w:r>
          </w:p>
        </w:tc>
        <w:tc>
          <w:tcPr>
            <w:tcW w:w="2322" w:type="dxa"/>
          </w:tcPr>
          <w:p w:rsidR="00AC0832" w:rsidRDefault="00AC0832">
            <w:pPr>
              <w:pStyle w:val="CellColumn"/>
            </w:pPr>
            <w:r>
              <w:t>5.000.000</w:t>
            </w:r>
          </w:p>
        </w:tc>
        <w:tc>
          <w:tcPr>
            <w:tcW w:w="2322" w:type="dxa"/>
          </w:tcPr>
          <w:p w:rsidR="00AC0832" w:rsidRDefault="00AC0832">
            <w:pPr>
              <w:pStyle w:val="CellColumn"/>
            </w:pPr>
            <w:r>
              <w:t>4.613.200</w:t>
            </w:r>
          </w:p>
        </w:tc>
        <w:tc>
          <w:tcPr>
            <w:tcW w:w="2322" w:type="dxa"/>
          </w:tcPr>
          <w:p w:rsidR="00AC0832" w:rsidRDefault="00AC0832">
            <w:pPr>
              <w:pStyle w:val="CellColumn"/>
            </w:pPr>
            <w:r>
              <w:t>92,3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Po projektu Pozicioniranjem na tržštu do uspjeha- A563040 u okviru Poduzetničkog impulsa za 2012. godinu dodijeljeno je 99 bespovratnih potpora te  je ukupno isplaćeno 4.613.200 kuna.</w:t>
      </w:r>
    </w:p>
    <w:p w:rsidR="00AC0832" w:rsidRDefault="00AC0832">
      <w:pPr>
        <w:pStyle w:val="Heading6"/>
      </w:pPr>
      <w:r>
        <w:t>A563103 IZOBRAZBA I RAZVOJ MREŽE KONZULTANATA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A563103-IZOBRAZBA I RAZVOJ MREŽE KONZULTANATA</w:t>
            </w:r>
          </w:p>
        </w:tc>
        <w:tc>
          <w:tcPr>
            <w:tcW w:w="2322" w:type="dxa"/>
          </w:tcPr>
          <w:p w:rsidR="00AC0832" w:rsidRDefault="00AC0832">
            <w:pPr>
              <w:pStyle w:val="CellColumn"/>
            </w:pPr>
            <w:r>
              <w:t>1.180.000</w:t>
            </w:r>
          </w:p>
        </w:tc>
        <w:tc>
          <w:tcPr>
            <w:tcW w:w="2322" w:type="dxa"/>
          </w:tcPr>
          <w:p w:rsidR="00AC0832" w:rsidRDefault="00AC0832">
            <w:pPr>
              <w:pStyle w:val="CellColumn"/>
            </w:pPr>
            <w:r>
              <w:t>1.129.222</w:t>
            </w:r>
          </w:p>
        </w:tc>
        <w:tc>
          <w:tcPr>
            <w:tcW w:w="2322" w:type="dxa"/>
          </w:tcPr>
          <w:p w:rsidR="00AC0832" w:rsidRDefault="00AC0832">
            <w:pPr>
              <w:pStyle w:val="CellColumn"/>
            </w:pPr>
            <w:r>
              <w:t>95,7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svrhu jačanja konkurentnosti malog i srednjeg poduzetništva u 2012. godinina proračunskoj aktivnosti je utrošeno 1.129.222 za 120 vaučera isplaćenih poduzetnicima i 110 naknada isplaćenih partnerskim institucijama koje sudjeluju u provedbi istog projekta.</w:t>
      </w:r>
    </w:p>
    <w:p w:rsidR="00AC0832" w:rsidRDefault="00AC0832">
      <w:pPr>
        <w:pStyle w:val="Heading6"/>
      </w:pPr>
      <w:r>
        <w:t>A563118 POTICANJE KONKURENTNOSTI ZADRUGA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A563118-POTICANJE KONKURENTNOSTI ZADRUGA</w:t>
            </w:r>
          </w:p>
        </w:tc>
        <w:tc>
          <w:tcPr>
            <w:tcW w:w="2322" w:type="dxa"/>
          </w:tcPr>
          <w:p w:rsidR="00AC0832" w:rsidRDefault="00AC0832">
            <w:pPr>
              <w:pStyle w:val="CellColumn"/>
            </w:pPr>
            <w:r>
              <w:t>2.000.000</w:t>
            </w:r>
          </w:p>
        </w:tc>
        <w:tc>
          <w:tcPr>
            <w:tcW w:w="2322" w:type="dxa"/>
          </w:tcPr>
          <w:p w:rsidR="00AC0832" w:rsidRDefault="00AC0832">
            <w:pPr>
              <w:pStyle w:val="CellColumn"/>
            </w:pPr>
            <w:r>
              <w:t>2.000.000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Po projektu Zadružno poduzetništvo-A563118 u okviru Poduzetničkog impulsa za 2012. godinu dodijeljeno je 13 bespovratnih potpora te je ukupno  isplaćeno 2.000.000 kuna.</w:t>
      </w:r>
    </w:p>
    <w:p w:rsidR="00AC0832" w:rsidRDefault="00AC0832">
      <w:pPr>
        <w:pStyle w:val="Heading6"/>
      </w:pPr>
      <w:r>
        <w:t>A563119 POTICANJE NOVIH TEHNOLOGIJA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A563119-POTICANJE NOVIH TEHNOLOGIJA</w:t>
            </w:r>
          </w:p>
        </w:tc>
        <w:tc>
          <w:tcPr>
            <w:tcW w:w="2322" w:type="dxa"/>
          </w:tcPr>
          <w:p w:rsidR="00AC0832" w:rsidRDefault="00AC0832">
            <w:pPr>
              <w:pStyle w:val="CellColumn"/>
            </w:pPr>
            <w:r>
              <w:t>22.500.000</w:t>
            </w:r>
          </w:p>
        </w:tc>
        <w:tc>
          <w:tcPr>
            <w:tcW w:w="2322" w:type="dxa"/>
          </w:tcPr>
          <w:p w:rsidR="00AC0832" w:rsidRDefault="00AC0832">
            <w:pPr>
              <w:pStyle w:val="CellColumn"/>
            </w:pPr>
            <w:r>
              <w:t>22.274.925</w:t>
            </w:r>
          </w:p>
        </w:tc>
        <w:tc>
          <w:tcPr>
            <w:tcW w:w="2322" w:type="dxa"/>
          </w:tcPr>
          <w:p w:rsidR="00AC0832" w:rsidRDefault="00AC0832">
            <w:pPr>
              <w:pStyle w:val="CellColumn"/>
            </w:pPr>
            <w:r>
              <w:t>99,0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Po projektu Nove tehnologije -A563119 u okviru Poduzetničkog impulsa za 2012. godinu dodijeljeno je 60 bespovratnih potpora te je ukupno isplaćeno 22.274.925 kuna.</w:t>
      </w:r>
    </w:p>
    <w:p w:rsidR="00AC0832" w:rsidRDefault="00AC0832">
      <w:pPr>
        <w:pStyle w:val="Heading1"/>
      </w:pPr>
      <w:r>
        <w:t>055 MINISTARSTVO KULTURE</w:t>
      </w:r>
    </w:p>
    <w:p w:rsidR="00AC0832" w:rsidRDefault="00AC0832">
      <w:pPr>
        <w:pStyle w:val="Heading4"/>
      </w:pPr>
      <w:r>
        <w:t>Uvod</w:t>
      </w:r>
    </w:p>
    <w:p w:rsidR="00AC0832" w:rsidRDefault="00AC0832">
      <w:pPr>
        <w:pStyle w:val="Normal3"/>
      </w:pPr>
      <w:r>
        <w:t>Ministarstvo kulture obavlja upravne i druge stručne poslove u području kulture koji se odnose na: razvitak i unapređenje kulturnog i umjetničkog stvaralaštva, kulturnog života i kulturnih djelatnosti, promicanje kulturnih veza s drugim zemljama i međunarodnim institucijama, osiguravanje financijskih i materijalnih uvjeta za obavljanje i razvitak djelatnosti kulture te istraživanje, proučavanje, praćenje, evidentiranje, dokumentiranje i promicanje kulturne i prirodne baštine. Razvijanje kulturnog i umjetničkog stvaralaštva pridonijet će razvitku i unapređenju kulturnog života u Republici Hrvatskoj kroz ostvarenje programa javnih potreba u kulturi, poticanje knjige i nakladništva, muzejsko-galerijske djelatnosti i likovne umjetnosti, glazbe, dramske, glazbeno scenske, audiovizualne umjetnosti te novomedijskih kultura, jačanje uloge umjetničkog obrazovanja i provedbu programa poticanja poduzetništva u kulturi. Također upravljanje kulturnim dobrima, unapređenje suradnje i planiranja svih interesnih skupina, poboljšanje kvalitete restauratorskih i konzervatorskih poslova te kontroliranje prometa kulturnim dobrima doprinijet će postizanju optimalnoga modela zaštite i očuvanja kulturnih dobara. Polazeći od postignutog stupnja razvitka kulture i kulturnih djelatnosti unapređivat će se svi segmenti kulturnog i umjetničkog stvaralaštva i proizvodnje, ojačati sudjelovanje u svekolikom kulturnom životu, očuvati kulturnu raznolikost, jačati ravnomjernost kulturnog razvitka, promicati kulturu kao razvojnu snagu društva, jačati svijest o vrednovanju kulturnog proizvoda, osnažiti kulturno poduzetništvo i status umjetnika. Poticat će se izvrsnost u kulturi i umjetnosti, a posebno poticanje knjige i nakladništva, muzejsko galerijske i likovne djelatnosti, glazbe, dramske, glazbeno scenske, audiovizualne i plesne umjetnosti. Proračun Ministarstva kulture za razdoblje 2012.-2014. godina izrađen je i predložen prema novoj proračunskoj klasifikaciji i razvrstan je u četiri glave organizacijske klasifikacije: 05, 35, 40, 65. U okviru glave 05 planirana su sredstva za plaće, materijalne i kapitalne rashode za Ministarstvo kulture u užem smislu te sredstva koja se prenose neprofitnim organizacijama, građanima i kućanstvima te jedinicama lokalne i područne uprave i samouprave kao i izvanproračunskim korisnicama za programske aktivnosti u skladu Zakonom o financiranju javnih potreba u kulturi. Financiranje plaća, materijalnih rashoda i programa arhivske djelatnosti planirano je u glavi 35. U okviru glave 40 predviđena su sredstva za financiranje plaća, materijalnih rashoda i troškova programa muzeja i galerija dok je financiranje plaća, materijalnih rashoda i programa ostalih proračunskih korisnika iz područja kazališno scenske djelatnosti, knjižnične djelatnosti, zaštite kulturnih dobara, audiovizualne djelatnosti i ostalih djelatnosti planirano u okviru glave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05505-Ministarstvo kulture</w:t>
            </w:r>
          </w:p>
        </w:tc>
        <w:tc>
          <w:tcPr>
            <w:tcW w:w="2322" w:type="dxa"/>
          </w:tcPr>
          <w:p w:rsidR="00AC0832" w:rsidRDefault="00AC0832">
            <w:pPr>
              <w:pStyle w:val="CellColumn"/>
            </w:pPr>
            <w:r>
              <w:t>442.733.434</w:t>
            </w:r>
          </w:p>
        </w:tc>
        <w:tc>
          <w:tcPr>
            <w:tcW w:w="2322" w:type="dxa"/>
          </w:tcPr>
          <w:p w:rsidR="00AC0832" w:rsidRDefault="00AC0832">
            <w:pPr>
              <w:pStyle w:val="CellColumn"/>
            </w:pPr>
            <w:r>
              <w:t>417.476.628</w:t>
            </w:r>
          </w:p>
        </w:tc>
        <w:tc>
          <w:tcPr>
            <w:tcW w:w="2322" w:type="dxa"/>
          </w:tcPr>
          <w:p w:rsidR="00AC0832" w:rsidRDefault="00AC0832">
            <w:pPr>
              <w:pStyle w:val="CellColumn"/>
            </w:pPr>
            <w:r>
              <w:t>94,3</w:t>
            </w:r>
          </w:p>
        </w:tc>
      </w:tr>
      <w:tr w:rsidR="00AC0832" w:rsidTr="00BE20ED">
        <w:trPr>
          <w:jc w:val="center"/>
        </w:trPr>
        <w:tc>
          <w:tcPr>
            <w:tcW w:w="2322" w:type="dxa"/>
          </w:tcPr>
          <w:p w:rsidR="00AC0832" w:rsidRDefault="00AC0832">
            <w:pPr>
              <w:pStyle w:val="CellColumn"/>
            </w:pPr>
            <w:r>
              <w:t>05535-Arhivi</w:t>
            </w:r>
          </w:p>
        </w:tc>
        <w:tc>
          <w:tcPr>
            <w:tcW w:w="2322" w:type="dxa"/>
          </w:tcPr>
          <w:p w:rsidR="00AC0832" w:rsidRDefault="00AC0832">
            <w:pPr>
              <w:pStyle w:val="CellColumn"/>
            </w:pPr>
            <w:r>
              <w:t>82.326.267</w:t>
            </w:r>
          </w:p>
        </w:tc>
        <w:tc>
          <w:tcPr>
            <w:tcW w:w="2322" w:type="dxa"/>
          </w:tcPr>
          <w:p w:rsidR="00AC0832" w:rsidRDefault="00AC0832">
            <w:pPr>
              <w:pStyle w:val="CellColumn"/>
            </w:pPr>
            <w:r>
              <w:t>82.311.650</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
            </w:pPr>
            <w:r>
              <w:t>05540-Muzeji i galerije</w:t>
            </w:r>
          </w:p>
        </w:tc>
        <w:tc>
          <w:tcPr>
            <w:tcW w:w="2322" w:type="dxa"/>
          </w:tcPr>
          <w:p w:rsidR="00AC0832" w:rsidRDefault="00AC0832">
            <w:pPr>
              <w:pStyle w:val="CellColumn"/>
            </w:pPr>
            <w:r>
              <w:t>83.633.328</w:t>
            </w:r>
          </w:p>
        </w:tc>
        <w:tc>
          <w:tcPr>
            <w:tcW w:w="2322" w:type="dxa"/>
          </w:tcPr>
          <w:p w:rsidR="00AC0832" w:rsidRDefault="00AC0832">
            <w:pPr>
              <w:pStyle w:val="CellColumn"/>
            </w:pPr>
            <w:r>
              <w:t>83.618.405</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
            </w:pPr>
            <w:r>
              <w:t>05565-Ostali proračunski korisnici iz područja kulture</w:t>
            </w:r>
          </w:p>
        </w:tc>
        <w:tc>
          <w:tcPr>
            <w:tcW w:w="2322" w:type="dxa"/>
          </w:tcPr>
          <w:p w:rsidR="00AC0832" w:rsidRDefault="00AC0832">
            <w:pPr>
              <w:pStyle w:val="CellColumn"/>
            </w:pPr>
            <w:r>
              <w:t>219.013.783</w:t>
            </w:r>
          </w:p>
        </w:tc>
        <w:tc>
          <w:tcPr>
            <w:tcW w:w="2322" w:type="dxa"/>
          </w:tcPr>
          <w:p w:rsidR="00AC0832" w:rsidRDefault="00AC0832">
            <w:pPr>
              <w:pStyle w:val="CellColumn"/>
            </w:pPr>
            <w:r>
              <w:t>221.471.489</w:t>
            </w:r>
          </w:p>
        </w:tc>
        <w:tc>
          <w:tcPr>
            <w:tcW w:w="2322" w:type="dxa"/>
          </w:tcPr>
          <w:p w:rsidR="00AC0832" w:rsidRDefault="00AC0832">
            <w:pPr>
              <w:pStyle w:val="CellColumn"/>
            </w:pPr>
            <w:r>
              <w:t>101,1</w:t>
            </w:r>
          </w:p>
        </w:tc>
      </w:tr>
      <w:tr w:rsidR="00AC0832" w:rsidTr="00BE20ED">
        <w:trPr>
          <w:jc w:val="center"/>
        </w:trPr>
        <w:tc>
          <w:tcPr>
            <w:tcW w:w="2322" w:type="dxa"/>
            <w:shd w:val="clear" w:color="auto" w:fill="B5C0D8"/>
          </w:tcPr>
          <w:p w:rsidR="00AC0832" w:rsidRDefault="00AC0832">
            <w:pPr>
              <w:pStyle w:val="CellColumn"/>
            </w:pPr>
            <w:r>
              <w:t>Ukupno 055-MINISTARSTVO KULTURE</w:t>
            </w:r>
          </w:p>
        </w:tc>
        <w:tc>
          <w:tcPr>
            <w:tcW w:w="2322" w:type="dxa"/>
            <w:shd w:val="clear" w:color="auto" w:fill="B5C0D8"/>
          </w:tcPr>
          <w:p w:rsidR="00AC0832" w:rsidRDefault="00AC0832">
            <w:pPr>
              <w:pStyle w:val="CellColumn"/>
            </w:pPr>
            <w:r>
              <w:t>827.706.812</w:t>
            </w:r>
          </w:p>
        </w:tc>
        <w:tc>
          <w:tcPr>
            <w:tcW w:w="2322" w:type="dxa"/>
            <w:shd w:val="clear" w:color="auto" w:fill="B5C0D8"/>
          </w:tcPr>
          <w:p w:rsidR="00AC0832" w:rsidRDefault="00AC0832">
            <w:pPr>
              <w:pStyle w:val="CellColumn"/>
            </w:pPr>
            <w:r>
              <w:t>804.878.172</w:t>
            </w:r>
          </w:p>
        </w:tc>
        <w:tc>
          <w:tcPr>
            <w:tcW w:w="2322" w:type="dxa"/>
            <w:shd w:val="clear" w:color="auto" w:fill="B5C0D8"/>
          </w:tcPr>
          <w:p w:rsidR="00AC0832" w:rsidRDefault="00AC0832">
            <w:pPr>
              <w:pStyle w:val="CellColumn"/>
            </w:pPr>
            <w:r>
              <w:t>97,2</w:t>
            </w:r>
          </w:p>
        </w:tc>
      </w:tr>
    </w:tbl>
    <w:p w:rsidR="00AC0832" w:rsidRDefault="00AC0832">
      <w:pPr>
        <w:jc w:val="left"/>
      </w:pPr>
    </w:p>
    <w:p w:rsidR="00AC0832" w:rsidRDefault="00AC0832">
      <w:pPr>
        <w:pStyle w:val="Heading2"/>
      </w:pPr>
      <w:r>
        <w:t>05505 Ministarstvo kulture</w:t>
      </w:r>
    </w:p>
    <w:p w:rsidR="00AC0832" w:rsidRDefault="00AC0832">
      <w:pPr>
        <w:pStyle w:val="Heading4"/>
      </w:pPr>
      <w:r>
        <w:t>Uvod</w:t>
      </w:r>
    </w:p>
    <w:p w:rsidR="00AC0832" w:rsidRDefault="00AC0832">
      <w:pPr>
        <w:pStyle w:val="Normal3"/>
      </w:pPr>
      <w:r>
        <w:t>Ministarstvo kulture ustrojeno u 4 uprave, 1 samostalnu službu, Glavno tajništvo i Kabinet ministrice obavlja upravne i druge poslove na području kulture te kulturne i prirodne baštine. Kao proračunska glava svoje poslove i zadatke ostvaruje putem 7 programa: (3901) Uređenje djelatnosti kulture (upravljanje i administracija Ministarstva, informatizacija Ministarstva, obnova voznog parka), (3903) Muzejsko-galerijska djelatnost (programi), (3904) Kazališna i glazbeno-scenska djelatnost (programi), (3905) Knjižnična djelatnost (književno izdavaštvo, matične službe knjižnica i programi knjižnične djelatnosti), (3906) Audiovizualne djelatnosti i medija (informativne usluge HINA-e, međunarodni program HR "Glas Hrvatske", satelitski TV program za Sjevernu Ameriku, potpora izdavačkoj kući Edit), (3908) Zaštite kulturnih dobara (zaštitni radovi na nepokretnim spomenicima kulture, zaštita pokretnih spomenika, konzervatorsko-arheološka istraživanja, projekti Istraživanje, obnova i revitalizacija kulturne baštine Ilok-Vukovar-Vučedol i Obnova Maškovića hana i revitalizacija mjesta Vrana), te program (3907) Ostale djelatnosti kulture koji obuhvaća aktivnosti međunarodne kulturne suradnje (programi međunarodne kulturne suradnje, članarine za programe europske unije za kulturu, kulturna kontakt točka (EU-KKT), Hrvatsko povjerenstvo za UNESCO), poduzetništva u kulturi, potpore umjetničkoj djelatnosti (zdravstveno i mirovinsko osiguranje umjetnika, nagrade za postignuća u kulturi), izgradnje, održavanje, opremanja i informatizacije ustanova kulture te potpore organizacijama civilnog društva (osnovna djelatnost udruga u kulturi, Matica hrvatska, Hrvatsko kulturno društvo Napredak) i programima nove medijske kulture.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05505-Ministarstvo kulture</w:t>
            </w:r>
          </w:p>
        </w:tc>
        <w:tc>
          <w:tcPr>
            <w:tcW w:w="2322" w:type="dxa"/>
          </w:tcPr>
          <w:p w:rsidR="00AC0832" w:rsidRDefault="00AC0832">
            <w:pPr>
              <w:pStyle w:val="CellColumn"/>
            </w:pPr>
            <w:r>
              <w:t>442.733.434</w:t>
            </w:r>
          </w:p>
        </w:tc>
        <w:tc>
          <w:tcPr>
            <w:tcW w:w="2322" w:type="dxa"/>
          </w:tcPr>
          <w:p w:rsidR="00AC0832" w:rsidRDefault="00AC0832">
            <w:pPr>
              <w:pStyle w:val="CellColumn"/>
            </w:pPr>
            <w:r>
              <w:t>417.476.628</w:t>
            </w:r>
          </w:p>
        </w:tc>
        <w:tc>
          <w:tcPr>
            <w:tcW w:w="2322" w:type="dxa"/>
          </w:tcPr>
          <w:p w:rsidR="00AC0832" w:rsidRDefault="00AC0832">
            <w:pPr>
              <w:pStyle w:val="CellColumn"/>
            </w:pPr>
            <w:r>
              <w:t>94,3</w:t>
            </w:r>
          </w:p>
        </w:tc>
      </w:tr>
      <w:tr w:rsidR="00AC0832" w:rsidTr="00BE20ED">
        <w:trPr>
          <w:jc w:val="center"/>
        </w:trPr>
        <w:tc>
          <w:tcPr>
            <w:tcW w:w="2322" w:type="dxa"/>
          </w:tcPr>
          <w:p w:rsidR="00AC0832" w:rsidRDefault="00AC0832">
            <w:pPr>
              <w:pStyle w:val="CellColumnSmall"/>
            </w:pPr>
            <w:r>
              <w:t>3901-UREĐENJE DJELATNOSTI KULTURE</w:t>
            </w:r>
          </w:p>
        </w:tc>
        <w:tc>
          <w:tcPr>
            <w:tcW w:w="2322" w:type="dxa"/>
          </w:tcPr>
          <w:p w:rsidR="00AC0832" w:rsidRDefault="00AC0832">
            <w:pPr>
              <w:pStyle w:val="CellColumnSmall"/>
            </w:pPr>
            <w:r>
              <w:t>68.538.704</w:t>
            </w:r>
          </w:p>
        </w:tc>
        <w:tc>
          <w:tcPr>
            <w:tcW w:w="2322" w:type="dxa"/>
          </w:tcPr>
          <w:p w:rsidR="00AC0832" w:rsidRDefault="00AC0832">
            <w:pPr>
              <w:pStyle w:val="CellColumnSmall"/>
            </w:pPr>
            <w:r>
              <w:t>68.230.063</w:t>
            </w:r>
          </w:p>
        </w:tc>
        <w:tc>
          <w:tcPr>
            <w:tcW w:w="2322" w:type="dxa"/>
          </w:tcPr>
          <w:p w:rsidR="00AC0832" w:rsidRDefault="00AC0832">
            <w:pPr>
              <w:pStyle w:val="CellColumnSmall"/>
            </w:pPr>
            <w:r>
              <w:t>99,5</w:t>
            </w:r>
          </w:p>
        </w:tc>
      </w:tr>
      <w:tr w:rsidR="00AC0832" w:rsidTr="00BE20ED">
        <w:trPr>
          <w:jc w:val="center"/>
        </w:trPr>
        <w:tc>
          <w:tcPr>
            <w:tcW w:w="2322" w:type="dxa"/>
          </w:tcPr>
          <w:p w:rsidR="00AC0832" w:rsidRDefault="00AC0832">
            <w:pPr>
              <w:pStyle w:val="CellColumnSmall"/>
            </w:pPr>
            <w:r>
              <w:t>3903-MUZEJSKO-GALERIJSKA DJELATNOST</w:t>
            </w:r>
          </w:p>
        </w:tc>
        <w:tc>
          <w:tcPr>
            <w:tcW w:w="2322" w:type="dxa"/>
          </w:tcPr>
          <w:p w:rsidR="00AC0832" w:rsidRDefault="00AC0832">
            <w:pPr>
              <w:pStyle w:val="CellColumnSmall"/>
            </w:pPr>
            <w:r>
              <w:t>10.917.992</w:t>
            </w:r>
          </w:p>
        </w:tc>
        <w:tc>
          <w:tcPr>
            <w:tcW w:w="2322" w:type="dxa"/>
          </w:tcPr>
          <w:p w:rsidR="00AC0832" w:rsidRDefault="00AC0832">
            <w:pPr>
              <w:pStyle w:val="CellColumnSmall"/>
            </w:pPr>
            <w:r>
              <w:t>10.917.992</w:t>
            </w:r>
          </w:p>
        </w:tc>
        <w:tc>
          <w:tcPr>
            <w:tcW w:w="2322" w:type="dxa"/>
          </w:tcPr>
          <w:p w:rsidR="00AC0832" w:rsidRDefault="00AC0832">
            <w:pPr>
              <w:pStyle w:val="CellColumnSmall"/>
            </w:pPr>
            <w:r>
              <w:t>100,0</w:t>
            </w:r>
          </w:p>
        </w:tc>
      </w:tr>
      <w:tr w:rsidR="00AC0832" w:rsidTr="00BE20ED">
        <w:trPr>
          <w:jc w:val="center"/>
        </w:trPr>
        <w:tc>
          <w:tcPr>
            <w:tcW w:w="2322" w:type="dxa"/>
          </w:tcPr>
          <w:p w:rsidR="00AC0832" w:rsidRDefault="00AC0832">
            <w:pPr>
              <w:pStyle w:val="CellColumnSmall"/>
            </w:pPr>
            <w:r>
              <w:t>3904-KAZALIŠNA I GLAZBENO- SCENSKA DJELATNOST</w:t>
            </w:r>
          </w:p>
        </w:tc>
        <w:tc>
          <w:tcPr>
            <w:tcW w:w="2322" w:type="dxa"/>
          </w:tcPr>
          <w:p w:rsidR="00AC0832" w:rsidRDefault="00AC0832">
            <w:pPr>
              <w:pStyle w:val="CellColumnSmall"/>
            </w:pPr>
            <w:r>
              <w:t>31.825.330</w:t>
            </w:r>
          </w:p>
        </w:tc>
        <w:tc>
          <w:tcPr>
            <w:tcW w:w="2322" w:type="dxa"/>
          </w:tcPr>
          <w:p w:rsidR="00AC0832" w:rsidRDefault="00AC0832">
            <w:pPr>
              <w:pStyle w:val="CellColumnSmall"/>
            </w:pPr>
            <w:r>
              <w:t>32.789.815</w:t>
            </w:r>
          </w:p>
        </w:tc>
        <w:tc>
          <w:tcPr>
            <w:tcW w:w="2322" w:type="dxa"/>
          </w:tcPr>
          <w:p w:rsidR="00AC0832" w:rsidRDefault="00AC0832">
            <w:pPr>
              <w:pStyle w:val="CellColumnSmall"/>
            </w:pPr>
            <w:r>
              <w:t>103,0</w:t>
            </w:r>
          </w:p>
        </w:tc>
      </w:tr>
      <w:tr w:rsidR="00AC0832" w:rsidTr="00BE20ED">
        <w:trPr>
          <w:jc w:val="center"/>
        </w:trPr>
        <w:tc>
          <w:tcPr>
            <w:tcW w:w="2322" w:type="dxa"/>
          </w:tcPr>
          <w:p w:rsidR="00AC0832" w:rsidRDefault="00AC0832">
            <w:pPr>
              <w:pStyle w:val="CellColumnSmall"/>
            </w:pPr>
            <w:r>
              <w:t>3905-KNJIŽNIČNA DJELATNOST</w:t>
            </w:r>
          </w:p>
        </w:tc>
        <w:tc>
          <w:tcPr>
            <w:tcW w:w="2322" w:type="dxa"/>
          </w:tcPr>
          <w:p w:rsidR="00AC0832" w:rsidRDefault="00AC0832">
            <w:pPr>
              <w:pStyle w:val="CellColumnSmall"/>
            </w:pPr>
            <w:r>
              <w:t>52.000.000</w:t>
            </w:r>
          </w:p>
        </w:tc>
        <w:tc>
          <w:tcPr>
            <w:tcW w:w="2322" w:type="dxa"/>
          </w:tcPr>
          <w:p w:rsidR="00AC0832" w:rsidRDefault="00AC0832">
            <w:pPr>
              <w:pStyle w:val="CellColumnSmall"/>
            </w:pPr>
            <w:r>
              <w:t>51.963.055</w:t>
            </w:r>
          </w:p>
        </w:tc>
        <w:tc>
          <w:tcPr>
            <w:tcW w:w="2322" w:type="dxa"/>
          </w:tcPr>
          <w:p w:rsidR="00AC0832" w:rsidRDefault="00AC0832">
            <w:pPr>
              <w:pStyle w:val="CellColumnSmall"/>
            </w:pPr>
            <w:r>
              <w:t>99,9</w:t>
            </w:r>
          </w:p>
        </w:tc>
      </w:tr>
      <w:tr w:rsidR="00AC0832" w:rsidTr="00BE20ED">
        <w:trPr>
          <w:jc w:val="center"/>
        </w:trPr>
        <w:tc>
          <w:tcPr>
            <w:tcW w:w="2322" w:type="dxa"/>
          </w:tcPr>
          <w:p w:rsidR="00AC0832" w:rsidRDefault="00AC0832">
            <w:pPr>
              <w:pStyle w:val="CellColumnSmall"/>
            </w:pPr>
            <w:r>
              <w:t>3906-PROGRAMI AUDIO VIZUALNE DJELATNOSTI I MEDIJA</w:t>
            </w:r>
          </w:p>
        </w:tc>
        <w:tc>
          <w:tcPr>
            <w:tcW w:w="2322" w:type="dxa"/>
          </w:tcPr>
          <w:p w:rsidR="00AC0832" w:rsidRDefault="00AC0832">
            <w:pPr>
              <w:pStyle w:val="CellColumnSmall"/>
            </w:pPr>
            <w:r>
              <w:t>36.279.720</w:t>
            </w:r>
          </w:p>
        </w:tc>
        <w:tc>
          <w:tcPr>
            <w:tcW w:w="2322" w:type="dxa"/>
          </w:tcPr>
          <w:p w:rsidR="00AC0832" w:rsidRDefault="00AC0832">
            <w:pPr>
              <w:pStyle w:val="CellColumnSmall"/>
            </w:pPr>
            <w:r>
              <w:t>36.279.720</w:t>
            </w:r>
          </w:p>
        </w:tc>
        <w:tc>
          <w:tcPr>
            <w:tcW w:w="2322" w:type="dxa"/>
          </w:tcPr>
          <w:p w:rsidR="00AC0832" w:rsidRDefault="00AC0832">
            <w:pPr>
              <w:pStyle w:val="CellColumnSmall"/>
            </w:pPr>
            <w:r>
              <w:t>100,0</w:t>
            </w:r>
          </w:p>
        </w:tc>
      </w:tr>
      <w:tr w:rsidR="00AC0832" w:rsidTr="00BE20ED">
        <w:trPr>
          <w:jc w:val="center"/>
        </w:trPr>
        <w:tc>
          <w:tcPr>
            <w:tcW w:w="2322" w:type="dxa"/>
          </w:tcPr>
          <w:p w:rsidR="00AC0832" w:rsidRDefault="00AC0832">
            <w:pPr>
              <w:pStyle w:val="CellColumnSmall"/>
            </w:pPr>
            <w:r>
              <w:t>3907-OSTALE DJELATNOSTI KULTURE</w:t>
            </w:r>
          </w:p>
        </w:tc>
        <w:tc>
          <w:tcPr>
            <w:tcW w:w="2322" w:type="dxa"/>
          </w:tcPr>
          <w:p w:rsidR="00AC0832" w:rsidRDefault="00AC0832">
            <w:pPr>
              <w:pStyle w:val="CellColumnSmall"/>
            </w:pPr>
            <w:r>
              <w:t>101.162.430</w:t>
            </w:r>
          </w:p>
        </w:tc>
        <w:tc>
          <w:tcPr>
            <w:tcW w:w="2322" w:type="dxa"/>
          </w:tcPr>
          <w:p w:rsidR="00AC0832" w:rsidRDefault="00AC0832">
            <w:pPr>
              <w:pStyle w:val="CellColumnSmall"/>
            </w:pPr>
            <w:r>
              <w:t>100.425.629</w:t>
            </w:r>
          </w:p>
        </w:tc>
        <w:tc>
          <w:tcPr>
            <w:tcW w:w="2322" w:type="dxa"/>
          </w:tcPr>
          <w:p w:rsidR="00AC0832" w:rsidRDefault="00AC0832">
            <w:pPr>
              <w:pStyle w:val="CellColumnSmall"/>
            </w:pPr>
            <w:r>
              <w:t>99,3</w:t>
            </w:r>
          </w:p>
        </w:tc>
      </w:tr>
      <w:tr w:rsidR="00AC0832" w:rsidTr="00BE20ED">
        <w:trPr>
          <w:jc w:val="center"/>
        </w:trPr>
        <w:tc>
          <w:tcPr>
            <w:tcW w:w="2322" w:type="dxa"/>
          </w:tcPr>
          <w:p w:rsidR="00AC0832" w:rsidRDefault="00AC0832">
            <w:pPr>
              <w:pStyle w:val="CellColumnSmall"/>
            </w:pPr>
            <w:r>
              <w:t>3908-ZAŠTITA KULTURNIH DOBARA</w:t>
            </w:r>
          </w:p>
        </w:tc>
        <w:tc>
          <w:tcPr>
            <w:tcW w:w="2322" w:type="dxa"/>
          </w:tcPr>
          <w:p w:rsidR="00AC0832" w:rsidRDefault="00AC0832">
            <w:pPr>
              <w:pStyle w:val="CellColumnSmall"/>
            </w:pPr>
            <w:r>
              <w:t>142.009.258</w:t>
            </w:r>
          </w:p>
        </w:tc>
        <w:tc>
          <w:tcPr>
            <w:tcW w:w="2322" w:type="dxa"/>
          </w:tcPr>
          <w:p w:rsidR="00AC0832" w:rsidRDefault="00AC0832">
            <w:pPr>
              <w:pStyle w:val="CellColumnSmall"/>
            </w:pPr>
            <w:r>
              <w:t>116.870.354</w:t>
            </w:r>
          </w:p>
        </w:tc>
        <w:tc>
          <w:tcPr>
            <w:tcW w:w="2322" w:type="dxa"/>
          </w:tcPr>
          <w:p w:rsidR="00AC0832" w:rsidRDefault="00AC0832">
            <w:pPr>
              <w:pStyle w:val="CellColumnSmall"/>
            </w:pPr>
            <w:r>
              <w:t>82,3</w:t>
            </w:r>
          </w:p>
        </w:tc>
      </w:tr>
    </w:tbl>
    <w:p w:rsidR="00AC0832" w:rsidRDefault="00AC0832">
      <w:pPr>
        <w:jc w:val="left"/>
      </w:pPr>
    </w:p>
    <w:p w:rsidR="00AC0832" w:rsidRDefault="00AC0832">
      <w:pPr>
        <w:pStyle w:val="Heading4"/>
      </w:pPr>
      <w:r>
        <w:t>OBRAZLOŽENJE PROGRAMA</w:t>
      </w:r>
    </w:p>
    <w:p w:rsidR="00AC0832" w:rsidRDefault="00AC0832">
      <w:pPr>
        <w:pStyle w:val="Heading5"/>
      </w:pPr>
      <w:r>
        <w:t>3901 UREĐENJE DJELATNOSTI KULTURE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3901-UREĐENJE DJELATNOSTI KULTURE</w:t>
            </w:r>
          </w:p>
        </w:tc>
        <w:tc>
          <w:tcPr>
            <w:tcW w:w="2322" w:type="dxa"/>
          </w:tcPr>
          <w:p w:rsidR="00AC0832" w:rsidRDefault="00AC0832">
            <w:pPr>
              <w:pStyle w:val="CellColumn"/>
            </w:pPr>
            <w:r>
              <w:t>68.538.704</w:t>
            </w:r>
          </w:p>
        </w:tc>
        <w:tc>
          <w:tcPr>
            <w:tcW w:w="2322" w:type="dxa"/>
          </w:tcPr>
          <w:p w:rsidR="00AC0832" w:rsidRDefault="00AC0832">
            <w:pPr>
              <w:pStyle w:val="CellColumn"/>
            </w:pPr>
            <w:r>
              <w:t>68.230.063</w:t>
            </w:r>
          </w:p>
        </w:tc>
        <w:tc>
          <w:tcPr>
            <w:tcW w:w="2322" w:type="dxa"/>
          </w:tcPr>
          <w:p w:rsidR="00AC0832" w:rsidRDefault="00AC0832">
            <w:pPr>
              <w:pStyle w:val="CellColumn"/>
            </w:pPr>
            <w:r>
              <w:t>99,5</w:t>
            </w:r>
          </w:p>
        </w:tc>
      </w:tr>
    </w:tbl>
    <w:p w:rsidR="00AC0832" w:rsidRDefault="00AC0832">
      <w:pPr>
        <w:jc w:val="left"/>
      </w:pPr>
    </w:p>
    <w:p w:rsidR="00AC0832" w:rsidRDefault="00AC0832">
      <w:pPr>
        <w:pStyle w:val="Heading6"/>
      </w:pPr>
      <w:r>
        <w:t>Opis programa</w:t>
      </w:r>
    </w:p>
    <w:p w:rsidR="00AC0832" w:rsidRDefault="00AC0832">
      <w:pPr>
        <w:pStyle w:val="Normal5"/>
      </w:pPr>
      <w:r>
        <w:t>Program Uređenja djelatnosti kulture (aktivnost upravljanja i administracije Ministarstva, informatizacije Ministarstva i obnova voznog parka) obuhvaća plaće, materijalne i kapitalne rashode za Ministarstvo kulture. U okviru navedenog programa osiguravaju se plaće i materijalni rashodi za djelatnike koji obavljaju upravne, financijske i druge poslove, djelatnike koji obavljaju stručne poslove a odnose se na istraživanje, praćenje, evidentiranje, dokumentiranje kulturne baštine, utvrđivanje posebnih uvjeta građenja za zaštitu dijelova kulturne baštine, obavljanje inspekcijskih poslova zaštite kulturne baštine. U 2012. godini nije bilo odstupanja od plana.</w:t>
      </w:r>
    </w:p>
    <w:p w:rsidR="00AC0832" w:rsidRDefault="00AC0832">
      <w:pPr>
        <w:pStyle w:val="Heading6"/>
      </w:pPr>
      <w:r>
        <w:t>Zakonske i druge pravne osnove</w:t>
      </w:r>
    </w:p>
    <w:p w:rsidR="00AC0832" w:rsidRDefault="00AC0832">
      <w:pPr>
        <w:pStyle w:val="Normal5"/>
      </w:pPr>
      <w:r>
        <w:t>Zakon o ustrojstvu i djelokrugu ministarstava i drugih središnjih tijela državne uprave (NN 150/11)</w:t>
      </w:r>
    </w:p>
    <w:p w:rsidR="00AC0832" w:rsidRDefault="00AC0832">
      <w:pPr>
        <w:pStyle w:val="Heading7"/>
      </w:pPr>
      <w:r>
        <w:t>Cilj 1. Osiguranje optimalnih kapaciteta za uspješnu realizaciju programa Ministarstva</w:t>
      </w:r>
    </w:p>
    <w:p w:rsidR="00AC0832" w:rsidRDefault="00AC0832">
      <w:pPr>
        <w:pStyle w:val="Heading8"/>
        <w:jc w:val="left"/>
      </w:pPr>
      <w:r>
        <w:t>Opis provedbe cilja programa</w:t>
      </w:r>
    </w:p>
    <w:p w:rsidR="00AC0832" w:rsidRDefault="00AC0832">
      <w:pPr>
        <w:pStyle w:val="Normal6"/>
      </w:pPr>
      <w:r>
        <w:t>Uređenje djelatnosti kulture je optimalnim administrativnim kapacitetima te prostornim, materijalnim i tehničkim resursima omogućilo uspješnu realizaciju programa u djelokrugu Ministarstva kulture utvrđenih strateškim općim i posebnim ciljevima.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A564000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A564000-ADMINISTRACIJA I UPRAVLJANJE</w:t>
            </w:r>
          </w:p>
        </w:tc>
        <w:tc>
          <w:tcPr>
            <w:tcW w:w="2322" w:type="dxa"/>
          </w:tcPr>
          <w:p w:rsidR="00AC0832" w:rsidRDefault="00AC0832">
            <w:pPr>
              <w:pStyle w:val="CellColumn"/>
            </w:pPr>
            <w:r>
              <w:t>66.688.704</w:t>
            </w:r>
          </w:p>
        </w:tc>
        <w:tc>
          <w:tcPr>
            <w:tcW w:w="2322" w:type="dxa"/>
          </w:tcPr>
          <w:p w:rsidR="00AC0832" w:rsidRDefault="00AC0832">
            <w:pPr>
              <w:pStyle w:val="CellColumn"/>
            </w:pPr>
            <w:r>
              <w:t>66.380.063</w:t>
            </w:r>
          </w:p>
        </w:tc>
        <w:tc>
          <w:tcPr>
            <w:tcW w:w="2322" w:type="dxa"/>
          </w:tcPr>
          <w:p w:rsidR="00AC0832" w:rsidRDefault="00AC0832">
            <w:pPr>
              <w:pStyle w:val="CellColumn"/>
            </w:pPr>
            <w:r>
              <w:t>99,5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okviru aktivnosti Administracija i upravljanje  Ministarstva odiguravaju se plaće i materijalne rashode 412 zaposlenika Minsitarstva te 21 konzervatorskih odjela (Zagreb, Karlovac, Varaždin, Osijek, Požega, Zadar, Šibenik, Split, Dubrovnik, Rijeka, Pula, Gospić, Bjelovar, Krapina, Trogir, Slavonski Brod, Imotski, Sisak, Vukovar, Poreč, Pakrac). Osim toga osiguravaju se sredstva za opremanje poslovnih prostora MInistarstva te konzervatorskih odjela. Konzervatorski odjeli zapošljavaju ukupno 224 zaposlenika koji osim administrativnih poslova obavljaju dokumentiranje, održavanje informatizacijske baze podataka Registra kulturnih dobara, istražne radove, izradu elaborata i inventarizaciju kulturnih dobara. U 2012. godini nije bilo odstupanja od plana.</w:t>
      </w:r>
    </w:p>
    <w:p w:rsidR="00AC0832" w:rsidRDefault="00AC0832">
      <w:pPr>
        <w:pStyle w:val="Heading6"/>
      </w:pPr>
      <w:r>
        <w:t>K310252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K310252-INFORMATIZACIJA</w:t>
            </w:r>
          </w:p>
        </w:tc>
        <w:tc>
          <w:tcPr>
            <w:tcW w:w="2322" w:type="dxa"/>
          </w:tcPr>
          <w:p w:rsidR="00AC0832" w:rsidRDefault="00AC0832">
            <w:pPr>
              <w:pStyle w:val="CellColumn"/>
            </w:pPr>
            <w:r>
              <w:t>1.850.000</w:t>
            </w:r>
          </w:p>
        </w:tc>
        <w:tc>
          <w:tcPr>
            <w:tcW w:w="2322" w:type="dxa"/>
          </w:tcPr>
          <w:p w:rsidR="00AC0832" w:rsidRDefault="00AC0832">
            <w:pPr>
              <w:pStyle w:val="CellColumn"/>
            </w:pPr>
            <w:r>
              <w:t>1.850.000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2012. godini nije bilo odstupanja od plana. Sredstva su osigurana za troškove licenci, održavanje poslovnih sustava, mrežno - komunikacijske i informatičke infrastrukture te nabavu nove opreme.</w:t>
      </w:r>
    </w:p>
    <w:p w:rsidR="00AC0832" w:rsidRDefault="00AC0832">
      <w:pPr>
        <w:pStyle w:val="Heading5"/>
      </w:pPr>
      <w:r>
        <w:t>3903 MUZEJSKO-GALERIJSKA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3903-MUZEJSKO-GALERIJSKA DJELATNOST</w:t>
            </w:r>
          </w:p>
        </w:tc>
        <w:tc>
          <w:tcPr>
            <w:tcW w:w="2322" w:type="dxa"/>
          </w:tcPr>
          <w:p w:rsidR="00AC0832" w:rsidRDefault="00AC0832">
            <w:pPr>
              <w:pStyle w:val="CellColumn"/>
            </w:pPr>
            <w:r>
              <w:t>10.917.992</w:t>
            </w:r>
          </w:p>
        </w:tc>
        <w:tc>
          <w:tcPr>
            <w:tcW w:w="2322" w:type="dxa"/>
          </w:tcPr>
          <w:p w:rsidR="00AC0832" w:rsidRDefault="00AC0832">
            <w:pPr>
              <w:pStyle w:val="CellColumn"/>
            </w:pPr>
            <w:r>
              <w:t>10.917.992</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Opis programa</w:t>
      </w:r>
    </w:p>
    <w:p w:rsidR="00AC0832" w:rsidRDefault="00AC0832">
      <w:pPr>
        <w:pStyle w:val="Normal5"/>
      </w:pPr>
      <w:r>
        <w:t xml:space="preserve">Sustav muzeja u Hrvatskoj čini 173 registriranih muzeja, od kojih su 22 nacionalna; gradovi su osnivači 52% muzeja, država 15%, općine 11%, županije 6% a 16% ostali. Ukupno je u muzejima 6.369.650 predmeta (49% inventirano; 14% u bazi muzejskih podataka) od toga u nacionalnim muzejima 1.605.110 predmeta. Muzeji se dijele se na opće (kompleksne), povijesne, etnografske, arheološke, umjetničke, prirodoslovne, memorijalne, tehničke, tehnološke i druge.  </w:t>
      </w:r>
    </w:p>
    <w:p w:rsidR="00AC0832" w:rsidRDefault="00AC0832">
      <w:pPr>
        <w:pStyle w:val="Normal5"/>
      </w:pPr>
      <w:r>
        <w:t xml:space="preserve">Osnovna djelatnost  muzeja određena je Zakonom o muzejima i obuhvaća skupljanje, čuvanje i istraživanje civilizacijskih, kulturnih i prirodnih dobara te njihovu stručnu i znanstvenu obradu i sistematizaciju u zbirke, trajno zaštićivanje muzejske građe, muzejske dokumentacije, muzejskih lokaliteta i nalazišta, njihovo neposredno i posredno predočavanje javnosti putem stalnih i povremenih izložaba, te objavljivanja podataka i spoznaja o muzejskoj građi i muzejskoj dokumentaciji putem stručnih, znanstvenih i drugih obavijesnih sredstava. </w:t>
      </w:r>
    </w:p>
    <w:p w:rsidR="00AC0832" w:rsidRDefault="00AC0832">
      <w:pPr>
        <w:pStyle w:val="Normal5"/>
      </w:pPr>
      <w:r>
        <w:t xml:space="preserve">Recentno je osnovano i izgrađeno pet nacionalnih muzeja te obnovljeno više od 60% stalnih postava. Obnovljeni su dvorac Trakošćan, dvorac Odeschalchi u Iloku, spomenici kulture u kojima su i novi stalni postavi, u obnovi je prostor zgrade spomeničke baštine za potrebe Hrvatskog povijesnog muzeja u Zagrebu, i dr. Pristup internetu ima 86% muzeja, a web stranicu  72% muzeja. Godišnje se u muzejima organizira između 800 i 1000 izložbi različita opsega i vrste te objavi šestotinjak tiskanih i elektroničkih publikacija te drugih tiskovina i promidžbenih materijala. </w:t>
      </w:r>
    </w:p>
    <w:p w:rsidR="00AC0832" w:rsidRDefault="00AC0832">
      <w:pPr>
        <w:pStyle w:val="Normal5"/>
      </w:pPr>
      <w:r>
        <w:t>Cilj razvoja Sustava muzeja je uspostavljanje jedinstvenog stručnog pristupa u obavljanju muzejske djelatnosti, stručni nadzor nad radom muzeja, izgradnja standarda djelatnosti te poticanje kvalitetnijeg funkcioniranja muzeja u smislu očuvanja, zaštite, istraživanja i promocije muzejske baštine kao i ostvarivanja društvene uloge muzeja. Povećanje razine inventiranosti, obrade i prezentacije muzejske građe, razvoj muzejske infrastrukture, podizanje razine zaštite i očuvanja muzejske građe te veća dostupnost kulturne baštine u digitalnom okruženju sastavnim su dijelom cilja i svrhe Sustava muzeja. U 2012. godini nije bio odstupanja od plana.</w:t>
      </w:r>
    </w:p>
    <w:p w:rsidR="00AC0832" w:rsidRDefault="00AC0832">
      <w:pPr>
        <w:pStyle w:val="Heading6"/>
      </w:pPr>
      <w:r>
        <w:t>Zakonske i druge pravne osnove</w:t>
      </w:r>
    </w:p>
    <w:p w:rsidR="00AC0832" w:rsidRDefault="00AC0832">
      <w:pPr>
        <w:pStyle w:val="Normal5"/>
      </w:pPr>
      <w:r>
        <w:t xml:space="preserve">Zakoni: </w:t>
      </w:r>
    </w:p>
    <w:p w:rsidR="00AC0832" w:rsidRDefault="00AC0832">
      <w:pPr>
        <w:pStyle w:val="Normal5"/>
      </w:pPr>
      <w:r>
        <w:t xml:space="preserve">- Zakon o muzejima (NN 142/98, NN 65/09) </w:t>
      </w:r>
    </w:p>
    <w:p w:rsidR="00AC0832" w:rsidRDefault="00AC0832">
      <w:pPr>
        <w:pStyle w:val="Normal5"/>
      </w:pPr>
      <w:r>
        <w:t xml:space="preserve">- Zakon o Muzejima Ivana Meštrovića (NN 76/07) </w:t>
      </w:r>
    </w:p>
    <w:p w:rsidR="00AC0832" w:rsidRDefault="00AC0832">
      <w:pPr>
        <w:pStyle w:val="Normal5"/>
      </w:pPr>
      <w:r>
        <w:t xml:space="preserve">- Zakon o Spomen-području Jasenovac (NN 15/90; NN 28/90 Ispravak, NN 22/01)  </w:t>
      </w:r>
    </w:p>
    <w:p w:rsidR="00AC0832" w:rsidRDefault="00AC0832">
      <w:pPr>
        <w:pStyle w:val="Normal5"/>
      </w:pPr>
      <w:r>
        <w:t xml:space="preserve">- Zakon o kulturnim vijećima, 2004. (NN 48/04, NN 44/09) </w:t>
      </w:r>
    </w:p>
    <w:p w:rsidR="00AC0832" w:rsidRDefault="00AC0832">
      <w:pPr>
        <w:pStyle w:val="Normal5"/>
      </w:pPr>
      <w:r>
        <w:t xml:space="preserve">- Zakon o ustanovama (NN 76/93; NN 29/97, NN 47/99 - Ispravak i NN 35/08) </w:t>
      </w:r>
    </w:p>
    <w:p w:rsidR="00AC0832" w:rsidRDefault="00AC0832">
      <w:pPr>
        <w:pStyle w:val="Normal5"/>
      </w:pPr>
      <w:r>
        <w:t xml:space="preserve">- Zakon o upravljanju javnim ustanovama u kulturi (NN 96/01) </w:t>
      </w:r>
    </w:p>
    <w:p w:rsidR="00AC0832" w:rsidRDefault="00AC0832">
      <w:pPr>
        <w:pStyle w:val="Normal5"/>
      </w:pPr>
      <w:r>
        <w:t xml:space="preserve">- Zakon o financiranju javnih potreba u kulturi (NN 47/90  ,NN 27/93, NN 38/09) </w:t>
      </w:r>
    </w:p>
    <w:p w:rsidR="00AC0832" w:rsidRDefault="00AC0832">
      <w:pPr>
        <w:pStyle w:val="Normal5"/>
      </w:pPr>
      <w:r>
        <w:t xml:space="preserve">Pravilnici: </w:t>
      </w:r>
    </w:p>
    <w:p w:rsidR="00AC0832" w:rsidRDefault="00AC0832">
      <w:pPr>
        <w:pStyle w:val="Normal5"/>
      </w:pPr>
      <w:r>
        <w:t xml:space="preserve">- Pravilnik o načinu i mjerilima za povezivanje u sustav muzeja Republike Hrvatske (NN 120/02) </w:t>
      </w:r>
    </w:p>
    <w:p w:rsidR="00AC0832" w:rsidRDefault="00AC0832">
      <w:pPr>
        <w:pStyle w:val="Normal5"/>
      </w:pPr>
      <w:r>
        <w:t xml:space="preserve">- Pravilnik o dopuni pravilnika o načinu i mjerilima za povezivanje u sustav muzeja Republike Hrvatske (NN 82/06) </w:t>
      </w:r>
    </w:p>
    <w:p w:rsidR="00AC0832" w:rsidRDefault="00AC0832">
      <w:pPr>
        <w:pStyle w:val="Normal5"/>
      </w:pPr>
      <w:r>
        <w:t xml:space="preserve">- Pravilnik o uvjetima i načinu stjecanja stručnih zvanja u muzejskoj struci (NN 97/10) </w:t>
      </w:r>
    </w:p>
    <w:p w:rsidR="00AC0832" w:rsidRDefault="00AC0832">
      <w:pPr>
        <w:pStyle w:val="Normal5"/>
      </w:pPr>
      <w:r>
        <w:t xml:space="preserve">- Pravilnik o očevidniku muzeja, te muzeja, galerija i zbirki unutar ustanova i drugih pravnih osoba  </w:t>
      </w:r>
    </w:p>
    <w:p w:rsidR="00AC0832" w:rsidRDefault="00AC0832">
      <w:pPr>
        <w:pStyle w:val="Normal5"/>
      </w:pPr>
      <w:r>
        <w:t xml:space="preserve">(NN 96/99) </w:t>
      </w:r>
    </w:p>
    <w:p w:rsidR="00AC0832" w:rsidRDefault="00AC0832">
      <w:pPr>
        <w:pStyle w:val="Normal5"/>
      </w:pPr>
      <w:r>
        <w:t xml:space="preserve">- Pravilnik o uvjetima i načinu ostvarivanja uvida u muzejsku građu i muzejsku dokumentaciju  </w:t>
      </w:r>
    </w:p>
    <w:p w:rsidR="00AC0832" w:rsidRDefault="00AC0832">
      <w:pPr>
        <w:pStyle w:val="Normal5"/>
      </w:pPr>
      <w:r>
        <w:t xml:space="preserve">(NN 115/01) </w:t>
      </w:r>
    </w:p>
    <w:p w:rsidR="00AC0832" w:rsidRDefault="00AC0832">
      <w:pPr>
        <w:pStyle w:val="Normal5"/>
      </w:pPr>
      <w:r>
        <w:t xml:space="preserve">- Pravilnik o sadržaju i načinu vođenja muzejske dokumentacije o muzejskoj građi (NN 108/02) </w:t>
      </w:r>
    </w:p>
    <w:p w:rsidR="00AC0832" w:rsidRDefault="00AC0832">
      <w:pPr>
        <w:pStyle w:val="Normal5"/>
      </w:pPr>
      <w:r>
        <w:t xml:space="preserve">- Pravilnik o stručnim i tehničkim standardima za određivanje vrste muzeja, za njihov rad, te za smještaj muzejske građe i muzejske dokumentacije (NN 30/06) </w:t>
      </w:r>
    </w:p>
    <w:p w:rsidR="00AC0832" w:rsidRDefault="00AC0832">
      <w:pPr>
        <w:pStyle w:val="Normal5"/>
      </w:pPr>
      <w:r>
        <w:t>- Pravilnik o izboru i utvrđivanju programa javnih potreba u kulturi (NN 137/08, NN 57/09, 62/09)</w:t>
      </w:r>
    </w:p>
    <w:p w:rsidR="00AC0832" w:rsidRDefault="00AC0832">
      <w:pPr>
        <w:pStyle w:val="Heading7"/>
      </w:pPr>
      <w:r>
        <w:t>Cilj 1. Povećanje razine inventiranosti, obrade i prezentacije muzejske građe</w:t>
      </w:r>
    </w:p>
    <w:p w:rsidR="00AC0832" w:rsidRDefault="00AC0832">
      <w:pPr>
        <w:pStyle w:val="Heading8"/>
        <w:jc w:val="left"/>
      </w:pPr>
      <w:r>
        <w:t>Opis provedbe cilja programa</w:t>
      </w:r>
    </w:p>
    <w:p w:rsidR="00AC0832" w:rsidRDefault="00AC0832">
      <w:pPr>
        <w:pStyle w:val="Normal6"/>
      </w:pPr>
      <w:r>
        <w:t>U dijelu sustava hrvatskih muzeja razina inventiranosti muzejske građe i dokumentacije nije dostatna te je to prioritetna aktivnost. Međumuzejska suradnja podrazumijeva razmjenu programa, organizaciju zajedničkih izložaba i ostalih projekata, suradnju na predlaganju izložaba za međunarodnu suradnju s naglaskom na reciprocitet pri razmjeni izložaba i definiranje troškova te na suradnju u popunama fundusa trajnim posudbama građe.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517"/>
        <w:gridCol w:w="1292"/>
        <w:gridCol w:w="1295"/>
        <w:gridCol w:w="1294"/>
        <w:gridCol w:w="1295"/>
        <w:gridCol w:w="129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obrađenosti muzejske građe</w:t>
            </w:r>
          </w:p>
        </w:tc>
        <w:tc>
          <w:tcPr>
            <w:tcW w:w="1300" w:type="dxa"/>
          </w:tcPr>
          <w:p w:rsidR="00AC0832" w:rsidRDefault="00AC0832">
            <w:pPr>
              <w:pStyle w:val="CellColumn"/>
            </w:pPr>
            <w:r>
              <w:t>Postotak obrađenosti muzejske građe podrazumijeva cjelovitu obradu muzejske građe mjerljivu upisom u registar kulturnih dobara za muzejske i galerijske zbirke</w:t>
            </w:r>
          </w:p>
        </w:tc>
        <w:tc>
          <w:tcPr>
            <w:tcW w:w="1300" w:type="dxa"/>
          </w:tcPr>
          <w:p w:rsidR="00AC0832" w:rsidRDefault="00AC0832">
            <w:pPr>
              <w:pStyle w:val="CellColumn"/>
            </w:pPr>
            <w:r>
              <w:t>%</w:t>
            </w:r>
          </w:p>
        </w:tc>
        <w:tc>
          <w:tcPr>
            <w:tcW w:w="1300" w:type="dxa"/>
          </w:tcPr>
          <w:p w:rsidR="00AC0832" w:rsidRDefault="00AC0832">
            <w:pPr>
              <w:pStyle w:val="CellColumn"/>
            </w:pPr>
            <w:r>
              <w:t>20%</w:t>
            </w:r>
          </w:p>
        </w:tc>
        <w:tc>
          <w:tcPr>
            <w:tcW w:w="1300" w:type="dxa"/>
          </w:tcPr>
          <w:p w:rsidR="00AC0832" w:rsidRDefault="00AC0832">
            <w:pPr>
              <w:pStyle w:val="CellColumn"/>
            </w:pPr>
            <w:r>
              <w:t>MK, MCD</w:t>
            </w:r>
          </w:p>
        </w:tc>
        <w:tc>
          <w:tcPr>
            <w:tcW w:w="1300" w:type="dxa"/>
          </w:tcPr>
          <w:p w:rsidR="00AC0832" w:rsidRDefault="00AC0832">
            <w:pPr>
              <w:pStyle w:val="CellColumn"/>
            </w:pPr>
            <w:r>
              <w:t>30%</w:t>
            </w:r>
          </w:p>
        </w:tc>
        <w:tc>
          <w:tcPr>
            <w:tcW w:w="1300" w:type="dxa"/>
          </w:tcPr>
          <w:p w:rsidR="00AC0832" w:rsidRDefault="00AC0832">
            <w:pPr>
              <w:pStyle w:val="CellColumn"/>
            </w:pPr>
            <w:r>
              <w:t>26%</w:t>
            </w:r>
          </w:p>
        </w:tc>
      </w:tr>
    </w:tbl>
    <w:p w:rsidR="00AC0832" w:rsidRDefault="00AC0832">
      <w:pPr>
        <w:jc w:val="left"/>
      </w:pPr>
    </w:p>
    <w:p w:rsidR="00AC0832" w:rsidRDefault="00AC0832">
      <w:pPr>
        <w:pStyle w:val="Heading7"/>
      </w:pPr>
      <w:r>
        <w:t>Cilj 2. Razvoj muzejske infrastrukture</w:t>
      </w:r>
    </w:p>
    <w:p w:rsidR="00AC0832" w:rsidRDefault="00AC0832">
      <w:pPr>
        <w:pStyle w:val="Heading8"/>
        <w:jc w:val="left"/>
      </w:pPr>
      <w:r>
        <w:t>Opis provedbe cilja programa</w:t>
      </w:r>
    </w:p>
    <w:p w:rsidR="00AC0832" w:rsidRDefault="00AC0832">
      <w:pPr>
        <w:pStyle w:val="Normal6"/>
      </w:pPr>
      <w:r>
        <w:t>Investicijska ulaganja u razvoj muzejske infrastrukture, valorizacija projekata muzejskih projekta i postava, povezivanje novih muzeja u Sustav muzeja, primjena propisanih stručnih i tehničkih standarda usmjereno je na integriranje muzejskih projekata u ukupnu ponudu znanja i informacija o kulturnoj baštini te ulaganja u cilju osiguranja održivog kulturnog i gospodarskog razvoja. Podržana je cjelovita obnova dvorca Eltz za Gradski muzej Vukovar, dovršetak izgradnje Muzeja Vučedolske kulture, Vučedol kod Vukovara, i nov stalni postavi muzeja (Muzej grada Šibenika, Muzej Moslavine, Kutina i drugi). Opremanje muzeja informatičkom opremom i muzejskim programima (M++) te uspostava suradnje i interoperabilnosti s ostalim informacijskim sustavima: knjižnica, arhiva, spomeničke baštine i drugo; instalacija sekundarne dokumentacije, dodatnih modula i kompletna programska podrška (razvoj i nadogradnja sustava); osiguranje mrežne dostupnosti podataka i dokumentacije baze muzejskih predmeta. Izrada informatičkog sustava upravljanja povezanog s postojećim sustavima/bazama podataka restauriranih umjetnina, muzejske grañe i arhivske grañe (BREUH, M++, Arhinet).</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517"/>
        <w:gridCol w:w="1292"/>
        <w:gridCol w:w="1295"/>
        <w:gridCol w:w="1294"/>
        <w:gridCol w:w="1295"/>
        <w:gridCol w:w="129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obrađenosti muzejske građe</w:t>
            </w:r>
          </w:p>
        </w:tc>
        <w:tc>
          <w:tcPr>
            <w:tcW w:w="1300" w:type="dxa"/>
          </w:tcPr>
          <w:p w:rsidR="00AC0832" w:rsidRDefault="00AC0832">
            <w:pPr>
              <w:pStyle w:val="CellColumn"/>
            </w:pPr>
            <w:r>
              <w:t>Postotak obrađenosti muzejske građe podrazumijeva cjelovitu obradu muzejske građe mjerljivu upisom u registar kulturnih dobara za muzejske i galerijske zbirke</w:t>
            </w:r>
          </w:p>
        </w:tc>
        <w:tc>
          <w:tcPr>
            <w:tcW w:w="1300" w:type="dxa"/>
          </w:tcPr>
          <w:p w:rsidR="00AC0832" w:rsidRDefault="00AC0832">
            <w:pPr>
              <w:pStyle w:val="CellColumn"/>
            </w:pPr>
            <w:r>
              <w:t>%</w:t>
            </w:r>
          </w:p>
        </w:tc>
        <w:tc>
          <w:tcPr>
            <w:tcW w:w="1300" w:type="dxa"/>
          </w:tcPr>
          <w:p w:rsidR="00AC0832" w:rsidRDefault="00AC0832">
            <w:pPr>
              <w:pStyle w:val="CellColumn"/>
            </w:pPr>
            <w:r>
              <w:t>15%</w:t>
            </w:r>
          </w:p>
        </w:tc>
        <w:tc>
          <w:tcPr>
            <w:tcW w:w="1300" w:type="dxa"/>
          </w:tcPr>
          <w:p w:rsidR="00AC0832" w:rsidRDefault="00AC0832">
            <w:pPr>
              <w:pStyle w:val="CellColumn"/>
            </w:pPr>
            <w:r>
              <w:t>MK, MDC</w:t>
            </w:r>
          </w:p>
        </w:tc>
        <w:tc>
          <w:tcPr>
            <w:tcW w:w="1300" w:type="dxa"/>
          </w:tcPr>
          <w:p w:rsidR="00AC0832" w:rsidRDefault="00AC0832">
            <w:pPr>
              <w:pStyle w:val="CellColumn"/>
            </w:pPr>
            <w:r>
              <w:t>30%</w:t>
            </w:r>
          </w:p>
        </w:tc>
        <w:tc>
          <w:tcPr>
            <w:tcW w:w="1300" w:type="dxa"/>
          </w:tcPr>
          <w:p w:rsidR="00AC0832" w:rsidRDefault="00AC0832">
            <w:pPr>
              <w:pStyle w:val="CellColumn"/>
            </w:pPr>
            <w:r>
              <w:t>26</w:t>
            </w:r>
          </w:p>
        </w:tc>
      </w:tr>
    </w:tbl>
    <w:p w:rsidR="00AC0832" w:rsidRDefault="00AC0832">
      <w:pPr>
        <w:jc w:val="left"/>
      </w:pPr>
    </w:p>
    <w:p w:rsidR="00AC0832" w:rsidRDefault="00AC0832">
      <w:pPr>
        <w:pStyle w:val="Heading7"/>
      </w:pPr>
      <w:r>
        <w:t>Cilj 3. Podizanje razine zaštite i očuvanja muzejske građe</w:t>
      </w:r>
    </w:p>
    <w:p w:rsidR="00AC0832" w:rsidRDefault="00AC0832">
      <w:pPr>
        <w:pStyle w:val="Heading8"/>
        <w:jc w:val="left"/>
      </w:pPr>
      <w:r>
        <w:t>Opis provedbe cilja programa</w:t>
      </w:r>
    </w:p>
    <w:p w:rsidR="00AC0832" w:rsidRDefault="00AC0832">
      <w:pPr>
        <w:pStyle w:val="Normal6"/>
      </w:pPr>
      <w:r>
        <w:t>Uspostavlja se izrada plana preventivne zaštite i plana restauracije muzejske građe koji će obuhvatiti popis prioriteta s financijskim pokazateljima i etapama realizacije. Prednost će imati programi koji obuhvaćaju stupanj ugroženosti građe i programi restauracije građe za stalni postav. Povećanje uvjeta za poboljšanje zaštite muzejske građe unutar Sustava muzeja. Intenziviranje poslova stručne pomoći i suradnje nositelja provedbe matične djelatnosti prve i druge razine. Izrada i provedba srednjoročnog plana aktivnosti Vijeća Sustava muzeja. Uspostavljanje dinamike u razvoju sustava matičnosti i usklađivanje rada unutar Sustava muzeja (ravnomjerno i funkcionalno razvijanje Sustava muzeja, prioriteti u planiranju za područja s neravnomjernim brojem muzeja). Cilj provedbe programa Sustava muzeja obuhvaća jedinstveni stručni pristup u obavljanju muzejske djelatnosti,  jedinstveni stručni pristup / izgradnja standarda djelatnosti, promovirati diseminaciju muzejskih projekata i događanja, poticati, podupirati kvalitetnije funkcioniranje muzeja u smislu očuvanja, zaštite, znanstvenog istraživanja u promocije muzejske baštine, kao i ostvarivanja društvene uloge muzeja, podupirati standarde rada u svim aspektima djelovanja i rada muzeja, jačati međumuzejsku suradnju kao i suradnju specijaliziranih stručnjaka  unutar i izvan muzeja kroz zajedničke projekte i međusobnu razmjenu aktivnosti i usluga, savjeta, jačati vezu i podupirati partnerstvo između muzeja i ostalih lokalnih, regionalnih i nacionalnih baštinskih i kulturnih institucija.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517"/>
        <w:gridCol w:w="1292"/>
        <w:gridCol w:w="1295"/>
        <w:gridCol w:w="1294"/>
        <w:gridCol w:w="1295"/>
        <w:gridCol w:w="129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obrađenosti muzejske građe</w:t>
            </w:r>
          </w:p>
        </w:tc>
        <w:tc>
          <w:tcPr>
            <w:tcW w:w="1300" w:type="dxa"/>
          </w:tcPr>
          <w:p w:rsidR="00AC0832" w:rsidRDefault="00AC0832">
            <w:pPr>
              <w:pStyle w:val="CellColumn"/>
            </w:pPr>
            <w:r>
              <w:t>Postotak obrađenosti muzejske građe podrazumijeva cjelovitu obradu muzejske građe mjerljivu upisom u registar kulturnih dobara za muzejske i galerijske zbirke</w:t>
            </w:r>
          </w:p>
        </w:tc>
        <w:tc>
          <w:tcPr>
            <w:tcW w:w="1300" w:type="dxa"/>
          </w:tcPr>
          <w:p w:rsidR="00AC0832" w:rsidRDefault="00AC0832">
            <w:pPr>
              <w:pStyle w:val="CellColumn"/>
            </w:pPr>
            <w:r>
              <w:t>%</w:t>
            </w:r>
          </w:p>
        </w:tc>
        <w:tc>
          <w:tcPr>
            <w:tcW w:w="1300" w:type="dxa"/>
          </w:tcPr>
          <w:p w:rsidR="00AC0832" w:rsidRDefault="00AC0832">
            <w:pPr>
              <w:pStyle w:val="CellColumn"/>
            </w:pPr>
            <w:r>
              <w:t>15%</w:t>
            </w:r>
          </w:p>
        </w:tc>
        <w:tc>
          <w:tcPr>
            <w:tcW w:w="1300" w:type="dxa"/>
          </w:tcPr>
          <w:p w:rsidR="00AC0832" w:rsidRDefault="00AC0832">
            <w:pPr>
              <w:pStyle w:val="CellColumn"/>
            </w:pPr>
            <w:r>
              <w:t>MK, MDC</w:t>
            </w:r>
          </w:p>
        </w:tc>
        <w:tc>
          <w:tcPr>
            <w:tcW w:w="1300" w:type="dxa"/>
          </w:tcPr>
          <w:p w:rsidR="00AC0832" w:rsidRDefault="00AC0832">
            <w:pPr>
              <w:pStyle w:val="CellColumn"/>
            </w:pPr>
            <w:r>
              <w:t>30%</w:t>
            </w:r>
          </w:p>
        </w:tc>
        <w:tc>
          <w:tcPr>
            <w:tcW w:w="1300" w:type="dxa"/>
          </w:tcPr>
          <w:p w:rsidR="00AC0832" w:rsidRDefault="00AC0832">
            <w:pPr>
              <w:pStyle w:val="CellColumn"/>
            </w:pPr>
            <w:r>
              <w:t>26</w:t>
            </w:r>
          </w:p>
        </w:tc>
      </w:tr>
    </w:tbl>
    <w:p w:rsidR="00AC0832" w:rsidRDefault="00AC0832">
      <w:pPr>
        <w:jc w:val="left"/>
      </w:pPr>
    </w:p>
    <w:p w:rsidR="00AC0832" w:rsidRDefault="00AC0832">
      <w:pPr>
        <w:pStyle w:val="Heading7"/>
      </w:pPr>
      <w:r>
        <w:t>Cilj 4. Potpora programima likovne umjetnosti</w:t>
      </w:r>
    </w:p>
    <w:p w:rsidR="00AC0832" w:rsidRDefault="00AC0832">
      <w:pPr>
        <w:pStyle w:val="Heading8"/>
        <w:jc w:val="left"/>
      </w:pPr>
      <w:r>
        <w:t>Opis provedbe cilja programa</w:t>
      </w:r>
    </w:p>
    <w:p w:rsidR="00AC0832" w:rsidRDefault="00AC0832">
      <w:pPr>
        <w:pStyle w:val="Normal6"/>
      </w:pPr>
      <w:r>
        <w:t xml:space="preserve">Sufinanciralo se putem javnog Poziva  oko 290 programa retrospektivnih, samostalnih, skupnih, tematskih i problemskih izložaba u galerijskim prostorima te izložbe hrvatskih društava likovnih umjetnika Zagreba, Istre, Rijeke, Splita i Osijeka. Podupiru se likovni programi izložbi i manifestacija sadržajne inventivnosti, nacionalnog karaktera, multimedijalnog izražavanja i povezivanja s primjenjenim umjetnostima, dizajnom i arhitekturom; likovne manifestacije koje ukazuju na kontinuitet umjetničkog stvaralaštva i stvaralački potencijal hrvatske umjetnosti te koje prezentiraju tematske cjeline od značaja za Republiku Hrvatsku; programi pripreme i tiskanja, likovnih monografija, zbornika, kataloga izložaba i publikacija iz područja povijesti umjetnosti (godišnje u prosjeku oko  40 programa).  </w:t>
      </w:r>
    </w:p>
    <w:p w:rsidR="00AC0832" w:rsidRDefault="00AC0832">
      <w:pPr>
        <w:pStyle w:val="Normal6"/>
      </w:pPr>
      <w:r>
        <w:t xml:space="preserve">Podrškom programima vezanima uz arhitekturu nastoji se dati razvojni stvaralački poticaj u cilju javne afirmacije misli i djela hrvatskih arhitekata, potaknuti širu javnost na aktivnije uključivanje u rasprave o izgrađenom okolišu te upoznavanje  s dosezima hrvatske arhitektonske umjetnosti. Ističe se i pozicioniranje hrvatske arhitekture unutar europskog i svjetskog konteksta. </w:t>
      </w:r>
    </w:p>
    <w:p w:rsidR="00AC0832" w:rsidRDefault="00AC0832">
      <w:pPr>
        <w:pStyle w:val="Normal6"/>
      </w:pPr>
      <w:r>
        <w:t>Programi dizajna su usmjereni ka kontinuiranom praćenju razvoja dizajna na hrvatskoj sceni. Izložbama se nastoji prikazati recentna dizajnerska produkcija s ciljem kritičkog vrednovanja. U realizaciji takvih programa ističe se strukovno udruženje Hrvatsko dizajnersko društvo.</w:t>
      </w:r>
    </w:p>
    <w:p w:rsidR="00AC0832" w:rsidRDefault="00AC0832">
      <w:pPr>
        <w:pStyle w:val="Heading6"/>
      </w:pPr>
      <w:r>
        <w:t>A565027 PROGRAMI MUZEJSKO GALERIJSKE DJELATNOSTI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A565027-PROGRAMI MUZEJSKO GALERIJSKE DJELATNOSTI</w:t>
            </w:r>
          </w:p>
        </w:tc>
        <w:tc>
          <w:tcPr>
            <w:tcW w:w="2322" w:type="dxa"/>
          </w:tcPr>
          <w:p w:rsidR="00AC0832" w:rsidRDefault="00AC0832">
            <w:pPr>
              <w:pStyle w:val="CellColumn"/>
            </w:pPr>
            <w:r>
              <w:t>10.917.992</w:t>
            </w:r>
          </w:p>
        </w:tc>
        <w:tc>
          <w:tcPr>
            <w:tcW w:w="2322" w:type="dxa"/>
          </w:tcPr>
          <w:p w:rsidR="00AC0832" w:rsidRDefault="00AC0832">
            <w:pPr>
              <w:pStyle w:val="CellColumn"/>
            </w:pPr>
            <w:r>
              <w:t>10.917.992</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2012. godini nije bilo odstupanja od plana. Financirano je preko 440 programa muzeja (kojima je osnivač grad, županija ili općina) te ostali programi strukovnih udruga i gradova koji provode muzejsko - galerijsku aktivnost.</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2"/>
        <w:gridCol w:w="1606"/>
        <w:gridCol w:w="1292"/>
        <w:gridCol w:w="1258"/>
        <w:gridCol w:w="1168"/>
        <w:gridCol w:w="1184"/>
        <w:gridCol w:w="121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razine inventiranosti muzejske građe</w:t>
            </w:r>
          </w:p>
        </w:tc>
        <w:tc>
          <w:tcPr>
            <w:tcW w:w="1300" w:type="dxa"/>
          </w:tcPr>
          <w:p w:rsidR="00AC0832" w:rsidRDefault="00AC0832">
            <w:pPr>
              <w:pStyle w:val="CellColumn"/>
            </w:pPr>
            <w:r>
              <w:t>Inventarizacija muzejske građe i dokumentacije je prioritetna muzejska aktivnost</w:t>
            </w:r>
          </w:p>
        </w:tc>
        <w:tc>
          <w:tcPr>
            <w:tcW w:w="1300" w:type="dxa"/>
          </w:tcPr>
          <w:p w:rsidR="00AC0832" w:rsidRDefault="00AC0832">
            <w:pPr>
              <w:pStyle w:val="CellColumn"/>
            </w:pPr>
            <w:r>
              <w:t>Polazni % u 21 nacionalnim muzejima te ostalim muzejima</w:t>
            </w:r>
          </w:p>
        </w:tc>
        <w:tc>
          <w:tcPr>
            <w:tcW w:w="1300" w:type="dxa"/>
          </w:tcPr>
          <w:p w:rsidR="00AC0832" w:rsidRDefault="00AC0832">
            <w:pPr>
              <w:pStyle w:val="CellColumn"/>
            </w:pPr>
            <w:r>
              <w:t>Sveukupno inventirano 55%</w:t>
            </w:r>
          </w:p>
        </w:tc>
        <w:tc>
          <w:tcPr>
            <w:tcW w:w="1300" w:type="dxa"/>
          </w:tcPr>
          <w:p w:rsidR="00AC0832" w:rsidRDefault="00AC0832">
            <w:pPr>
              <w:pStyle w:val="CellColumn"/>
            </w:pPr>
            <w:r>
              <w:t>MK</w:t>
            </w:r>
          </w:p>
        </w:tc>
        <w:tc>
          <w:tcPr>
            <w:tcW w:w="1300" w:type="dxa"/>
          </w:tcPr>
          <w:p w:rsidR="00AC0832" w:rsidRDefault="00AC0832">
            <w:pPr>
              <w:pStyle w:val="CellColumn"/>
            </w:pPr>
            <w:r>
              <w:t>65%</w:t>
            </w:r>
          </w:p>
        </w:tc>
        <w:tc>
          <w:tcPr>
            <w:tcW w:w="1300" w:type="dxa"/>
          </w:tcPr>
          <w:p w:rsidR="00AC0832" w:rsidRDefault="00AC0832">
            <w:pPr>
              <w:pStyle w:val="CellColumn"/>
            </w:pPr>
            <w:r>
              <w:t>51%</w:t>
            </w:r>
          </w:p>
        </w:tc>
      </w:tr>
      <w:tr w:rsidR="00AC0832" w:rsidTr="00BE20ED">
        <w:trPr>
          <w:jc w:val="center"/>
        </w:trPr>
        <w:tc>
          <w:tcPr>
            <w:tcW w:w="1300" w:type="dxa"/>
          </w:tcPr>
          <w:p w:rsidR="00AC0832" w:rsidRDefault="00AC0832">
            <w:pPr>
              <w:pStyle w:val="CellColumn"/>
            </w:pPr>
            <w:r>
              <w:t>Povećanje broja dodijeljenih potpora za izložbe, izložbe iz fundusa i projekte o kulturološkim cjelinama Hrvatske te nakladništva</w:t>
            </w:r>
          </w:p>
        </w:tc>
        <w:tc>
          <w:tcPr>
            <w:tcW w:w="1300" w:type="dxa"/>
          </w:tcPr>
          <w:p w:rsidR="00AC0832" w:rsidRDefault="00AC0832">
            <w:pPr>
              <w:pStyle w:val="CellColumn"/>
            </w:pPr>
            <w:r>
              <w:t>Realiziranim izložbama, izložbama iz fundusa i publikacijama muzeji se profiliraju prema osnovnoj muzejskoj djelatnosti; obrada, zaštita i prezentacija nacionalne baštine</w:t>
            </w:r>
          </w:p>
        </w:tc>
        <w:tc>
          <w:tcPr>
            <w:tcW w:w="1300" w:type="dxa"/>
          </w:tcPr>
          <w:p w:rsidR="00AC0832" w:rsidRDefault="00AC0832">
            <w:pPr>
              <w:pStyle w:val="CellColumn"/>
            </w:pPr>
            <w:r>
              <w:t>Broj</w:t>
            </w:r>
          </w:p>
        </w:tc>
        <w:tc>
          <w:tcPr>
            <w:tcW w:w="1300" w:type="dxa"/>
          </w:tcPr>
          <w:p w:rsidR="00AC0832" w:rsidRDefault="00AC0832">
            <w:pPr>
              <w:pStyle w:val="CellColumn"/>
            </w:pPr>
            <w:r>
              <w:t>175</w:t>
            </w:r>
          </w:p>
        </w:tc>
        <w:tc>
          <w:tcPr>
            <w:tcW w:w="1300" w:type="dxa"/>
          </w:tcPr>
          <w:p w:rsidR="00AC0832" w:rsidRDefault="00AC0832">
            <w:pPr>
              <w:pStyle w:val="CellColumn"/>
            </w:pPr>
            <w:r>
              <w:t>MK</w:t>
            </w:r>
          </w:p>
        </w:tc>
        <w:tc>
          <w:tcPr>
            <w:tcW w:w="1300" w:type="dxa"/>
          </w:tcPr>
          <w:p w:rsidR="00AC0832" w:rsidRDefault="00AC0832">
            <w:pPr>
              <w:pStyle w:val="CellColumn"/>
            </w:pPr>
            <w:r>
              <w:t>178</w:t>
            </w:r>
          </w:p>
        </w:tc>
        <w:tc>
          <w:tcPr>
            <w:tcW w:w="1300" w:type="dxa"/>
          </w:tcPr>
          <w:p w:rsidR="00AC0832" w:rsidRDefault="00AC0832">
            <w:pPr>
              <w:pStyle w:val="CellColumn"/>
            </w:pPr>
            <w:r>
              <w:t>206</w:t>
            </w:r>
          </w:p>
        </w:tc>
      </w:tr>
      <w:tr w:rsidR="00AC0832" w:rsidTr="00BE20ED">
        <w:trPr>
          <w:jc w:val="center"/>
        </w:trPr>
        <w:tc>
          <w:tcPr>
            <w:tcW w:w="1300" w:type="dxa"/>
          </w:tcPr>
          <w:p w:rsidR="00AC0832" w:rsidRDefault="00AC0832">
            <w:pPr>
              <w:pStyle w:val="CellColumn"/>
            </w:pPr>
            <w:r>
              <w:t>Povećanje broja dodijeljenih potpora za programe međumuzejske suradnje</w:t>
            </w:r>
          </w:p>
        </w:tc>
        <w:tc>
          <w:tcPr>
            <w:tcW w:w="1300" w:type="dxa"/>
          </w:tcPr>
          <w:p w:rsidR="00AC0832" w:rsidRDefault="00AC0832">
            <w:pPr>
              <w:pStyle w:val="CellColumn"/>
            </w:pPr>
            <w:r>
              <w:t>Organizacija međumuzejskih izložaba i projekata i suradnja na predlaganju izložaba za međunarodnu suradnju (reciprocitet pri razmjeni izložaba)</w:t>
            </w:r>
          </w:p>
        </w:tc>
        <w:tc>
          <w:tcPr>
            <w:tcW w:w="1300" w:type="dxa"/>
          </w:tcPr>
          <w:p w:rsidR="00AC0832" w:rsidRDefault="00AC0832">
            <w:pPr>
              <w:pStyle w:val="CellColumn"/>
            </w:pPr>
            <w:r>
              <w:t>Broj</w:t>
            </w:r>
          </w:p>
        </w:tc>
        <w:tc>
          <w:tcPr>
            <w:tcW w:w="1300" w:type="dxa"/>
          </w:tcPr>
          <w:p w:rsidR="00AC0832" w:rsidRDefault="00AC0832">
            <w:pPr>
              <w:pStyle w:val="CellColumn"/>
            </w:pPr>
            <w:r>
              <w:t>15</w:t>
            </w:r>
          </w:p>
        </w:tc>
        <w:tc>
          <w:tcPr>
            <w:tcW w:w="1300" w:type="dxa"/>
          </w:tcPr>
          <w:p w:rsidR="00AC0832" w:rsidRDefault="00AC0832">
            <w:pPr>
              <w:pStyle w:val="CellColumn"/>
            </w:pPr>
            <w:r>
              <w:t>MK</w:t>
            </w:r>
          </w:p>
        </w:tc>
        <w:tc>
          <w:tcPr>
            <w:tcW w:w="1300" w:type="dxa"/>
          </w:tcPr>
          <w:p w:rsidR="00AC0832" w:rsidRDefault="00AC0832">
            <w:pPr>
              <w:pStyle w:val="CellColumn"/>
            </w:pPr>
            <w:r>
              <w:t>18</w:t>
            </w:r>
          </w:p>
        </w:tc>
        <w:tc>
          <w:tcPr>
            <w:tcW w:w="1300" w:type="dxa"/>
          </w:tcPr>
          <w:p w:rsidR="00AC0832" w:rsidRDefault="00AC0832">
            <w:pPr>
              <w:pStyle w:val="CellColumn"/>
            </w:pPr>
            <w:r>
              <w:t>13</w:t>
            </w:r>
          </w:p>
        </w:tc>
      </w:tr>
    </w:tbl>
    <w:p w:rsidR="00AC0832" w:rsidRDefault="00AC0832">
      <w:pPr>
        <w:jc w:val="left"/>
      </w:pPr>
    </w:p>
    <w:p w:rsidR="00AC0832" w:rsidRDefault="00AC0832">
      <w:pPr>
        <w:pStyle w:val="Heading5"/>
      </w:pPr>
      <w:r>
        <w:t>3904 KAZALIŠNA I GLAZBENO- SCENSKA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3904-KAZALIŠNA I GLAZBENO- SCENSKA DJELATNOST</w:t>
            </w:r>
          </w:p>
        </w:tc>
        <w:tc>
          <w:tcPr>
            <w:tcW w:w="2322" w:type="dxa"/>
          </w:tcPr>
          <w:p w:rsidR="00AC0832" w:rsidRDefault="00AC0832">
            <w:pPr>
              <w:pStyle w:val="CellColumn"/>
            </w:pPr>
            <w:r>
              <w:t>31.825.330</w:t>
            </w:r>
          </w:p>
        </w:tc>
        <w:tc>
          <w:tcPr>
            <w:tcW w:w="2322" w:type="dxa"/>
          </w:tcPr>
          <w:p w:rsidR="00AC0832" w:rsidRDefault="00AC0832">
            <w:pPr>
              <w:pStyle w:val="CellColumn"/>
            </w:pPr>
            <w:r>
              <w:t>32.789.815</w:t>
            </w:r>
          </w:p>
        </w:tc>
        <w:tc>
          <w:tcPr>
            <w:tcW w:w="2322" w:type="dxa"/>
          </w:tcPr>
          <w:p w:rsidR="00AC0832" w:rsidRDefault="00AC0832">
            <w:pPr>
              <w:pStyle w:val="CellColumn"/>
            </w:pPr>
            <w:r>
              <w:t>103,0</w:t>
            </w:r>
          </w:p>
        </w:tc>
      </w:tr>
    </w:tbl>
    <w:p w:rsidR="00AC0832" w:rsidRDefault="00AC0832">
      <w:pPr>
        <w:jc w:val="left"/>
      </w:pPr>
    </w:p>
    <w:p w:rsidR="00AC0832" w:rsidRDefault="00AC0832">
      <w:pPr>
        <w:pStyle w:val="Heading6"/>
      </w:pPr>
      <w:r>
        <w:t>Opis programa</w:t>
      </w:r>
    </w:p>
    <w:p w:rsidR="00AC0832" w:rsidRDefault="00AC0832">
      <w:pPr>
        <w:pStyle w:val="Normal5"/>
      </w:pPr>
      <w:r>
        <w:t xml:space="preserve">Kazališna i glazbeno-scenska djelatnost, nedjeljivi su dio kulturnog identiteta i predstavljaju kontinuitet opstojnosti hrvatskog društva. Temeljne organizacijske oblike predstavljaju kazališta, javna i privatna (ustanove, umjetničke organizacije i trgovačka društva), orkestri i ansambli, kao i udruge kulturno-umjetničkog i dramskog amaterizma. Svojim djelovanjem razvijaju dostupnost kulture na području cijele Republike Hrvatske u cilju ostvarivanja najširih javnih potreba u kulturi. Radi daljnjega poboljšanja djelatnosti, dostupnosti i kvalitete programa, posebna pozornost se posvećuje podizanju razine organiziranosti, suradnje i razvoja te poboljšanja infrastrukture scenskih prostora. Potporama se nastoji poticati kreativno stvaralaštvo, umjetničko obrazovanje, kulturna proizvodnja i kulturna potrošnja. </w:t>
      </w:r>
    </w:p>
    <w:p w:rsidR="00AC0832" w:rsidRDefault="00AC0832">
      <w:pPr>
        <w:pStyle w:val="Normal5"/>
      </w:pPr>
      <w:r>
        <w:t>Izvedbene umjetnosti obuhvaćaju dramsku, glazbeno-scensku i plesnu umjetnost, kao i amatersko stvaralaštvo. Kroz brojne produkcije, manifestacije, gostovanja, seminare te druge programe različitih  profila, potiče se djelatnost javnih i privatnih kazališta, umjetničkih organizacija, orkestara, ansambala te udruga kulturno-umjetničkog amaterizma. Financiranjem programa javnih potreba u kulturi u ovim područjima ostvaruje se cilj kontinuiranog razvoja izvedbenih umjetnosti, specifičnih znanja i cjeloživotnog učenja. U 2012. godini nije bilo odstupanja od plana.</w:t>
      </w:r>
    </w:p>
    <w:p w:rsidR="00AC0832" w:rsidRDefault="00AC0832">
      <w:pPr>
        <w:pStyle w:val="Heading6"/>
      </w:pPr>
      <w:r>
        <w:t>Zakonske i druge pravne osnove</w:t>
      </w:r>
    </w:p>
    <w:p w:rsidR="00AC0832" w:rsidRDefault="00AC0832">
      <w:pPr>
        <w:pStyle w:val="Normal5"/>
      </w:pPr>
      <w:r>
        <w:t xml:space="preserve">- Zakon o financiranju javnih potreba u kulturi (NN 47/90, 27/93 i 38/09) </w:t>
      </w:r>
    </w:p>
    <w:p w:rsidR="00AC0832" w:rsidRDefault="00AC0832">
      <w:pPr>
        <w:pStyle w:val="Normal5"/>
      </w:pPr>
      <w:r>
        <w:t xml:space="preserve">- Pravilnik o izboru i utvrđivanju programa javnih potreba u kulturi (NN 137/08, 57/09 i 62/09) </w:t>
      </w:r>
    </w:p>
    <w:p w:rsidR="00AC0832" w:rsidRDefault="00AC0832">
      <w:pPr>
        <w:pStyle w:val="Normal5"/>
      </w:pPr>
      <w:r>
        <w:t xml:space="preserve">- Zakon o kulturnim vijećima (NN 48/04, 44/09) </w:t>
      </w:r>
    </w:p>
    <w:p w:rsidR="00AC0832" w:rsidRDefault="00AC0832">
      <w:pPr>
        <w:pStyle w:val="Normal5"/>
      </w:pPr>
      <w:r>
        <w:t xml:space="preserve">- Zakon o kazalištima (NN 71/06) </w:t>
      </w:r>
    </w:p>
    <w:p w:rsidR="00AC0832" w:rsidRDefault="00AC0832">
      <w:pPr>
        <w:pStyle w:val="Normal5"/>
      </w:pPr>
      <w:r>
        <w:t xml:space="preserve">- Pravilnik o kriterijima i standardima za osiguravanje sredstava za nacionalna kazališta (NN 116/08) </w:t>
      </w:r>
    </w:p>
    <w:p w:rsidR="00AC0832" w:rsidRDefault="00AC0832">
      <w:pPr>
        <w:pStyle w:val="Normal5"/>
      </w:pPr>
      <w:r>
        <w:t xml:space="preserve">- Odluka o osnovnom programskom i financijskom okviru Hrvatskog narodnog kazališta u Zagrebu za </w:t>
      </w:r>
    </w:p>
    <w:p w:rsidR="00AC0832" w:rsidRDefault="00AC0832">
      <w:pPr>
        <w:pStyle w:val="Normal5"/>
      </w:pPr>
      <w:r>
        <w:t xml:space="preserve">  mandatno razdoblje 2009. – 2013. </w:t>
      </w:r>
    </w:p>
    <w:p w:rsidR="00AC0832" w:rsidRDefault="00AC0832">
      <w:pPr>
        <w:pStyle w:val="Normal5"/>
      </w:pPr>
      <w:r>
        <w:t xml:space="preserve">- Pravilnik o Očevidniku kazališta (NN 35/07) </w:t>
      </w:r>
    </w:p>
    <w:p w:rsidR="00AC0832" w:rsidRDefault="00AC0832">
      <w:pPr>
        <w:pStyle w:val="Normal5"/>
      </w:pPr>
      <w:r>
        <w:t xml:space="preserve">- Pravilnik o utvrđivanju kazališnih radnika koji se smatraju kazališni umjetnici (NN 35/07) </w:t>
      </w:r>
    </w:p>
    <w:p w:rsidR="00AC0832" w:rsidRDefault="00AC0832">
      <w:pPr>
        <w:pStyle w:val="Normal5"/>
      </w:pPr>
      <w:r>
        <w:t xml:space="preserve">- Pravilnik o statusu, ustrojstvu i financiranju Dubrovačkih ljetnih igara (NN 39/07) </w:t>
      </w:r>
    </w:p>
    <w:p w:rsidR="00AC0832" w:rsidRDefault="00AC0832">
      <w:pPr>
        <w:pStyle w:val="Normal5"/>
      </w:pPr>
      <w:r>
        <w:t xml:space="preserve">- Pravilnik o statusu, ustrojstvu i financiranju Splitskog ljeta (NN 60/94)  </w:t>
      </w:r>
    </w:p>
    <w:p w:rsidR="00AC0832" w:rsidRDefault="00AC0832">
      <w:pPr>
        <w:pStyle w:val="Normal5"/>
      </w:pPr>
      <w:r>
        <w:t xml:space="preserve">- Pravilnik o statusu, ustrojstvu i financiranju Varaždinskih glazbenih večeri (NN 60/94) </w:t>
      </w:r>
    </w:p>
    <w:p w:rsidR="00AC0832" w:rsidRDefault="00AC0832">
      <w:pPr>
        <w:pStyle w:val="Normal5"/>
      </w:pPr>
      <w:r>
        <w:t>- Pravilnik o statusu, ustrojstvu i financiranju Osorskih glazbenih večeri (NN 60/94)</w:t>
      </w:r>
    </w:p>
    <w:p w:rsidR="00AC0832" w:rsidRDefault="00AC0832">
      <w:pPr>
        <w:pStyle w:val="Heading7"/>
      </w:pPr>
      <w:r>
        <w:t>Cilj 1. Održavanje standarda u financiranju programa izvedbenih umjetnosti</w:t>
      </w:r>
    </w:p>
    <w:p w:rsidR="00AC0832" w:rsidRDefault="00AC0832">
      <w:pPr>
        <w:pStyle w:val="Heading8"/>
        <w:jc w:val="left"/>
      </w:pPr>
      <w:r>
        <w:t>Opis provedbe cilja programa</w:t>
      </w:r>
    </w:p>
    <w:p w:rsidR="00AC0832" w:rsidRDefault="00AC0832">
      <w:pPr>
        <w:pStyle w:val="Normal6"/>
      </w:pPr>
      <w:r>
        <w:t>Provedbom programa nastoji se potaknuti rad i razvoj pojedinaca, organizacija i ustanova na području izvedbenih umjetnosti (dramskih, glazbenih i plesnih). Programi su se nastojali realizirati putem provedbe Poziva za predlaganje programa javnih potreba u kulturi RH za 2012. godinu. U 2012. godini cilj je bio stalni razvoj i unapređenje vrlo širokog područja umjetničkih disciplina koje obuhvaćaju raznolike kreativne procese u kazališnim i glazbenim odnosno plesnim produkcijama. Korisnici, odnosno primatelji usluga bila su javna i privatna kazališta, umjetničke organizacije, orkestri, ansambli, kao i fizičke osobe koje se bave izvedbenim umjetnostima.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17"/>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Poticanje razvoja izvedbenih umjetnosti unaprijedit će kulturnu proizvodnju i potrošnju, kvalitetu programa i stabilnost broja posjetitelja</w:t>
            </w:r>
          </w:p>
        </w:tc>
        <w:tc>
          <w:tcPr>
            <w:tcW w:w="1300" w:type="dxa"/>
          </w:tcPr>
          <w:p w:rsidR="00AC0832" w:rsidRDefault="00AC0832">
            <w:pPr>
              <w:pStyle w:val="CellColumn"/>
            </w:pPr>
            <w:r>
              <w:t>Poticanjem razvoja izvedbenih umjetnosti omogućit će se dostupnost kvalitetnih i raznovrsnih programa, učinkovita promocija izvrsnosti i stvaralaštva, međusobna suradnja, ravnomjernija teritorijalna zastupljenost i ravnomjeran broj posjetitelja</w:t>
            </w:r>
          </w:p>
        </w:tc>
        <w:tc>
          <w:tcPr>
            <w:tcW w:w="1300" w:type="dxa"/>
          </w:tcPr>
          <w:p w:rsidR="00AC0832" w:rsidRDefault="00AC0832">
            <w:pPr>
              <w:pStyle w:val="CellColumn"/>
            </w:pPr>
            <w:r>
              <w:t>Broj</w:t>
            </w:r>
          </w:p>
        </w:tc>
        <w:tc>
          <w:tcPr>
            <w:tcW w:w="1300" w:type="dxa"/>
          </w:tcPr>
          <w:p w:rsidR="00AC0832" w:rsidRDefault="00AC0832">
            <w:pPr>
              <w:pStyle w:val="CellColumn"/>
            </w:pPr>
            <w:r>
              <w:t>1080</w:t>
            </w:r>
          </w:p>
        </w:tc>
        <w:tc>
          <w:tcPr>
            <w:tcW w:w="1300" w:type="dxa"/>
          </w:tcPr>
          <w:p w:rsidR="00AC0832" w:rsidRDefault="00AC0832">
            <w:pPr>
              <w:pStyle w:val="CellColumn"/>
            </w:pPr>
            <w:r>
              <w:t>MK</w:t>
            </w:r>
          </w:p>
        </w:tc>
        <w:tc>
          <w:tcPr>
            <w:tcW w:w="1300" w:type="dxa"/>
          </w:tcPr>
          <w:p w:rsidR="00AC0832" w:rsidRDefault="00AC0832">
            <w:pPr>
              <w:pStyle w:val="CellColumn"/>
            </w:pPr>
            <w:r>
              <w:t>1096</w:t>
            </w:r>
          </w:p>
        </w:tc>
        <w:tc>
          <w:tcPr>
            <w:tcW w:w="1300" w:type="dxa"/>
          </w:tcPr>
          <w:p w:rsidR="00AC0832" w:rsidRDefault="00AC0832">
            <w:pPr>
              <w:pStyle w:val="CellColumn"/>
            </w:pPr>
            <w:r>
              <w:t>1278</w:t>
            </w:r>
          </w:p>
        </w:tc>
      </w:tr>
    </w:tbl>
    <w:p w:rsidR="00AC0832" w:rsidRDefault="00AC0832">
      <w:pPr>
        <w:jc w:val="left"/>
      </w:pPr>
    </w:p>
    <w:p w:rsidR="00AC0832" w:rsidRDefault="00AC0832">
      <w:pPr>
        <w:pStyle w:val="Heading7"/>
      </w:pPr>
      <w:r>
        <w:t>Cilj 2. Potpora kulturno-umjetničkom amaterizmu te očuvanju tradicijske kulture</w:t>
      </w:r>
    </w:p>
    <w:p w:rsidR="00AC0832" w:rsidRDefault="00AC0832">
      <w:pPr>
        <w:pStyle w:val="Heading8"/>
        <w:jc w:val="left"/>
      </w:pPr>
      <w:r>
        <w:t>Opis provedbe cilja programa</w:t>
      </w:r>
    </w:p>
    <w:p w:rsidR="00AC0832" w:rsidRDefault="00AC0832">
      <w:pPr>
        <w:pStyle w:val="Normal6"/>
      </w:pPr>
      <w:r>
        <w:t>Na području kulturno - umjetničkog i kazališnog amaterizma, putem javnog Poziva, potcalo se stvaralaštvo velike zajednice amaterskih udruga u Republici Hrvatskoj.Financirano je preko 270 programa. Takvim je programima cilj rekonstrukcija vrlo raznolikih oblika izvorne zavičajne baštine, naročikto u sredinama gdje je ona ugrožena, kao i poticanje drugih oblika glazbenog izražavanja. Isto se odnosi na rad kazališnih amatera i njihovu promociju bogatstva govora i dijalekta te nacionalne dramske literature. Programi se ostvaruju kroz povezanost uz tradiciju i suvremene sadržaje, djelomice kroz međunarodnu suradnju te kroz raznolikost izričaja. Korisnici i primatelji ovih usluga su amaterske udruge u Republici Hrvatskoj.</w:t>
      </w:r>
    </w:p>
    <w:p w:rsidR="00AC0832" w:rsidRDefault="00AC0832">
      <w:pPr>
        <w:pStyle w:val="Heading6"/>
      </w:pPr>
      <w:r>
        <w:t>A565030 PROGRAMI KAZALIŠNE I GLAZBENO SCENSKE DJELATNOSTI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A565030-PROGRAMI KAZALIŠNE I GLAZBENO SCENSKE DJELATNOSTI</w:t>
            </w:r>
          </w:p>
        </w:tc>
        <w:tc>
          <w:tcPr>
            <w:tcW w:w="2322" w:type="dxa"/>
          </w:tcPr>
          <w:p w:rsidR="00AC0832" w:rsidRDefault="00AC0832">
            <w:pPr>
              <w:pStyle w:val="CellColumn"/>
            </w:pPr>
            <w:r>
              <w:t>31.825.330</w:t>
            </w:r>
          </w:p>
        </w:tc>
        <w:tc>
          <w:tcPr>
            <w:tcW w:w="2322" w:type="dxa"/>
          </w:tcPr>
          <w:p w:rsidR="00AC0832" w:rsidRDefault="00AC0832">
            <w:pPr>
              <w:pStyle w:val="CellColumn"/>
            </w:pPr>
            <w:r>
              <w:t>32.789.815</w:t>
            </w:r>
          </w:p>
        </w:tc>
        <w:tc>
          <w:tcPr>
            <w:tcW w:w="2322" w:type="dxa"/>
          </w:tcPr>
          <w:p w:rsidR="00AC0832" w:rsidRDefault="00AC0832">
            <w:pPr>
              <w:pStyle w:val="CellColumn"/>
            </w:pPr>
            <w:r>
              <w:t>103,0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 temelju Poziva za predlaganje programa javnih potreba u kulturi Republike Hrvatske za 2012. godinu, nadležna Kulturna vijeća predložila su financiranje za: - programe glazbenih, dramskih i plesnih festivala - redovne programe javnih kazališta - programe glazbenih i kazališnih gostovanja - programe privatnih kazališta - programe suvremenih plesnih skupina - programe notnog i diskografskog nakladništva - programe međunarodnih majstorskih seminara i radionica (glazba) - programe međunarodnih glazbenih natjecanja. Također i za programe kulturno-umjetničkog i kazališnog amaterizma: - festivali, manifestacije, susreti, natjecanja i smotre tradicijskog, glazbenog i kazališnog stvaralaštva - programi kulturno-umjetničkih društava (folklorna društva, puhački orkestri, pjevački zborovi) i udruga. U 2012. godini programi su realizirani što je i vidljivo iz odnosa planiranih sredstava i sredstava za rashode.</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9"/>
        <w:gridCol w:w="1484"/>
        <w:gridCol w:w="1289"/>
        <w:gridCol w:w="1294"/>
        <w:gridCol w:w="1293"/>
        <w:gridCol w:w="1294"/>
        <w:gridCol w:w="129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Zadržavanje broja premijernih produkcija i koprodukcija</w:t>
            </w:r>
          </w:p>
        </w:tc>
        <w:tc>
          <w:tcPr>
            <w:tcW w:w="1300" w:type="dxa"/>
          </w:tcPr>
          <w:p w:rsidR="00AC0832" w:rsidRDefault="00AC0832">
            <w:pPr>
              <w:pStyle w:val="CellColumn"/>
            </w:pPr>
            <w:r>
              <w:t>Poticanjem programa međusobne suradnje i razvoja kazališta te umjetničkih organizacija i ansambala stimulirat će se raznolikost i dostupnost kulturne ponude</w:t>
            </w:r>
          </w:p>
        </w:tc>
        <w:tc>
          <w:tcPr>
            <w:tcW w:w="1300" w:type="dxa"/>
          </w:tcPr>
          <w:p w:rsidR="00AC0832" w:rsidRDefault="00AC0832">
            <w:pPr>
              <w:pStyle w:val="CellColumn"/>
            </w:pPr>
            <w:r>
              <w:t>Broj</w:t>
            </w:r>
          </w:p>
        </w:tc>
        <w:tc>
          <w:tcPr>
            <w:tcW w:w="1300" w:type="dxa"/>
          </w:tcPr>
          <w:p w:rsidR="00AC0832" w:rsidRDefault="00AC0832">
            <w:pPr>
              <w:pStyle w:val="CellColumn"/>
            </w:pPr>
            <w:r>
              <w:t>130</w:t>
            </w:r>
          </w:p>
        </w:tc>
        <w:tc>
          <w:tcPr>
            <w:tcW w:w="1300" w:type="dxa"/>
          </w:tcPr>
          <w:p w:rsidR="00AC0832" w:rsidRDefault="00AC0832">
            <w:pPr>
              <w:pStyle w:val="CellColumn"/>
            </w:pPr>
            <w:r>
              <w:t>MK</w:t>
            </w:r>
          </w:p>
        </w:tc>
        <w:tc>
          <w:tcPr>
            <w:tcW w:w="1300" w:type="dxa"/>
          </w:tcPr>
          <w:p w:rsidR="00AC0832" w:rsidRDefault="00AC0832">
            <w:pPr>
              <w:pStyle w:val="CellColumn"/>
            </w:pPr>
            <w:r>
              <w:t>130</w:t>
            </w:r>
          </w:p>
        </w:tc>
        <w:tc>
          <w:tcPr>
            <w:tcW w:w="1300" w:type="dxa"/>
          </w:tcPr>
          <w:p w:rsidR="00AC0832" w:rsidRDefault="00AC0832">
            <w:pPr>
              <w:pStyle w:val="CellColumn"/>
            </w:pPr>
            <w:r>
              <w:t>181</w:t>
            </w:r>
          </w:p>
        </w:tc>
      </w:tr>
      <w:tr w:rsidR="00AC0832" w:rsidTr="00BE20ED">
        <w:trPr>
          <w:jc w:val="center"/>
        </w:trPr>
        <w:tc>
          <w:tcPr>
            <w:tcW w:w="1300" w:type="dxa"/>
          </w:tcPr>
          <w:p w:rsidR="00AC0832" w:rsidRDefault="00AC0832">
            <w:pPr>
              <w:pStyle w:val="CellColumn"/>
            </w:pPr>
            <w:r>
              <w:t>Zadržavanje broja posjetitelja nacionalnih festivala</w:t>
            </w:r>
          </w:p>
        </w:tc>
        <w:tc>
          <w:tcPr>
            <w:tcW w:w="1300" w:type="dxa"/>
          </w:tcPr>
          <w:p w:rsidR="00AC0832" w:rsidRDefault="00AC0832">
            <w:pPr>
              <w:pStyle w:val="CellColumn"/>
            </w:pPr>
            <w:r>
              <w:t>Stabilnost broja posjetitelja programima nacionalnih festivala ukazat će na kvalitetu sadržaja te umjetničku i profesionalnu razinu</w:t>
            </w:r>
          </w:p>
        </w:tc>
        <w:tc>
          <w:tcPr>
            <w:tcW w:w="1300" w:type="dxa"/>
          </w:tcPr>
          <w:p w:rsidR="00AC0832" w:rsidRDefault="00AC0832">
            <w:pPr>
              <w:pStyle w:val="CellColumn"/>
            </w:pPr>
            <w:r>
              <w:t>Broj</w:t>
            </w:r>
          </w:p>
        </w:tc>
        <w:tc>
          <w:tcPr>
            <w:tcW w:w="1300" w:type="dxa"/>
          </w:tcPr>
          <w:p w:rsidR="00AC0832" w:rsidRDefault="00AC0832">
            <w:pPr>
              <w:pStyle w:val="CellColumn"/>
            </w:pPr>
            <w:r>
              <w:t>89000</w:t>
            </w:r>
          </w:p>
        </w:tc>
        <w:tc>
          <w:tcPr>
            <w:tcW w:w="1300" w:type="dxa"/>
          </w:tcPr>
          <w:p w:rsidR="00AC0832" w:rsidRDefault="00AC0832">
            <w:pPr>
              <w:pStyle w:val="CellColumn"/>
            </w:pPr>
            <w:r>
              <w:t>MK</w:t>
            </w:r>
          </w:p>
        </w:tc>
        <w:tc>
          <w:tcPr>
            <w:tcW w:w="1300" w:type="dxa"/>
          </w:tcPr>
          <w:p w:rsidR="00AC0832" w:rsidRDefault="00AC0832">
            <w:pPr>
              <w:pStyle w:val="CellColumn"/>
            </w:pPr>
            <w:r>
              <w:t>89000</w:t>
            </w:r>
          </w:p>
        </w:tc>
        <w:tc>
          <w:tcPr>
            <w:tcW w:w="1300" w:type="dxa"/>
          </w:tcPr>
          <w:p w:rsidR="00AC0832" w:rsidRDefault="00AC0832">
            <w:pPr>
              <w:pStyle w:val="CellColumn"/>
            </w:pPr>
            <w:r>
              <w:t>82400</w:t>
            </w:r>
          </w:p>
        </w:tc>
      </w:tr>
      <w:tr w:rsidR="00AC0832" w:rsidTr="00BE20ED">
        <w:trPr>
          <w:jc w:val="center"/>
        </w:trPr>
        <w:tc>
          <w:tcPr>
            <w:tcW w:w="1300" w:type="dxa"/>
          </w:tcPr>
          <w:p w:rsidR="00AC0832" w:rsidRDefault="00AC0832">
            <w:pPr>
              <w:pStyle w:val="CellColumn"/>
            </w:pPr>
            <w:r>
              <w:t>Zadržavanje ukupnog broja programa kulturno-umjetničkog amaterizma te očuvanja tradicijske kulture</w:t>
            </w:r>
          </w:p>
        </w:tc>
        <w:tc>
          <w:tcPr>
            <w:tcW w:w="1300" w:type="dxa"/>
          </w:tcPr>
          <w:p w:rsidR="00AC0832" w:rsidRDefault="00AC0832">
            <w:pPr>
              <w:pStyle w:val="CellColumn"/>
            </w:pPr>
            <w:r>
              <w:t>Zadržavanjem broja programa i njihovom stabilnošću osigurava se opstanak amaterskih društava: kazališnih skupina i onih glazbeno-folklornih koje su djelovanjem vezane uz različite oblike tradicijske kulture</w:t>
            </w:r>
          </w:p>
        </w:tc>
        <w:tc>
          <w:tcPr>
            <w:tcW w:w="1300" w:type="dxa"/>
          </w:tcPr>
          <w:p w:rsidR="00AC0832" w:rsidRDefault="00AC0832">
            <w:pPr>
              <w:pStyle w:val="CellColumn"/>
            </w:pPr>
            <w:r>
              <w:t>Ukupni broj</w:t>
            </w:r>
          </w:p>
        </w:tc>
        <w:tc>
          <w:tcPr>
            <w:tcW w:w="1300" w:type="dxa"/>
          </w:tcPr>
          <w:p w:rsidR="00AC0832" w:rsidRDefault="00AC0832">
            <w:pPr>
              <w:pStyle w:val="CellColumn"/>
            </w:pPr>
            <w:r>
              <w:t>215</w:t>
            </w:r>
          </w:p>
        </w:tc>
        <w:tc>
          <w:tcPr>
            <w:tcW w:w="1300" w:type="dxa"/>
          </w:tcPr>
          <w:p w:rsidR="00AC0832" w:rsidRDefault="00AC0832">
            <w:pPr>
              <w:pStyle w:val="CellColumn"/>
            </w:pPr>
            <w:r>
              <w:t>MK</w:t>
            </w:r>
          </w:p>
        </w:tc>
        <w:tc>
          <w:tcPr>
            <w:tcW w:w="1300" w:type="dxa"/>
          </w:tcPr>
          <w:p w:rsidR="00AC0832" w:rsidRDefault="00AC0832">
            <w:pPr>
              <w:pStyle w:val="CellColumn"/>
            </w:pPr>
            <w:r>
              <w:t>215</w:t>
            </w:r>
          </w:p>
        </w:tc>
        <w:tc>
          <w:tcPr>
            <w:tcW w:w="1300" w:type="dxa"/>
          </w:tcPr>
          <w:p w:rsidR="00AC0832" w:rsidRDefault="00AC0832">
            <w:pPr>
              <w:pStyle w:val="CellColumn"/>
            </w:pPr>
            <w:r>
              <w:t>267</w:t>
            </w:r>
          </w:p>
        </w:tc>
      </w:tr>
    </w:tbl>
    <w:p w:rsidR="00AC0832" w:rsidRDefault="00AC0832">
      <w:pPr>
        <w:jc w:val="left"/>
      </w:pPr>
    </w:p>
    <w:p w:rsidR="00AC0832" w:rsidRDefault="00AC0832">
      <w:pPr>
        <w:pStyle w:val="Heading5"/>
      </w:pPr>
      <w:r>
        <w:t>3905 KNJIŽNIČNA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3905-KNJIŽNIČNA DJELATNOST</w:t>
            </w:r>
          </w:p>
        </w:tc>
        <w:tc>
          <w:tcPr>
            <w:tcW w:w="2322" w:type="dxa"/>
          </w:tcPr>
          <w:p w:rsidR="00AC0832" w:rsidRDefault="00AC0832">
            <w:pPr>
              <w:pStyle w:val="CellColumn"/>
            </w:pPr>
            <w:r>
              <w:t>52.000.000</w:t>
            </w:r>
          </w:p>
        </w:tc>
        <w:tc>
          <w:tcPr>
            <w:tcW w:w="2322" w:type="dxa"/>
          </w:tcPr>
          <w:p w:rsidR="00AC0832" w:rsidRDefault="00AC0832">
            <w:pPr>
              <w:pStyle w:val="CellColumn"/>
            </w:pPr>
            <w:r>
              <w:t>51.963.055</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 obuhvaća knjižničnu djelatnost i djelatnost književnog izdavaštva. Godišnje se potpomogne oko 2000 projekata kroz potpore za izdavanje knjiga, časopisa i elektroničkih publikacija, otkup knjiga od nakladnika za narodne knjižnice te potpore za poticanje književnog stvaralaštva namijenjene autorima i prevoditeljima. Inozemni izdavači se natječu za potporu objavljivanja djela hrvatskih autora na strane jezike. Na taj se način potiče učinkovitija promocija hrvatske knjige prilagođene osobitostima pojedinih kulturnih tržišta. Podupiru se književne manifestacije koje se redovno održavaju. Uglavnom su vezane uz značajna imena i događaje hrvatske kulturne povijesti. Potpomažu se nastupi hrvatskih autora na domaćim i inozemnim književnim sajmovima. Stimuliraju se književni programi u knjižarama koji promiču kulturu čitanja. Sufinanciraju se nezavisne knjižare. </w:t>
      </w:r>
    </w:p>
    <w:p w:rsidR="00AC0832" w:rsidRDefault="00AC0832">
      <w:pPr>
        <w:pStyle w:val="Normal5"/>
      </w:pPr>
      <w:r>
        <w:t>Potpora knjižničnoj djelatnosti odnosi se na nabavu knjižne i neknjižne građe u narodnim knjižnicama, akcije i manifestacije u knjižničnoj djelatnosti te potporu razvojnim programima i projektima u knjižničnoj djelatnosti. U 2012. godini rashodi su realizirani u skladu s planom, nije bilo odstupanja.</w:t>
      </w:r>
    </w:p>
    <w:p w:rsidR="00AC0832" w:rsidRDefault="00AC0832">
      <w:pPr>
        <w:pStyle w:val="Heading6"/>
      </w:pPr>
      <w:r>
        <w:t>Zakonske i druge pravne osnove</w:t>
      </w:r>
    </w:p>
    <w:p w:rsidR="00AC0832" w:rsidRDefault="00AC0832">
      <w:pPr>
        <w:pStyle w:val="Normal5"/>
      </w:pPr>
      <w:r>
        <w:t xml:space="preserve">- Zakon o financiranju javnih potreba u kulturi (“Narodne novine” br. 47/90 i 27/93) </w:t>
      </w:r>
    </w:p>
    <w:p w:rsidR="00AC0832" w:rsidRDefault="00AC0832">
      <w:pPr>
        <w:pStyle w:val="Normal5"/>
      </w:pPr>
      <w:r>
        <w:t xml:space="preserve"> - Pravilnik o izboru i utvrđivanju programa javnih potreba u kulturi (“Narodne novine” br. 137/08,  57/09, 62/09) </w:t>
      </w:r>
    </w:p>
    <w:p w:rsidR="00AC0832" w:rsidRDefault="00AC0832">
      <w:pPr>
        <w:pStyle w:val="Normal5"/>
      </w:pPr>
      <w:r>
        <w:t xml:space="preserve">- Zakon o knjižnicama (NN 105/97, 5/98, 104/00, 69/09) </w:t>
      </w:r>
    </w:p>
    <w:p w:rsidR="00AC0832" w:rsidRDefault="00AC0832">
      <w:pPr>
        <w:pStyle w:val="Normal5"/>
      </w:pPr>
      <w:r>
        <w:t xml:space="preserve">- Pravilnik o matičnoj djelatnosti knjižnica u Republici Hrvatskoj (NN 43/01) </w:t>
      </w:r>
    </w:p>
    <w:p w:rsidR="00AC0832" w:rsidRDefault="00AC0832">
      <w:pPr>
        <w:pStyle w:val="Normal5"/>
      </w:pPr>
      <w:r>
        <w:t>- Standardi za narodne knjižnice u Republici Hrvatskoj (NN 58/99)</w:t>
      </w:r>
    </w:p>
    <w:p w:rsidR="00AC0832" w:rsidRDefault="00AC0832">
      <w:pPr>
        <w:pStyle w:val="Heading7"/>
      </w:pPr>
      <w:r>
        <w:t>Cilj 1. Potpora proizvodnji i distribuciji knjiga, časopisa i elektroničkih publikacija</w:t>
      </w:r>
    </w:p>
    <w:p w:rsidR="00AC0832" w:rsidRDefault="00AC0832">
      <w:pPr>
        <w:pStyle w:val="Heading8"/>
        <w:jc w:val="left"/>
      </w:pPr>
      <w:r>
        <w:t>Opis provedbe cilja programa</w:t>
      </w:r>
    </w:p>
    <w:p w:rsidR="00AC0832" w:rsidRDefault="00AC0832">
      <w:pPr>
        <w:pStyle w:val="Normal6"/>
      </w:pPr>
      <w:r>
        <w:t xml:space="preserve">Povećanje broaj potpora dodijeljenih autorima i prevoditeljima za kniževna djela - poboljšava se interes autora za stvaranje, time i udio domaće književnosti na tržištu. </w:t>
      </w:r>
    </w:p>
    <w:p w:rsidR="00AC0832" w:rsidRDefault="00AC0832">
      <w:pPr>
        <w:pStyle w:val="Normal6"/>
      </w:pPr>
      <w:r>
        <w:t xml:space="preserve">Povećanje iznosa pojedinačnih potpora nakladnicima za vrijedne naslove te smanjiti ukupan broj naslova - postiže se povećanje broja vrijednih naslova, čime se približava umjetničko djelo publici. Povećanje broja otkupljenih naslova kapitalnih djela hrvatske i svjetske književnosti za narodne knjižnice - osiguranje dostupnosti svima. Ova mjera obuhvaća potporu i nakladnicima i knjižnicama. </w:t>
      </w:r>
    </w:p>
    <w:p w:rsidR="00AC0832" w:rsidRDefault="00AC0832">
      <w:pPr>
        <w:pStyle w:val="Normal6"/>
      </w:pPr>
      <w:r>
        <w:t>Povećanje broja sufinanciranih elektroničkih izdanja radi brže i dostupnije informacije svima.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recepcije hrvatske knjige u zemlji i inozemstvu</w:t>
            </w:r>
          </w:p>
        </w:tc>
        <w:tc>
          <w:tcPr>
            <w:tcW w:w="1300" w:type="dxa"/>
          </w:tcPr>
          <w:p w:rsidR="00AC0832" w:rsidRDefault="00AC0832">
            <w:pPr>
              <w:pStyle w:val="CellColumn"/>
            </w:pPr>
            <w:r>
              <w:t>Rastom kvalitetne knjižne  produkcije razvija se kultura čitanja, jača participacija i kulturna potrošnja te podiže razina postignutog kulturnog razvitka što se iskazuje prosječnim brojem posudbi u narodnim knjižnicama</w:t>
            </w:r>
          </w:p>
        </w:tc>
        <w:tc>
          <w:tcPr>
            <w:tcW w:w="1300" w:type="dxa"/>
          </w:tcPr>
          <w:p w:rsidR="00AC0832" w:rsidRDefault="00AC0832">
            <w:pPr>
              <w:pStyle w:val="CellColumn"/>
            </w:pPr>
            <w:r>
              <w:t>Broj</w:t>
            </w:r>
          </w:p>
        </w:tc>
        <w:tc>
          <w:tcPr>
            <w:tcW w:w="1300" w:type="dxa"/>
          </w:tcPr>
          <w:p w:rsidR="00AC0832" w:rsidRDefault="00AC0832">
            <w:pPr>
              <w:pStyle w:val="CellColumn"/>
            </w:pPr>
            <w:r>
              <w:t>2,7</w:t>
            </w:r>
          </w:p>
        </w:tc>
        <w:tc>
          <w:tcPr>
            <w:tcW w:w="1300" w:type="dxa"/>
          </w:tcPr>
          <w:p w:rsidR="00AC0832" w:rsidRDefault="00AC0832">
            <w:pPr>
              <w:pStyle w:val="CellColumn"/>
            </w:pPr>
            <w:r>
              <w:t>MK</w:t>
            </w:r>
          </w:p>
        </w:tc>
        <w:tc>
          <w:tcPr>
            <w:tcW w:w="1300" w:type="dxa"/>
          </w:tcPr>
          <w:p w:rsidR="00AC0832" w:rsidRDefault="00AC0832">
            <w:pPr>
              <w:pStyle w:val="CellColumn"/>
            </w:pPr>
            <w:r>
              <w:t>2,75</w:t>
            </w:r>
          </w:p>
        </w:tc>
        <w:tc>
          <w:tcPr>
            <w:tcW w:w="1300" w:type="dxa"/>
          </w:tcPr>
          <w:p w:rsidR="00AC0832" w:rsidRDefault="00AC0832">
            <w:pPr>
              <w:pStyle w:val="CellColumn"/>
            </w:pPr>
            <w:r>
              <w:t>3,42</w:t>
            </w:r>
          </w:p>
        </w:tc>
      </w:tr>
    </w:tbl>
    <w:p w:rsidR="00AC0832" w:rsidRDefault="00AC0832">
      <w:pPr>
        <w:jc w:val="left"/>
      </w:pPr>
    </w:p>
    <w:p w:rsidR="00AC0832" w:rsidRDefault="00AC0832">
      <w:pPr>
        <w:pStyle w:val="Heading7"/>
      </w:pPr>
      <w:r>
        <w:t>Cilj 2. Povećanje participacije knjige u kulturnom životu</w:t>
      </w:r>
    </w:p>
    <w:p w:rsidR="00AC0832" w:rsidRDefault="00AC0832">
      <w:pPr>
        <w:pStyle w:val="Heading8"/>
        <w:jc w:val="left"/>
      </w:pPr>
      <w:r>
        <w:t>Opis provedbe cilja programa</w:t>
      </w:r>
    </w:p>
    <w:p w:rsidR="00AC0832" w:rsidRDefault="00AC0832">
      <w:pPr>
        <w:pStyle w:val="Normal6"/>
      </w:pPr>
      <w:r>
        <w:t xml:space="preserve">- Povećanje broja kvalitetnih književno-autorskih predstavljanja, festivala, okruglih stolova, tribina i radionica u organizaciji domaćih i inozemnih organizatora. Povećavanje dostupnosti knjige te promicanje kulture čitanja. </w:t>
      </w:r>
    </w:p>
    <w:p w:rsidR="00AC0832" w:rsidRDefault="00AC0832">
      <w:pPr>
        <w:pStyle w:val="Normal6"/>
      </w:pPr>
      <w:r>
        <w:t xml:space="preserve">Povećanje broja kvalitetnih sufinanciranih prijevoda djela hrvatskih pisaca kod inozemnih nakladnika, što će biti jasan indikator porasta zanimanja za hrvatsku književnu produkciju te osnaživanja njezina statusa na međunarodnome književnom i knjižnom tržištu. Pojačanom participacijom olakšava se promidžba hrvatske književnosti, izgrađuje hrvatski kulturni proizvod i poboljšava njiihova percepcija, odnosno recepcija. </w:t>
      </w:r>
    </w:p>
    <w:p w:rsidR="00AC0832" w:rsidRDefault="00AC0832">
      <w:pPr>
        <w:pStyle w:val="Normal6"/>
      </w:pPr>
      <w:r>
        <w:t>Povećanje broja razmjene domaćih i stranih književnika i prevoditelja, što pridonosi jačanju međunarodne suradnje na području kulture.</w:t>
      </w:r>
    </w:p>
    <w:p w:rsidR="00AC0832" w:rsidRDefault="00AC0832">
      <w:pPr>
        <w:pStyle w:val="Heading7"/>
      </w:pPr>
      <w:r>
        <w:t>Cilj 3. Potpora razvoju knjižničnih usluga i zadovoljavanju potreba korisnika</w:t>
      </w:r>
    </w:p>
    <w:p w:rsidR="00AC0832" w:rsidRDefault="00AC0832">
      <w:pPr>
        <w:pStyle w:val="Heading8"/>
        <w:jc w:val="left"/>
      </w:pPr>
      <w:r>
        <w:t>Opis provedbe cilja programa</w:t>
      </w:r>
    </w:p>
    <w:p w:rsidR="00AC0832" w:rsidRDefault="00AC0832">
      <w:pPr>
        <w:pStyle w:val="Normal6"/>
      </w:pPr>
      <w:r>
        <w:t xml:space="preserve">- Širenje mreže narodnih knjižnica na sve općine i gradove u Republici Hrvatskoj kao presudni korak u provedbi decentralizacije kulturnog života. Iako su narodne knjižnice u isključivoj ingerenciji lokalne samouprave, Ministarstvo kulture u ovoj djelatnosti ima poticajnu ulogu koja je često odlučujuća u prevladavanju zapreka nedostatnih financijskih mogućnosti općina i gradova. </w:t>
      </w:r>
    </w:p>
    <w:p w:rsidR="00AC0832" w:rsidRDefault="00AC0832">
      <w:pPr>
        <w:pStyle w:val="Normal6"/>
      </w:pPr>
      <w:r>
        <w:t xml:space="preserve">- Povećanje i usklađenje s lokalnom zajednicom potporu osnivanju narodnih knjižnica u svim općinama i gradovima, izgradnju inicijalnih knjižničnih fondova, ali i popunjavati i obnavljati  knjižnične fondove postojećih narodnih knjižnica uz uvođenje i noveliranje knjižničnih usluga, u skladu s potrebama korisnika( uključujući osobe s posebnim potrebama) i držanja koraka s razvijenim knjižničnim sustavima u svijetu. </w:t>
      </w:r>
    </w:p>
    <w:p w:rsidR="00AC0832" w:rsidRDefault="00AC0832">
      <w:pPr>
        <w:pStyle w:val="Normal6"/>
      </w:pPr>
      <w:r>
        <w:t xml:space="preserve">- Povećanje broja kvalitetnih manifestacija i skupova u knjižnicama i stručnim knjižničarskim i čitateljskim udrugama pridonoseći tako povećanju interesa javnosti za čitanje, za knjižnice kao prostor učenja i demokracije i dostupnosti knjige i informacija svim građanima Republike Hrvatske. </w:t>
      </w:r>
    </w:p>
    <w:p w:rsidR="00AC0832" w:rsidRDefault="00AC0832">
      <w:pPr>
        <w:pStyle w:val="Normal6"/>
      </w:pPr>
      <w:r>
        <w:t>- Podupiranje obrazovanja i trajno učenje knjižničara te nacionalnih knjižničarskih projekata.</w:t>
      </w:r>
    </w:p>
    <w:p w:rsidR="00AC0832" w:rsidRDefault="00AC0832">
      <w:pPr>
        <w:pStyle w:val="Heading6"/>
      </w:pPr>
      <w:r>
        <w:t>A781002 KNJIŽEVNO IZDAVAŠTVO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A781002-KNJIŽEVNO IZDAVAŠTVO</w:t>
            </w:r>
          </w:p>
        </w:tc>
        <w:tc>
          <w:tcPr>
            <w:tcW w:w="2322" w:type="dxa"/>
          </w:tcPr>
          <w:p w:rsidR="00AC0832" w:rsidRDefault="00AC0832">
            <w:pPr>
              <w:pStyle w:val="CellColumn"/>
            </w:pPr>
            <w:r>
              <w:t>29.500.000</w:t>
            </w:r>
          </w:p>
        </w:tc>
        <w:tc>
          <w:tcPr>
            <w:tcW w:w="2322" w:type="dxa"/>
          </w:tcPr>
          <w:p w:rsidR="00AC0832" w:rsidRDefault="00AC0832">
            <w:pPr>
              <w:pStyle w:val="CellColumn"/>
            </w:pPr>
            <w:r>
              <w:t>29.469.518</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Potpora izdavanju knjiga </w:t>
      </w:r>
    </w:p>
    <w:p w:rsidR="00AC0832" w:rsidRDefault="00AC0832">
      <w:pPr>
        <w:pStyle w:val="Normal6"/>
      </w:pPr>
      <w:r>
        <w:t xml:space="preserve">Otkup knjiga za narodne knjižnice </w:t>
      </w:r>
    </w:p>
    <w:p w:rsidR="00AC0832" w:rsidRDefault="00AC0832">
      <w:pPr>
        <w:pStyle w:val="Normal6"/>
      </w:pPr>
      <w:r>
        <w:t xml:space="preserve">Potpora za poticanje književnog stvaralaštva </w:t>
      </w:r>
    </w:p>
    <w:p w:rsidR="00AC0832" w:rsidRDefault="00AC0832">
      <w:pPr>
        <w:pStyle w:val="Normal6"/>
      </w:pPr>
      <w:r>
        <w:t xml:space="preserve">Potpora časopisima i elektroničkim izdanjima </w:t>
      </w:r>
    </w:p>
    <w:p w:rsidR="00AC0832" w:rsidRDefault="00AC0832">
      <w:pPr>
        <w:pStyle w:val="Normal6"/>
      </w:pPr>
      <w:r>
        <w:t xml:space="preserve">Potpora književnim manifestacijama </w:t>
      </w:r>
    </w:p>
    <w:p w:rsidR="00AC0832" w:rsidRDefault="00AC0832">
      <w:pPr>
        <w:pStyle w:val="Normal6"/>
      </w:pPr>
      <w:r>
        <w:t xml:space="preserve">Potpora književnim programima knjižara </w:t>
      </w:r>
    </w:p>
    <w:p w:rsidR="00AC0832" w:rsidRDefault="00AC0832">
      <w:pPr>
        <w:pStyle w:val="Normal6"/>
      </w:pPr>
      <w:r>
        <w:t xml:space="preserve">Potpora programima razmjene pisaca </w:t>
      </w:r>
    </w:p>
    <w:p w:rsidR="00AC0832" w:rsidRDefault="00AC0832">
      <w:pPr>
        <w:pStyle w:val="Normal6"/>
      </w:pPr>
      <w:r>
        <w:t>U 2012. godini nije bilo odstupanja od plana.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328"/>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objavljenih vrijednih naslova u okviru programa potpore izdavanju knjiga i književnog stvaralaštva</w:t>
            </w:r>
          </w:p>
        </w:tc>
        <w:tc>
          <w:tcPr>
            <w:tcW w:w="1300" w:type="dxa"/>
          </w:tcPr>
          <w:p w:rsidR="00AC0832" w:rsidRDefault="00AC0832">
            <w:pPr>
              <w:pStyle w:val="CellColumn"/>
            </w:pPr>
            <w:r>
              <w:t>Povećanjem broja objavljenih vrijednih naslova omogućit će se približavanje književno-umjetničkih djela širokoj publici te na taj način afirmirati književnost kao vodeću granu kulturne produkcije</w:t>
            </w:r>
          </w:p>
        </w:tc>
        <w:tc>
          <w:tcPr>
            <w:tcW w:w="1300" w:type="dxa"/>
          </w:tcPr>
          <w:p w:rsidR="00AC0832" w:rsidRDefault="00AC0832">
            <w:pPr>
              <w:pStyle w:val="CellColumn"/>
            </w:pPr>
            <w:r>
              <w:t>%</w:t>
            </w:r>
          </w:p>
        </w:tc>
        <w:tc>
          <w:tcPr>
            <w:tcW w:w="1300" w:type="dxa"/>
          </w:tcPr>
          <w:p w:rsidR="00AC0832" w:rsidRDefault="00AC0832">
            <w:pPr>
              <w:pStyle w:val="CellColumn"/>
            </w:pPr>
            <w:r>
              <w:t>70</w:t>
            </w:r>
          </w:p>
        </w:tc>
        <w:tc>
          <w:tcPr>
            <w:tcW w:w="1300" w:type="dxa"/>
          </w:tcPr>
          <w:p w:rsidR="00AC0832" w:rsidRDefault="00AC0832">
            <w:pPr>
              <w:pStyle w:val="CellColumn"/>
            </w:pPr>
            <w:r>
              <w:t>MK</w:t>
            </w:r>
          </w:p>
        </w:tc>
        <w:tc>
          <w:tcPr>
            <w:tcW w:w="1300" w:type="dxa"/>
          </w:tcPr>
          <w:p w:rsidR="00AC0832" w:rsidRDefault="00AC0832">
            <w:pPr>
              <w:pStyle w:val="CellColumn"/>
            </w:pPr>
            <w:r>
              <w:t>72</w:t>
            </w:r>
          </w:p>
        </w:tc>
        <w:tc>
          <w:tcPr>
            <w:tcW w:w="1300" w:type="dxa"/>
          </w:tcPr>
          <w:p w:rsidR="00AC0832" w:rsidRDefault="00AC0832">
            <w:pPr>
              <w:pStyle w:val="CellColumn"/>
            </w:pPr>
            <w:r>
              <w:t>72</w:t>
            </w:r>
          </w:p>
        </w:tc>
      </w:tr>
      <w:tr w:rsidR="00AC0832" w:rsidTr="00BE20ED">
        <w:trPr>
          <w:jc w:val="center"/>
        </w:trPr>
        <w:tc>
          <w:tcPr>
            <w:tcW w:w="1300" w:type="dxa"/>
          </w:tcPr>
          <w:p w:rsidR="00AC0832" w:rsidRDefault="00AC0832">
            <w:pPr>
              <w:pStyle w:val="CellColumn"/>
            </w:pPr>
            <w:r>
              <w:t>Povećanje dostupnosti vrijednih djela hrvatske i svjetske književnosti čitateljstvu</w:t>
            </w:r>
          </w:p>
        </w:tc>
        <w:tc>
          <w:tcPr>
            <w:tcW w:w="1300" w:type="dxa"/>
          </w:tcPr>
          <w:p w:rsidR="00AC0832" w:rsidRDefault="00AC0832">
            <w:pPr>
              <w:pStyle w:val="CellColumn"/>
            </w:pPr>
            <w:r>
              <w:t>Povećanjem broja otkupljenih naslova kapitalnih djela hrvatske i svjetske književnosti u većem broju primjeraka omogućit će se njihova dostupnost podjednako svim građanima RH bez obzira na mjesto stanovanja</w:t>
            </w:r>
          </w:p>
        </w:tc>
        <w:tc>
          <w:tcPr>
            <w:tcW w:w="1300" w:type="dxa"/>
          </w:tcPr>
          <w:p w:rsidR="00AC0832" w:rsidRDefault="00AC0832">
            <w:pPr>
              <w:pStyle w:val="CellColumn"/>
            </w:pPr>
            <w:r>
              <w:t>Broj (prosječan)</w:t>
            </w:r>
          </w:p>
        </w:tc>
        <w:tc>
          <w:tcPr>
            <w:tcW w:w="1300" w:type="dxa"/>
          </w:tcPr>
          <w:p w:rsidR="00AC0832" w:rsidRDefault="00AC0832">
            <w:pPr>
              <w:pStyle w:val="CellColumn"/>
            </w:pPr>
            <w:r>
              <w:t>70</w:t>
            </w:r>
          </w:p>
        </w:tc>
        <w:tc>
          <w:tcPr>
            <w:tcW w:w="1300" w:type="dxa"/>
          </w:tcPr>
          <w:p w:rsidR="00AC0832" w:rsidRDefault="00AC0832">
            <w:pPr>
              <w:pStyle w:val="CellColumn"/>
            </w:pPr>
            <w:r>
              <w:t>MK</w:t>
            </w:r>
          </w:p>
        </w:tc>
        <w:tc>
          <w:tcPr>
            <w:tcW w:w="1300" w:type="dxa"/>
          </w:tcPr>
          <w:p w:rsidR="00AC0832" w:rsidRDefault="00AC0832">
            <w:pPr>
              <w:pStyle w:val="CellColumn"/>
            </w:pPr>
            <w:r>
              <w:t>72</w:t>
            </w:r>
          </w:p>
        </w:tc>
        <w:tc>
          <w:tcPr>
            <w:tcW w:w="1300" w:type="dxa"/>
          </w:tcPr>
          <w:p w:rsidR="00AC0832" w:rsidRDefault="00AC0832">
            <w:pPr>
              <w:pStyle w:val="CellColumn"/>
            </w:pPr>
            <w:r>
              <w:t>72</w:t>
            </w:r>
          </w:p>
        </w:tc>
      </w:tr>
      <w:tr w:rsidR="00AC0832" w:rsidTr="00BE20ED">
        <w:trPr>
          <w:jc w:val="center"/>
        </w:trPr>
        <w:tc>
          <w:tcPr>
            <w:tcW w:w="1300" w:type="dxa"/>
          </w:tcPr>
          <w:p w:rsidR="00AC0832" w:rsidRDefault="00AC0832">
            <w:pPr>
              <w:pStyle w:val="CellColumn"/>
            </w:pPr>
            <w:r>
              <w:t>Povećanje broja elektroničkih publikacija čiji sadržaj većim dijelom obuhvaća područje kulture</w:t>
            </w:r>
          </w:p>
        </w:tc>
        <w:tc>
          <w:tcPr>
            <w:tcW w:w="1300" w:type="dxa"/>
          </w:tcPr>
          <w:p w:rsidR="00AC0832" w:rsidRDefault="00AC0832">
            <w:pPr>
              <w:pStyle w:val="CellColumn"/>
            </w:pPr>
            <w:r>
              <w:t>Povećanjem broja elektroničkih publikacija koje pokrivaju područje kulture omogućit će se brža i dostupnija razmjena informacija iz područja kulture</w:t>
            </w:r>
          </w:p>
        </w:tc>
        <w:tc>
          <w:tcPr>
            <w:tcW w:w="1300" w:type="dxa"/>
          </w:tcPr>
          <w:p w:rsidR="00AC0832" w:rsidRDefault="00AC0832">
            <w:pPr>
              <w:pStyle w:val="CellColumn"/>
            </w:pPr>
            <w:r>
              <w:t>Broj</w:t>
            </w:r>
          </w:p>
        </w:tc>
        <w:tc>
          <w:tcPr>
            <w:tcW w:w="1300" w:type="dxa"/>
          </w:tcPr>
          <w:p w:rsidR="00AC0832" w:rsidRDefault="00AC0832">
            <w:pPr>
              <w:pStyle w:val="CellColumn"/>
            </w:pPr>
            <w:r>
              <w:t>7</w:t>
            </w:r>
          </w:p>
        </w:tc>
        <w:tc>
          <w:tcPr>
            <w:tcW w:w="1300" w:type="dxa"/>
          </w:tcPr>
          <w:p w:rsidR="00AC0832" w:rsidRDefault="00AC0832">
            <w:pPr>
              <w:pStyle w:val="CellColumn"/>
            </w:pPr>
            <w:r>
              <w:t>MK</w:t>
            </w:r>
          </w:p>
        </w:tc>
        <w:tc>
          <w:tcPr>
            <w:tcW w:w="1300" w:type="dxa"/>
          </w:tcPr>
          <w:p w:rsidR="00AC0832" w:rsidRDefault="00AC0832">
            <w:pPr>
              <w:pStyle w:val="CellColumn"/>
            </w:pPr>
            <w:r>
              <w:t>9</w:t>
            </w:r>
          </w:p>
        </w:tc>
        <w:tc>
          <w:tcPr>
            <w:tcW w:w="1300" w:type="dxa"/>
          </w:tcPr>
          <w:p w:rsidR="00AC0832" w:rsidRDefault="00AC0832">
            <w:pPr>
              <w:pStyle w:val="CellColumn"/>
            </w:pPr>
            <w:r>
              <w:t>9</w:t>
            </w:r>
          </w:p>
        </w:tc>
      </w:tr>
    </w:tbl>
    <w:p w:rsidR="00AC0832" w:rsidRDefault="00AC0832">
      <w:pPr>
        <w:jc w:val="left"/>
      </w:pPr>
    </w:p>
    <w:p w:rsidR="00AC0832" w:rsidRDefault="00AC0832">
      <w:pPr>
        <w:pStyle w:val="Heading6"/>
      </w:pPr>
      <w:r>
        <w:t>A784002 MATIČNE SLUŽBE KNJIŽNICA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A784002-MATIČNE SLUŽBE KNJIŽNICA</w:t>
            </w:r>
          </w:p>
        </w:tc>
        <w:tc>
          <w:tcPr>
            <w:tcW w:w="2322" w:type="dxa"/>
          </w:tcPr>
          <w:p w:rsidR="00AC0832" w:rsidRDefault="00AC0832">
            <w:pPr>
              <w:pStyle w:val="CellColumn"/>
            </w:pPr>
            <w:r>
              <w:t>5.200.000</w:t>
            </w:r>
          </w:p>
        </w:tc>
        <w:tc>
          <w:tcPr>
            <w:tcW w:w="2322" w:type="dxa"/>
          </w:tcPr>
          <w:p w:rsidR="00AC0832" w:rsidRDefault="00AC0832">
            <w:pPr>
              <w:pStyle w:val="CellColumn"/>
            </w:pPr>
            <w:r>
              <w:t>5.199.714</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Potpora radu 20 županijskih matičnih službi u funkciji njihove temeljne i razvojne djelatnosti na unapređenju knjižnične djelatnosti u RH. U svih 20 županijskih matičnih službi financira se po jednog djelatnika - voditelja županijske matične službe te materijalnih rashoda za tog djelatnika. </w:t>
      </w:r>
    </w:p>
    <w:p w:rsidR="00AC0832" w:rsidRDefault="00AC0832">
      <w:pPr>
        <w:pStyle w:val="Normal6"/>
      </w:pPr>
      <w:r>
        <w:t xml:space="preserve">Potpora programima središnjih knjižnica nacionalnih manjina (devet knjižnica - i osnivanje nove knjižnice u Sisku - središnje knjižnice Bošnjaka). </w:t>
      </w:r>
    </w:p>
    <w:p w:rsidR="00AC0832" w:rsidRDefault="00AC0832">
      <w:pPr>
        <w:pStyle w:val="Normal6"/>
      </w:pPr>
      <w:r>
        <w:t>U 2012. godini nije bilo odstupanja od plana.</w:t>
      </w:r>
    </w:p>
    <w:p w:rsidR="00AC0832" w:rsidRDefault="00AC0832">
      <w:pPr>
        <w:pStyle w:val="Heading5"/>
      </w:pPr>
      <w:r>
        <w:t>3906 PROGRAMI AUDIO VIZUALNE DJELATNOSTI I MEDIJA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3906-PROGRAMI AUDIO VIZUALNE DJELATNOSTI I MEDIJA</w:t>
            </w:r>
          </w:p>
        </w:tc>
        <w:tc>
          <w:tcPr>
            <w:tcW w:w="2322" w:type="dxa"/>
          </w:tcPr>
          <w:p w:rsidR="00AC0832" w:rsidRDefault="00AC0832">
            <w:pPr>
              <w:pStyle w:val="CellColumn"/>
            </w:pPr>
            <w:r>
              <w:t>36.279.720</w:t>
            </w:r>
          </w:p>
        </w:tc>
        <w:tc>
          <w:tcPr>
            <w:tcW w:w="2322" w:type="dxa"/>
          </w:tcPr>
          <w:p w:rsidR="00AC0832" w:rsidRDefault="00AC0832">
            <w:pPr>
              <w:pStyle w:val="CellColumn"/>
            </w:pPr>
            <w:r>
              <w:t>36.279.720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Programi audiovizualne djelatnosti i medija u glavi Ministarstva kulture obuhvaćaju informativne usluge  </w:t>
      </w:r>
    </w:p>
    <w:p w:rsidR="00AC0832" w:rsidRDefault="00AC0832">
      <w:pPr>
        <w:pStyle w:val="Normal5"/>
      </w:pPr>
      <w:r>
        <w:t>Hrvatske izvještajne novinske agencije (HINA), međunarodni program Hrvatskog radija „Glas Hrvatske“, satelitski TV programa za Sjevernu Ameriku i program potpore izdavačkoj kući Edit.</w:t>
      </w:r>
    </w:p>
    <w:p w:rsidR="00AC0832" w:rsidRDefault="00AC0832">
      <w:pPr>
        <w:pStyle w:val="Heading6"/>
      </w:pPr>
      <w:r>
        <w:t>Zakonske i druge pravne osnove</w:t>
      </w:r>
    </w:p>
    <w:p w:rsidR="00AC0832" w:rsidRDefault="00AC0832">
      <w:pPr>
        <w:pStyle w:val="Heading7"/>
      </w:pPr>
      <w:r>
        <w:t>Cilj 1. Razvoj informiranja domaće i tuđe javnosti, Hrvata u svijetu te nacionalnih manjina</w:t>
      </w:r>
    </w:p>
    <w:p w:rsidR="00AC0832" w:rsidRDefault="00AC0832">
      <w:pPr>
        <w:pStyle w:val="Heading8"/>
        <w:jc w:val="left"/>
      </w:pPr>
      <w:r>
        <w:t>Opis provedbe cilja programa</w:t>
      </w:r>
    </w:p>
    <w:p w:rsidR="00AC0832" w:rsidRDefault="00AC0832">
      <w:pPr>
        <w:pStyle w:val="Normal6"/>
      </w:pPr>
      <w:r>
        <w:t>Razvoj informiranja domaće i tuđe javnosti, Hrvata u svijetu te nacionalnih manjina ostvaruje se putem Hrvatske izvještajne novinske agencije (HINA), Međunarodnog glasa Hrvatskog radija "Glas Hrvatske", Satelitskog TV programa za Sjevernu Ameriku te potporom izdavačkoj kući Edit.</w:t>
      </w:r>
    </w:p>
    <w:p w:rsidR="00AC0832" w:rsidRDefault="00AC0832">
      <w:pPr>
        <w:pStyle w:val="Heading6"/>
      </w:pPr>
      <w:r>
        <w:t>A565012 INFORMATIVNE USLUGE HINA-i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A565012-INFORMATIVNE USLUGE HINA-i</w:t>
            </w:r>
          </w:p>
        </w:tc>
        <w:tc>
          <w:tcPr>
            <w:tcW w:w="2322" w:type="dxa"/>
          </w:tcPr>
          <w:p w:rsidR="00AC0832" w:rsidRDefault="00AC0832">
            <w:pPr>
              <w:pStyle w:val="CellColumn"/>
            </w:pPr>
            <w:r>
              <w:t>21.679.720</w:t>
            </w:r>
          </w:p>
        </w:tc>
        <w:tc>
          <w:tcPr>
            <w:tcW w:w="2322" w:type="dxa"/>
          </w:tcPr>
          <w:p w:rsidR="00AC0832" w:rsidRDefault="00AC0832">
            <w:pPr>
              <w:pStyle w:val="CellColumn"/>
            </w:pPr>
            <w:r>
              <w:t>21.679.720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Prikupljanje i razašiljanje što potpunijih činjeničnih i objektivnih novinsko - agencijskih informacija o zbivanjima u Republici Hrvatskoj i svijetu za potrebe medija i drugih sudionika društvenog, političkog, kulturnog i gospodarskog života. </w:t>
      </w:r>
    </w:p>
    <w:p w:rsidR="00AC0832" w:rsidRDefault="00AC0832">
      <w:pPr>
        <w:pStyle w:val="Normal6"/>
      </w:pPr>
      <w:r>
        <w:t>U 2012. godini rashodi odgoavaraju planskim sredstvima što znači da nije bilo odstupanja.</w:t>
      </w:r>
    </w:p>
    <w:p w:rsidR="00AC0832" w:rsidRDefault="00AC0832">
      <w:pPr>
        <w:pStyle w:val="Heading6"/>
      </w:pPr>
      <w:r>
        <w:t>A565026 MEĐUNARODNI PROGRAM HRVATSKOG RADIJA "GLAS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A565026-MEĐUNARODNI PROGRAM HRVATSKOG RADIJA "GLAS HRVATSKE"</w:t>
            </w:r>
          </w:p>
        </w:tc>
        <w:tc>
          <w:tcPr>
            <w:tcW w:w="2322" w:type="dxa"/>
          </w:tcPr>
          <w:p w:rsidR="00AC0832" w:rsidRDefault="00AC0832">
            <w:pPr>
              <w:pStyle w:val="CellColumn"/>
            </w:pPr>
            <w:r>
              <w:t>10.000.000</w:t>
            </w:r>
          </w:p>
        </w:tc>
        <w:tc>
          <w:tcPr>
            <w:tcW w:w="2322" w:type="dxa"/>
          </w:tcPr>
          <w:p w:rsidR="00AC0832" w:rsidRDefault="00AC0832">
            <w:pPr>
              <w:pStyle w:val="CellColumn"/>
            </w:pPr>
            <w:r>
              <w:t>10.000.000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„Glas Hrvatske" je dvadeset i četiri satni međunarodni program Hrvatskoga radija namijenjen informiranju hrvatskih iseljenika, nacionalnih manjina u Hrvatskoj i međunarodne javnosti. Program izvještava o aktualnim društvenim i političkim zbivanjima u domovini - o hrvatskoj baštini, zbivanjima u kulturi te prenosi najvažnije športske događaje. Sadrži odabir emisija iz produkcije triju nacionalnih programa i osam regionalnih - Dubrovnika, Knina, Osijeka, Pule, Rijeke, Splita, Zadra i Radio Sljemena, pa se tako mogu čuti emisije koje, svaka na svoj način, karakteriziraju određeno podneblje u Hrvatskoj. Osim toga osnovane su i redakcije koje na dan proizvode do 6 sati novoga govornog programa. U 2012. godini nije bilo odstupanja od plana.</w:t>
      </w:r>
    </w:p>
    <w:p w:rsidR="00AC0832" w:rsidRDefault="00AC0832">
      <w:pPr>
        <w:pStyle w:val="Heading6"/>
      </w:pPr>
      <w:r>
        <w:t>A570036 SATELITSKI TV PROGRAM ZA SJEVERNU AMERIKU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A570036-SATELITSKI TV PROGRAM ZA SJEVERNU AMERIKU</w:t>
            </w:r>
          </w:p>
        </w:tc>
        <w:tc>
          <w:tcPr>
            <w:tcW w:w="2322" w:type="dxa"/>
          </w:tcPr>
          <w:p w:rsidR="00AC0832" w:rsidRDefault="00AC0832">
            <w:pPr>
              <w:pStyle w:val="CellColumn"/>
            </w:pPr>
            <w:r>
              <w:t>3.300.000</w:t>
            </w:r>
          </w:p>
        </w:tc>
        <w:tc>
          <w:tcPr>
            <w:tcW w:w="2322" w:type="dxa"/>
          </w:tcPr>
          <w:p w:rsidR="00AC0832" w:rsidRDefault="00AC0832">
            <w:pPr>
              <w:pStyle w:val="CellColumn"/>
            </w:pPr>
            <w:r>
              <w:t>3.300.000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Slika Hrvatske program je Hrvatske radiotelevizije, koji prenosi televizija Sjeverne Amerike. Slika Hrvatske nudi informacije o hrvatskoj povijesti, kulturi i naslijeđu te vijesti i zabavne programe koji zanimaju Hrvate u inozemstvu. Program se sastoji od osmosatnog bloka izvornog programa koji se prikazuje od 20:00h do 04:00h (ET) (17:00h do 01:00h PT (pacifičko vrijeme)), nakon kojega slijede dvije reprize prvoga osmosatnog bloka. Slika Hrvatske nudi američkim gledateljima najnoviji dnevni program koji se prikazuje i u Hrvatskoj, uključujući 30-minutnu informativnu emisiju TV DNEVNIK kako bi ostali u toku s tekućim zbivanjima u Hrvatskoj i svijetu. U 2012. godini nije bilo odstupanja od plana.</w:t>
      </w:r>
    </w:p>
    <w:p w:rsidR="00AC0832" w:rsidRDefault="00AC0832">
      <w:pPr>
        <w:pStyle w:val="Heading6"/>
      </w:pPr>
      <w:r>
        <w:t>A729024 POTPORA IZDAVAČKOJ KUĆI EDIT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A729024-POTPORA IZDAVAČKOJ KUĆI EDIT</w:t>
            </w:r>
          </w:p>
        </w:tc>
        <w:tc>
          <w:tcPr>
            <w:tcW w:w="2322" w:type="dxa"/>
          </w:tcPr>
          <w:p w:rsidR="00AC0832" w:rsidRDefault="00AC0832">
            <w:pPr>
              <w:pStyle w:val="CellColumn"/>
            </w:pPr>
            <w:r>
              <w:t>1.300.000</w:t>
            </w:r>
          </w:p>
        </w:tc>
        <w:tc>
          <w:tcPr>
            <w:tcW w:w="2322" w:type="dxa"/>
          </w:tcPr>
          <w:p w:rsidR="00AC0832" w:rsidRDefault="00AC0832">
            <w:pPr>
              <w:pStyle w:val="CellColumn"/>
            </w:pPr>
            <w:r>
              <w:t>1.300.000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Novinsko-izdavačka ustanova – “EDIT” iz Rijeke je izdavačka kuća pripadnika talijanske manjine koji žive u Hrvatskoj i Sloveniji, a izdaje sljedeće tiskovine: - “LA VOCE DEL POPOLO” - dnevni list koji izlazi od 1945. godine i jedan je od šest dnevnih listova na talijanskom jeziku koji se tiska i distribuira van granica Italije. Svaki dan izlazi s novim informacijama na talijanskom jeziku; - “PANORAMA” - dvotjednik koji izlazi od 1952. godine i obrađuje široku lepezu tema vezanih, osim za manjinu, za sva društveno relevantna zbivanja; - “ARCOBALENO” - mjesečnik za djecu koji izlazi od 1949. godine i edukativnog je karaktera; - “LA BATTANA” - književna revija, izlazi od 1964. godine. U 2012. godini nije bilo odstupanja od plana.</w:t>
      </w:r>
    </w:p>
    <w:p w:rsidR="00AC0832" w:rsidRDefault="00AC0832">
      <w:pPr>
        <w:pStyle w:val="Heading5"/>
      </w:pPr>
      <w:r>
        <w:t>3907 OSTALE DJELATNOSTI KULTURE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3907-OSTALE DJELATNOSTI KULTURE</w:t>
            </w:r>
          </w:p>
        </w:tc>
        <w:tc>
          <w:tcPr>
            <w:tcW w:w="2322" w:type="dxa"/>
          </w:tcPr>
          <w:p w:rsidR="00AC0832" w:rsidRDefault="00AC0832">
            <w:pPr>
              <w:pStyle w:val="CellColumn"/>
            </w:pPr>
            <w:r>
              <w:t>101.162.430</w:t>
            </w:r>
          </w:p>
        </w:tc>
        <w:tc>
          <w:tcPr>
            <w:tcW w:w="2322" w:type="dxa"/>
          </w:tcPr>
          <w:p w:rsidR="00AC0832" w:rsidRDefault="00AC0832">
            <w:pPr>
              <w:pStyle w:val="CellColumn"/>
            </w:pPr>
            <w:r>
              <w:t>100.425.629</w:t>
            </w:r>
          </w:p>
        </w:tc>
        <w:tc>
          <w:tcPr>
            <w:tcW w:w="2322" w:type="dxa"/>
          </w:tcPr>
          <w:p w:rsidR="00AC0832" w:rsidRDefault="00AC0832">
            <w:pPr>
              <w:pStyle w:val="CellColumn"/>
            </w:pPr>
            <w:r>
              <w:t>99,3</w:t>
            </w:r>
          </w:p>
        </w:tc>
      </w:tr>
    </w:tbl>
    <w:p w:rsidR="00AC0832" w:rsidRDefault="00AC0832">
      <w:pPr>
        <w:jc w:val="left"/>
      </w:pPr>
    </w:p>
    <w:p w:rsidR="00AC0832" w:rsidRDefault="00AC0832">
      <w:pPr>
        <w:pStyle w:val="Heading6"/>
      </w:pPr>
      <w:r>
        <w:t>Opis programa</w:t>
      </w:r>
    </w:p>
    <w:p w:rsidR="00AC0832" w:rsidRDefault="00AC0832">
      <w:pPr>
        <w:pStyle w:val="Normal5"/>
      </w:pPr>
      <w:r>
        <w:t>Sistemski program kulture pod nazivom Ostale djelatnosti kulture usmjeren je na unaprjeđenje razvoja svih segmenata suvremenog kulturnog i umjetničkog stvaralaštva (u riječi, slici, glazbi, plesu, kazalištu, filmu i drugim umjetničkim izričajima) u cjelini kulturnog ciklusa, kulturnog djelovanja i kulturnog života. Program obuhvaća sljedeće potprograme (opisane u njegovim ciljevima): (1) Potpora razvoju umjetničke djelatnosti, (2) Unapređenje programa poduzetništva u kulturi, (3) Razvoj kulturne infrastrukture i participacije u kulturnom životu, (4) Jačanje prisutnosti hrvatske umjetnosti i kulture u svijetu i (5) Potpora organizacijama civilnog društva i programima novih medijskih kultura. U 2012. godini nije bilo odstupanja od plana.</w:t>
      </w:r>
    </w:p>
    <w:p w:rsidR="00AC0832" w:rsidRDefault="00AC0832">
      <w:pPr>
        <w:pStyle w:val="Heading6"/>
      </w:pPr>
      <w:r>
        <w:t>Zakonske i druge pravne osnove</w:t>
      </w:r>
    </w:p>
    <w:p w:rsidR="00AC0832" w:rsidRDefault="00AC0832">
      <w:pPr>
        <w:pStyle w:val="Normal5"/>
      </w:pPr>
      <w:r>
        <w:t xml:space="preserve">- Zakon o financiranju javnih potreba u kulturi (NN 47/90  ,NN 27/93, NN 38/09)  </w:t>
      </w:r>
    </w:p>
    <w:p w:rsidR="00AC0832" w:rsidRDefault="00AC0832">
      <w:pPr>
        <w:pStyle w:val="Normal5"/>
      </w:pPr>
      <w:r>
        <w:t xml:space="preserve">- Zakon o kulturnim vijećima, 2004. (NN 48/04, NN 44/09) </w:t>
      </w:r>
    </w:p>
    <w:p w:rsidR="00AC0832" w:rsidRDefault="00AC0832">
      <w:pPr>
        <w:pStyle w:val="Normal5"/>
      </w:pPr>
      <w:r>
        <w:t xml:space="preserve">- Pravilnik o izboru i utvrđivanju programa javnih potreba u kulturi (NN 137/08, NN 57/09, 62/09) </w:t>
      </w:r>
    </w:p>
    <w:p w:rsidR="00AC0832" w:rsidRDefault="00AC0832">
      <w:pPr>
        <w:pStyle w:val="Normal5"/>
      </w:pPr>
      <w:r>
        <w:t xml:space="preserve">- Zakon o potvrđivanju Memoranduma o razumijevanju između Europske zajednice i Republike Hrvatske o sudjelovanju Republike Hrvatske u programu Kultura (od 2007. do 2013.) (NN-MU 7/07) </w:t>
      </w:r>
    </w:p>
    <w:p w:rsidR="00AC0832" w:rsidRDefault="00AC0832">
      <w:pPr>
        <w:pStyle w:val="Normal5"/>
      </w:pPr>
      <w:r>
        <w:t xml:space="preserve">- Pravilnik o kriterijima za sufinanciranje projekata odobrenih u okviru programa za kulturu Europske unije Kultura 2007.-2013. (NN 120/07) </w:t>
      </w:r>
    </w:p>
    <w:p w:rsidR="00AC0832" w:rsidRDefault="00AC0832">
      <w:pPr>
        <w:pStyle w:val="Normal5"/>
      </w:pPr>
      <w:r>
        <w:t xml:space="preserve">- Zakon o pravima samostalnih umjetnika i poticanju kulturnog i umjetničkog stvaralaštva (NN 43/96, NN 44/96 - Ispravak) </w:t>
      </w:r>
    </w:p>
    <w:p w:rsidR="00AC0832" w:rsidRDefault="00AC0832">
      <w:pPr>
        <w:pStyle w:val="Normal5"/>
      </w:pPr>
      <w:r>
        <w:t xml:space="preserve">- Pravilnik o postupku i uvjetima za priznavanje prava samostalnih umjetnika na uplatu doprinosa za mirovinsko i invalidsko te zdravstveno osiguranje iz sredstava proračuna Republike Hrvatske (NN 119/04)  </w:t>
      </w:r>
    </w:p>
    <w:p w:rsidR="00AC0832" w:rsidRDefault="00AC0832">
      <w:pPr>
        <w:pStyle w:val="Normal5"/>
      </w:pPr>
      <w:r>
        <w:t>- Zakon o 'Nagradi Vladimir Nazor' (NN 27/91)</w:t>
      </w:r>
    </w:p>
    <w:p w:rsidR="00AC0832" w:rsidRDefault="00AC0832">
      <w:pPr>
        <w:pStyle w:val="Heading7"/>
      </w:pPr>
      <w:r>
        <w:t>Cilj 1. Potpora razvoju umjetničke djelatnosti</w:t>
      </w:r>
    </w:p>
    <w:p w:rsidR="00AC0832" w:rsidRDefault="00AC0832">
      <w:pPr>
        <w:pStyle w:val="Heading8"/>
        <w:jc w:val="left"/>
      </w:pPr>
      <w:r>
        <w:t>Opis provedbe cilja programa</w:t>
      </w:r>
    </w:p>
    <w:p w:rsidR="00AC0832" w:rsidRDefault="00AC0832">
      <w:pPr>
        <w:pStyle w:val="Normal6"/>
      </w:pPr>
      <w:r>
        <w:t>U Republici Hrvatskoj preko tisuću umjetnika u 2012. godini ima status samostalnih umjetnika iz područja likovnog, glazbenog, scenskog, književnog i filmskog stvaralaštva. Sustav samozapošljavanja samostalnih umjetnika koji se potiče i pomaže uplatama doprinosa za mirovinsko i zdravstveno osiguranje iz sredstava državnog proračuna postoji niz godina i pokazao se vrlo efikasnim jer se umjetnicima s obzirom na neredovitost priliva dohotka, s relativno malim sredstvima, osigurava minimalna materijalna osnovica za slobodno umjetničko stvaralaštvo i primjerenu umjetničku produkciju. Na temelju planiranih izmjena Zakona o pravima samostalnih umjetnika u narednom razdoblju očekuje se revidiranje kriterija za priznavanje prava na uplatu doprinosa uključujući potrebitih sredstava za doprinose umjetnicima koji ostvaruju izniman doprinos hrvatskoj kulturi i umjetnosti.</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528"/>
        <w:gridCol w:w="1288"/>
        <w:gridCol w:w="1296"/>
        <w:gridCol w:w="1291"/>
        <w:gridCol w:w="1292"/>
        <w:gridCol w:w="129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samostalnih umjetnika</w:t>
            </w:r>
          </w:p>
        </w:tc>
        <w:tc>
          <w:tcPr>
            <w:tcW w:w="1300" w:type="dxa"/>
          </w:tcPr>
          <w:p w:rsidR="00AC0832" w:rsidRDefault="00AC0832">
            <w:pPr>
              <w:pStyle w:val="CellColumn"/>
            </w:pPr>
            <w:r>
              <w:t>Povećanje broja samostalnih umjetnika iskazivat će stupanj potpore umjetničkoj djelatnosti</w:t>
            </w:r>
          </w:p>
        </w:tc>
        <w:tc>
          <w:tcPr>
            <w:tcW w:w="1300" w:type="dxa"/>
          </w:tcPr>
          <w:p w:rsidR="00AC0832" w:rsidRDefault="00AC0832">
            <w:pPr>
              <w:pStyle w:val="CellColumn"/>
            </w:pPr>
            <w:r>
              <w:t>Broj</w:t>
            </w:r>
          </w:p>
        </w:tc>
        <w:tc>
          <w:tcPr>
            <w:tcW w:w="1300" w:type="dxa"/>
          </w:tcPr>
          <w:p w:rsidR="00AC0832" w:rsidRDefault="00AC0832">
            <w:pPr>
              <w:pStyle w:val="CellColumn"/>
            </w:pPr>
            <w:r>
              <w:t>1316 (kumulativ)</w:t>
            </w:r>
          </w:p>
        </w:tc>
        <w:tc>
          <w:tcPr>
            <w:tcW w:w="1300" w:type="dxa"/>
          </w:tcPr>
          <w:p w:rsidR="00AC0832" w:rsidRDefault="00AC0832">
            <w:pPr>
              <w:pStyle w:val="CellColumn"/>
            </w:pPr>
            <w:r>
              <w:t>HZSU, MK</w:t>
            </w:r>
          </w:p>
        </w:tc>
        <w:tc>
          <w:tcPr>
            <w:tcW w:w="1300" w:type="dxa"/>
          </w:tcPr>
          <w:p w:rsidR="00AC0832" w:rsidRDefault="00AC0832">
            <w:pPr>
              <w:pStyle w:val="CellColumn"/>
            </w:pPr>
            <w:r>
              <w:t>1331</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Stabilan broj nagrada u kulturi i umjetnosti</w:t>
            </w:r>
          </w:p>
        </w:tc>
        <w:tc>
          <w:tcPr>
            <w:tcW w:w="1300" w:type="dxa"/>
          </w:tcPr>
          <w:p w:rsidR="00AC0832" w:rsidRDefault="00AC0832">
            <w:pPr>
              <w:pStyle w:val="CellColumn"/>
            </w:pPr>
            <w:r>
              <w:t>Osobita postignuća u kulturi i umjetničkom stvaralaštvu iskazivat će se kontinuiranim nagrađivanjem sveukupnog djela i iznimnih ostvarenja</w:t>
            </w:r>
          </w:p>
        </w:tc>
        <w:tc>
          <w:tcPr>
            <w:tcW w:w="1300" w:type="dxa"/>
          </w:tcPr>
          <w:p w:rsidR="00AC0832" w:rsidRDefault="00AC0832">
            <w:pPr>
              <w:pStyle w:val="CellColumn"/>
            </w:pPr>
            <w:r>
              <w:t>Broj</w:t>
            </w:r>
          </w:p>
        </w:tc>
        <w:tc>
          <w:tcPr>
            <w:tcW w:w="1300" w:type="dxa"/>
          </w:tcPr>
          <w:p w:rsidR="00AC0832" w:rsidRDefault="00AC0832">
            <w:pPr>
              <w:pStyle w:val="CellColumn"/>
            </w:pPr>
            <w:r>
              <w:t>16</w:t>
            </w:r>
          </w:p>
        </w:tc>
        <w:tc>
          <w:tcPr>
            <w:tcW w:w="1300" w:type="dxa"/>
          </w:tcPr>
          <w:p w:rsidR="00AC0832" w:rsidRDefault="00AC0832">
            <w:pPr>
              <w:pStyle w:val="CellColumn"/>
            </w:pPr>
            <w:r>
              <w:t>MK</w:t>
            </w:r>
          </w:p>
        </w:tc>
        <w:tc>
          <w:tcPr>
            <w:tcW w:w="1300" w:type="dxa"/>
          </w:tcPr>
          <w:p w:rsidR="00AC0832" w:rsidRDefault="00AC0832">
            <w:pPr>
              <w:pStyle w:val="CellColumn"/>
            </w:pPr>
            <w:r>
              <w:t>16</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7"/>
      </w:pPr>
      <w:r>
        <w:t>Cilj 2. Unapređenje programa poduzetništva u kulturi</w:t>
      </w:r>
    </w:p>
    <w:p w:rsidR="00AC0832" w:rsidRDefault="00AC0832">
      <w:pPr>
        <w:pStyle w:val="Heading8"/>
        <w:jc w:val="left"/>
      </w:pPr>
      <w:r>
        <w:t>Opis provedbe cilja programa</w:t>
      </w:r>
    </w:p>
    <w:p w:rsidR="00AC0832" w:rsidRDefault="00AC0832">
      <w:pPr>
        <w:pStyle w:val="Normal6"/>
      </w:pPr>
      <w:r>
        <w:t>Cilj Projekta je poticanje poduzetništva u kulturi, promicanje kulturnih industrija i poduzetničkih projekata na području glazbe i glazbeno-scenske umjetnosti, dramske umjetnosti, knjige i nakladništva, likovne umjetnosti, novih medijskih kultura, međunarodne kulturne suradnje i europskih integracija, kulturno-umjetničkog amaterizma, investicija, zaštite i očuvanja kulturnih dobara, muzejsko-galerijske te filmske djelatnosti. Korisnici su subjekti malog gospodarstva koji obavljaju djelatnosti u kulturi - obrti, mala i srednja trgovačka društva i zadruge, ustanove osim javnih ustanova, samostalni umjetnici, umjetničke organizacije i institucije u kulturi koje provode kulturne poduzetničke projekte temeljem Zakona o financiranju javnih potreba u kulturi</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1451"/>
        <w:gridCol w:w="1267"/>
        <w:gridCol w:w="1279"/>
        <w:gridCol w:w="1276"/>
        <w:gridCol w:w="1279"/>
        <w:gridCol w:w="128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Rast potpore programima poduzetništva u kulturi</w:t>
            </w:r>
          </w:p>
        </w:tc>
        <w:tc>
          <w:tcPr>
            <w:tcW w:w="1300" w:type="dxa"/>
          </w:tcPr>
          <w:p w:rsidR="00AC0832" w:rsidRDefault="00AC0832">
            <w:pPr>
              <w:pStyle w:val="CellColumn"/>
            </w:pPr>
            <w:r>
              <w:t>U cjelini programske potpore kulturnom razvitku rast će udio potpore programima poduzetništva u kulturi</w:t>
            </w:r>
          </w:p>
        </w:tc>
        <w:tc>
          <w:tcPr>
            <w:tcW w:w="1300" w:type="dxa"/>
          </w:tcPr>
          <w:p w:rsidR="00AC0832" w:rsidRDefault="00AC0832">
            <w:pPr>
              <w:pStyle w:val="CellColumn"/>
            </w:pPr>
            <w:r>
              <w:t>%</w:t>
            </w:r>
          </w:p>
        </w:tc>
        <w:tc>
          <w:tcPr>
            <w:tcW w:w="1300" w:type="dxa"/>
          </w:tcPr>
          <w:p w:rsidR="00AC0832" w:rsidRDefault="00AC0832">
            <w:pPr>
              <w:pStyle w:val="CellColumn"/>
            </w:pPr>
            <w:r>
              <w:t>1</w:t>
            </w:r>
          </w:p>
        </w:tc>
        <w:tc>
          <w:tcPr>
            <w:tcW w:w="1300" w:type="dxa"/>
          </w:tcPr>
          <w:p w:rsidR="00AC0832" w:rsidRDefault="00AC0832">
            <w:pPr>
              <w:pStyle w:val="CellColumn"/>
            </w:pPr>
            <w:r>
              <w:t>MK, MGRP</w:t>
            </w:r>
          </w:p>
        </w:tc>
        <w:tc>
          <w:tcPr>
            <w:tcW w:w="1300" w:type="dxa"/>
          </w:tcPr>
          <w:p w:rsidR="00AC0832" w:rsidRDefault="00AC0832">
            <w:pPr>
              <w:pStyle w:val="CellColumn"/>
            </w:pPr>
            <w:r>
              <w:t>1,5</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Rast prosječne pojedinačne potpore za projekt Poduzetnštvo u kulturi</w:t>
            </w:r>
          </w:p>
        </w:tc>
        <w:tc>
          <w:tcPr>
            <w:tcW w:w="1300" w:type="dxa"/>
          </w:tcPr>
          <w:p w:rsidR="00AC0832" w:rsidRDefault="00AC0832">
            <w:pPr>
              <w:pStyle w:val="CellColumn"/>
            </w:pPr>
            <w:r>
              <w:t>Rastom prosječne pojedinačne potpore smanjivat će se broj potpora u korist produktivnih programa</w:t>
            </w:r>
          </w:p>
        </w:tc>
        <w:tc>
          <w:tcPr>
            <w:tcW w:w="1300" w:type="dxa"/>
          </w:tcPr>
          <w:p w:rsidR="00AC0832" w:rsidRDefault="00AC0832">
            <w:pPr>
              <w:pStyle w:val="CellColumn"/>
            </w:pPr>
            <w:r>
              <w:t>%</w:t>
            </w:r>
          </w:p>
        </w:tc>
        <w:tc>
          <w:tcPr>
            <w:tcW w:w="1300" w:type="dxa"/>
          </w:tcPr>
          <w:p w:rsidR="00AC0832" w:rsidRDefault="00AC0832">
            <w:pPr>
              <w:pStyle w:val="CellColumn"/>
            </w:pPr>
            <w:r>
              <w:t>30</w:t>
            </w:r>
          </w:p>
        </w:tc>
        <w:tc>
          <w:tcPr>
            <w:tcW w:w="1300" w:type="dxa"/>
          </w:tcPr>
          <w:p w:rsidR="00AC0832" w:rsidRDefault="00AC0832">
            <w:pPr>
              <w:pStyle w:val="CellColumn"/>
            </w:pPr>
            <w:r>
              <w:t>MK</w:t>
            </w:r>
          </w:p>
        </w:tc>
        <w:tc>
          <w:tcPr>
            <w:tcW w:w="1300" w:type="dxa"/>
          </w:tcPr>
          <w:p w:rsidR="00AC0832" w:rsidRDefault="00AC0832">
            <w:pPr>
              <w:pStyle w:val="CellColumn"/>
            </w:pPr>
            <w:r>
              <w:t>45</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7"/>
      </w:pPr>
      <w:r>
        <w:t>Cilj 3. Razvoj kulturne infrastrukture i participacije u kulturnom životu</w:t>
      </w:r>
    </w:p>
    <w:p w:rsidR="00AC0832" w:rsidRDefault="00AC0832">
      <w:pPr>
        <w:pStyle w:val="Heading8"/>
        <w:jc w:val="left"/>
      </w:pPr>
      <w:r>
        <w:t>Opis provedbe cilja programa</w:t>
      </w:r>
    </w:p>
    <w:p w:rsidR="00AC0832" w:rsidRDefault="00AC0832">
      <w:pPr>
        <w:pStyle w:val="Normal6"/>
      </w:pPr>
      <w:r>
        <w:t>Decentralizirana kulturna infrastruktura suočena je s nedostatnim mogućnostima lokalnih zajednica za njezino optimalno održanje i razvoj. Programom potpore izgradnji, održavanju, informatizaciji i opremanju mreže kulturnih ustanova: narodnih knjižnica, centara i domova kulture, muzeja i galerija te kazališta i glazbeno-scenskih prostora na lokalnoj i regionalnoj razini osiguravaju se preduvjeti za rast kako kulturne potrošnje tako i aktivnu participaciju stanovništva u kulturnom životu na cijelom teritoriju Republike Hrvatske.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6"/>
        <w:gridCol w:w="1506"/>
        <w:gridCol w:w="1264"/>
        <w:gridCol w:w="1277"/>
        <w:gridCol w:w="1274"/>
        <w:gridCol w:w="1277"/>
        <w:gridCol w:w="128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Odnos investicijske potpore kulturnim ustanovana na državnoj i lokalnoj razini (narodne knjižnice i centri/domovi kulture, muzeji, kazališta)</w:t>
            </w:r>
          </w:p>
        </w:tc>
        <w:tc>
          <w:tcPr>
            <w:tcW w:w="1300" w:type="dxa"/>
          </w:tcPr>
          <w:p w:rsidR="00AC0832" w:rsidRDefault="00AC0832">
            <w:pPr>
              <w:pStyle w:val="CellColumn"/>
            </w:pPr>
            <w:r>
              <w:t>Postojeći odnos investicijske potpore kulturnim ustanovama na državnoj i lokalnoj razini je 40:60%. U narednom razdoblju težit će se ujednačavanju odnosa uz zadržavanje pokrivenosti investicijske potvore u svim županija u RH</w:t>
            </w:r>
          </w:p>
        </w:tc>
        <w:tc>
          <w:tcPr>
            <w:tcW w:w="1300" w:type="dxa"/>
          </w:tcPr>
          <w:p w:rsidR="00AC0832" w:rsidRDefault="00AC0832">
            <w:pPr>
              <w:pStyle w:val="CellColumn"/>
            </w:pPr>
            <w:r>
              <w:t>%</w:t>
            </w:r>
          </w:p>
        </w:tc>
        <w:tc>
          <w:tcPr>
            <w:tcW w:w="1300" w:type="dxa"/>
          </w:tcPr>
          <w:p w:rsidR="00AC0832" w:rsidRDefault="00AC0832">
            <w:pPr>
              <w:pStyle w:val="CellColumn"/>
            </w:pPr>
            <w:r>
              <w:t>40:60</w:t>
            </w:r>
          </w:p>
        </w:tc>
        <w:tc>
          <w:tcPr>
            <w:tcW w:w="1300" w:type="dxa"/>
          </w:tcPr>
          <w:p w:rsidR="00AC0832" w:rsidRDefault="00AC0832">
            <w:pPr>
              <w:pStyle w:val="CellColumn"/>
            </w:pPr>
            <w:r>
              <w:t>MK</w:t>
            </w:r>
          </w:p>
        </w:tc>
        <w:tc>
          <w:tcPr>
            <w:tcW w:w="1300" w:type="dxa"/>
          </w:tcPr>
          <w:p w:rsidR="00AC0832" w:rsidRDefault="00AC0832">
            <w:pPr>
              <w:pStyle w:val="CellColumn"/>
            </w:pPr>
            <w:r>
              <w:t>50:50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Rast potpore kulturnim programima organizacija civilnog društva</w:t>
            </w:r>
          </w:p>
        </w:tc>
        <w:tc>
          <w:tcPr>
            <w:tcW w:w="1300" w:type="dxa"/>
          </w:tcPr>
          <w:p w:rsidR="00AC0832" w:rsidRDefault="00AC0832">
            <w:pPr>
              <w:pStyle w:val="CellColumn"/>
            </w:pPr>
            <w:r>
              <w:t>U cjelini programske potpore kulturnom stvaralaštvu i proizvodnji rast će udio potpore programima organizacija civilnog društva</w:t>
            </w:r>
          </w:p>
        </w:tc>
        <w:tc>
          <w:tcPr>
            <w:tcW w:w="1300" w:type="dxa"/>
          </w:tcPr>
          <w:p w:rsidR="00AC0832" w:rsidRDefault="00AC0832">
            <w:pPr>
              <w:pStyle w:val="CellColumn"/>
            </w:pPr>
            <w:r>
              <w:t>%</w:t>
            </w:r>
          </w:p>
        </w:tc>
        <w:tc>
          <w:tcPr>
            <w:tcW w:w="1300" w:type="dxa"/>
          </w:tcPr>
          <w:p w:rsidR="00AC0832" w:rsidRDefault="00AC0832">
            <w:pPr>
              <w:pStyle w:val="CellColumn"/>
            </w:pPr>
            <w:r>
              <w:t>10</w:t>
            </w:r>
          </w:p>
        </w:tc>
        <w:tc>
          <w:tcPr>
            <w:tcW w:w="1300" w:type="dxa"/>
          </w:tcPr>
          <w:p w:rsidR="00AC0832" w:rsidRDefault="00AC0832">
            <w:pPr>
              <w:pStyle w:val="CellColumn"/>
            </w:pPr>
            <w:r>
              <w:t>MK</w:t>
            </w:r>
          </w:p>
        </w:tc>
        <w:tc>
          <w:tcPr>
            <w:tcW w:w="1300" w:type="dxa"/>
          </w:tcPr>
          <w:p w:rsidR="00AC0832" w:rsidRDefault="00AC0832">
            <w:pPr>
              <w:pStyle w:val="CellColumn"/>
            </w:pPr>
            <w:r>
              <w:t>12</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7"/>
      </w:pPr>
      <w:r>
        <w:t>Cilj 4. Jačanje prisutnosti hrvatske umjetnosti i kulture u svijetu</w:t>
      </w:r>
    </w:p>
    <w:p w:rsidR="00AC0832" w:rsidRDefault="00AC0832">
      <w:pPr>
        <w:pStyle w:val="Heading8"/>
        <w:jc w:val="left"/>
      </w:pPr>
      <w:r>
        <w:t>Opis provedbe cilja programa</w:t>
      </w:r>
    </w:p>
    <w:p w:rsidR="00AC0832" w:rsidRDefault="00AC0832">
      <w:pPr>
        <w:pStyle w:val="Normal6"/>
      </w:pPr>
      <w:r>
        <w:t>Jačanje aktivne međunarodne kulturne suradnje s državama članicama programa Europske unije u okviru programa Kultura 2007.–2013. odvijat će se pojačanim promoviranjem programa za potencijalne korisnike, tehničkom i financijskom pomoći projektima koji su dobili potporu Europske unije, suradnjom s projektnim partnerima i kulturnim kontaktnim točkama zemalja članica programa te Europskom komisijom i Izvršnom agencijom u Bruxellesu. Sklopljeni ugovori i programi bilateralne kulturne suradnje omogućit će šire predstavljanje hrvatske kulture u drugim zemljama kao i kulture drugih zemalja u Republici Hrvatskoj; poticat će se razvijanje izravne i kontinuirane suradnje i razmjene između ustanova i udruga, umjetnika i stručnjaka na svim područjima kulture i umjetnosti. Podupirat će se sudjelovanja umjetnika i kulturnih djelatnika u multilateralnim programima koji potiču razvoj interkulturnog dijaloga i kulturne raznolikosti u sklopu međunarodnih organizacija i asocijacija te nevladinih organizacija. Poticat će se i programi suradnje u sklopu regionalnih inicijativa i asocijacija naglašavajući specifičnost Republike Hrvatske kao srednjoeuropske i mediteranske zemlje.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5"/>
        <w:gridCol w:w="1450"/>
        <w:gridCol w:w="1267"/>
        <w:gridCol w:w="1268"/>
        <w:gridCol w:w="1263"/>
        <w:gridCol w:w="1268"/>
        <w:gridCol w:w="127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Rast sredstava iz programa EU Kultura 2007-2013 za projekte sa sudjelovanjem hrvatskih kulturnih organizacija</w:t>
            </w:r>
          </w:p>
        </w:tc>
        <w:tc>
          <w:tcPr>
            <w:tcW w:w="1300" w:type="dxa"/>
          </w:tcPr>
          <w:p w:rsidR="00AC0832" w:rsidRDefault="00AC0832">
            <w:pPr>
              <w:pStyle w:val="CellColumn"/>
            </w:pPr>
            <w:r>
              <w:t>Povećanje uspješnosti hrvatskih kulturnih organizacija u dobivanju potpore Europske unije u odnosu na uložena sredstva RH za članarinu radi sudjelovanja u programu Kultura 2007-2013</w:t>
            </w:r>
          </w:p>
        </w:tc>
        <w:tc>
          <w:tcPr>
            <w:tcW w:w="1300" w:type="dxa"/>
          </w:tcPr>
          <w:p w:rsidR="00AC0832" w:rsidRDefault="00AC0832">
            <w:pPr>
              <w:pStyle w:val="CellColumn"/>
            </w:pPr>
            <w:r>
              <w:t>EUR</w:t>
            </w:r>
          </w:p>
        </w:tc>
        <w:tc>
          <w:tcPr>
            <w:tcW w:w="1300" w:type="dxa"/>
          </w:tcPr>
          <w:p w:rsidR="00AC0832" w:rsidRDefault="00AC0832">
            <w:pPr>
              <w:pStyle w:val="CellColumn"/>
            </w:pPr>
            <w:r>
              <w:t>1,1 mil.</w:t>
            </w:r>
          </w:p>
        </w:tc>
        <w:tc>
          <w:tcPr>
            <w:tcW w:w="1300" w:type="dxa"/>
          </w:tcPr>
          <w:p w:rsidR="00AC0832" w:rsidRDefault="00AC0832">
            <w:pPr>
              <w:pStyle w:val="CellColumn"/>
            </w:pPr>
            <w:r>
              <w:t>MK</w:t>
            </w:r>
          </w:p>
        </w:tc>
        <w:tc>
          <w:tcPr>
            <w:tcW w:w="1300" w:type="dxa"/>
          </w:tcPr>
          <w:p w:rsidR="00AC0832" w:rsidRDefault="00AC0832">
            <w:pPr>
              <w:pStyle w:val="CellColumn"/>
            </w:pPr>
            <w:r>
              <w:t>1,3 mil.</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Broj i diversifikacija programa međunarodne kulturne suradnje</w:t>
            </w:r>
          </w:p>
        </w:tc>
        <w:tc>
          <w:tcPr>
            <w:tcW w:w="1300" w:type="dxa"/>
          </w:tcPr>
          <w:p w:rsidR="00AC0832" w:rsidRDefault="00AC0832">
            <w:pPr>
              <w:pStyle w:val="CellColumn"/>
            </w:pPr>
            <w:r>
              <w:t>Kontinuirano sudjelovanje hrvatskih umjetnika, institucija i organizacija u bilateralnim projektima te suradnju u okviru  multilateralnih organizacija i asocijacija te regionalnih inicijativa</w:t>
            </w:r>
          </w:p>
        </w:tc>
        <w:tc>
          <w:tcPr>
            <w:tcW w:w="1300" w:type="dxa"/>
          </w:tcPr>
          <w:p w:rsidR="00AC0832" w:rsidRDefault="00AC0832">
            <w:pPr>
              <w:pStyle w:val="CellColumn"/>
            </w:pPr>
            <w:r>
              <w:t>Broj programa</w:t>
            </w:r>
          </w:p>
        </w:tc>
        <w:tc>
          <w:tcPr>
            <w:tcW w:w="1300" w:type="dxa"/>
          </w:tcPr>
          <w:p w:rsidR="00AC0832" w:rsidRDefault="00AC0832">
            <w:pPr>
              <w:pStyle w:val="CellColumn"/>
            </w:pPr>
            <w:r>
              <w:t>615</w:t>
            </w:r>
          </w:p>
        </w:tc>
        <w:tc>
          <w:tcPr>
            <w:tcW w:w="1300" w:type="dxa"/>
          </w:tcPr>
          <w:p w:rsidR="00AC0832" w:rsidRDefault="00AC0832">
            <w:pPr>
              <w:pStyle w:val="CellColumn"/>
            </w:pPr>
            <w:r>
              <w:t>MK</w:t>
            </w:r>
          </w:p>
        </w:tc>
        <w:tc>
          <w:tcPr>
            <w:tcW w:w="1300" w:type="dxa"/>
          </w:tcPr>
          <w:p w:rsidR="00AC0832" w:rsidRDefault="00AC0832">
            <w:pPr>
              <w:pStyle w:val="CellColumn"/>
            </w:pPr>
            <w:r>
              <w:t>600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Povećanje broja hrvatskih dobara na UNESCO-vim popisima i kandidatura u programskim i radnim tijelima</w:t>
            </w:r>
          </w:p>
        </w:tc>
        <w:tc>
          <w:tcPr>
            <w:tcW w:w="1300" w:type="dxa"/>
          </w:tcPr>
          <w:p w:rsidR="00AC0832" w:rsidRDefault="00AC0832">
            <w:pPr>
              <w:pStyle w:val="CellColumn"/>
            </w:pPr>
            <w:r>
              <w:t>Povećanje broja hrvatskih dobara materijalne i nematerijalne baštine na UNESCO-vim popisima svjetske baštine te prisutnosti Hrvatske u programskim i radnim tijelima UNESCO-a</w:t>
            </w:r>
          </w:p>
        </w:tc>
        <w:tc>
          <w:tcPr>
            <w:tcW w:w="1300" w:type="dxa"/>
          </w:tcPr>
          <w:p w:rsidR="00AC0832" w:rsidRDefault="00AC0832">
            <w:pPr>
              <w:pStyle w:val="CellColumn"/>
            </w:pPr>
            <w:r>
              <w:t xml:space="preserve">Broj </w:t>
            </w:r>
          </w:p>
          <w:p w:rsidR="00AC0832" w:rsidRDefault="00AC0832">
            <w:pPr>
              <w:pStyle w:val="CellColumn"/>
            </w:pPr>
            <w:r>
              <w:t>dobara / tijela</w:t>
            </w:r>
          </w:p>
        </w:tc>
        <w:tc>
          <w:tcPr>
            <w:tcW w:w="1300" w:type="dxa"/>
          </w:tcPr>
          <w:p w:rsidR="00AC0832" w:rsidRDefault="00AC0832">
            <w:pPr>
              <w:pStyle w:val="CellColumn"/>
            </w:pPr>
            <w:r>
              <w:t>7/10</w:t>
            </w:r>
          </w:p>
        </w:tc>
        <w:tc>
          <w:tcPr>
            <w:tcW w:w="1300" w:type="dxa"/>
          </w:tcPr>
          <w:p w:rsidR="00AC0832" w:rsidRDefault="00AC0832">
            <w:pPr>
              <w:pStyle w:val="CellColumn"/>
            </w:pPr>
            <w:r>
              <w:t>MK</w:t>
            </w:r>
          </w:p>
        </w:tc>
        <w:tc>
          <w:tcPr>
            <w:tcW w:w="1300" w:type="dxa"/>
          </w:tcPr>
          <w:p w:rsidR="00AC0832" w:rsidRDefault="00AC0832">
            <w:pPr>
              <w:pStyle w:val="CellColumn"/>
            </w:pPr>
            <w:r>
              <w:t>8/14</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7"/>
      </w:pPr>
      <w:r>
        <w:t>Cilj 5. Potpora organizacijama civilnog društva i programima novih medijskih kultura</w:t>
      </w:r>
    </w:p>
    <w:p w:rsidR="00AC0832" w:rsidRDefault="00AC0832">
      <w:pPr>
        <w:pStyle w:val="Heading8"/>
        <w:jc w:val="left"/>
      </w:pPr>
      <w:r>
        <w:t>Opis provedbe cilja programa</w:t>
      </w:r>
    </w:p>
    <w:p w:rsidR="00AC0832" w:rsidRDefault="00AC0832">
      <w:pPr>
        <w:pStyle w:val="Normal6"/>
      </w:pPr>
      <w:r>
        <w:t xml:space="preserve">Organizacije civilnog društva na području kulture prema Registru udruga u Republici Hrvatskoj najbrojnije su iza športskih udruga i broje više od 5.000. Udruge kulturno-umjetničkog amaterizma imaju dugu i bogatu tradiciju u Republici Hrvatskoj i važan su čimbenik aktivnog sudjelovanja u kulturi. Strukovne udruge u kulturi segment su civilnog društva od iznimne važnosti za održanje i profesionalni razvoj svih kulturnih djelatnosti i umjetničkih područja. Za očuvanje i razvoj nacionalnog i kulturnog identiteta posebnu ulogu imaju općekulturne/kulturološke udruge kao što je Matica hrvatska i Hrvatsko kulturno društvo Napredak. </w:t>
      </w:r>
    </w:p>
    <w:p w:rsidR="00AC0832" w:rsidRDefault="00AC0832">
      <w:pPr>
        <w:pStyle w:val="Normal6"/>
      </w:pPr>
      <w:r>
        <w:t>Potpora programima novih medijskih kultura potpora je alternativnim, intermedijalnim i interdisciplinarnim oblicima umjetničkog stvaralaštva. Donošenjem zakona i osnivanjem Zaklade Kultura nova u 2011. doprinjelo se stabilnosti i razvoju civilne scene. Kroz Zakladu se financiraju mreže udruga nezavisnog kulturnog sektora, kvalitetni intersektorski projekti i osiguravaju pristup regionalnim i europskim fondovima i dugoročna partnerstva. Kao dinamična struktura Zaklada Kultura nova usmjerit će se proizvodnji kulturnih sadržaja i operativnom modelu funkcioniranja te izgradnji vlastitih kapaciteta.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Rast potpore kulturnim programima organizacija civilnog društva</w:t>
            </w:r>
          </w:p>
        </w:tc>
        <w:tc>
          <w:tcPr>
            <w:tcW w:w="1300" w:type="dxa"/>
          </w:tcPr>
          <w:p w:rsidR="00AC0832" w:rsidRDefault="00AC0832">
            <w:pPr>
              <w:pStyle w:val="CellColumn"/>
            </w:pPr>
            <w:r>
              <w:t>U cjelini programske potpore kulturnom stvaralaštvu i proizvodnji rast će udio potpore programima organizacija civilnog društva</w:t>
            </w:r>
          </w:p>
        </w:tc>
        <w:tc>
          <w:tcPr>
            <w:tcW w:w="1300" w:type="dxa"/>
          </w:tcPr>
          <w:p w:rsidR="00AC0832" w:rsidRDefault="00AC0832">
            <w:pPr>
              <w:pStyle w:val="CellColumn"/>
            </w:pPr>
            <w:r>
              <w:t>%</w:t>
            </w:r>
          </w:p>
        </w:tc>
        <w:tc>
          <w:tcPr>
            <w:tcW w:w="1300" w:type="dxa"/>
          </w:tcPr>
          <w:p w:rsidR="00AC0832" w:rsidRDefault="00AC0832">
            <w:pPr>
              <w:pStyle w:val="CellColumn"/>
            </w:pPr>
            <w:r>
              <w:t>10</w:t>
            </w:r>
          </w:p>
        </w:tc>
        <w:tc>
          <w:tcPr>
            <w:tcW w:w="1300" w:type="dxa"/>
          </w:tcPr>
          <w:p w:rsidR="00AC0832" w:rsidRDefault="00AC0832">
            <w:pPr>
              <w:pStyle w:val="CellColumn"/>
            </w:pPr>
            <w:r>
              <w:t>MK</w:t>
            </w:r>
          </w:p>
        </w:tc>
        <w:tc>
          <w:tcPr>
            <w:tcW w:w="1300" w:type="dxa"/>
          </w:tcPr>
          <w:p w:rsidR="00AC0832" w:rsidRDefault="00AC0832">
            <w:pPr>
              <w:pStyle w:val="CellColumn"/>
            </w:pPr>
            <w:r>
              <w:t>12</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A564015 HRVATSKO POVJERENSTVO ZA UNESCO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A564015-HRVATSKO POVJERENSTVO ZA UNESCO</w:t>
            </w:r>
          </w:p>
        </w:tc>
        <w:tc>
          <w:tcPr>
            <w:tcW w:w="2322" w:type="dxa"/>
          </w:tcPr>
          <w:p w:rsidR="00AC0832" w:rsidRDefault="00AC0832">
            <w:pPr>
              <w:pStyle w:val="CellColumn"/>
            </w:pPr>
            <w:r>
              <w:t>700.000</w:t>
            </w:r>
          </w:p>
        </w:tc>
        <w:tc>
          <w:tcPr>
            <w:tcW w:w="2322" w:type="dxa"/>
          </w:tcPr>
          <w:p w:rsidR="00AC0832" w:rsidRDefault="00AC0832">
            <w:pPr>
              <w:pStyle w:val="CellColumn"/>
            </w:pPr>
            <w:r>
              <w:t>246.437</w:t>
            </w:r>
          </w:p>
        </w:tc>
        <w:tc>
          <w:tcPr>
            <w:tcW w:w="2322" w:type="dxa"/>
          </w:tcPr>
          <w:p w:rsidR="00AC0832" w:rsidRDefault="00AC0832">
            <w:pPr>
              <w:pStyle w:val="CellColumn"/>
            </w:pPr>
            <w:r>
              <w:t>35,2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HRvatsko povjerenstvo za UNESCO u koordinaciji s ministarstvima, vladinim i nevladinim organizacijama sudjeluje u normativnom radu UNESC-a. Podupire dugoročne inicijative i projekte nacionalne, regionalne, i međunarodne važnosti koji potiču pitanja vezana uz kulturne politike, razvoj kulturnih industrija i kulturne raznolikosti kroz sudjelovanje hrvatskih stručnjaka u programskim područjima UNESCO-a. </w:t>
      </w:r>
    </w:p>
    <w:p w:rsidR="00AC0832" w:rsidRDefault="00AC0832">
      <w:pPr>
        <w:pStyle w:val="Normal6"/>
      </w:pPr>
      <w:r>
        <w:t>Zbog nerealizirnosti programa u 2012. godini došloje do velikog odstupanja od plana. Iskorišteno je tek 35,2 % sredstava.</w:t>
      </w:r>
    </w:p>
    <w:p w:rsidR="00AC0832" w:rsidRDefault="00AC0832">
      <w:pPr>
        <w:pStyle w:val="Heading6"/>
      </w:pPr>
      <w:r>
        <w:t>A565003 OSNOVNA DJELATNOST UDRUGA U KULTURI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A565003-OSNOVNA DJELATNOST UDRUGA U KULTURI</w:t>
            </w:r>
          </w:p>
        </w:tc>
        <w:tc>
          <w:tcPr>
            <w:tcW w:w="2322" w:type="dxa"/>
          </w:tcPr>
          <w:p w:rsidR="00AC0832" w:rsidRDefault="00AC0832">
            <w:pPr>
              <w:pStyle w:val="CellColumn"/>
            </w:pPr>
            <w:r>
              <w:t>5.900.000</w:t>
            </w:r>
          </w:p>
        </w:tc>
        <w:tc>
          <w:tcPr>
            <w:tcW w:w="2322" w:type="dxa"/>
          </w:tcPr>
          <w:p w:rsidR="00AC0832" w:rsidRDefault="00AC0832">
            <w:pPr>
              <w:pStyle w:val="CellColumn"/>
            </w:pPr>
            <w:r>
              <w:t>5.900.000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Ova aktivnost obuhvaća financijsku potporu za 34 strukovne udruge u kulturi i umjetnotsi u 2012. godini. Utrošena sredstva jednaka su planiranim</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4"/>
        <w:gridCol w:w="1484"/>
        <w:gridCol w:w="1248"/>
        <w:gridCol w:w="1267"/>
        <w:gridCol w:w="1262"/>
        <w:gridCol w:w="1267"/>
        <w:gridCol w:w="127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Stabilnost institucionalne potpore strukovnim udrugama u kulturi</w:t>
            </w:r>
          </w:p>
        </w:tc>
        <w:tc>
          <w:tcPr>
            <w:tcW w:w="1300" w:type="dxa"/>
          </w:tcPr>
          <w:p w:rsidR="00AC0832" w:rsidRDefault="00AC0832">
            <w:pPr>
              <w:pStyle w:val="CellColumn"/>
            </w:pPr>
            <w:r>
              <w:t>Stabilnost institucionalne potpore strukovnim udrugama u kulturi omogućuje održanje i profesionalni razvoj svih kulturnih djelatnostii umjetničkih područja</w:t>
            </w:r>
          </w:p>
        </w:tc>
        <w:tc>
          <w:tcPr>
            <w:tcW w:w="1300" w:type="dxa"/>
          </w:tcPr>
          <w:p w:rsidR="00AC0832" w:rsidRDefault="00AC0832">
            <w:pPr>
              <w:pStyle w:val="CellColumn"/>
            </w:pPr>
            <w:r>
              <w:t>Broj</w:t>
            </w:r>
          </w:p>
        </w:tc>
        <w:tc>
          <w:tcPr>
            <w:tcW w:w="1300" w:type="dxa"/>
          </w:tcPr>
          <w:p w:rsidR="00AC0832" w:rsidRDefault="00AC0832">
            <w:pPr>
              <w:pStyle w:val="CellColumn"/>
            </w:pPr>
            <w:r>
              <w:t>30</w:t>
            </w:r>
          </w:p>
        </w:tc>
        <w:tc>
          <w:tcPr>
            <w:tcW w:w="1300" w:type="dxa"/>
          </w:tcPr>
          <w:p w:rsidR="00AC0832" w:rsidRDefault="00AC0832">
            <w:pPr>
              <w:pStyle w:val="CellColumn"/>
            </w:pPr>
            <w:r>
              <w:t>MK</w:t>
            </w:r>
          </w:p>
        </w:tc>
        <w:tc>
          <w:tcPr>
            <w:tcW w:w="1300" w:type="dxa"/>
          </w:tcPr>
          <w:p w:rsidR="00AC0832" w:rsidRDefault="00AC0832">
            <w:pPr>
              <w:pStyle w:val="CellColumn"/>
            </w:pPr>
            <w:r>
              <w:t>30</w:t>
            </w:r>
          </w:p>
        </w:tc>
        <w:tc>
          <w:tcPr>
            <w:tcW w:w="1300" w:type="dxa"/>
          </w:tcPr>
          <w:p w:rsidR="00AC0832" w:rsidRDefault="00AC0832">
            <w:pPr>
              <w:pStyle w:val="CellColumn"/>
            </w:pPr>
            <w:r>
              <w:t>34</w:t>
            </w:r>
          </w:p>
        </w:tc>
      </w:tr>
    </w:tbl>
    <w:p w:rsidR="00AC0832" w:rsidRDefault="00AC0832">
      <w:pPr>
        <w:jc w:val="left"/>
      </w:pPr>
    </w:p>
    <w:p w:rsidR="00AC0832" w:rsidRDefault="00AC0832">
      <w:pPr>
        <w:pStyle w:val="Heading6"/>
      </w:pPr>
      <w:r>
        <w:t>A565011 NAGRADE ZA POSTIGNUĆA U KULTURI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A565011-NAGRADE ZA POSTIGNUĆA U KULTURI</w:t>
            </w:r>
          </w:p>
        </w:tc>
        <w:tc>
          <w:tcPr>
            <w:tcW w:w="2322" w:type="dxa"/>
          </w:tcPr>
          <w:p w:rsidR="00AC0832" w:rsidRDefault="00AC0832">
            <w:pPr>
              <w:pStyle w:val="CellColumn"/>
            </w:pPr>
            <w:r>
              <w:t>1.345.756</w:t>
            </w:r>
          </w:p>
        </w:tc>
        <w:tc>
          <w:tcPr>
            <w:tcW w:w="2322" w:type="dxa"/>
          </w:tcPr>
          <w:p w:rsidR="00AC0832" w:rsidRDefault="00AC0832">
            <w:pPr>
              <w:pStyle w:val="CellColumn"/>
            </w:pPr>
            <w:r>
              <w:t>1.345.756</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Nagrade za postignuća u kulturi dodjeljivale su se istaknutim pojedincima ili kolektivnim ostvarenjima za promicanje osobitih postignuća u kulturi i umjetničkom stvaralaštvu. Time se vrednovala i prepoznala izvrsnost kao osobiti poticaj vrhunskim kreativnim dosezima različitih oblika umjetničkog djelovanja vezanim uz nacionalnu kulturu. Dodjeljivale su se kao životne nagrade (priznanje za sveukupni stvaralački opus), kao godišnje nagrade (za umjetnička i kulturna ostvarenja koja su bila objavljena, izložena, prikazana ili izvedena) te kao poticajna sredstva (za nova djela): „Nagrada Vladimir Nazor“ (za umjetnička ostvarenja na području književnosti, glazbe, filma, likovnih i primijenjenih umjetnosti, kazališne umjetnosti te arhitekture i urbanizma), „Nagrada Iso Velikanović“ (za ostvarenja u području prevođenja književnih djela), „Nagrada Vicko Andrić“ (za postignuća u zaštiti kulturne baštine), „Nagrada Marin Držić“ (za poticanje hrvatskog dramskog i kazališnog stvaralaštva) te poticajna sredstva hrvatskom glazbenom stvaralaštvu (za nova djela suvremenih skladatelja).</w:t>
      </w:r>
    </w:p>
    <w:p w:rsidR="00AC0832" w:rsidRDefault="00AC0832">
      <w:pPr>
        <w:pStyle w:val="Heading6"/>
      </w:pPr>
      <w:r>
        <w:t>A565015 ZDRAVSTVENO I MIROVINSKO OSIGURANJE UMJETNIKA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A565015-ZDRAVSTVENO I MIROVINSKO OSIGURANJE UMJETNIKA</w:t>
            </w:r>
          </w:p>
        </w:tc>
        <w:tc>
          <w:tcPr>
            <w:tcW w:w="2322" w:type="dxa"/>
          </w:tcPr>
          <w:p w:rsidR="00AC0832" w:rsidRDefault="00AC0832">
            <w:pPr>
              <w:pStyle w:val="CellColumn"/>
            </w:pPr>
            <w:r>
              <w:t>32.227.344</w:t>
            </w:r>
          </w:p>
        </w:tc>
        <w:tc>
          <w:tcPr>
            <w:tcW w:w="2322" w:type="dxa"/>
          </w:tcPr>
          <w:p w:rsidR="00AC0832" w:rsidRDefault="00AC0832">
            <w:pPr>
              <w:pStyle w:val="CellColumn"/>
            </w:pPr>
            <w:r>
              <w:t>32.227.344</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Prema Pravilniku o postupku i uvjetima za priznavanje prava samostalnih umjetnika na uplatu mirovinsko i invalidsko osiguranje iz sredstava Državnog proračuna Republike Hrvatske (NN 119/04) i u 2012. godini isplaćena su sredstva za 1285 samostalnih umjetnika na području likovnog, glazbenog, scenskog, književnog i filmskog stvarlaštva. Sredstva su isplaćena u cijelosti za ovu namjenu. Nije bilo odstupanja od plana.</w:t>
      </w:r>
    </w:p>
    <w:p w:rsidR="00AC0832" w:rsidRDefault="00AC0832">
      <w:pPr>
        <w:pStyle w:val="Heading6"/>
      </w:pPr>
      <w:r>
        <w:t>A565021 MATICA HRVATSKA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A565021-MATICA HRVATSKA</w:t>
            </w:r>
          </w:p>
        </w:tc>
        <w:tc>
          <w:tcPr>
            <w:tcW w:w="2322" w:type="dxa"/>
          </w:tcPr>
          <w:p w:rsidR="00AC0832" w:rsidRDefault="00AC0832">
            <w:pPr>
              <w:pStyle w:val="CellColumn"/>
            </w:pPr>
            <w:r>
              <w:t>5.000.000</w:t>
            </w:r>
          </w:p>
        </w:tc>
        <w:tc>
          <w:tcPr>
            <w:tcW w:w="2322" w:type="dxa"/>
          </w:tcPr>
          <w:p w:rsidR="00AC0832" w:rsidRDefault="00AC0832">
            <w:pPr>
              <w:pStyle w:val="CellColumn"/>
            </w:pPr>
            <w:r>
              <w:t>5.000.000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Svrha Matice hrvatske je u promicanju narodnog i kulturnog identiteta u područjima umjetničkog, znanstvenog i duhovnog stvaralaštva, gospodarstva i javnog života, te skrb za društveni razvitak. U 2012. godini nije bilo odstupanja od plana.</w:t>
      </w:r>
    </w:p>
    <w:p w:rsidR="00AC0832" w:rsidRDefault="00AC0832">
      <w:pPr>
        <w:pStyle w:val="Heading6"/>
      </w:pPr>
      <w:r>
        <w:t>A565033 NOVE MEDIJSKE KULTURE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A565033-NOVE MEDIJSKE KULTURE</w:t>
            </w:r>
          </w:p>
        </w:tc>
        <w:tc>
          <w:tcPr>
            <w:tcW w:w="2322" w:type="dxa"/>
          </w:tcPr>
          <w:p w:rsidR="00AC0832" w:rsidRDefault="00AC0832">
            <w:pPr>
              <w:pStyle w:val="CellColumn"/>
            </w:pPr>
            <w:r>
              <w:t>5.089.094</w:t>
            </w:r>
          </w:p>
        </w:tc>
        <w:tc>
          <w:tcPr>
            <w:tcW w:w="2322" w:type="dxa"/>
          </w:tcPr>
          <w:p w:rsidR="00AC0832" w:rsidRDefault="00AC0832">
            <w:pPr>
              <w:pStyle w:val="CellColumn"/>
            </w:pPr>
            <w:r>
              <w:t>5.410.792</w:t>
            </w:r>
          </w:p>
        </w:tc>
        <w:tc>
          <w:tcPr>
            <w:tcW w:w="2322" w:type="dxa"/>
          </w:tcPr>
          <w:p w:rsidR="00AC0832" w:rsidRDefault="00AC0832">
            <w:pPr>
              <w:pStyle w:val="CellColumn"/>
            </w:pPr>
            <w:r>
              <w:t>106,3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2012. godini financirani su programi koji se odnose na podprogramske djelatnosti novih medijskih kultura: projekte, manifestacije, umjetničke produkcije, dugotrajne i ostale programe. Podržani su programi koji pokazuju dugoročnost i stabilnost i programi koji pridonose razvoju civilnog društva i drugih organizacija u kulturi od interesa za Republiku Hrvatsku te pridonose stabilizaciji izvaninstitucionalne i neprofitne scene uključujući podršku njihovoj suradnji s javnim kulturnim institucijama te programi koji potiču transmedijalne, intermedijalne i interdisciplinarne oblike umjetničkog stvaralaštva. Aktivnost je usmjerena k promicanju suvremenog audiovizualnog urbanog izričaja, istraživačkih umjetničkih praksi i poticanju korištenja novih tehnologija u umjetničkoj produkciji. Aktivnosti uključuju glazbene, kazališne i umjetničke festivalske programe, produkcije, instalacije i izložbe projekte, edukativne programe i radionice, okrugle stolove i predavanja i manifestacije.</w:t>
      </w:r>
    </w:p>
    <w:p w:rsidR="00AC0832" w:rsidRDefault="00AC0832">
      <w:pPr>
        <w:pStyle w:val="Heading6"/>
      </w:pPr>
      <w:r>
        <w:t>A565034 MEĐUNARODNA KULTURNA SURADNJA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A565034-MEĐUNARODNA KULTURNA SURADNJA</w:t>
            </w:r>
          </w:p>
        </w:tc>
        <w:tc>
          <w:tcPr>
            <w:tcW w:w="2322" w:type="dxa"/>
          </w:tcPr>
          <w:p w:rsidR="00AC0832" w:rsidRDefault="00AC0832">
            <w:pPr>
              <w:pStyle w:val="CellColumn"/>
            </w:pPr>
            <w:r>
              <w:t>11.611.368</w:t>
            </w:r>
          </w:p>
        </w:tc>
        <w:tc>
          <w:tcPr>
            <w:tcW w:w="2322" w:type="dxa"/>
          </w:tcPr>
          <w:p w:rsidR="00AC0832" w:rsidRDefault="00AC0832">
            <w:pPr>
              <w:pStyle w:val="CellColumn"/>
            </w:pPr>
            <w:r>
              <w:t>11.470.169</w:t>
            </w:r>
          </w:p>
        </w:tc>
        <w:tc>
          <w:tcPr>
            <w:tcW w:w="2322" w:type="dxa"/>
          </w:tcPr>
          <w:p w:rsidR="00AC0832" w:rsidRDefault="00AC0832">
            <w:pPr>
              <w:pStyle w:val="CellColumn"/>
            </w:pPr>
            <w:r>
              <w:t>98,8</w:t>
            </w:r>
          </w:p>
        </w:tc>
      </w:tr>
    </w:tbl>
    <w:p w:rsidR="00AC0832" w:rsidRDefault="00AC0832">
      <w:pPr>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U sklopu ove aktivnosti u 2012. godiini i dalje se poticala bilateralna kulturna suradnja. Pružena je potpora ustanovama i udrugama, umjetnicima i stručnjacima za uspostavljanje i razvijanje izravne i kontinuirane suradnje s partnerima u inozemstvu na svi područjima kulture i umjetnosti, razmjena književnika i objavjlivanje književnih djela, prezentacija umjetničkih izložbi, gostovanja kazališnih, plesnih i glazbenih umjetnika. Pružena je potpora za sudjelovanja u multilateralnim programima koji potiču razvoj interkulturnog dijaloga i kulture raznolikosti te u sklopu regionalnih asocijacija. U 2012. godini financirano je preko 620 programa. Nije bilo odstupanja od plana!</w:t>
      </w:r>
    </w:p>
    <w:p w:rsidR="00AC0832" w:rsidRDefault="00AC0832">
      <w:pPr>
        <w:pStyle w:val="Heading6"/>
      </w:pPr>
      <w:r>
        <w:t>A565056 DAROVNI UGOVOR-OBVEZA RH TEMELJEM DAROVNOG UGOVORA PREMA GĐI TOPIĆ-MIMARA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A565056-DAROVNI UGOVOR-OBVEZA RH TEMELJEM DAROVNOG UGOVORA PREMA GĐI TOPIĆ-MIMARA</w:t>
            </w:r>
          </w:p>
        </w:tc>
        <w:tc>
          <w:tcPr>
            <w:tcW w:w="2322" w:type="dxa"/>
          </w:tcPr>
          <w:p w:rsidR="00AC0832" w:rsidRDefault="00AC0832">
            <w:pPr>
              <w:pStyle w:val="CellColumn"/>
            </w:pPr>
            <w:r>
              <w:t>900.000</w:t>
            </w:r>
          </w:p>
        </w:tc>
        <w:tc>
          <w:tcPr>
            <w:tcW w:w="2322" w:type="dxa"/>
          </w:tcPr>
          <w:p w:rsidR="00AC0832" w:rsidRDefault="00AC0832">
            <w:pPr>
              <w:pStyle w:val="CellColumn"/>
            </w:pPr>
            <w:r>
              <w:t>900.000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Ugovor o darovanju zbirke umejtnina između slikara i kolekcionara Ante Topić Mimare i Republike Hrvtske sklopljen je 05. listopada 1973. godine. Ovim ugovorom su  strane sporazumne isplaćivati Antu Topća Mimara 1% od 10.000.0000 USD, a poslije njegove smrti 0,5% od iste vrijednsoti njegovoj supruzi Weltrude. Ova je odluka još uvijek na snazi. U 2012. godini nije bio odstupanja.</w:t>
      </w:r>
    </w:p>
    <w:p w:rsidR="00AC0832" w:rsidRDefault="00AC0832">
      <w:pPr>
        <w:pStyle w:val="Heading6"/>
      </w:pPr>
      <w:r>
        <w:t>A576226 KULTURNA KONTAKT TOČKA (EU-KKT)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A576226-KULTURNA KONTAKT TOČKA (EU-KKT)</w:t>
            </w:r>
          </w:p>
        </w:tc>
        <w:tc>
          <w:tcPr>
            <w:tcW w:w="2322" w:type="dxa"/>
          </w:tcPr>
          <w:p w:rsidR="00AC0832" w:rsidRDefault="00AC0832">
            <w:pPr>
              <w:pStyle w:val="CellColumn"/>
            </w:pPr>
            <w:r>
              <w:t>1.568.000</w:t>
            </w:r>
          </w:p>
        </w:tc>
        <w:tc>
          <w:tcPr>
            <w:tcW w:w="2322" w:type="dxa"/>
          </w:tcPr>
          <w:p w:rsidR="00AC0832" w:rsidRDefault="00AC0832">
            <w:pPr>
              <w:pStyle w:val="CellColumn"/>
            </w:pPr>
            <w:r>
              <w:t>1.498.900</w:t>
            </w:r>
          </w:p>
        </w:tc>
        <w:tc>
          <w:tcPr>
            <w:tcW w:w="2322" w:type="dxa"/>
          </w:tcPr>
          <w:p w:rsidR="00AC0832" w:rsidRDefault="00AC0832">
            <w:pPr>
              <w:pStyle w:val="CellColumn"/>
            </w:pPr>
            <w:r>
              <w:t>95,6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Aktivnost objedinjuje dvije stavke: </w:t>
      </w:r>
    </w:p>
    <w:p w:rsidR="00AC0832" w:rsidRDefault="00AC0832">
      <w:pPr>
        <w:pStyle w:val="Normal6"/>
      </w:pPr>
      <w:r>
        <w:t>Pravilnik o sufinanciranju hrvatskih projektnih partnera u sklopu programa Europske unije Kultura 2007. - 2013. i sufinanciranje Odjela za kulturnu kontakt točku. Kulturne kontaktne točke su odjeli uspostavljeni u državama članicama i u drugim zemljama koje sudjeluju u programu Kultura. Odgovorni su za promociju programa, pomoć za izradu projekata, poticanje sudjelovanja što većeg broja kulturnih operatera čime se osigurava razmjena informacija s nacionalnim kulturnim institucijama, održavanje kontakta između sudionika u različitim programima Europske unije i vezu s drugim izvorima, informacijama na raznim programimaEuropske unije. U 2012. godini nije bilo odstupanja od plana.</w:t>
      </w:r>
    </w:p>
    <w:p w:rsidR="00AC0832" w:rsidRDefault="00AC0832">
      <w:pPr>
        <w:pStyle w:val="Heading6"/>
      </w:pPr>
    </w:p>
    <w:p w:rsidR="00AC0832" w:rsidRDefault="00AC0832">
      <w:pPr>
        <w:pStyle w:val="Heading6"/>
      </w:pPr>
      <w:r>
        <w:t>A576227 ČLANARINE ZA PROGRAME EUROPSKE UNIJE ZA KULTURU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A576227-ČLANARINE ZA PROGRAME EUROPSKE UNIJE ZA KULTURU</w:t>
            </w:r>
          </w:p>
        </w:tc>
        <w:tc>
          <w:tcPr>
            <w:tcW w:w="2322" w:type="dxa"/>
          </w:tcPr>
          <w:p w:rsidR="00AC0832" w:rsidRDefault="00AC0832">
            <w:pPr>
              <w:pStyle w:val="CellColumn"/>
            </w:pPr>
            <w:r>
              <w:t>2.350.000</w:t>
            </w:r>
          </w:p>
        </w:tc>
        <w:tc>
          <w:tcPr>
            <w:tcW w:w="2322" w:type="dxa"/>
          </w:tcPr>
          <w:p w:rsidR="00AC0832" w:rsidRDefault="00AC0832">
            <w:pPr>
              <w:pStyle w:val="CellColumn"/>
            </w:pPr>
            <w:r>
              <w:t>2.310.583</w:t>
            </w:r>
          </w:p>
        </w:tc>
        <w:tc>
          <w:tcPr>
            <w:tcW w:w="2322" w:type="dxa"/>
          </w:tcPr>
          <w:p w:rsidR="00AC0832" w:rsidRDefault="00AC0832">
            <w:pPr>
              <w:pStyle w:val="CellColumn"/>
            </w:pPr>
            <w:r>
              <w:t>98,3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Sudjelovanje u programu Kultura (2007. - 2013.) slijedom uplate članarine sukladno potpisanom i ratificiranom Memorandumu o razumijevanju iizmeđu Europske zajednice i Republike Hrvatske o sudjelovanju Hrvatske u tom progarmu (NN -MU 7/07) čime je Hrvatska postala punopravna članica istog programa. Ova aktivnost obuhvaća pružanje potpore potencijalnim i sadašnjim korisnicima besplatnim informacijama i smjernicama o tome kako pristupiti europskim mogućnostima financiranja, redovitim obavijestima o pitanjima vezanim za kulturu na europskoj razini, umrežavanjem kontakt kulturnih djelatnika u rzličitima zemljama i pronalaženjem potencijalnih projektnih partnera. U 2012. godini nije bilo odstupanja od plana.</w:t>
      </w:r>
    </w:p>
    <w:p w:rsidR="00AC0832" w:rsidRDefault="00AC0832">
      <w:pPr>
        <w:pStyle w:val="Heading6"/>
      </w:pPr>
      <w:r>
        <w:t>A781006 ZAKLADA KULTURA NOVA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A781006-ZAKLADA KULTURA NOVA</w:t>
            </w:r>
          </w:p>
        </w:tc>
        <w:tc>
          <w:tcPr>
            <w:tcW w:w="2322" w:type="dxa"/>
          </w:tcPr>
          <w:p w:rsidR="00AC0832" w:rsidRDefault="00AC0832">
            <w:pPr>
              <w:pStyle w:val="CellColumn"/>
            </w:pPr>
            <w:r>
              <w:t>3.000.868</w:t>
            </w:r>
          </w:p>
        </w:tc>
        <w:tc>
          <w:tcPr>
            <w:tcW w:w="2322" w:type="dxa"/>
          </w:tcPr>
          <w:p w:rsidR="00AC0832" w:rsidRDefault="00AC0832">
            <w:pPr>
              <w:pStyle w:val="CellColumn"/>
            </w:pPr>
            <w:r>
              <w:t>2.660.000</w:t>
            </w:r>
          </w:p>
        </w:tc>
        <w:tc>
          <w:tcPr>
            <w:tcW w:w="2322" w:type="dxa"/>
          </w:tcPr>
          <w:p w:rsidR="00AC0832" w:rsidRDefault="00AC0832">
            <w:pPr>
              <w:pStyle w:val="CellColumn"/>
            </w:pPr>
            <w:r>
              <w:t>88,6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Uspostavljanjem Zaklade doprinosi se stabilnosti i razvoju civilne scene na području suvremene kulture i umjetnosti. Kroz Zakladu se financiraju mreže udruga nezavisnog kulturnog sektora, kvalitetni intersektorski projekti i osigurava se pristup regionalnim i europskim fondovima i dugoročna partnerstva. Zaklada se usmjerava proizvodnji kulturnih sadržaja i operativnom modelu funkcioniranja te izgradnji vlastitih kapaciteta. Zaklada se financira iz prihoda od igara na sreću, donacija te ostalih prihoda.  U 2012. godini ostvareno je 88 % od planiranog upravo iz  razloga manjih prihoda od igara na sreću.</w:t>
      </w:r>
    </w:p>
    <w:p w:rsidR="00AC0832" w:rsidRDefault="00AC0832">
      <w:pPr>
        <w:pStyle w:val="Heading6"/>
      </w:pPr>
      <w:r>
        <w:t>A784003 PODUZETNIŠTVO U KULTURI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A784003-PODUZETNIŠTVO U KULTURI</w:t>
            </w:r>
          </w:p>
        </w:tc>
        <w:tc>
          <w:tcPr>
            <w:tcW w:w="2322" w:type="dxa"/>
          </w:tcPr>
          <w:p w:rsidR="00AC0832" w:rsidRDefault="00AC0832">
            <w:pPr>
              <w:pStyle w:val="CellColumn"/>
            </w:pPr>
            <w:r>
              <w:t>2.000.000</w:t>
            </w:r>
          </w:p>
        </w:tc>
        <w:tc>
          <w:tcPr>
            <w:tcW w:w="2322" w:type="dxa"/>
          </w:tcPr>
          <w:p w:rsidR="00AC0832" w:rsidRDefault="00AC0832">
            <w:pPr>
              <w:pStyle w:val="CellColumn"/>
            </w:pPr>
            <w:r>
              <w:t>1.988.000</w:t>
            </w:r>
          </w:p>
        </w:tc>
        <w:tc>
          <w:tcPr>
            <w:tcW w:w="2322" w:type="dxa"/>
          </w:tcPr>
          <w:p w:rsidR="00AC0832" w:rsidRDefault="00AC0832">
            <w:pPr>
              <w:pStyle w:val="CellColumn"/>
            </w:pPr>
            <w:r>
              <w:t>99,4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Program nepovratne državne potpore male vrijednosti (u suradnji s Minsitarstvom gospodarstva, rada i poduzetništva) za poticanje poduzetništva u kulturi, promicanje kulturnih industrija i poduzetničkih projekata na području glazbe i glazbeno - scenske umjetnosti, dramske umjetnosti, knjige i nakladništva, likovne umjetnosti, novih medijskih kultura, međunarodne kulturne suradnje i europskih integracija, kulturno - umjetničkog amaterizma, investicija, zaštite i očuvanja kulturnih dobara, muzejsko - galerijske te filmske djelatnosti. U 2012. godini financirano je 90 programa u rasponu od 20.000,00 do 100.000,00 kuna. Nije bilo odstupanja od plana.</w:t>
      </w:r>
    </w:p>
    <w:p w:rsidR="00AC0832" w:rsidRDefault="00AC0832">
      <w:pPr>
        <w:pStyle w:val="Heading6"/>
      </w:pPr>
      <w:r>
        <w:t>A785008 POTPORA HRVATSKOM KULTURNOM DRUŠTVU NAPREDAK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A785008-POTPORA HRVATSKOM KULTURNOM DRUŠTVU NAPREDAK</w:t>
            </w:r>
          </w:p>
        </w:tc>
        <w:tc>
          <w:tcPr>
            <w:tcW w:w="2322" w:type="dxa"/>
          </w:tcPr>
          <w:p w:rsidR="00AC0832" w:rsidRDefault="00AC0832">
            <w:pPr>
              <w:pStyle w:val="CellColumn"/>
            </w:pPr>
            <w:r>
              <w:t>1.000.000</w:t>
            </w:r>
          </w:p>
        </w:tc>
        <w:tc>
          <w:tcPr>
            <w:tcW w:w="2322" w:type="dxa"/>
          </w:tcPr>
          <w:p w:rsidR="00AC0832" w:rsidRDefault="00AC0832">
            <w:pPr>
              <w:pStyle w:val="CellColumn"/>
            </w:pPr>
            <w:r>
              <w:t>1.000.000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Ovom se aktivnošću pruža potpora Hrvatskom kulturnom društvu Napredak čija je svrha kulturno  i prosvjetno djelovanje, ekonomsko jačanje te podizanje socijalne sigurnosti hrvatskog naroda u Bosni i Hercegovini. U 2012.  godini sredstva su u potpunosti utrošena prema planu.</w:t>
      </w:r>
    </w:p>
    <w:p w:rsidR="00AC0832" w:rsidRDefault="00AC0832">
      <w:pPr>
        <w:pStyle w:val="Heading6"/>
      </w:pPr>
      <w:r>
        <w:t>K564016 INFORMATIZACIJA USTANOVA KULTURE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K564016-INFORMATIZACIJA USTANOVA KULTURE</w:t>
            </w:r>
          </w:p>
        </w:tc>
        <w:tc>
          <w:tcPr>
            <w:tcW w:w="2322" w:type="dxa"/>
          </w:tcPr>
          <w:p w:rsidR="00AC0832" w:rsidRDefault="00AC0832">
            <w:pPr>
              <w:pStyle w:val="CellColumn"/>
            </w:pPr>
            <w:r>
              <w:t>1.200.000</w:t>
            </w:r>
          </w:p>
        </w:tc>
        <w:tc>
          <w:tcPr>
            <w:tcW w:w="2322" w:type="dxa"/>
          </w:tcPr>
          <w:p w:rsidR="00AC0832" w:rsidRDefault="00AC0832">
            <w:pPr>
              <w:pStyle w:val="CellColumn"/>
            </w:pPr>
            <w:r>
              <w:t>1.197.647</w:t>
            </w:r>
          </w:p>
        </w:tc>
        <w:tc>
          <w:tcPr>
            <w:tcW w:w="2322" w:type="dxa"/>
          </w:tcPr>
          <w:p w:rsidR="00AC0832" w:rsidRDefault="00AC0832">
            <w:pPr>
              <w:pStyle w:val="CellColumn"/>
            </w:pPr>
            <w:r>
              <w:t>99,8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Ova aktivnost obuhvaća potporu nabavi računalne opreme, razvoju informacijskih sustava i projekata, internetizaciji ustanova i udruga kulture te razvoju baza podataka kulturnih informacija ustnaova kulture kojih je osnivač Republika Hrvatska. U 2012. godini nije bilo odstupanja od plana.</w:t>
      </w:r>
    </w:p>
    <w:p w:rsidR="00AC0832" w:rsidRDefault="00AC0832">
      <w:pPr>
        <w:pStyle w:val="Heading6"/>
      </w:pPr>
      <w:r>
        <w:t>K565018 IZGRADNJA, ODRŽAVANJE I OPREMANJE USTANOVA KULTURE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K565018-IZGRADNJA, ODRŽAVANJE I OPREMANJE USTANOVA KULTURE</w:t>
            </w:r>
          </w:p>
        </w:tc>
        <w:tc>
          <w:tcPr>
            <w:tcW w:w="2322" w:type="dxa"/>
          </w:tcPr>
          <w:p w:rsidR="00AC0832" w:rsidRDefault="00AC0832">
            <w:pPr>
              <w:pStyle w:val="CellColumn"/>
            </w:pPr>
            <w:r>
              <w:t>26.500.000</w:t>
            </w:r>
          </w:p>
        </w:tc>
        <w:tc>
          <w:tcPr>
            <w:tcW w:w="2322" w:type="dxa"/>
          </w:tcPr>
          <w:p w:rsidR="00AC0832" w:rsidRDefault="00AC0832">
            <w:pPr>
              <w:pStyle w:val="CellColumn"/>
            </w:pPr>
            <w:r>
              <w:t>26.500.000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skladu sa Zakonom o financiranju javnih potreba u kulturi te na principu solidarnsoti i uzajamnosti osiguravaju se sredstva za programe investicijske potpore ustanovama kulture kojima su osnivači jedinice lokalne uprave i samouprave (programi sanacije, adaptacije, uređenja i opremanje muezja, knjižnica i centara za kulturu). </w:t>
      </w:r>
    </w:p>
    <w:p w:rsidR="00AC0832" w:rsidRDefault="00AC0832">
      <w:pPr>
        <w:pStyle w:val="Normal6"/>
      </w:pPr>
      <w:r>
        <w:t>U 2012. godini financirano je preko 190 programa pri čemu nije bilo odstupanaj od planiranih sredstava.</w:t>
      </w:r>
    </w:p>
    <w:p w:rsidR="00AC0832" w:rsidRDefault="00AC0832">
      <w:pPr>
        <w:pStyle w:val="Heading6"/>
      </w:pPr>
      <w:r>
        <w:t>K565029 NACIONALNI PROGRAM DIGITALIZACIJE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K565029-NACIONALNI PROGRAM DIGITALIZACIJE</w:t>
            </w:r>
          </w:p>
        </w:tc>
        <w:tc>
          <w:tcPr>
            <w:tcW w:w="2322" w:type="dxa"/>
          </w:tcPr>
          <w:p w:rsidR="00AC0832" w:rsidRDefault="00AC0832">
            <w:pPr>
              <w:pStyle w:val="CellColumn"/>
            </w:pPr>
            <w:r>
              <w:t>770.000</w:t>
            </w:r>
          </w:p>
        </w:tc>
        <w:tc>
          <w:tcPr>
            <w:tcW w:w="2322" w:type="dxa"/>
          </w:tcPr>
          <w:p w:rsidR="00AC0832" w:rsidRDefault="00AC0832">
            <w:pPr>
              <w:pStyle w:val="CellColumn"/>
            </w:pPr>
            <w:r>
              <w:t>770.000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svrhu uspostave jedinstvenog informacijskog sustava kulturnih dobara Republike Hrvatske Nacionalni program digitalizacije arhivske, knjižnične i muzejske  građe nastavlja razvoj dostuponosti kulturne baštine u digitalnom okruženju u 2012. godini. U 2012. godini Ministarstvo kulture financiralo je ukupno 43 programa. Nije bilo odstupanja od planiranih sredstava.</w:t>
      </w:r>
    </w:p>
    <w:p w:rsidR="00AC0832" w:rsidRDefault="00AC0832">
      <w:pPr>
        <w:pStyle w:val="Heading5"/>
      </w:pPr>
      <w:r>
        <w:t>3908 ZAŠTITA KULTURNIH DOBARA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3908-ZAŠTITA KULTURNIH DOBARA</w:t>
            </w:r>
          </w:p>
        </w:tc>
        <w:tc>
          <w:tcPr>
            <w:tcW w:w="2322" w:type="dxa"/>
          </w:tcPr>
          <w:p w:rsidR="00AC0832" w:rsidRDefault="00AC0832">
            <w:pPr>
              <w:pStyle w:val="CellColumn"/>
            </w:pPr>
            <w:r>
              <w:t>142.009.258</w:t>
            </w:r>
          </w:p>
        </w:tc>
        <w:tc>
          <w:tcPr>
            <w:tcW w:w="2322" w:type="dxa"/>
          </w:tcPr>
          <w:p w:rsidR="00AC0832" w:rsidRDefault="00AC0832">
            <w:pPr>
              <w:pStyle w:val="CellColumn"/>
            </w:pPr>
            <w:r>
              <w:t>116.870.354</w:t>
            </w:r>
          </w:p>
        </w:tc>
        <w:tc>
          <w:tcPr>
            <w:tcW w:w="2322" w:type="dxa"/>
          </w:tcPr>
          <w:p w:rsidR="00AC0832" w:rsidRDefault="00AC0832">
            <w:pPr>
              <w:pStyle w:val="CellColumn"/>
            </w:pPr>
            <w:r>
              <w:t>82,3</w:t>
            </w:r>
          </w:p>
        </w:tc>
      </w:tr>
    </w:tbl>
    <w:p w:rsidR="00AC0832" w:rsidRDefault="00AC0832">
      <w:pPr>
        <w:jc w:val="left"/>
      </w:pPr>
    </w:p>
    <w:p w:rsidR="00AC0832" w:rsidRDefault="00AC0832">
      <w:pPr>
        <w:pStyle w:val="Heading6"/>
      </w:pPr>
      <w:r>
        <w:t>Opis programa</w:t>
      </w:r>
    </w:p>
    <w:p w:rsidR="00AC0832" w:rsidRDefault="00AC0832">
      <w:pPr>
        <w:pStyle w:val="Normal5"/>
      </w:pPr>
      <w:r>
        <w:t xml:space="preserve">Zaštitom i očuvanjem kulturne baštine Ministarstvo kulture osigurava postojanost kulturnih vrijednosti kao i potencijala za daljnji razvitak Republike Hrvatske, njenu afirmaciju, stimulaciju ekonomske konkurentnosti i kvalitetnijeg života u europskom okruženju. </w:t>
      </w:r>
    </w:p>
    <w:p w:rsidR="00AC0832" w:rsidRDefault="00AC0832">
      <w:pPr>
        <w:pStyle w:val="Normal5"/>
      </w:pPr>
      <w:r>
        <w:t xml:space="preserve">Kulturnu baštinu čine pokretna i nepokretna kulturna dobra od umjetničkoga, povijesnoga, paleontološkoga, arheološkoga, antropološkog i znanstvenog značenja kao i dokumentacija i bibliografska baština i zgrade, odnosno prostori u kojima se trajno čuvaju ili izlažu kulturna dobra i dokumentacija o njima. Kulturna baština također su i arheološka nalazišta i arheološke zone, krajolici i njihovi dijelovi koji svjedoče o čovjekovoj prisutnosti u prostoru te nematerijalni oblici kulturne baštine i pojave čovjekova duhovnog stvaralaštva u prošlosti. Vrijednosti kulturne baštine prepoznajemo kao starosne, povijesne, kulturne, umjetničke i autentične. </w:t>
      </w:r>
    </w:p>
    <w:p w:rsidR="00AC0832" w:rsidRDefault="00AC0832">
      <w:pPr>
        <w:pStyle w:val="Normal5"/>
      </w:pPr>
      <w:r>
        <w:t xml:space="preserve">Zaštita i očuvanje kulturne baštine provodi se sustavom od 20 konzervatorskih odjela koji djeluju u sklopu Uprave za zaštitu kulturne baštine te kroz Upravu za arhivsku djelatnost i arheološku baštinu. Ostali proračunski korisnici iz područja kulture koji ne djeluju u sklopu Uprave za zaštitu kulturne baštine su Hrvatski restauratorski zavod, Zavod za obnovu Dubrovnika i Međunarodni centar za podvodnu arheologiju u Zadru (MCPA). </w:t>
      </w:r>
    </w:p>
    <w:p w:rsidR="00AC0832" w:rsidRDefault="00AC0832">
      <w:pPr>
        <w:pStyle w:val="Normal5"/>
      </w:pPr>
      <w:r>
        <w:t xml:space="preserve">Ovim Programom osigurati će se provedba posebnog cilja 4.5. Zaštićena i očuvana kulturna baština, Općeg cilja 4. Poticanje znanja, izvrsnosti i kulture utvrđenog Strategijom Vladinih programa za razdoblje 2011.-2013. godine. </w:t>
      </w:r>
    </w:p>
    <w:p w:rsidR="00AC0832" w:rsidRDefault="00AC0832">
      <w:pPr>
        <w:pStyle w:val="Normal5"/>
      </w:pPr>
      <w:r>
        <w:t>U 2012. godini utrošeno je 82,3% od planiranih sredstava. Razlog tome je manji prihod od rente zbog promjene Zakona o renti.</w:t>
      </w:r>
    </w:p>
    <w:p w:rsidR="00AC0832" w:rsidRDefault="00AC0832">
      <w:pPr>
        <w:pStyle w:val="Heading6"/>
      </w:pPr>
      <w:r>
        <w:t>Zakonske i druge pravne osnove</w:t>
      </w:r>
    </w:p>
    <w:p w:rsidR="00AC0832" w:rsidRDefault="00AC0832">
      <w:pPr>
        <w:pStyle w:val="Normal5"/>
      </w:pPr>
      <w:r>
        <w:t xml:space="preserve">Temeljni zakonski i pravni okvir je Zakon o zaštiti i očuvanju kulturnih dobara (NN 69/99, NN 151/03; NN 157/03 Ispravak, NN 87/09, NN 88/10 ) </w:t>
      </w:r>
    </w:p>
    <w:p w:rsidR="00AC0832" w:rsidRDefault="00AC0832">
      <w:pPr>
        <w:pStyle w:val="Normal5"/>
      </w:pPr>
      <w:r>
        <w:t>Glavne strateške smjernice ciljeva i aktivnosti ovoga Programa sadržane su u strateškim dokumentima "Strategija zaštite, očuvanja i održivog gospodarskog korištenja kulturne baštine Republike Hrvatske za razdoblje 2011. – 2015.", ”Strategija Vladinih programa za razdoblje 2012.-2014.”, “Strateški okvir za razvoj 2006.–2013.“, ”Stratateški plan Ministarstva kulture 2012.-2014.”, ”Strategija razvoja arhivske službe u Republici Hrvatskoj”, ”Strategija razvoja kulturnog turizma”, ”Strategija razvoja hrvatskog turizma do 2010. godine”, “Strategija regionalnog razvoja Republike Hrvatske“ te “Operativni program za regionalnu konkurentnost“ i “Operativni programi za prekograničnu suradnju“.</w:t>
      </w:r>
    </w:p>
    <w:p w:rsidR="00AC0832" w:rsidRDefault="00AC0832">
      <w:pPr>
        <w:pStyle w:val="Heading7"/>
      </w:pPr>
      <w:r>
        <w:t>Cilj 1. Uspostava i objava cjelovitog Registra kulturnih dobara Republike Hrvatske</w:t>
      </w:r>
    </w:p>
    <w:p w:rsidR="00AC0832" w:rsidRDefault="00AC0832">
      <w:pPr>
        <w:pStyle w:val="Heading8"/>
        <w:jc w:val="left"/>
      </w:pPr>
      <w:r>
        <w:t>Opis provedbe cilja programa</w:t>
      </w:r>
    </w:p>
    <w:p w:rsidR="00AC0832" w:rsidRDefault="00AC0832">
      <w:pPr>
        <w:pStyle w:val="Normal6"/>
      </w:pPr>
      <w:r>
        <w:t>Registar kulturnih dobara ključni je dio cjelokupnog informacijskog i dokumentacijskog sustava zaštite i upravljanja kulturnim dobrima bez čije cjelovitosti i dostupnosti nije moguće osigurati punu primjenu sustava upravljanja kulturnim dobrima. Revidiranjem rješenja o upisanim kulturnim dobrima u Registar kulturnih dobara izvršiti će se nužno usuglašavanje sa važećim propisima: Zakon o zaštiti i očuvanju kulturnih dobara (NN 69/99, NN 151/03; NN 157/03 Ispravak, NN 87/09) i Zakon o zemljišnim knjigama (NN 91/96). Podaci o kulturnim dobrima prikupljani su i obrađivani tijekom duljeg razdoblja te uslijed promjena do kojih u međuvremenu dolazi nisu uvijek dovoljno pouzdani, što stvara poteškoće u upravljanju kulturnim dobrima. Razmjerno opsežna dokumentacija o kulturnim dobrima nalazi se u raznim zbirkama Ministarstva kulture i ustanova uključenih u sustav zaštite te ju je potrebno ujednačiti i obuhvatiti jedinstvenim informacijskim sustavom kako bi u cjelini bila dostupna svim subjektima u sustavu zaštite. Također, informacijski sustav predmnijeva izradu Geografskog informacijskog sustava (GIS) kako bi se rješenja o registriranim kulturnim dobrima povezala sa zemljopisnom kartom i pripadajućom katastarskom česticom.</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2"/>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Uspostavljen IT sustav kulturne baštine Republike Hrvatske</w:t>
            </w:r>
          </w:p>
        </w:tc>
        <w:tc>
          <w:tcPr>
            <w:tcW w:w="1300" w:type="dxa"/>
          </w:tcPr>
          <w:p w:rsidR="00AC0832" w:rsidRDefault="00AC0832">
            <w:pPr>
              <w:pStyle w:val="CellColumn"/>
            </w:pPr>
            <w:r>
              <w:t>Omogućit će se pristup cjelovitim podacima o kulturnim dobrima i poduprijeti procesi u upravljanju kulturnom dobrima</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MK</w:t>
            </w:r>
          </w:p>
        </w:tc>
        <w:tc>
          <w:tcPr>
            <w:tcW w:w="1300" w:type="dxa"/>
          </w:tcPr>
          <w:p w:rsidR="00AC0832" w:rsidRDefault="00AC0832">
            <w:pPr>
              <w:pStyle w:val="CellColumn"/>
            </w:pPr>
            <w:r>
              <w:t>20</w:t>
            </w:r>
          </w:p>
        </w:tc>
        <w:tc>
          <w:tcPr>
            <w:tcW w:w="1300" w:type="dxa"/>
          </w:tcPr>
          <w:p w:rsidR="00AC0832" w:rsidRDefault="00AC0832">
            <w:pPr>
              <w:pStyle w:val="CellColumn"/>
            </w:pPr>
            <w:r>
              <w:t>20</w:t>
            </w:r>
          </w:p>
        </w:tc>
      </w:tr>
    </w:tbl>
    <w:p w:rsidR="00AC0832" w:rsidRDefault="00AC0832">
      <w:pPr>
        <w:jc w:val="left"/>
      </w:pPr>
    </w:p>
    <w:p w:rsidR="00AC0832" w:rsidRDefault="00AC0832">
      <w:pPr>
        <w:pStyle w:val="Heading7"/>
      </w:pPr>
      <w:r>
        <w:t>Cilj 2. Osiguran optimalni model zaštite i upravljanja kulturnim dobrima</w:t>
      </w:r>
    </w:p>
    <w:p w:rsidR="00AC0832" w:rsidRDefault="00AC0832">
      <w:pPr>
        <w:pStyle w:val="Heading8"/>
        <w:jc w:val="left"/>
      </w:pPr>
      <w:r>
        <w:t>Opis provedbe cilja programa</w:t>
      </w:r>
    </w:p>
    <w:p w:rsidR="00AC0832" w:rsidRDefault="00AC0832">
      <w:pPr>
        <w:pStyle w:val="Normal6"/>
      </w:pPr>
      <w:r>
        <w:t>Sadašnji sustav upravljanja kulturnim dobrima zasniva se na razmjerno razgranatoj mreži službi i ustanova koje su nadležne za pojedine vrste kulturnih dobara. Velika raznolikost kulturnih dobara te različita normativna rješenja otežavaju uvođenje učinkovitijeg integriranog modela upravljanja. Sustav je izrazito usmjeren na zaštitu, često i nauštrb drugih segmenata upravljanja kulturnim dobrima, što uz slabu uključenost drugih čimbenika (gradovi, općine, korisnici i dr.) ograničava mogućnosti za razvoj i usmjeravanje postojećih resursa. Od 5.760 registriranih nepokretnih kulturnih dobara za njih 90% nedostaju primjereni arhitektonski snimci stanja, odnosno još nisu provedeni odgovarajući istražni radovi. Uslijed velikog broja projekata zaštite i očuvanja kulturnih dobara potrebno je unaprijediti sustav njihova praćenja i vrednovanja. Povećana je učinkovitost ulaganja povećanjem udjela projekata s povećanim opsegom i kraćim rokom završetka radova. Na djelotvorno upravljanje kulturnim dobrima utjeće će se unapređenjem istraživanja i dokumentiranja kulturnih dobara. Uvodi se i razvija integrirani model upravljanja i gospodarenja kulturnim dobrima te usklađuje normativno okruženje. U smislu djelotvornog upravljanja kulturnim dobrima, unaprijeđuju se provedbe Programa zaštite i očuvanja kulturnih dobara, odnosno, povećanje udjela sustavnih projekata u odnosu na interventne i projekte sanacije. Unaprijeđuje se sustav praćenja stanja kulturnih dobara koji obuhvaća sva registrirana kulturna dobra.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postotka zaštićenih i obnovljenih kulturnih dobara stavljenih u funkciju</w:t>
            </w:r>
          </w:p>
        </w:tc>
        <w:tc>
          <w:tcPr>
            <w:tcW w:w="1300" w:type="dxa"/>
          </w:tcPr>
          <w:p w:rsidR="00AC0832" w:rsidRDefault="00AC0832">
            <w:pPr>
              <w:pStyle w:val="CellColumn"/>
            </w:pPr>
            <w:r>
              <w:t>U povećanju udjela zaštićenih i obnovljenih kulturnih dobara  u odnosu na ukupan broj  registriranih kulturnih dobara stavljenih u funkciju očituje se svrha uspostave optimalnog modela upravljanja kulturnim dobrima</w:t>
            </w:r>
          </w:p>
        </w:tc>
        <w:tc>
          <w:tcPr>
            <w:tcW w:w="1300" w:type="dxa"/>
          </w:tcPr>
          <w:p w:rsidR="00AC0832" w:rsidRDefault="00AC0832">
            <w:pPr>
              <w:pStyle w:val="CellColumn"/>
            </w:pPr>
            <w:r>
              <w:t>%</w:t>
            </w:r>
          </w:p>
        </w:tc>
        <w:tc>
          <w:tcPr>
            <w:tcW w:w="1300" w:type="dxa"/>
          </w:tcPr>
          <w:p w:rsidR="00AC0832" w:rsidRDefault="00AC0832">
            <w:pPr>
              <w:pStyle w:val="CellColumn"/>
            </w:pPr>
            <w:r>
              <w:t>42</w:t>
            </w:r>
          </w:p>
        </w:tc>
        <w:tc>
          <w:tcPr>
            <w:tcW w:w="1300" w:type="dxa"/>
          </w:tcPr>
          <w:p w:rsidR="00AC0832" w:rsidRDefault="00AC0832">
            <w:pPr>
              <w:pStyle w:val="CellColumn"/>
            </w:pPr>
            <w:r>
              <w:t>MK</w:t>
            </w:r>
          </w:p>
        </w:tc>
        <w:tc>
          <w:tcPr>
            <w:tcW w:w="1300" w:type="dxa"/>
          </w:tcPr>
          <w:p w:rsidR="00AC0832" w:rsidRDefault="00AC0832">
            <w:pPr>
              <w:pStyle w:val="CellColumn"/>
            </w:pPr>
            <w:r>
              <w:t>43</w:t>
            </w:r>
          </w:p>
        </w:tc>
        <w:tc>
          <w:tcPr>
            <w:tcW w:w="1300" w:type="dxa"/>
          </w:tcPr>
          <w:p w:rsidR="00AC0832" w:rsidRDefault="00AC0832">
            <w:pPr>
              <w:pStyle w:val="CellColumn"/>
            </w:pPr>
            <w:r>
              <w:t>43</w:t>
            </w:r>
          </w:p>
        </w:tc>
      </w:tr>
    </w:tbl>
    <w:p w:rsidR="00AC0832" w:rsidRDefault="00AC0832">
      <w:pPr>
        <w:jc w:val="left"/>
      </w:pPr>
    </w:p>
    <w:p w:rsidR="00AC0832" w:rsidRDefault="00AC0832">
      <w:pPr>
        <w:pStyle w:val="Heading6"/>
      </w:pPr>
    </w:p>
    <w:p w:rsidR="00AC0832" w:rsidRDefault="00AC0832">
      <w:pPr>
        <w:pStyle w:val="Heading6"/>
      </w:pPr>
      <w:r>
        <w:t>A565010 ZAŠTITNI RADOVI NA NEPOKRETNIM SPOMENICIMA KULTURE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A565010-ZAŠTITNI RADOVI NA NEPOKRETNIM SPOMENICIMA KULTURE</w:t>
            </w:r>
          </w:p>
        </w:tc>
        <w:tc>
          <w:tcPr>
            <w:tcW w:w="2322" w:type="dxa"/>
          </w:tcPr>
          <w:p w:rsidR="00AC0832" w:rsidRDefault="00AC0832">
            <w:pPr>
              <w:pStyle w:val="CellColumn"/>
            </w:pPr>
            <w:r>
              <w:t>79.413.280</w:t>
            </w:r>
          </w:p>
        </w:tc>
        <w:tc>
          <w:tcPr>
            <w:tcW w:w="2322" w:type="dxa"/>
          </w:tcPr>
          <w:p w:rsidR="00AC0832" w:rsidRDefault="00AC0832">
            <w:pPr>
              <w:pStyle w:val="CellColumn"/>
            </w:pPr>
            <w:r>
              <w:t>61.133.267</w:t>
            </w:r>
          </w:p>
        </w:tc>
        <w:tc>
          <w:tcPr>
            <w:tcW w:w="2322" w:type="dxa"/>
          </w:tcPr>
          <w:p w:rsidR="00AC0832" w:rsidRDefault="00AC0832">
            <w:pPr>
              <w:pStyle w:val="CellColumn"/>
            </w:pPr>
            <w:r>
              <w:t>77,0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Ministarstvo kulture provodi kroz mrežu od dvadest konzervatorskih odjela zajedno s Upravom za zaštitu kulturne baštine prikupljanje podataka o kulturnihm dobrima. Aktivnost objedinjuje dokumentiranje, istražne radove te izradu elaborata kao i pohranjivanje podataka. Prikupljeni podaci o kulturnim dobrima sustavno se uvode u informacijsku bazu podataka tvoreći jedinstveni informacijski sustav. </w:t>
      </w:r>
    </w:p>
    <w:p w:rsidR="00AC0832" w:rsidRDefault="00AC0832">
      <w:pPr>
        <w:pStyle w:val="Normal6"/>
      </w:pPr>
      <w:r>
        <w:t xml:space="preserve">Jačanjem kriterija za jednoobraznost dokumentacije uz edukacijske programe, Ministarstvo kulture je pridonijelo kvaliteti prikupljenih i obnovljivih podataka važnih za zaštitu i očuvanje baštine. </w:t>
      </w:r>
    </w:p>
    <w:p w:rsidR="00AC0832" w:rsidRDefault="00AC0832">
      <w:pPr>
        <w:pStyle w:val="Normal6"/>
      </w:pPr>
      <w:r>
        <w:t xml:space="preserve">Prikupljanjem prijava za zaštitne radove na nepokretnim kulturnim dobrima i zaštićenim arheološkim lokalitetima prema Pozivu za predlaganje programa javnih potreba u kulturi Republike Hrvatske, izradom financijske dokumentacije, praćenjem provedbe programa i izradom izvješća o izvršenom  programu osigurana je obnova i prezentacija nepokretnih kulturnih dobara i zaštićenih arheoloških lokaliteta Republike Hrvatske. </w:t>
      </w:r>
    </w:p>
    <w:p w:rsidR="00AC0832" w:rsidRDefault="00AC0832">
      <w:pPr>
        <w:pStyle w:val="Normal6"/>
      </w:pPr>
      <w:r>
        <w:t>U 2012. godini je zbog manjih prihoda od rente zbog promjene Zakona o renti izvršeno 77% programa od planiranog.</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8"/>
        <w:gridCol w:w="1450"/>
        <w:gridCol w:w="1212"/>
        <w:gridCol w:w="1273"/>
        <w:gridCol w:w="1234"/>
        <w:gridCol w:w="1242"/>
        <w:gridCol w:w="125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izrađenih arhitektonskih snimaka postojećeg stanja registriranih nepokretnih kulturnih dobara</w:t>
            </w:r>
          </w:p>
        </w:tc>
        <w:tc>
          <w:tcPr>
            <w:tcW w:w="1300" w:type="dxa"/>
          </w:tcPr>
          <w:p w:rsidR="00AC0832" w:rsidRDefault="00AC0832">
            <w:pPr>
              <w:pStyle w:val="CellColumn"/>
            </w:pPr>
            <w:r>
              <w:t>Povećanjem broja izrađenih arhitektonskih snimka postojećeg stanja povećava se broj kulturnih dobara koje se je moguće obnoviti i očuvati u izvornom stanju</w:t>
            </w:r>
          </w:p>
        </w:tc>
        <w:tc>
          <w:tcPr>
            <w:tcW w:w="1300" w:type="dxa"/>
          </w:tcPr>
          <w:p w:rsidR="00AC0832" w:rsidRDefault="00AC0832">
            <w:pPr>
              <w:pStyle w:val="CellColumn"/>
            </w:pPr>
            <w:r>
              <w:t>Broj</w:t>
            </w:r>
          </w:p>
        </w:tc>
        <w:tc>
          <w:tcPr>
            <w:tcW w:w="1300" w:type="dxa"/>
          </w:tcPr>
          <w:p w:rsidR="00AC0832" w:rsidRDefault="00AC0832">
            <w:pPr>
              <w:pStyle w:val="CellColumn"/>
            </w:pPr>
            <w:r>
              <w:t xml:space="preserve">727 </w:t>
            </w:r>
          </w:p>
          <w:p w:rsidR="00AC0832" w:rsidRDefault="00AC0832">
            <w:pPr>
              <w:pStyle w:val="CellColumn"/>
            </w:pPr>
            <w:r>
              <w:t>(kumulativ)</w:t>
            </w:r>
          </w:p>
        </w:tc>
        <w:tc>
          <w:tcPr>
            <w:tcW w:w="1300" w:type="dxa"/>
          </w:tcPr>
          <w:p w:rsidR="00AC0832" w:rsidRDefault="00AC0832">
            <w:pPr>
              <w:pStyle w:val="CellColumn"/>
            </w:pPr>
            <w:r>
              <w:t>MK</w:t>
            </w:r>
          </w:p>
        </w:tc>
        <w:tc>
          <w:tcPr>
            <w:tcW w:w="1300" w:type="dxa"/>
          </w:tcPr>
          <w:p w:rsidR="00AC0832" w:rsidRDefault="00AC0832">
            <w:pPr>
              <w:pStyle w:val="CellColumn"/>
            </w:pPr>
            <w:r>
              <w:t>740</w:t>
            </w:r>
          </w:p>
        </w:tc>
        <w:tc>
          <w:tcPr>
            <w:tcW w:w="1300" w:type="dxa"/>
          </w:tcPr>
          <w:p w:rsidR="00AC0832" w:rsidRDefault="00AC0832">
            <w:pPr>
              <w:pStyle w:val="CellColumn"/>
            </w:pPr>
            <w:r>
              <w:t>730</w:t>
            </w:r>
          </w:p>
        </w:tc>
      </w:tr>
      <w:tr w:rsidR="00AC0832" w:rsidTr="00BE20ED">
        <w:trPr>
          <w:jc w:val="center"/>
        </w:trPr>
        <w:tc>
          <w:tcPr>
            <w:tcW w:w="1300" w:type="dxa"/>
          </w:tcPr>
          <w:p w:rsidR="00AC0832" w:rsidRDefault="00AC0832">
            <w:pPr>
              <w:pStyle w:val="CellColumn"/>
            </w:pPr>
            <w:r>
              <w:t>Povećanje broja provedenih istražnih radova te izrađenih elaborata i konzervatorskih podloga</w:t>
            </w:r>
          </w:p>
        </w:tc>
        <w:tc>
          <w:tcPr>
            <w:tcW w:w="1300" w:type="dxa"/>
          </w:tcPr>
          <w:p w:rsidR="00AC0832" w:rsidRDefault="00AC0832">
            <w:pPr>
              <w:pStyle w:val="CellColumn"/>
            </w:pPr>
            <w:r>
              <w:t>Povećanjem broja provedenih istražnih radova na kulturnim dobrima prepoznaje se slojevitost i vrijednost kulturnih dobara</w:t>
            </w:r>
          </w:p>
        </w:tc>
        <w:tc>
          <w:tcPr>
            <w:tcW w:w="1300" w:type="dxa"/>
          </w:tcPr>
          <w:p w:rsidR="00AC0832" w:rsidRDefault="00AC0832">
            <w:pPr>
              <w:pStyle w:val="CellColumn"/>
            </w:pPr>
            <w:r>
              <w:t>Broj</w:t>
            </w:r>
          </w:p>
        </w:tc>
        <w:tc>
          <w:tcPr>
            <w:tcW w:w="1300" w:type="dxa"/>
          </w:tcPr>
          <w:p w:rsidR="00AC0832" w:rsidRDefault="00AC0832">
            <w:pPr>
              <w:pStyle w:val="CellColumn"/>
            </w:pPr>
            <w:r>
              <w:t xml:space="preserve">850 </w:t>
            </w:r>
          </w:p>
          <w:p w:rsidR="00AC0832" w:rsidRDefault="00AC0832">
            <w:pPr>
              <w:pStyle w:val="CellColumn"/>
            </w:pPr>
            <w:r>
              <w:t>(kumulativ)</w:t>
            </w:r>
          </w:p>
        </w:tc>
        <w:tc>
          <w:tcPr>
            <w:tcW w:w="1300" w:type="dxa"/>
          </w:tcPr>
          <w:p w:rsidR="00AC0832" w:rsidRDefault="00AC0832">
            <w:pPr>
              <w:pStyle w:val="CellColumn"/>
            </w:pPr>
            <w:r>
              <w:t>MK</w:t>
            </w:r>
          </w:p>
        </w:tc>
        <w:tc>
          <w:tcPr>
            <w:tcW w:w="1300" w:type="dxa"/>
          </w:tcPr>
          <w:p w:rsidR="00AC0832" w:rsidRDefault="00AC0832">
            <w:pPr>
              <w:pStyle w:val="CellColumn"/>
            </w:pPr>
            <w:r>
              <w:t>893</w:t>
            </w:r>
          </w:p>
        </w:tc>
        <w:tc>
          <w:tcPr>
            <w:tcW w:w="1300" w:type="dxa"/>
          </w:tcPr>
          <w:p w:rsidR="00AC0832" w:rsidRDefault="00AC0832">
            <w:pPr>
              <w:pStyle w:val="CellColumn"/>
            </w:pPr>
            <w:r>
              <w:t>860</w:t>
            </w:r>
          </w:p>
        </w:tc>
      </w:tr>
      <w:tr w:rsidR="00AC0832" w:rsidTr="00BE20ED">
        <w:trPr>
          <w:jc w:val="center"/>
        </w:trPr>
        <w:tc>
          <w:tcPr>
            <w:tcW w:w="1300" w:type="dxa"/>
          </w:tcPr>
          <w:p w:rsidR="00AC0832" w:rsidRDefault="00AC0832">
            <w:pPr>
              <w:pStyle w:val="CellColumn"/>
            </w:pPr>
            <w:r>
              <w:t>Povećanje broja provedenih cjelovitih programa zaštite i očuvanja nepokretnih, pokretnih i nematerijalnih kulturnih dobara te programa zaštite i očuvanja  arheoloških zona</w:t>
            </w:r>
          </w:p>
        </w:tc>
        <w:tc>
          <w:tcPr>
            <w:tcW w:w="1300" w:type="dxa"/>
          </w:tcPr>
          <w:p w:rsidR="00AC0832" w:rsidRDefault="00AC0832">
            <w:pPr>
              <w:pStyle w:val="CellColumn"/>
            </w:pPr>
            <w:r>
              <w:t>Povećanjem broja cjelovitih programa zaštite i očuvanja kulturnih dobara u odnosu na interventne programe povećati će se broj kvalitetno provedenih i završenih projekata</w:t>
            </w:r>
          </w:p>
        </w:tc>
        <w:tc>
          <w:tcPr>
            <w:tcW w:w="1300" w:type="dxa"/>
          </w:tcPr>
          <w:p w:rsidR="00AC0832" w:rsidRDefault="00AC0832">
            <w:pPr>
              <w:pStyle w:val="CellColumn"/>
            </w:pPr>
            <w:r>
              <w:t>Broj</w:t>
            </w:r>
          </w:p>
        </w:tc>
        <w:tc>
          <w:tcPr>
            <w:tcW w:w="1300" w:type="dxa"/>
          </w:tcPr>
          <w:p w:rsidR="00AC0832" w:rsidRDefault="00AC0832">
            <w:pPr>
              <w:pStyle w:val="CellColumn"/>
            </w:pPr>
            <w:r>
              <w:t>53</w:t>
            </w:r>
          </w:p>
        </w:tc>
        <w:tc>
          <w:tcPr>
            <w:tcW w:w="1300" w:type="dxa"/>
          </w:tcPr>
          <w:p w:rsidR="00AC0832" w:rsidRDefault="00AC0832">
            <w:pPr>
              <w:pStyle w:val="CellColumn"/>
            </w:pPr>
            <w:r>
              <w:t>MK</w:t>
            </w:r>
          </w:p>
        </w:tc>
        <w:tc>
          <w:tcPr>
            <w:tcW w:w="1300" w:type="dxa"/>
          </w:tcPr>
          <w:p w:rsidR="00AC0832" w:rsidRDefault="00AC0832">
            <w:pPr>
              <w:pStyle w:val="CellColumn"/>
            </w:pPr>
            <w:r>
              <w:t>59</w:t>
            </w:r>
          </w:p>
        </w:tc>
        <w:tc>
          <w:tcPr>
            <w:tcW w:w="1300" w:type="dxa"/>
          </w:tcPr>
          <w:p w:rsidR="00AC0832" w:rsidRDefault="00AC0832">
            <w:pPr>
              <w:pStyle w:val="CellColumn"/>
            </w:pPr>
            <w:r>
              <w:t>57</w:t>
            </w:r>
          </w:p>
        </w:tc>
      </w:tr>
    </w:tbl>
    <w:p w:rsidR="00AC0832" w:rsidRDefault="00AC0832">
      <w:pPr>
        <w:jc w:val="left"/>
      </w:pPr>
    </w:p>
    <w:p w:rsidR="00AC0832" w:rsidRDefault="00AC0832">
      <w:pPr>
        <w:pStyle w:val="Heading6"/>
      </w:pPr>
      <w:r>
        <w:t>A565036 ZAŠTITA POKRETNIH SPOMENIKA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A565036-ZAŠTITA POKRETNIH SPOMENIKA</w:t>
            </w:r>
          </w:p>
        </w:tc>
        <w:tc>
          <w:tcPr>
            <w:tcW w:w="2322" w:type="dxa"/>
          </w:tcPr>
          <w:p w:rsidR="00AC0832" w:rsidRDefault="00AC0832">
            <w:pPr>
              <w:pStyle w:val="CellColumn"/>
            </w:pPr>
            <w:r>
              <w:t>9.500.000</w:t>
            </w:r>
          </w:p>
        </w:tc>
        <w:tc>
          <w:tcPr>
            <w:tcW w:w="2322" w:type="dxa"/>
          </w:tcPr>
          <w:p w:rsidR="00AC0832" w:rsidRDefault="00AC0832">
            <w:pPr>
              <w:pStyle w:val="CellColumn"/>
            </w:pPr>
            <w:r>
              <w:t>9.499.904</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Ministarstvo kulture provodi kroz mrežu od dvadest konzervatorskih odjela zajedno s Upravom za zaštitu kulturne baštine prikupljanje podataka o kulturnihm dobrima. Aktivnost objedinjuje dokumentiranje, istražne radove te izradu elaborata kao i pohranjivanje podataka. Prikupljeni podaci o kulturnim dobrima sustavno se uvode u informacijsku bazu podataka tvoreći jedinstveni informacijski sustav. </w:t>
      </w:r>
    </w:p>
    <w:p w:rsidR="00AC0832" w:rsidRDefault="00AC0832">
      <w:pPr>
        <w:pStyle w:val="Normal6"/>
      </w:pPr>
      <w:r>
        <w:t xml:space="preserve">Jačanjem kriterija za jednoobraznost dokumentacije uz edukacijske programe, Ministarstvo kulture je pridonijelo kvaliteti prikupljenih i obnovljivih podataka važnih za zaštitu i očuvanje baštine. </w:t>
      </w:r>
    </w:p>
    <w:p w:rsidR="00AC0832" w:rsidRDefault="00AC0832">
      <w:pPr>
        <w:pStyle w:val="Normal6"/>
      </w:pPr>
      <w:r>
        <w:t xml:space="preserve">Kontinuirano se provodi dokumentiranje i istražni radovi te inventarizacija zbirki. Prikupljanjem prijava za zaštitne radove na pokretnim i nematerijalnim kulturnim dobrima prema Pozivu za predlaganje programa javnih potreba u kulturi Republike Hrvatske, izradom financijske dokumentacije, praćenjem provedbe programa i izradom izvješća o izvršenom programu osigurana je obnova i prezentacija pokretnih i nematerijalnih kulturnih dobara Republike Hrvatske. </w:t>
      </w:r>
    </w:p>
    <w:p w:rsidR="00AC0832" w:rsidRDefault="00AC0832">
      <w:pPr>
        <w:pStyle w:val="Normal6"/>
      </w:pPr>
      <w:r>
        <w:t>U 2012. godini utrošena sredstva odgovaraju planiraima što znači da nije bilo odstupanja od planiranog iznosa.</w:t>
      </w:r>
    </w:p>
    <w:p w:rsidR="00AC0832" w:rsidRDefault="00AC0832">
      <w:pPr>
        <w:pStyle w:val="Heading6"/>
      </w:pPr>
      <w:r>
        <w:t>A784001 KONZERVATORSKO-ARHEOLOŠKA ISTRAŽIVANJA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A784001-KONZERVATORSKO-ARHEOLOŠKA ISTRAŽIVANJA</w:t>
            </w:r>
          </w:p>
        </w:tc>
        <w:tc>
          <w:tcPr>
            <w:tcW w:w="2322" w:type="dxa"/>
          </w:tcPr>
          <w:p w:rsidR="00AC0832" w:rsidRDefault="00AC0832">
            <w:pPr>
              <w:pStyle w:val="CellColumn"/>
            </w:pPr>
            <w:r>
              <w:t>3.000.000</w:t>
            </w:r>
          </w:p>
        </w:tc>
        <w:tc>
          <w:tcPr>
            <w:tcW w:w="2322" w:type="dxa"/>
          </w:tcPr>
          <w:p w:rsidR="00AC0832" w:rsidRDefault="00AC0832">
            <w:pPr>
              <w:pStyle w:val="CellColumn"/>
            </w:pPr>
            <w:r>
              <w:t>105.000</w:t>
            </w:r>
          </w:p>
        </w:tc>
        <w:tc>
          <w:tcPr>
            <w:tcW w:w="2322" w:type="dxa"/>
          </w:tcPr>
          <w:p w:rsidR="00AC0832" w:rsidRDefault="00AC0832">
            <w:pPr>
              <w:pStyle w:val="CellColumn"/>
            </w:pPr>
            <w:r>
              <w:t>3,5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Obveza istraživanja kulturne baštine kojoj prijeti nepovratno uništenje propisana je Zakonom o zaštiti i očuvanju kulturnih dobara, na osobitu zaštitu kulturnih vrijednsoti obvezuje i Ustav RH, a Europska konvencija o zaštiti arheološke baštine (revidirana 1992. godine) ratificirana je od Hrvatskog Sabora u travnju 2004. godine. U njoj je arheološka baština definirana kao suštinska za poznavanje povijesti čovječanstva, a Konvencija govori o ozbiljnoj ugroženosti arheološke baštine zbog rastućeg broja velikih graditeljskih pothvata, tajnih iil neznanstvenih istraživanja ili nedovoljno razvijene svijesti javnosti. </w:t>
      </w:r>
    </w:p>
    <w:p w:rsidR="00AC0832" w:rsidRDefault="00AC0832">
      <w:pPr>
        <w:pStyle w:val="Normal6"/>
      </w:pPr>
      <w:r>
        <w:t>Uslijed smanjenja građevinskih aktivnosti na izgradnji infrastrukture (autoceste, magistralne ceste, plinovodi, vodna mreža, poslovne zone) tj. zbog zastoja u investiranju Ministarstvo kutlure je u 2012. godini ostvarilo samo 3,5% planiraniog iznosa.</w:t>
      </w:r>
    </w:p>
    <w:p w:rsidR="00AC0832" w:rsidRDefault="00AC0832">
      <w:pPr>
        <w:pStyle w:val="Heading6"/>
      </w:pPr>
      <w:r>
        <w:t>K565057 ISTRAŽIVANJE, OBNOVA I REVITALIZACIJA KULTURNE BAŠTINE ILOK-VUKOVAR-VUČEDOL (ZAJAM CEB-a)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K565057-ISTRAŽIVANJE, OBNOVA I REVITALIZACIJA KULTURNE BAŠTINE ILOK-VUKOVAR-VUČEDOL (ZAJAM CEB-a)</w:t>
            </w:r>
          </w:p>
        </w:tc>
        <w:tc>
          <w:tcPr>
            <w:tcW w:w="2322" w:type="dxa"/>
          </w:tcPr>
          <w:p w:rsidR="00AC0832" w:rsidRDefault="00AC0832">
            <w:pPr>
              <w:pStyle w:val="CellColumn"/>
            </w:pPr>
            <w:r>
              <w:t>45.000.000</w:t>
            </w:r>
          </w:p>
        </w:tc>
        <w:tc>
          <w:tcPr>
            <w:tcW w:w="2322" w:type="dxa"/>
          </w:tcPr>
          <w:p w:rsidR="00AC0832" w:rsidRDefault="00AC0832">
            <w:pPr>
              <w:pStyle w:val="CellColumn"/>
            </w:pPr>
            <w:r>
              <w:t>45.000.000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Projektom se ulagalo u istraživanje, obnovu i revitalizaciju povijesne i kutlurne baštine te ulaganja u znanstvene objekte (istraživački centar Vučedol), nove muzejske postave u dvorcima Odescalchi u Iloku  i Eltz u Vukovaru. Sredstva su ulagana u dovršetak izgradnje Muzeja Vučedolske kulture na arheološkom lokalitetu Vučedol, kao i u sadržaje namijenjene daljnjem stručnom usavršavanju. U 2012. godini nije bilo odstupanja od plana.</w:t>
      </w:r>
    </w:p>
    <w:p w:rsidR="00AC0832" w:rsidRDefault="00AC0832">
      <w:pPr>
        <w:pStyle w:val="Heading6"/>
      </w:pPr>
      <w:r>
        <w:t>K781005 IPA I  2009 OBNOVA MAŠKOVIĆA HANA I GOSPODARSKA REVITALIZACIJA MJESTA VRANA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88"/>
        <w:gridCol w:w="1656"/>
        <w:gridCol w:w="2322"/>
        <w:gridCol w:w="2322"/>
      </w:tblGrid>
      <w:tr w:rsidR="00AC0832" w:rsidTr="00DF0D8F">
        <w:trPr>
          <w:jc w:val="center"/>
        </w:trPr>
        <w:tc>
          <w:tcPr>
            <w:tcW w:w="2988" w:type="dxa"/>
            <w:shd w:val="clear" w:color="auto" w:fill="B5C0D8"/>
          </w:tcPr>
          <w:p w:rsidR="00AC0832" w:rsidRDefault="00AC0832">
            <w:pPr>
              <w:pStyle w:val="CellHeader"/>
            </w:pPr>
            <w:r>
              <w:t>Naziv aktivnosti</w:t>
            </w:r>
          </w:p>
        </w:tc>
        <w:tc>
          <w:tcPr>
            <w:tcW w:w="1656"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DF0D8F">
        <w:trPr>
          <w:jc w:val="center"/>
        </w:trPr>
        <w:tc>
          <w:tcPr>
            <w:tcW w:w="2988" w:type="dxa"/>
          </w:tcPr>
          <w:p w:rsidR="00AC0832" w:rsidRDefault="00AC0832">
            <w:pPr>
              <w:pStyle w:val="CellColumn"/>
            </w:pPr>
            <w:r>
              <w:t>K781005-IPA I  2009 OBNOVA MAŠKOVIĆA HANA I GOSPODARSKA REVITALIZACIJA MJESTA VRANA</w:t>
            </w:r>
          </w:p>
        </w:tc>
        <w:tc>
          <w:tcPr>
            <w:tcW w:w="1656" w:type="dxa"/>
          </w:tcPr>
          <w:p w:rsidR="00AC0832" w:rsidRDefault="00AC0832">
            <w:pPr>
              <w:pStyle w:val="CellColumn"/>
            </w:pPr>
            <w:r>
              <w:t>5.095.978</w:t>
            </w:r>
          </w:p>
        </w:tc>
        <w:tc>
          <w:tcPr>
            <w:tcW w:w="2322" w:type="dxa"/>
          </w:tcPr>
          <w:p w:rsidR="00AC0832" w:rsidRDefault="00AC0832">
            <w:pPr>
              <w:pStyle w:val="CellColumn"/>
            </w:pPr>
            <w:r>
              <w:t>1.132.183</w:t>
            </w:r>
          </w:p>
        </w:tc>
        <w:tc>
          <w:tcPr>
            <w:tcW w:w="2322" w:type="dxa"/>
          </w:tcPr>
          <w:p w:rsidR="00AC0832" w:rsidRDefault="00AC0832">
            <w:pPr>
              <w:pStyle w:val="CellColumn"/>
            </w:pPr>
            <w:r>
              <w:t>22,2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2012. godini planirana sredstva nisu u potpunosti iskorištena (iskorišteno je samo 22%) s obzirom da u trenutku planiranja nacionalnih i EU sredstava neki ugovori u sklopu projekta još nisu bili potpisani te se sredstva nisu mogla dovoljno precizno planirati (planirano prema prvobitnom planu nabave), točnije bila su planirana u većem iznosu nego što je iskorišteno. Dinamika plaćanja ovisi o pojedinim vrstama ugovora te je vezana uz datum potpisa i početak provedbe ugovora.</w:t>
      </w:r>
    </w:p>
    <w:p w:rsidR="00AC0832" w:rsidRDefault="00AC0832">
      <w:pPr>
        <w:pStyle w:val="Heading2"/>
      </w:pPr>
      <w:r>
        <w:t>05535 Arhivi</w:t>
      </w:r>
    </w:p>
    <w:p w:rsidR="00AC0832" w:rsidRDefault="00AC0832">
      <w:pPr>
        <w:pStyle w:val="Heading4"/>
      </w:pPr>
      <w:r>
        <w:t>Uvod</w:t>
      </w:r>
    </w:p>
    <w:p w:rsidR="00AC0832" w:rsidRDefault="00AC0832">
      <w:pPr>
        <w:pStyle w:val="Normal3"/>
      </w:pPr>
      <w:r>
        <w:t>Arhivsku službu u Republici Hrvatskoj čine Hrvatski državni arhiv, 18 područnih državnih arhiva i Hrvatski memorijalno-dokumentacijski centar Domovinskog rata. Temeljne zadaće arhiva su: dugoročna zaštita arhivskog gradiva kao važnog dijela nacionalne kulturne i povijesne baštine, sređivanje, popisivanje i objavljivanje arhivskog gradiva, osiguranje dostupnosti i korištenja gradiva u arhivima, redovito preuzimanje novoga gradiva, stručni nadzor nad zaštitom i obradom dokumentacije koje nastaje radom državnih tijela i drugih javnih službi te pružanje podrške u vrednovanju i izlučivanju, organiziranje predavanja, izložbi i drugih kulturnih i obrazovnih aktivnosti. Državni arhivi u Hrvatskoj čuvaju oko 100.000 dužnih metara klasičnog gradiva na papiru i pergameni, 25 milijuna metara filmske vrpce, oko milijun fotografija te značajne količine vrijednog kartografskog, grafičkog i drugog gradiva. U njihovoj nadležnosti nalazi se 5.711 kategoriziranih stvaratelja javnoga i privatnog arhivskog gradiva kojima pružaju podršku u upravljanju njihovom dokumentacijom i čije gradivo trajne vrijednosti preuzimaju istekom određenih rokova. U 2012. godini nije bilo odstupanja od plana.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05535-Arhivi</w:t>
            </w:r>
          </w:p>
        </w:tc>
        <w:tc>
          <w:tcPr>
            <w:tcW w:w="2322" w:type="dxa"/>
          </w:tcPr>
          <w:p w:rsidR="00AC0832" w:rsidRDefault="00AC0832">
            <w:pPr>
              <w:pStyle w:val="CellColumn"/>
            </w:pPr>
            <w:r>
              <w:t>82.326.267</w:t>
            </w:r>
          </w:p>
        </w:tc>
        <w:tc>
          <w:tcPr>
            <w:tcW w:w="2322" w:type="dxa"/>
          </w:tcPr>
          <w:p w:rsidR="00AC0832" w:rsidRDefault="00AC0832">
            <w:pPr>
              <w:pStyle w:val="CellColumn"/>
            </w:pPr>
            <w:r>
              <w:t>82.311.650</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Small"/>
            </w:pPr>
            <w:r>
              <w:t>3902-ARHIVSKA DJELATNOST</w:t>
            </w:r>
          </w:p>
        </w:tc>
        <w:tc>
          <w:tcPr>
            <w:tcW w:w="2322" w:type="dxa"/>
          </w:tcPr>
          <w:p w:rsidR="00AC0832" w:rsidRDefault="00AC0832">
            <w:pPr>
              <w:pStyle w:val="CellColumnSmall"/>
            </w:pPr>
            <w:r>
              <w:t>82.326.267</w:t>
            </w:r>
          </w:p>
        </w:tc>
        <w:tc>
          <w:tcPr>
            <w:tcW w:w="2322" w:type="dxa"/>
          </w:tcPr>
          <w:p w:rsidR="00AC0832" w:rsidRDefault="00AC0832">
            <w:pPr>
              <w:pStyle w:val="CellColumnSmall"/>
            </w:pPr>
            <w:r>
              <w:t>82.311.650</w:t>
            </w:r>
          </w:p>
        </w:tc>
        <w:tc>
          <w:tcPr>
            <w:tcW w:w="2322" w:type="dxa"/>
          </w:tcPr>
          <w:p w:rsidR="00AC0832" w:rsidRDefault="00AC0832">
            <w:pPr>
              <w:pStyle w:val="CellColumnSmall"/>
            </w:pPr>
            <w:r>
              <w:t>100,0</w:t>
            </w:r>
          </w:p>
        </w:tc>
      </w:tr>
    </w:tbl>
    <w:p w:rsidR="00AC0832" w:rsidRDefault="00AC0832">
      <w:pPr>
        <w:jc w:val="left"/>
      </w:pPr>
    </w:p>
    <w:p w:rsidR="00AC0832" w:rsidRDefault="00AC0832">
      <w:pPr>
        <w:pStyle w:val="Heading4"/>
      </w:pPr>
      <w:r>
        <w:t>OBRAZLOŽENJE PROGRAMA</w:t>
      </w:r>
    </w:p>
    <w:p w:rsidR="00AC0832" w:rsidRDefault="00AC0832">
      <w:pPr>
        <w:pStyle w:val="Heading5"/>
      </w:pPr>
      <w:r>
        <w:t>3902 ARHIVSKA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3902-ARHIVSKA DJELATNOST</w:t>
            </w:r>
          </w:p>
        </w:tc>
        <w:tc>
          <w:tcPr>
            <w:tcW w:w="2322" w:type="dxa"/>
          </w:tcPr>
          <w:p w:rsidR="00AC0832" w:rsidRDefault="00AC0832">
            <w:pPr>
              <w:pStyle w:val="CellColumn"/>
            </w:pPr>
            <w:r>
              <w:t>82.326.267</w:t>
            </w:r>
          </w:p>
        </w:tc>
        <w:tc>
          <w:tcPr>
            <w:tcW w:w="2322" w:type="dxa"/>
          </w:tcPr>
          <w:p w:rsidR="00AC0832" w:rsidRDefault="00AC0832">
            <w:pPr>
              <w:pStyle w:val="CellColumn"/>
            </w:pPr>
            <w:r>
              <w:t>82.311.650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Opis programa</w:t>
      </w:r>
    </w:p>
    <w:p w:rsidR="00AC0832" w:rsidRDefault="00AC0832">
      <w:pPr>
        <w:pStyle w:val="Normal5"/>
      </w:pPr>
      <w:r>
        <w:t xml:space="preserve">Temeljne zadaće arhiva su redovito preuzimanje novog gradiva koje nastaje radom državnih tijela i drugih javnih službi, te zaštita, obrada, osgiuranje dostupnosti i poticanje arhivskog gradiv.Godišnje nastaje oko 2.500 dužnih metara gradiva trajne vrijednosti koje trebaju preuzeti arhivi te primjereno obraditi i zaštititi. Zbog neadekvatnih prostornih i tehničkih uvjeta većina arhiva nije u mogućnosti smjestiti gradivo. </w:t>
      </w:r>
    </w:p>
    <w:p w:rsidR="00AC0832" w:rsidRDefault="00AC0832">
      <w:pPr>
        <w:pStyle w:val="Normal5"/>
      </w:pPr>
      <w:r>
        <w:t>Rashodi u 2012. godini odgovaraju planiranim iznosima , što znači da nije bilo odstupanja.</w:t>
      </w:r>
    </w:p>
    <w:p w:rsidR="00AC0832" w:rsidRDefault="00AC0832">
      <w:pPr>
        <w:pStyle w:val="Heading6"/>
      </w:pPr>
      <w:r>
        <w:t>Zakonske i druge pravne osnove</w:t>
      </w:r>
    </w:p>
    <w:p w:rsidR="00AC0832" w:rsidRDefault="00AC0832">
      <w:pPr>
        <w:pStyle w:val="Normal5"/>
      </w:pPr>
      <w:r>
        <w:t xml:space="preserve">Zakoni: </w:t>
      </w:r>
    </w:p>
    <w:p w:rsidR="00AC0832" w:rsidRDefault="00AC0832">
      <w:pPr>
        <w:pStyle w:val="Normal5"/>
      </w:pPr>
      <w:r>
        <w:t xml:space="preserve">- Zakon o arhivskom gradivu i arhivima (NN 105/97,NN 64/00, NN 65/09) </w:t>
      </w:r>
    </w:p>
    <w:p w:rsidR="00AC0832" w:rsidRDefault="00AC0832">
      <w:pPr>
        <w:pStyle w:val="Normal5"/>
      </w:pPr>
      <w:r>
        <w:t xml:space="preserve">- Zakon o Hrvatskom memorijalno-dokumentacijskom centru Domovinskog rata (NN 178/04) </w:t>
      </w:r>
    </w:p>
    <w:p w:rsidR="00AC0832" w:rsidRDefault="00AC0832">
      <w:pPr>
        <w:pStyle w:val="Normal5"/>
      </w:pPr>
      <w:r>
        <w:t xml:space="preserve">- Popis imalaca arhivske i registraturne građe prve i druge kategorije u nadležnosti arhiva Hrvatske (NN 15/89) </w:t>
      </w:r>
    </w:p>
    <w:p w:rsidR="00AC0832" w:rsidRDefault="00AC0832">
      <w:pPr>
        <w:pStyle w:val="Normal5"/>
      </w:pPr>
      <w:r>
        <w:t xml:space="preserve">Pravilnici: </w:t>
      </w:r>
    </w:p>
    <w:p w:rsidR="00AC0832" w:rsidRDefault="00AC0832">
      <w:pPr>
        <w:pStyle w:val="Normal5"/>
      </w:pPr>
      <w:r>
        <w:t xml:space="preserve">- Pravilnik o zaštiti i čuvanju arhivskog i registraturnog gradiva izvan arhiva (NN 63/04,106/07) </w:t>
      </w:r>
    </w:p>
    <w:p w:rsidR="00AC0832" w:rsidRDefault="00AC0832">
      <w:pPr>
        <w:pStyle w:val="Normal5"/>
      </w:pPr>
      <w:r>
        <w:t xml:space="preserve">- Pravilnik o uvjetima smještaja, opreme, zaštite i obrade arhivskog gradiva, broju i strukturi stručnog osoblja arhiva (NN 65/04) </w:t>
      </w:r>
    </w:p>
    <w:p w:rsidR="00AC0832" w:rsidRDefault="00AC0832">
      <w:pPr>
        <w:pStyle w:val="Normal5"/>
      </w:pPr>
      <w:r>
        <w:t xml:space="preserve">- Pravilnik o stručnom osposobljavanju i provjeri stručne osposobljenosti djelatnika u pismohranama (NN 93/04) </w:t>
      </w:r>
    </w:p>
    <w:p w:rsidR="00AC0832" w:rsidRDefault="00AC0832">
      <w:pPr>
        <w:pStyle w:val="Normal5"/>
      </w:pPr>
      <w:r>
        <w:t xml:space="preserve">- Pravilnik o korištenju arhivskoga gradiva (NN 67/99) </w:t>
      </w:r>
    </w:p>
    <w:p w:rsidR="00AC0832" w:rsidRDefault="00AC0832">
      <w:pPr>
        <w:pStyle w:val="Normal5"/>
      </w:pPr>
      <w:r>
        <w:t xml:space="preserve">- Pravilnik o predaji arhivskog gradiva arhivima (NN 90/02) </w:t>
      </w:r>
    </w:p>
    <w:p w:rsidR="00AC0832" w:rsidRDefault="00AC0832">
      <w:pPr>
        <w:pStyle w:val="Normal5"/>
      </w:pPr>
      <w:r>
        <w:t xml:space="preserve">- Pravilnik o vrednovanju te postupku odabiranja i izlučivanja arhivskog gradiva (NN 90/02) </w:t>
      </w:r>
    </w:p>
    <w:p w:rsidR="00AC0832" w:rsidRDefault="00AC0832">
      <w:pPr>
        <w:pStyle w:val="Normal5"/>
      </w:pPr>
      <w:r>
        <w:t xml:space="preserve">- Pravilnik o evidencijama u arhivima (NN 90/02, 106/07) </w:t>
      </w:r>
    </w:p>
    <w:p w:rsidR="00AC0832" w:rsidRDefault="00AC0832">
      <w:pPr>
        <w:pStyle w:val="Normal5"/>
      </w:pPr>
      <w:r>
        <w:t xml:space="preserve">- Pravilnik o uvjetima i načinu stjecanja stručnih zvanja u arhivskoj struci (NN 107/10) </w:t>
      </w:r>
    </w:p>
    <w:p w:rsidR="00AC0832" w:rsidRDefault="00AC0832">
      <w:pPr>
        <w:pStyle w:val="Normal5"/>
      </w:pPr>
      <w:r>
        <w:t xml:space="preserve">Uredbe: </w:t>
      </w:r>
    </w:p>
    <w:p w:rsidR="00AC0832" w:rsidRDefault="00AC0832">
      <w:pPr>
        <w:pStyle w:val="Normal5"/>
      </w:pPr>
      <w:r>
        <w:t xml:space="preserve">- Uredba o osnivanju Državnog arhiva u Gospiću (NN 101/99)  </w:t>
      </w:r>
    </w:p>
    <w:p w:rsidR="00AC0832" w:rsidRDefault="00AC0832">
      <w:pPr>
        <w:pStyle w:val="Normal5"/>
      </w:pPr>
      <w:r>
        <w:t xml:space="preserve">- Uredba o osnivanju Državnog arhiva u Šibeniku (NN 7/07) </w:t>
      </w:r>
    </w:p>
    <w:p w:rsidR="00AC0832" w:rsidRDefault="00AC0832">
      <w:pPr>
        <w:pStyle w:val="Normal5"/>
      </w:pPr>
      <w:r>
        <w:t xml:space="preserve">- Uredba o osnivanju Državnog arhiva u Vukovaru (NN 7/07) </w:t>
      </w:r>
    </w:p>
    <w:p w:rsidR="00AC0832" w:rsidRDefault="00AC0832">
      <w:pPr>
        <w:pStyle w:val="Normal5"/>
      </w:pPr>
      <w:r>
        <w:t xml:space="preserve">- Uredba o osnivanju Državnog arhiva za Međimurje (NN 14/07) </w:t>
      </w:r>
    </w:p>
    <w:p w:rsidR="00AC0832" w:rsidRDefault="00AC0832">
      <w:pPr>
        <w:pStyle w:val="Normal5"/>
      </w:pPr>
      <w:r>
        <w:t xml:space="preserve">- Uredba o osnivanju Državnog arhiva u Križevcima (NN 77/08) </w:t>
      </w:r>
    </w:p>
    <w:p w:rsidR="00AC0832" w:rsidRDefault="00AC0832">
      <w:pPr>
        <w:pStyle w:val="Normal5"/>
      </w:pPr>
      <w:r>
        <w:t>- Uredba o osnivanju Državnog arhiva u Virovitici (NN 121/08)</w:t>
      </w:r>
    </w:p>
    <w:p w:rsidR="00AC0832" w:rsidRDefault="00AC0832">
      <w:pPr>
        <w:pStyle w:val="Heading7"/>
      </w:pPr>
      <w:r>
        <w:t>Cilj 1. Poboljšati uvjete za pohranu i dugoročno očuvanje gradiva u arhivima</w:t>
      </w:r>
    </w:p>
    <w:p w:rsidR="00AC0832" w:rsidRDefault="00AC0832">
      <w:pPr>
        <w:pStyle w:val="Heading8"/>
        <w:jc w:val="left"/>
      </w:pPr>
      <w:r>
        <w:t>Opis provedbe cilja programa</w:t>
      </w:r>
    </w:p>
    <w:p w:rsidR="00AC0832" w:rsidRDefault="00AC0832">
      <w:pPr>
        <w:pStyle w:val="Normal6"/>
      </w:pPr>
      <w:r>
        <w:t>U državnim arhivima nalazi se oko 100.000 dužnih metara arhivskog gradiva trajne vrijednosti. Da bi se ono moglo dugoročno očuvati, nužno je držati ga u primjerenim uvjetima te sustavno provoditi aktivne mjere zaštite (preventivne i nadzorne mjere, restauracija i konzervacija, sigurnosno i zaštitno snimanje) kako bi se očekivani životni vijek arhivskih dokumenata produljio i nekoliko puta. Većini arhiva nedostaje spremišnog prostora i/ili opreme za pohranu novoga gradiva koje je dospjelo ili dospijeva za preuzimanje prema zakonom utvrđenim rokovima. Uslijed toga gradivo se dulje zadržava u neprimjerenome prostoru izvan arhiva gdje je izloženo riziku ubrzanog propadanja i nije dostupno korisnicima. Stoga se uređuje i oprema dodatni spremišni prostor za prihvat 6.000 dužnih metara gradiva te u suradnji sa stvarateljima osigurati da 90% ovoga gradiva bude obrađeno i dostupno za korištenje u roku od godinu dana od preuzimanja. Poboljšanjem uvjeta čuvanja gradiva utječe se na produljenje očekivanog životnog vijeka gradiva prosječno za 100% u odnosu na očekivani životni vijek izvan spremišnog prostora.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17"/>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arhivskih jedinica pohranjenih i dostupnih u javnim arhivima</w:t>
            </w:r>
          </w:p>
        </w:tc>
        <w:tc>
          <w:tcPr>
            <w:tcW w:w="1300" w:type="dxa"/>
          </w:tcPr>
          <w:p w:rsidR="00AC0832" w:rsidRDefault="00AC0832">
            <w:pPr>
              <w:pStyle w:val="CellColumn"/>
            </w:pPr>
            <w:r>
              <w:t>Povećanjem broja pohranjenih i dostupnih arhivskih jedinica ostvaruje se svrha preuzimanja i zaštite gradiva u arhivima</w:t>
            </w:r>
          </w:p>
        </w:tc>
        <w:tc>
          <w:tcPr>
            <w:tcW w:w="1300" w:type="dxa"/>
          </w:tcPr>
          <w:p w:rsidR="00AC0832" w:rsidRDefault="00AC0832">
            <w:pPr>
              <w:pStyle w:val="CellColumn"/>
            </w:pPr>
            <w:r>
              <w:t>Broj</w:t>
            </w:r>
          </w:p>
        </w:tc>
        <w:tc>
          <w:tcPr>
            <w:tcW w:w="1300" w:type="dxa"/>
          </w:tcPr>
          <w:p w:rsidR="00AC0832" w:rsidRDefault="00AC0832">
            <w:pPr>
              <w:pStyle w:val="CellColumn"/>
            </w:pPr>
            <w:r>
              <w:t>875.000</w:t>
            </w:r>
          </w:p>
        </w:tc>
        <w:tc>
          <w:tcPr>
            <w:tcW w:w="1300" w:type="dxa"/>
          </w:tcPr>
          <w:p w:rsidR="00AC0832" w:rsidRDefault="00AC0832">
            <w:pPr>
              <w:pStyle w:val="CellColumn"/>
            </w:pPr>
            <w:r>
              <w:t>MK</w:t>
            </w:r>
          </w:p>
        </w:tc>
        <w:tc>
          <w:tcPr>
            <w:tcW w:w="1300" w:type="dxa"/>
          </w:tcPr>
          <w:p w:rsidR="00AC0832" w:rsidRDefault="00AC0832">
            <w:pPr>
              <w:pStyle w:val="CellColumn"/>
            </w:pPr>
            <w:r>
              <w:t>920.000</w:t>
            </w:r>
          </w:p>
        </w:tc>
        <w:tc>
          <w:tcPr>
            <w:tcW w:w="1300" w:type="dxa"/>
          </w:tcPr>
          <w:p w:rsidR="00AC0832" w:rsidRDefault="00AC0832">
            <w:pPr>
              <w:pStyle w:val="CellColumn"/>
            </w:pPr>
            <w:r>
              <w:t>922000</w:t>
            </w:r>
          </w:p>
        </w:tc>
      </w:tr>
    </w:tbl>
    <w:p w:rsidR="00AC0832" w:rsidRDefault="00AC0832">
      <w:pPr>
        <w:jc w:val="left"/>
      </w:pPr>
    </w:p>
    <w:p w:rsidR="00AC0832" w:rsidRDefault="00AC0832">
      <w:pPr>
        <w:pStyle w:val="Heading7"/>
      </w:pPr>
      <w:r>
        <w:t>Cilj 2. Jačati kapacitete za zaštitu, obradu i opis arhivskog gradiva</w:t>
      </w:r>
    </w:p>
    <w:p w:rsidR="00AC0832" w:rsidRDefault="00AC0832">
      <w:pPr>
        <w:pStyle w:val="Heading8"/>
        <w:jc w:val="left"/>
      </w:pPr>
      <w:r>
        <w:t>Opis provedbe cilja programa</w:t>
      </w:r>
    </w:p>
    <w:p w:rsidR="00AC0832" w:rsidRDefault="00AC0832">
      <w:pPr>
        <w:pStyle w:val="Normal6"/>
      </w:pPr>
      <w:r>
        <w:t>Uslijed često nedovoljne ili neprimjerene sređenosti gradiva prije preuzimanja u arhive (1.000 – 1.500 dužnih metara godišnje) i time uvjetovanih zaostataka u obradi iz prethodnog razdoblja (oko 20.000 dužnih metara) povećava se kapacitet arhiva za obradu i opis gradiva optimizacijom procesa obrade, preusmjeravanjem postojećih resursa, jačanjem stručnih kompetencija kroz programe stručnog usavršavanja i izgradnju mreža stručnjaka za obradu pojedinih vrsta gradiva te podrškom posebnim programima ubrzane obrade gradiva, s ciljem povećanja kapaciteta obrade na 2.000 dužnih metara gradiva godišnje.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06"/>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Porast arhivskih fondova i zbirki u čijoj se obradi primjenjuje optimizirani proces obrade gradiva</w:t>
            </w:r>
          </w:p>
        </w:tc>
        <w:tc>
          <w:tcPr>
            <w:tcW w:w="1300" w:type="dxa"/>
          </w:tcPr>
          <w:p w:rsidR="00AC0832" w:rsidRDefault="00AC0832">
            <w:pPr>
              <w:pStyle w:val="CellColumn"/>
            </w:pPr>
            <w:r>
              <w:t>Većim udjelom fondova i zbirki koji se obrađuju primjenom optimiziranog procesa obrade povećava se učinkovitost obrade</w:t>
            </w:r>
          </w:p>
        </w:tc>
        <w:tc>
          <w:tcPr>
            <w:tcW w:w="1300" w:type="dxa"/>
          </w:tcPr>
          <w:p w:rsidR="00AC0832" w:rsidRDefault="00AC0832">
            <w:pPr>
              <w:pStyle w:val="CellColumn"/>
            </w:pPr>
            <w:r>
              <w:t>%</w:t>
            </w:r>
          </w:p>
        </w:tc>
        <w:tc>
          <w:tcPr>
            <w:tcW w:w="1300" w:type="dxa"/>
          </w:tcPr>
          <w:p w:rsidR="00AC0832" w:rsidRDefault="00AC0832">
            <w:pPr>
              <w:pStyle w:val="CellColumn"/>
            </w:pPr>
            <w:r>
              <w:t>20</w:t>
            </w:r>
          </w:p>
        </w:tc>
        <w:tc>
          <w:tcPr>
            <w:tcW w:w="1300" w:type="dxa"/>
          </w:tcPr>
          <w:p w:rsidR="00AC0832" w:rsidRDefault="00AC0832">
            <w:pPr>
              <w:pStyle w:val="CellColumn"/>
            </w:pPr>
            <w:r>
              <w:t>MK</w:t>
            </w:r>
          </w:p>
        </w:tc>
        <w:tc>
          <w:tcPr>
            <w:tcW w:w="1300" w:type="dxa"/>
          </w:tcPr>
          <w:p w:rsidR="00AC0832" w:rsidRDefault="00AC0832">
            <w:pPr>
              <w:pStyle w:val="CellColumn"/>
            </w:pPr>
            <w:r>
              <w:t>40</w:t>
            </w:r>
          </w:p>
        </w:tc>
        <w:tc>
          <w:tcPr>
            <w:tcW w:w="1300" w:type="dxa"/>
          </w:tcPr>
          <w:p w:rsidR="00AC0832" w:rsidRDefault="00AC0832">
            <w:pPr>
              <w:pStyle w:val="CellColumn"/>
            </w:pPr>
            <w:r>
              <w:t>40</w:t>
            </w:r>
          </w:p>
        </w:tc>
      </w:tr>
    </w:tbl>
    <w:p w:rsidR="00AC0832" w:rsidRDefault="00AC0832">
      <w:pPr>
        <w:jc w:val="left"/>
      </w:pPr>
    </w:p>
    <w:p w:rsidR="00AC0832" w:rsidRDefault="00AC0832">
      <w:pPr>
        <w:pStyle w:val="Heading7"/>
      </w:pPr>
      <w:r>
        <w:t>Cilj 3. Poboljšati dostupnost arhivskog gradiva u digitalnom okruženju</w:t>
      </w:r>
    </w:p>
    <w:p w:rsidR="00AC0832" w:rsidRDefault="00AC0832">
      <w:pPr>
        <w:pStyle w:val="Heading8"/>
        <w:jc w:val="left"/>
      </w:pPr>
      <w:r>
        <w:t>Opis provedbe cilja programa</w:t>
      </w:r>
    </w:p>
    <w:p w:rsidR="00AC0832" w:rsidRDefault="00AC0832">
      <w:pPr>
        <w:pStyle w:val="Normal6"/>
      </w:pPr>
      <w:r>
        <w:t>Potporom projektima revizije i konverzije obavijesnih pomagala u digitalni oblik te digitalizacije arhivskog gradiva, dolazi do povećanja mrežno dostupnih opisnih jedinica s 50.000 na 150.000 jedinica, a digitalizacijom 400.000 predložaka udvostručuje se broj korisnicima dostupnih snimaka gradiva. Dostupnošću u digitalnom obliku udvostručuje se broj korištenih jedinica gradiva uz isto opterećenje korisničkih službi arhiva.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mrežno dostupnih opisnih jedinica</w:t>
            </w:r>
          </w:p>
        </w:tc>
        <w:tc>
          <w:tcPr>
            <w:tcW w:w="1300" w:type="dxa"/>
          </w:tcPr>
          <w:p w:rsidR="00AC0832" w:rsidRDefault="00AC0832">
            <w:pPr>
              <w:pStyle w:val="CellColumn"/>
            </w:pPr>
            <w:r>
              <w:t>Povećanje broja mrežno dostupnih opisnih jedinica gradiva povećava dostupnost i intenzitet korištenja arhivskog gradiva</w:t>
            </w:r>
          </w:p>
        </w:tc>
        <w:tc>
          <w:tcPr>
            <w:tcW w:w="1300" w:type="dxa"/>
          </w:tcPr>
          <w:p w:rsidR="00AC0832" w:rsidRDefault="00AC0832">
            <w:pPr>
              <w:pStyle w:val="CellColumn"/>
            </w:pPr>
            <w:r>
              <w:t>Broj</w:t>
            </w:r>
          </w:p>
        </w:tc>
        <w:tc>
          <w:tcPr>
            <w:tcW w:w="1300" w:type="dxa"/>
          </w:tcPr>
          <w:p w:rsidR="00AC0832" w:rsidRDefault="00AC0832">
            <w:pPr>
              <w:pStyle w:val="CellColumn"/>
            </w:pPr>
            <w:r>
              <w:t>60.000</w:t>
            </w:r>
          </w:p>
        </w:tc>
        <w:tc>
          <w:tcPr>
            <w:tcW w:w="1300" w:type="dxa"/>
          </w:tcPr>
          <w:p w:rsidR="00AC0832" w:rsidRDefault="00AC0832">
            <w:pPr>
              <w:pStyle w:val="CellColumn"/>
            </w:pPr>
            <w:r>
              <w:t>MK</w:t>
            </w:r>
          </w:p>
        </w:tc>
        <w:tc>
          <w:tcPr>
            <w:tcW w:w="1300" w:type="dxa"/>
          </w:tcPr>
          <w:p w:rsidR="00AC0832" w:rsidRDefault="00AC0832">
            <w:pPr>
              <w:pStyle w:val="CellColumn"/>
            </w:pPr>
            <w:r>
              <w:t>90.000</w:t>
            </w:r>
          </w:p>
        </w:tc>
        <w:tc>
          <w:tcPr>
            <w:tcW w:w="1300" w:type="dxa"/>
          </w:tcPr>
          <w:p w:rsidR="00AC0832" w:rsidRDefault="00AC0832">
            <w:pPr>
              <w:pStyle w:val="CellColumn"/>
            </w:pPr>
            <w:r>
              <w:t>91000</w:t>
            </w:r>
          </w:p>
        </w:tc>
      </w:tr>
    </w:tbl>
    <w:p w:rsidR="00AC0832" w:rsidRDefault="00AC0832">
      <w:pPr>
        <w:jc w:val="left"/>
      </w:pPr>
    </w:p>
    <w:p w:rsidR="00AC0832" w:rsidRDefault="00AC0832">
      <w:pPr>
        <w:pStyle w:val="Heading6"/>
      </w:pPr>
      <w:r>
        <w:t>A565028 PROGRAMI ARHIVSKE DJELATNOSTI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A565028-PROGRAMI ARHIVSKE DJELATNOSTI</w:t>
            </w:r>
          </w:p>
        </w:tc>
        <w:tc>
          <w:tcPr>
            <w:tcW w:w="2322" w:type="dxa"/>
          </w:tcPr>
          <w:p w:rsidR="00AC0832" w:rsidRDefault="00AC0832">
            <w:pPr>
              <w:pStyle w:val="CellColumn"/>
            </w:pPr>
            <w:r>
              <w:t>12.865.000</w:t>
            </w:r>
          </w:p>
        </w:tc>
        <w:tc>
          <w:tcPr>
            <w:tcW w:w="2322" w:type="dxa"/>
          </w:tcPr>
          <w:p w:rsidR="00AC0832" w:rsidRDefault="00AC0832">
            <w:pPr>
              <w:pStyle w:val="CellColumn"/>
            </w:pPr>
            <w:r>
              <w:t>12.864.248</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Programi arhivske djelatnosti obuhvaćaju objavljivanje arhivskog gradiva i stručnih publikacija, posebne programe restauriranja i zaštitnog snimanja, projektne interventne ili ubrzane obrade gradiva, projekte istraživanja, sukcesije i restitucije arhivskog gradiva iz drugih zemalja, istraživačke i razvojne projekte na području arhivistike i arhivske djelatnosti, uvođenje novih ili poboljšanje postojećih metodologije rada, poboljšanje uvjeta za čuvanje i korištenje arhivskog gradiva te programe rješavanja prostornih kapaciteta arhiva. U 2012. godini nije bilo odstupanja od plana.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9"/>
        <w:gridCol w:w="1384"/>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količine gradiva pohranjenog u arhivima (u dužnim metrima)</w:t>
            </w:r>
          </w:p>
        </w:tc>
        <w:tc>
          <w:tcPr>
            <w:tcW w:w="1300" w:type="dxa"/>
          </w:tcPr>
          <w:p w:rsidR="00AC0832" w:rsidRDefault="00AC0832">
            <w:pPr>
              <w:pStyle w:val="CellColumn"/>
            </w:pPr>
            <w:r>
              <w:t>Osigurat će se preuzimanje arhivskog gradiva koje arhivi trebaju preuzeti u zakonom utvrđenim rokovima</w:t>
            </w:r>
          </w:p>
        </w:tc>
        <w:tc>
          <w:tcPr>
            <w:tcW w:w="1300" w:type="dxa"/>
          </w:tcPr>
          <w:p w:rsidR="00AC0832" w:rsidRDefault="00AC0832">
            <w:pPr>
              <w:pStyle w:val="CellColumn"/>
            </w:pPr>
            <w:r>
              <w:t>Broj</w:t>
            </w:r>
          </w:p>
        </w:tc>
        <w:tc>
          <w:tcPr>
            <w:tcW w:w="1300" w:type="dxa"/>
          </w:tcPr>
          <w:p w:rsidR="00AC0832" w:rsidRDefault="00AC0832">
            <w:pPr>
              <w:pStyle w:val="CellColumn"/>
            </w:pPr>
            <w:r>
              <w:t>100.000</w:t>
            </w:r>
          </w:p>
        </w:tc>
        <w:tc>
          <w:tcPr>
            <w:tcW w:w="1300" w:type="dxa"/>
          </w:tcPr>
          <w:p w:rsidR="00AC0832" w:rsidRDefault="00AC0832">
            <w:pPr>
              <w:pStyle w:val="CellColumn"/>
            </w:pPr>
            <w:r>
              <w:t>MK</w:t>
            </w:r>
          </w:p>
        </w:tc>
        <w:tc>
          <w:tcPr>
            <w:tcW w:w="1300" w:type="dxa"/>
          </w:tcPr>
          <w:p w:rsidR="00AC0832" w:rsidRDefault="00AC0832">
            <w:pPr>
              <w:pStyle w:val="CellColumn"/>
            </w:pPr>
            <w:r>
              <w:t>105.000</w:t>
            </w:r>
          </w:p>
        </w:tc>
        <w:tc>
          <w:tcPr>
            <w:tcW w:w="1300" w:type="dxa"/>
          </w:tcPr>
          <w:p w:rsidR="00AC0832" w:rsidRDefault="00AC0832">
            <w:pPr>
              <w:pStyle w:val="CellColumn"/>
            </w:pPr>
            <w:r>
              <w:t>106802</w:t>
            </w:r>
          </w:p>
        </w:tc>
      </w:tr>
      <w:tr w:rsidR="00AC0832" w:rsidTr="00BE20ED">
        <w:trPr>
          <w:jc w:val="center"/>
        </w:trPr>
        <w:tc>
          <w:tcPr>
            <w:tcW w:w="1300" w:type="dxa"/>
          </w:tcPr>
          <w:p w:rsidR="00AC0832" w:rsidRDefault="00AC0832">
            <w:pPr>
              <w:pStyle w:val="CellColumn"/>
            </w:pPr>
            <w:r>
              <w:t>Poboljšanje uvjeta u arhivskim spremištima izraženo u postotku produljenja očekivanog životnog vijeka</w:t>
            </w:r>
          </w:p>
        </w:tc>
        <w:tc>
          <w:tcPr>
            <w:tcW w:w="1300" w:type="dxa"/>
          </w:tcPr>
          <w:p w:rsidR="00AC0832" w:rsidRDefault="00AC0832">
            <w:pPr>
              <w:pStyle w:val="CellColumn"/>
            </w:pPr>
            <w:r>
              <w:t>Produljenjem očekivanog životnog vijeka izvornog arhivskog gradiva ostvaruje se osnovna svrha dugoročnog čuvanja</w:t>
            </w:r>
          </w:p>
        </w:tc>
        <w:tc>
          <w:tcPr>
            <w:tcW w:w="1300" w:type="dxa"/>
          </w:tcPr>
          <w:p w:rsidR="00AC0832" w:rsidRDefault="00AC0832">
            <w:pPr>
              <w:pStyle w:val="CellColumn"/>
            </w:pPr>
            <w:r>
              <w:t>%</w:t>
            </w:r>
          </w:p>
        </w:tc>
        <w:tc>
          <w:tcPr>
            <w:tcW w:w="1300" w:type="dxa"/>
          </w:tcPr>
          <w:p w:rsidR="00AC0832" w:rsidRDefault="00AC0832">
            <w:pPr>
              <w:pStyle w:val="CellColumn"/>
            </w:pPr>
            <w:r>
              <w:t>75</w:t>
            </w:r>
          </w:p>
        </w:tc>
        <w:tc>
          <w:tcPr>
            <w:tcW w:w="1300" w:type="dxa"/>
          </w:tcPr>
          <w:p w:rsidR="00AC0832" w:rsidRDefault="00AC0832">
            <w:pPr>
              <w:pStyle w:val="CellColumn"/>
            </w:pPr>
            <w:r>
              <w:t>MK</w:t>
            </w:r>
          </w:p>
        </w:tc>
        <w:tc>
          <w:tcPr>
            <w:tcW w:w="1300" w:type="dxa"/>
          </w:tcPr>
          <w:p w:rsidR="00AC0832" w:rsidRDefault="00AC0832">
            <w:pPr>
              <w:pStyle w:val="CellColumn"/>
            </w:pPr>
            <w:r>
              <w:t>85</w:t>
            </w:r>
          </w:p>
        </w:tc>
        <w:tc>
          <w:tcPr>
            <w:tcW w:w="1300" w:type="dxa"/>
          </w:tcPr>
          <w:p w:rsidR="00AC0832" w:rsidRDefault="00AC0832">
            <w:pPr>
              <w:pStyle w:val="CellColumn"/>
            </w:pPr>
            <w:r>
              <w:t>80</w:t>
            </w:r>
          </w:p>
        </w:tc>
      </w:tr>
    </w:tbl>
    <w:p w:rsidR="00AC0832" w:rsidRDefault="00AC0832">
      <w:pPr>
        <w:jc w:val="left"/>
      </w:pPr>
    </w:p>
    <w:p w:rsidR="00AC0832" w:rsidRDefault="00AC0832">
      <w:pPr>
        <w:pStyle w:val="Heading6"/>
      </w:pPr>
      <w:r>
        <w:t>A783000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A783000-ADMINISTRACIJA I UPRAVLJANJE</w:t>
            </w:r>
          </w:p>
        </w:tc>
        <w:tc>
          <w:tcPr>
            <w:tcW w:w="2322" w:type="dxa"/>
          </w:tcPr>
          <w:p w:rsidR="00AC0832" w:rsidRDefault="00AC0832">
            <w:pPr>
              <w:pStyle w:val="CellColumn"/>
            </w:pPr>
            <w:r>
              <w:t>69.461.267</w:t>
            </w:r>
          </w:p>
        </w:tc>
        <w:tc>
          <w:tcPr>
            <w:tcW w:w="2322" w:type="dxa"/>
          </w:tcPr>
          <w:p w:rsidR="00AC0832" w:rsidRDefault="00AC0832">
            <w:pPr>
              <w:pStyle w:val="CellColumn"/>
            </w:pPr>
            <w:r>
              <w:t>69.447.401</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Ova aktivnost obuhvaća osnovnu redovnu djelatnost državnih arhiva: preuzimanje, zaštitu i očuvanje arhivskog gradiva, osiguranje njegove dostupnosti, pružanje usluga korisnicima, stručni nadzor nad stvarateljima i imateljima gradiva izvan arhiva, vrednovanje i izlučivanje gradiva, sređivanje i opis gradiva u arhivu i dr. U 2012. godini nije bilo odstupanja od plana.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5"/>
        <w:gridCol w:w="1440"/>
        <w:gridCol w:w="1287"/>
        <w:gridCol w:w="1291"/>
        <w:gridCol w:w="1290"/>
        <w:gridCol w:w="1291"/>
        <w:gridCol w:w="129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osoba koje su uspješno završile program stručnog usavršavanja</w:t>
            </w:r>
          </w:p>
        </w:tc>
        <w:tc>
          <w:tcPr>
            <w:tcW w:w="1300" w:type="dxa"/>
          </w:tcPr>
          <w:p w:rsidR="00AC0832" w:rsidRDefault="00AC0832">
            <w:pPr>
              <w:pStyle w:val="CellColumn"/>
            </w:pPr>
            <w:r>
              <w:t>Povećanjem broja osposobljenih osoba povećat će učinkovitost rada na obradi i opisu gradiva</w:t>
            </w:r>
          </w:p>
        </w:tc>
        <w:tc>
          <w:tcPr>
            <w:tcW w:w="1300" w:type="dxa"/>
          </w:tcPr>
          <w:p w:rsidR="00AC0832" w:rsidRDefault="00AC0832">
            <w:pPr>
              <w:pStyle w:val="CellColumn"/>
            </w:pPr>
            <w:r>
              <w:t>Broj</w:t>
            </w:r>
          </w:p>
        </w:tc>
        <w:tc>
          <w:tcPr>
            <w:tcW w:w="1300" w:type="dxa"/>
          </w:tcPr>
          <w:p w:rsidR="00AC0832" w:rsidRDefault="00AC0832">
            <w:pPr>
              <w:pStyle w:val="CellColumn"/>
            </w:pPr>
            <w:r>
              <w:t>20</w:t>
            </w:r>
          </w:p>
        </w:tc>
        <w:tc>
          <w:tcPr>
            <w:tcW w:w="1300" w:type="dxa"/>
          </w:tcPr>
          <w:p w:rsidR="00AC0832" w:rsidRDefault="00AC0832">
            <w:pPr>
              <w:pStyle w:val="CellColumn"/>
            </w:pPr>
            <w:r>
              <w:t>MK</w:t>
            </w:r>
          </w:p>
        </w:tc>
        <w:tc>
          <w:tcPr>
            <w:tcW w:w="1300" w:type="dxa"/>
          </w:tcPr>
          <w:p w:rsidR="00AC0832" w:rsidRDefault="00AC0832">
            <w:pPr>
              <w:pStyle w:val="CellColumn"/>
            </w:pPr>
            <w:r>
              <w:t>40</w:t>
            </w:r>
          </w:p>
        </w:tc>
        <w:tc>
          <w:tcPr>
            <w:tcW w:w="1300" w:type="dxa"/>
          </w:tcPr>
          <w:p w:rsidR="00AC0832" w:rsidRDefault="00AC0832">
            <w:pPr>
              <w:pStyle w:val="CellColumn"/>
            </w:pPr>
            <w:r>
              <w:t>47</w:t>
            </w:r>
          </w:p>
        </w:tc>
      </w:tr>
    </w:tbl>
    <w:p w:rsidR="00AC0832" w:rsidRDefault="00AC0832">
      <w:pPr>
        <w:jc w:val="left"/>
      </w:pPr>
    </w:p>
    <w:p w:rsidR="00AC0832" w:rsidRDefault="00AC0832">
      <w:pPr>
        <w:pStyle w:val="Heading2"/>
      </w:pPr>
      <w:r>
        <w:t>05540 Muzeji i galerije</w:t>
      </w:r>
    </w:p>
    <w:p w:rsidR="00AC0832" w:rsidRDefault="00AC0832">
      <w:pPr>
        <w:pStyle w:val="Heading4"/>
      </w:pPr>
      <w:r>
        <w:t>Uvod</w:t>
      </w:r>
    </w:p>
    <w:p w:rsidR="00AC0832" w:rsidRDefault="00AC0832">
      <w:pPr>
        <w:pStyle w:val="Normal3"/>
      </w:pPr>
      <w:r>
        <w:t xml:space="preserve">Sustav muzeja u Hrvatskoj obuhvaća 170 registriranih muzeja, od kojih je 21 nacionalni, s ukupno 6.369.650 predmeta od kojih je 47% inventirano, a u bazi muzejskih podataka je 14%, i dvadesetak različitih muzejskih zbirki koje još nemaju zakonom propisane uvjete za osnivanje muzeja, dijele se na opće (kompleksne), povijesne, etnografske, arheološke, umjetničke, prirodoslovne, memorijalne, tehničke, tehnološke i druge. Osnovna djelatnost muzeja određena je Zakonom o muzejima i obuhvaća skupljanje, čuvanje i istraživanje civilizacijskih, kulturnih i prirodnih dobara te njihovu stručnu i znanstvenu obradu i sistematizaciju u zbirke, trajno zaštićivanje muzejske građe, muzejske dokumentacije, muzejskih lokaliteta i nalazišta, njihovo neposredno i posredno predočavanje javnosti putem stalnih i povremenih izložaba, te objavljivanja podataka i spoznaja o muzejskoj građi i muzejskoj dokumentaciji putem stručnih, znanstvenih i drugih obavijesnih sredstava. Programske aktivnosti vezane su uz osnovnu djelatnost muzeja kojim se u prezentira raznolika kulturna, prirodoslovna i tehnička dobra koja su postala dio nacionalne i opće kulture i znanosti. Pristup internetu ima više od 80% muzeja, a web stranicu više od 70% muzeja. Muzeji također digitaliziraju građu i u sklopu nacionalnog programa digitalizacije programa. Godišnje se u muzejima organizira između 800 i 1000 izložbi različita opsega i vrste te objavi šestotinjak tiskanih i elektroničkih publikacija, oko 200 plakata te drugih tiskovina i promidžbenih materijala. Aktivnost investicijskih ulaganja provode se u cilju osiguranja održivog kulturnog i gospodarskog razvoja; integriranje muzejskih projekata u ukupnu ponudu znanja i informacija o baštini. </w:t>
      </w:r>
    </w:p>
    <w:p w:rsidR="00AC0832" w:rsidRDefault="00AC0832">
      <w:pPr>
        <w:pStyle w:val="Normal3"/>
      </w:pPr>
      <w:r>
        <w:t>U 2012. godini nije bilo odstupanja od plana.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05540-Muzeji i galerije</w:t>
            </w:r>
          </w:p>
        </w:tc>
        <w:tc>
          <w:tcPr>
            <w:tcW w:w="2322" w:type="dxa"/>
          </w:tcPr>
          <w:p w:rsidR="00AC0832" w:rsidRDefault="00AC0832">
            <w:pPr>
              <w:pStyle w:val="CellColumn"/>
            </w:pPr>
            <w:r>
              <w:t>83.633.328</w:t>
            </w:r>
          </w:p>
        </w:tc>
        <w:tc>
          <w:tcPr>
            <w:tcW w:w="2322" w:type="dxa"/>
          </w:tcPr>
          <w:p w:rsidR="00AC0832" w:rsidRDefault="00AC0832">
            <w:pPr>
              <w:pStyle w:val="CellColumn"/>
            </w:pPr>
            <w:r>
              <w:t>83.618.405</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Small"/>
            </w:pPr>
            <w:r>
              <w:t>3903-MUZEJSKO-GALERIJSKA DJELATNOST</w:t>
            </w:r>
          </w:p>
        </w:tc>
        <w:tc>
          <w:tcPr>
            <w:tcW w:w="2322" w:type="dxa"/>
          </w:tcPr>
          <w:p w:rsidR="00AC0832" w:rsidRDefault="00AC0832">
            <w:pPr>
              <w:pStyle w:val="CellColumnSmall"/>
            </w:pPr>
            <w:r>
              <w:t>83.633.328</w:t>
            </w:r>
          </w:p>
        </w:tc>
        <w:tc>
          <w:tcPr>
            <w:tcW w:w="2322" w:type="dxa"/>
          </w:tcPr>
          <w:p w:rsidR="00AC0832" w:rsidRDefault="00AC0832">
            <w:pPr>
              <w:pStyle w:val="CellColumnSmall"/>
            </w:pPr>
            <w:r>
              <w:t>83.618.405</w:t>
            </w:r>
          </w:p>
        </w:tc>
        <w:tc>
          <w:tcPr>
            <w:tcW w:w="2322" w:type="dxa"/>
          </w:tcPr>
          <w:p w:rsidR="00AC0832" w:rsidRDefault="00AC0832">
            <w:pPr>
              <w:pStyle w:val="CellColumnSmall"/>
            </w:pPr>
            <w:r>
              <w:t>100,0</w:t>
            </w:r>
          </w:p>
        </w:tc>
      </w:tr>
    </w:tbl>
    <w:p w:rsidR="00AC0832" w:rsidRDefault="00AC0832">
      <w:pPr>
        <w:jc w:val="left"/>
      </w:pPr>
    </w:p>
    <w:p w:rsidR="00AC0832" w:rsidRDefault="00AC0832">
      <w:pPr>
        <w:pStyle w:val="Heading4"/>
      </w:pPr>
      <w:r>
        <w:t>OBRAZLOŽENJE PROGRAMA</w:t>
      </w:r>
    </w:p>
    <w:p w:rsidR="00AC0832" w:rsidRDefault="00AC0832">
      <w:pPr>
        <w:pStyle w:val="Heading5"/>
      </w:pPr>
      <w:r>
        <w:t>3903 MUZEJSKO-GALERIJSKA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3903-MUZEJSKO-GALERIJSKA DJELATNOST</w:t>
            </w:r>
          </w:p>
        </w:tc>
        <w:tc>
          <w:tcPr>
            <w:tcW w:w="2322" w:type="dxa"/>
          </w:tcPr>
          <w:p w:rsidR="00AC0832" w:rsidRDefault="00AC0832">
            <w:pPr>
              <w:pStyle w:val="CellColumn"/>
            </w:pPr>
            <w:r>
              <w:t>83.633.328</w:t>
            </w:r>
          </w:p>
        </w:tc>
        <w:tc>
          <w:tcPr>
            <w:tcW w:w="2322" w:type="dxa"/>
          </w:tcPr>
          <w:p w:rsidR="00AC0832" w:rsidRDefault="00AC0832">
            <w:pPr>
              <w:pStyle w:val="CellColumn"/>
            </w:pPr>
            <w:r>
              <w:t>83.618.405</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Opis programa</w:t>
      </w:r>
    </w:p>
    <w:p w:rsidR="00AC0832" w:rsidRDefault="00AC0832">
      <w:pPr>
        <w:pStyle w:val="Normal5"/>
      </w:pPr>
      <w:r>
        <w:t xml:space="preserve">Sustav muzeja u Hrvatskoj čini 172 registriranih muzeja, od kojih je 21 nacionalni; gradovi su osnivači 52% muzeja, država 15%, općine 11%, županije 6% a 16% ostali. Ukupno je u muzejima 6.369.650 predmeta (49% inventirano; 14% u bazi muzejskih podataka) od toga u nacionalnim muzejima 1.605.110 predmeta. Muzeji se dijele se na opće (kompleksne), povijesne, etnografske, arheološke, umjetničke, prirodoslovne, memorijalne, tehničke, tehnološke i druge.  </w:t>
      </w:r>
    </w:p>
    <w:p w:rsidR="00AC0832" w:rsidRDefault="00AC0832">
      <w:pPr>
        <w:pStyle w:val="Normal5"/>
      </w:pPr>
      <w:r>
        <w:t xml:space="preserve">Osnovna djelatnost  muzeja određena je Zakonom o muzejima i obuhvaća skupljanje, čuvanje i istraživanje civilizacijskih, kulturnih i prirodnih dobara te njihovu stručnu i znanstvenu obradu i sistematizaciju u zbirke, trajno zaštićivanje muzejske građe, muzejske dokumentacije, muzejskih lokaliteta i nalazišta, njihovo neposredno i posredno predočavanje javnosti putem stalnih i povremenih izložaba, te objavljivanja podataka i spoznaja o muzejskoj građi i muzejskoj dokumentaciji putem stručnih, znanstvenih i drugih obavijesnih sredstava. </w:t>
      </w:r>
    </w:p>
    <w:p w:rsidR="00AC0832" w:rsidRDefault="00AC0832">
      <w:pPr>
        <w:pStyle w:val="Normal5"/>
      </w:pPr>
      <w:r>
        <w:t xml:space="preserve">Recentno je osnovano i izgrađeno pet nacionalnih muzeja te obnovljeno više od 60% stalnih postava. Obnovljeni su dvorac Trakošćan, dvorac Odeschalchi u Iloku, spomenici kulture u kojima su i novi stalni postavi, u obnovi je prostor zgrade spomeničke baštine za potrebe Hrvatskog povijesnog muzeja u Zagrebu, i dr. Pristup internetu ima 86% muzeja, a web stranicu  72% muzeja. Godišnje se u muzejima organizira između 800 i 1000 izložbi različita opsega i vrste te objavi šestotinjak tiskanih i elektroničkih publikacija te drugih tiskovina i promidžbenih materijala. </w:t>
      </w:r>
    </w:p>
    <w:p w:rsidR="00AC0832" w:rsidRDefault="00AC0832">
      <w:pPr>
        <w:pStyle w:val="Normal5"/>
      </w:pPr>
      <w:r>
        <w:t>Cilj razvoja Sustava muzeja je uspostavljanje jedinstvenog stručnog pristupa u obavljanju muzejske djelatnosti, stručni nadzor nad radom muzeja, izgradnja standarda djelatnosti te poticanje kvalitetnijeg funkcioniranja muzeja u smislu očuvanja, zaštite, istraživanja i promocije muzejske baštine kao i ostvarivanja društvene uloge muzeja. Povećanje razine inventiranosti, obrade i prezentacije muzejske građe, razvoj muzejske infrastrukture, podizanje razine zaštite i očuvanja muzejske građe te veća dostupnost kulturne baštine u digitalnom okruženju sastavnim su dijelom cilja i svrhe Sustava muzeja. U 2012. godini nije bilo odstupanja od plana.</w:t>
      </w:r>
    </w:p>
    <w:p w:rsidR="00AC0832" w:rsidRDefault="00AC0832">
      <w:pPr>
        <w:pStyle w:val="Heading6"/>
      </w:pPr>
      <w:r>
        <w:t>Zakonske i druge pravne osnove</w:t>
      </w:r>
    </w:p>
    <w:p w:rsidR="00AC0832" w:rsidRDefault="00AC0832">
      <w:pPr>
        <w:pStyle w:val="Normal5"/>
      </w:pPr>
      <w:r>
        <w:t xml:space="preserve">Zakoni: </w:t>
      </w:r>
    </w:p>
    <w:p w:rsidR="00AC0832" w:rsidRDefault="00AC0832">
      <w:pPr>
        <w:pStyle w:val="Normal5"/>
      </w:pPr>
      <w:r>
        <w:t xml:space="preserve">- Zakon o muzejima (NN 142/98, NN 65/09) </w:t>
      </w:r>
    </w:p>
    <w:p w:rsidR="00AC0832" w:rsidRDefault="00AC0832">
      <w:pPr>
        <w:pStyle w:val="Normal5"/>
      </w:pPr>
      <w:r>
        <w:t xml:space="preserve">- Zakon o Muzejima Ivana Meštrovića (NN 76/07) </w:t>
      </w:r>
    </w:p>
    <w:p w:rsidR="00AC0832" w:rsidRDefault="00AC0832">
      <w:pPr>
        <w:pStyle w:val="Normal5"/>
      </w:pPr>
      <w:r>
        <w:t xml:space="preserve">- Zakon o Spomen-području Jasenovac (NN 15/90; NN 28/90 Ispravak, NN 22/01)  </w:t>
      </w:r>
    </w:p>
    <w:p w:rsidR="00AC0832" w:rsidRDefault="00AC0832">
      <w:pPr>
        <w:pStyle w:val="Normal5"/>
      </w:pPr>
      <w:r>
        <w:t xml:space="preserve">- Zakon o kulturnim vijećima, 2004. (NN 48/04, NN 44/09) </w:t>
      </w:r>
    </w:p>
    <w:p w:rsidR="00AC0832" w:rsidRDefault="00AC0832">
      <w:pPr>
        <w:pStyle w:val="Normal5"/>
      </w:pPr>
      <w:r>
        <w:t xml:space="preserve">- Zakon o ustanovama (NN 76/93; NN 29/97, NN 47/99 - Ispravak i NN 35/08) </w:t>
      </w:r>
    </w:p>
    <w:p w:rsidR="00AC0832" w:rsidRDefault="00AC0832">
      <w:pPr>
        <w:pStyle w:val="Normal5"/>
      </w:pPr>
      <w:r>
        <w:t xml:space="preserve">- Zakon o upravljanju javnim ustanovama u kulturi (NN 96/01) </w:t>
      </w:r>
    </w:p>
    <w:p w:rsidR="00AC0832" w:rsidRDefault="00AC0832">
      <w:pPr>
        <w:pStyle w:val="Normal5"/>
      </w:pPr>
      <w:r>
        <w:t xml:space="preserve">- Zakon o financiranju javnih potreba u kulturi (NN 47/90  ,NN 27/93, NN 38/09) </w:t>
      </w:r>
    </w:p>
    <w:p w:rsidR="00AC0832" w:rsidRDefault="00AC0832">
      <w:pPr>
        <w:pStyle w:val="Normal5"/>
      </w:pPr>
      <w:r>
        <w:t xml:space="preserve">Pravilnici: </w:t>
      </w:r>
    </w:p>
    <w:p w:rsidR="00AC0832" w:rsidRDefault="00AC0832">
      <w:pPr>
        <w:pStyle w:val="Normal5"/>
      </w:pPr>
      <w:r>
        <w:t xml:space="preserve">- Pravilnik o načinu i mjerilima za povezivanje u sustav muzeja Republike Hrvatske (NN 120/02) </w:t>
      </w:r>
    </w:p>
    <w:p w:rsidR="00AC0832" w:rsidRDefault="00AC0832">
      <w:pPr>
        <w:pStyle w:val="Normal5"/>
      </w:pPr>
      <w:r>
        <w:t xml:space="preserve">- Pravilnik o dopuni pravilnika o načinu i mjerilima za povezivanje u sustav muzeja Republike Hrvatske (NN 82/06) </w:t>
      </w:r>
    </w:p>
    <w:p w:rsidR="00AC0832" w:rsidRDefault="00AC0832">
      <w:pPr>
        <w:pStyle w:val="Normal5"/>
      </w:pPr>
      <w:r>
        <w:t xml:space="preserve">- Pravilnik o uvjetima i načinu stjecanja stručnih zvanja u muzejskoj struci (NN 97/10) </w:t>
      </w:r>
    </w:p>
    <w:p w:rsidR="00AC0832" w:rsidRDefault="00AC0832">
      <w:pPr>
        <w:pStyle w:val="Normal5"/>
      </w:pPr>
      <w:r>
        <w:t xml:space="preserve">- Pravilnik o očevidniku muzeja, te muzeja, galerija i zbirki unutar ustanova i drugih pravnih osoba  </w:t>
      </w:r>
    </w:p>
    <w:p w:rsidR="00AC0832" w:rsidRDefault="00AC0832">
      <w:pPr>
        <w:pStyle w:val="Normal5"/>
      </w:pPr>
      <w:r>
        <w:t xml:space="preserve">(NN 96/99) </w:t>
      </w:r>
    </w:p>
    <w:p w:rsidR="00AC0832" w:rsidRDefault="00AC0832">
      <w:pPr>
        <w:pStyle w:val="Normal5"/>
      </w:pPr>
      <w:r>
        <w:t xml:space="preserve">- Pravilnik o uvjetima i načinu ostvarivanja uvida u muzejsku građu i muzejsku dokumentaciju  </w:t>
      </w:r>
    </w:p>
    <w:p w:rsidR="00AC0832" w:rsidRDefault="00AC0832">
      <w:pPr>
        <w:pStyle w:val="Normal5"/>
      </w:pPr>
      <w:r>
        <w:t xml:space="preserve">(NN 115/01) </w:t>
      </w:r>
    </w:p>
    <w:p w:rsidR="00AC0832" w:rsidRDefault="00AC0832">
      <w:pPr>
        <w:pStyle w:val="Normal5"/>
      </w:pPr>
      <w:r>
        <w:t xml:space="preserve">- Pravilnik o sadržaju i načinu vođenja muzejske dokumentacije o muzejskoj građi (NN 108/02) </w:t>
      </w:r>
    </w:p>
    <w:p w:rsidR="00AC0832" w:rsidRDefault="00AC0832">
      <w:pPr>
        <w:pStyle w:val="Normal5"/>
      </w:pPr>
      <w:r>
        <w:t xml:space="preserve">- Pravilnik o stručnim i tehničkim standardima za određivanje vrste muzeja, za njihov rad, te za smještaj muzejske građe i muzejske dokumentacije (NN 30/06) </w:t>
      </w:r>
    </w:p>
    <w:p w:rsidR="00AC0832" w:rsidRDefault="00AC0832">
      <w:pPr>
        <w:pStyle w:val="Normal5"/>
      </w:pPr>
      <w:r>
        <w:t>- Pravilnik o izboru i utvrđivanju programa javnih potreba u kulturi (NN 137/08, NN 57/09, 62/09)</w:t>
      </w:r>
    </w:p>
    <w:p w:rsidR="00AC0832" w:rsidRDefault="00AC0832">
      <w:pPr>
        <w:pStyle w:val="Heading7"/>
      </w:pPr>
      <w:r>
        <w:t>Cilj 1. Povećanje razine inventiranosti, obrade i prezentacije muzejske građe</w:t>
      </w:r>
    </w:p>
    <w:p w:rsidR="00AC0832" w:rsidRDefault="00AC0832">
      <w:pPr>
        <w:pStyle w:val="Heading8"/>
        <w:jc w:val="left"/>
      </w:pPr>
      <w:r>
        <w:t>Opis provedbe cilja programa</w:t>
      </w:r>
    </w:p>
    <w:p w:rsidR="00AC0832" w:rsidRDefault="00AC0832">
      <w:pPr>
        <w:pStyle w:val="Normal6"/>
      </w:pPr>
      <w:r>
        <w:t>U dijelu sustava hrvatskih muzeja razina inventiranosti muzejske građe i dokumentacije je nedostatna. Inventiranje muzejske građe i dokumentacije prioritetna je muzejska aktivnost. Potporama izložbama iz fundusa, i onima vezanim za osnovnu djelatnost muzeja propisano u Zakonu o muzejima (Narodne novine, br. 142/98 i 65/09) – obradi, zaštiti, istraživanju i prezentaciju vlastitog fundusa i pripremi stalnog postava te onima koje studijski i znanstveno obrađuju građu i prezentiraju nova saznanja razvija se muzejska djelatnost i prezentira raznolika kulturna, prirodoslovna i tehnička dobra koja su dio sveukupne nacionalne kulturne baštine. Potporama izdavačkoj djelatnosti muzeja pridonosi se valorizaciji, kategorizaciji i prezentaciji fundusa. Međumuzejska suradnja podrazumijeva razmjenu programa, organizaciju zajedničkih izložaba i ostalih projekata, suradnju na predlaganju izložaba za međunarodnu suradnju s naglaskom na reciprocitet pri razmjeni izložaba i definiranje troškova te na suradnju u popunama fundusa trajnim posudbama građe. Na osnovu modela održanih kulturoloških izložaba Dalmatinska Zagora, Slavonija, Baranja i Srijem podupire se suradnja muzeja s drugim regionalnim i nacionalnim baštinskim i kulturnim institucijama s ciljem ostvarivanja zajedničkog i/ili kompleksnog projekta predstavljanja ukupnosti baštine pojedinih hrvatskih regija koji pokazuju povijesni kontinuitet u kulturnom, umjetničkom, gospodarskom i političkom životu.</w:t>
      </w:r>
    </w:p>
    <w:p w:rsidR="00AC0832" w:rsidRDefault="00AC0832">
      <w:pPr>
        <w:pStyle w:val="Heading7"/>
      </w:pPr>
      <w:r>
        <w:t>Cilj 2. Razvoj muzejske infrastrukture</w:t>
      </w:r>
    </w:p>
    <w:p w:rsidR="00AC0832" w:rsidRDefault="00AC0832">
      <w:pPr>
        <w:pStyle w:val="Heading8"/>
        <w:jc w:val="left"/>
      </w:pPr>
      <w:r>
        <w:t>Opis provedbe cilja programa</w:t>
      </w:r>
    </w:p>
    <w:p w:rsidR="00AC0832" w:rsidRDefault="00AC0832">
      <w:pPr>
        <w:pStyle w:val="Normal6"/>
      </w:pPr>
      <w:r>
        <w:t>Investicijska ulaganja u razvoj muzejske infrastrukture, valorizacija projekata muzejskih projekta i postava, povezivanje novih muzeja u Sustav muzeja, primjena propisanih stručnih i tehničkih standarda usmjereno je na integriranje muzejskih projekata u ukupnu ponudu znanja i informacija o kulturnoj baštini te ulaganja u cilju osiguranja održivog kulturnog i gospodarskog razvoja. U trogodišnjem razdoblju program obuhvaća dovršetak gradnje novih muzeja (Muzej Vučedolske kulture- dovršen je u 2012. godini), nove stalne postave nacionalnih muzeja (Muzej hrvatskih arheoloških spomenika u Splitu, Arheološki muzej Zadar – postav Antike, Muzeji Hrvatskog zagorja - Dvor Veliki Tabor, Arheološkog muzeja Istre u Puli) Opremanje muzeja informatičkom opremom i muzejskim programima (M++) te uspostava suradnje i interoperabilnosti s ostalim informacijskim sustavima: knjižnica, arhiva, spomeničke baštine i drugo; instalacija sekundarne dokumentacije, dodatnih modula i kompletna programska podrška (razvoj i nadogradnja sustava); osiguranje mrežne dostupnosti podataka i dokumentacije baze muzejskih predmeta. Izrada informatičkog sustava upravljanja povezanog s postojećim sustavima/bazama podataka restauriranih umjetnina, muzejske grañe i arhivske grañe (BREUH, M++, Arhinet).</w:t>
      </w:r>
    </w:p>
    <w:p w:rsidR="00AC0832" w:rsidRDefault="00AC0832">
      <w:pPr>
        <w:pStyle w:val="Heading7"/>
      </w:pPr>
      <w:r>
        <w:t>Cilj 3. Podizanje razine zaštite i očuvanja muzejske građe</w:t>
      </w:r>
    </w:p>
    <w:p w:rsidR="00AC0832" w:rsidRDefault="00AC0832">
      <w:pPr>
        <w:pStyle w:val="Heading8"/>
        <w:jc w:val="left"/>
      </w:pPr>
      <w:r>
        <w:t>Opis provedbe cilja programa</w:t>
      </w:r>
    </w:p>
    <w:p w:rsidR="00AC0832" w:rsidRDefault="00AC0832">
      <w:pPr>
        <w:pStyle w:val="Normal6"/>
      </w:pPr>
      <w:r>
        <w:t>Uspostava izrade plana preventivne zaštite i plana restauracije muzejske građe koji će obuhvatiti popis prioriteta s financijskim pokazateljima i etapama realizacije. Prednost će imati programi koji obuhvaćaju stupanj ugroženosti građe i programi restauracije građe za stalni postav. Nastavak opremanja konzervatorsko-restauratorskih radionica u šest matičnih muzeja prve razine.  Povećanje uvjeta za poboljšanje zaštite muzejske građe unutar Sustava muzeja. Intenziviranje poslova stručne pomoći i suradnje nositelja provedbe matične djelatnosti prve i druge razine. Izrada i provedba srednjoročnog plana aktivnosti Vijeća Sustava muzeja. Uspostavljanje dinamike u razvoju sustava matičnosti i usklađivanje rada unutar Sustava muzeja (ravnomjerno i funkcionalno razvijanje Sustava muzeja, prioriteti u planiranju za područja s neravnomjernim brojem muzeja). Cilj provedbe programa Sustava muzeja obuhvaća jedinstveni stručni pristup u obavljanju muzejske djelatnosti,  jedinstveni stručni pristup / izgradnja standarda djelatnosti, promovirati diseminaciju muzejskih projekata i događanja, poticati, podupirati kvalitetnije funkcioniranje muzeja u smislu očuvanja, zaštite, znanstvenog istraživanja u promocije muzejske baštine, kao i ostvarivanja društvene uloge muzeja, podupirati standarde rada u svim aspektima djelovanja i rada muzeja, jačati međumuzejsku suradnju kao i suradnju specijaliziranih stručnjaka  unutar i izvan muzeja kroz zajedničke projekte i međusobnu razmjenu aktivnosti i usluga, savjeta, jačati vezu i podupirati partnerstvo između muzeja i ostalih lokalnih, regionalnih i nacionalnih baštinskih i kulturnih institucija.</w:t>
      </w:r>
    </w:p>
    <w:p w:rsidR="00AC0832" w:rsidRDefault="00AC0832">
      <w:pPr>
        <w:pStyle w:val="Heading6"/>
      </w:pPr>
      <w:r>
        <w:t>A780000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A780000-ADMINISTRACIJA I UPRAVLJANJE</w:t>
            </w:r>
          </w:p>
        </w:tc>
        <w:tc>
          <w:tcPr>
            <w:tcW w:w="2322" w:type="dxa"/>
          </w:tcPr>
          <w:p w:rsidR="00AC0832" w:rsidRDefault="00AC0832">
            <w:pPr>
              <w:pStyle w:val="CellColumn"/>
            </w:pPr>
            <w:r>
              <w:t>69.133.328</w:t>
            </w:r>
          </w:p>
        </w:tc>
        <w:tc>
          <w:tcPr>
            <w:tcW w:w="2322" w:type="dxa"/>
          </w:tcPr>
          <w:p w:rsidR="00AC0832" w:rsidRDefault="00AC0832">
            <w:pPr>
              <w:pStyle w:val="CellColumn"/>
            </w:pPr>
            <w:r>
              <w:t>69.118.586</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ovoj aktivnosti osiguravaju se sredstva za plaće i materijalne rashode za dvadeset i jedan nacionalni muzej i galeriju. U 2012. godini nije bilo odstupanja od plana.</w:t>
      </w:r>
    </w:p>
    <w:p w:rsidR="00AC0832" w:rsidRDefault="00AC0832">
      <w:pPr>
        <w:pStyle w:val="Heading6"/>
      </w:pPr>
      <w:r>
        <w:t>A780001 PROGRAMI MUZEJSKO GALERIJSKE DJELATNOSTI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1836"/>
        <w:gridCol w:w="2322"/>
        <w:gridCol w:w="2322"/>
      </w:tblGrid>
      <w:tr w:rsidR="00AC0832" w:rsidTr="00DF0D8F">
        <w:trPr>
          <w:jc w:val="center"/>
        </w:trPr>
        <w:tc>
          <w:tcPr>
            <w:tcW w:w="2808" w:type="dxa"/>
            <w:shd w:val="clear" w:color="auto" w:fill="B5C0D8"/>
          </w:tcPr>
          <w:p w:rsidR="00AC0832" w:rsidRDefault="00AC0832">
            <w:pPr>
              <w:pStyle w:val="CellHeader"/>
            </w:pPr>
            <w:r>
              <w:t>Naziv aktivnosti</w:t>
            </w:r>
          </w:p>
        </w:tc>
        <w:tc>
          <w:tcPr>
            <w:tcW w:w="1836"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DF0D8F">
        <w:trPr>
          <w:jc w:val="center"/>
        </w:trPr>
        <w:tc>
          <w:tcPr>
            <w:tcW w:w="2808" w:type="dxa"/>
          </w:tcPr>
          <w:p w:rsidR="00AC0832" w:rsidRDefault="00AC0832">
            <w:pPr>
              <w:pStyle w:val="CellColumn"/>
            </w:pPr>
            <w:r>
              <w:t>A780001-PROGRAMI MUZEJSKO GALERIJSKE DJELATNOSTI</w:t>
            </w:r>
          </w:p>
        </w:tc>
        <w:tc>
          <w:tcPr>
            <w:tcW w:w="1836" w:type="dxa"/>
          </w:tcPr>
          <w:p w:rsidR="00AC0832" w:rsidRDefault="00AC0832">
            <w:pPr>
              <w:pStyle w:val="CellColumn"/>
            </w:pPr>
            <w:r>
              <w:t>14.500.000</w:t>
            </w:r>
          </w:p>
        </w:tc>
        <w:tc>
          <w:tcPr>
            <w:tcW w:w="2322" w:type="dxa"/>
          </w:tcPr>
          <w:p w:rsidR="00AC0832" w:rsidRDefault="00AC0832">
            <w:pPr>
              <w:pStyle w:val="CellColumn"/>
            </w:pPr>
            <w:r>
              <w:t>14.499.819</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2012. godini sredstva su utrošena za financiranje preko 440 programa za muzejsko - galerijsku djelatnost. Nije bilo odstupanja od plana.</w:t>
      </w:r>
    </w:p>
    <w:p w:rsidR="00AC0832" w:rsidRDefault="00AC0832">
      <w:pPr>
        <w:pStyle w:val="Heading3"/>
      </w:pPr>
      <w:r>
        <w:t>01046 Ansambl Lado</w:t>
      </w:r>
    </w:p>
    <w:p w:rsidR="00AC0832" w:rsidRDefault="00AC0832">
      <w:pPr>
        <w:pStyle w:val="Heading4"/>
      </w:pPr>
      <w:r>
        <w:t>Uvod</w:t>
      </w:r>
    </w:p>
    <w:p w:rsidR="00AC0832" w:rsidRDefault="00AC0832">
      <w:pPr>
        <w:pStyle w:val="Normal5"/>
      </w:pPr>
      <w:r>
        <w:t>Ansambl narodnih plesova i pjesama Hrvatske LADO, nacionalni je profesionalni folklorni ansambl (osnovan 1949.). čiji je cilj istraživanje, prikupljanje, umjetnička obrada i scenski prikaz hrvatske glazbene i plesne tradicije. LADO, svojom visokom umjetničkom razinom, čuva vrijednosti i raznolikosti tradicijske kulture i baštine. U tu misiju uključeni su najpoznatiji hrvatski etnokoreolozi i koreografi, etnomuzikolozi, glazbeni aranžeri i folkloristi čija istraživanja i skladbe, nadahnute pučkim glazbenim stvaralaštvom, ansambl LADO oblikuje u vrhunske umjetničke izvedbe. Svojom jedinstvenom kolekcijom izvornih narodnih nošnji iznimne vrijednosti i ljepote, zaslužuju opravdani naziv „putujući muzej“. LADO, također, prikazujući svoje umijeće na gotovo svim kontinentima i promovirajući hrvatsku kulturnu baštinu i tradicijsku kulturu, preuzima aktivnu ulogu veleposlanika kulture Republike Hrvatske. U 2012. godini nije bilo odstupanja od plana.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01046-Ansambl Lado</w:t>
            </w:r>
          </w:p>
        </w:tc>
        <w:tc>
          <w:tcPr>
            <w:tcW w:w="2322" w:type="dxa"/>
          </w:tcPr>
          <w:p w:rsidR="00AC0832" w:rsidRDefault="00AC0832">
            <w:pPr>
              <w:pStyle w:val="CellColumn"/>
            </w:pPr>
            <w:r>
              <w:t>12.313.115</w:t>
            </w:r>
          </w:p>
        </w:tc>
        <w:tc>
          <w:tcPr>
            <w:tcW w:w="2322" w:type="dxa"/>
          </w:tcPr>
          <w:p w:rsidR="00AC0832" w:rsidRDefault="00AC0832">
            <w:pPr>
              <w:pStyle w:val="CellColumn"/>
            </w:pPr>
            <w:r>
              <w:t>12.302.853</w:t>
            </w:r>
          </w:p>
        </w:tc>
        <w:tc>
          <w:tcPr>
            <w:tcW w:w="2322" w:type="dxa"/>
          </w:tcPr>
          <w:p w:rsidR="00AC0832" w:rsidRDefault="00AC0832">
            <w:pPr>
              <w:pStyle w:val="CellColumn"/>
            </w:pPr>
            <w:r>
              <w:t>99,9</w:t>
            </w:r>
          </w:p>
        </w:tc>
      </w:tr>
      <w:tr w:rsidR="00AC0832" w:rsidTr="00BE20ED">
        <w:trPr>
          <w:jc w:val="center"/>
        </w:trPr>
        <w:tc>
          <w:tcPr>
            <w:tcW w:w="2322" w:type="dxa"/>
          </w:tcPr>
          <w:p w:rsidR="00AC0832" w:rsidRDefault="00AC0832">
            <w:pPr>
              <w:pStyle w:val="CellColumnSmall"/>
            </w:pPr>
            <w:r>
              <w:t>3904-KAZALIŠNA I GLAZBENO- SCENSKA DJELATNOST</w:t>
            </w:r>
          </w:p>
        </w:tc>
        <w:tc>
          <w:tcPr>
            <w:tcW w:w="2322" w:type="dxa"/>
          </w:tcPr>
          <w:p w:rsidR="00AC0832" w:rsidRDefault="00AC0832">
            <w:pPr>
              <w:pStyle w:val="CellColumnSmall"/>
            </w:pPr>
            <w:r>
              <w:t>12.313.115</w:t>
            </w:r>
          </w:p>
        </w:tc>
        <w:tc>
          <w:tcPr>
            <w:tcW w:w="2322" w:type="dxa"/>
          </w:tcPr>
          <w:p w:rsidR="00AC0832" w:rsidRDefault="00AC0832">
            <w:pPr>
              <w:pStyle w:val="CellColumnSmall"/>
            </w:pPr>
            <w:r>
              <w:t>12.302.853</w:t>
            </w:r>
          </w:p>
        </w:tc>
        <w:tc>
          <w:tcPr>
            <w:tcW w:w="2322" w:type="dxa"/>
          </w:tcPr>
          <w:p w:rsidR="00AC0832" w:rsidRDefault="00AC0832">
            <w:pPr>
              <w:pStyle w:val="CellColumnSmall"/>
            </w:pPr>
            <w:r>
              <w:t>99,9</w:t>
            </w:r>
          </w:p>
        </w:tc>
      </w:tr>
    </w:tbl>
    <w:p w:rsidR="00AC0832" w:rsidRDefault="00AC0832">
      <w:pPr>
        <w:jc w:val="left"/>
      </w:pPr>
    </w:p>
    <w:p w:rsidR="00AC0832" w:rsidRDefault="00AC0832">
      <w:pPr>
        <w:pStyle w:val="Heading4"/>
      </w:pPr>
      <w:r>
        <w:t>OBRAZLOŽENJE PROGRAMA</w:t>
      </w:r>
    </w:p>
    <w:p w:rsidR="00AC0832" w:rsidRDefault="00AC0832">
      <w:pPr>
        <w:pStyle w:val="Heading5"/>
      </w:pPr>
      <w:r>
        <w:t>3904 KAZALIŠNA I GLAZBENO- SCENSKA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3904-KAZALIŠNA I GLAZBENO- SCENSKA DJELATNOST</w:t>
            </w:r>
          </w:p>
        </w:tc>
        <w:tc>
          <w:tcPr>
            <w:tcW w:w="2322" w:type="dxa"/>
          </w:tcPr>
          <w:p w:rsidR="00AC0832" w:rsidRDefault="00AC0832">
            <w:pPr>
              <w:pStyle w:val="CellColumn"/>
            </w:pPr>
            <w:r>
              <w:t>12.313.115</w:t>
            </w:r>
          </w:p>
        </w:tc>
        <w:tc>
          <w:tcPr>
            <w:tcW w:w="2322" w:type="dxa"/>
          </w:tcPr>
          <w:p w:rsidR="00AC0832" w:rsidRDefault="00AC0832">
            <w:pPr>
              <w:pStyle w:val="CellColumn"/>
            </w:pPr>
            <w:r>
              <w:t>12.302.853</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6"/>
      </w:pPr>
      <w:r>
        <w:t>Opis programa</w:t>
      </w:r>
    </w:p>
    <w:p w:rsidR="00AC0832" w:rsidRDefault="00AC0832">
      <w:r>
        <w:t>Kroz realizaciju programa ansambla Lado, čuva se vrijednost i raznolikost tradicijske kulture i baštine. Program se ostvaruje uvježbavanjem i izvođenjem repriznih i premijernih koreografija, vokalno- instrumentalnih programa te edukacijom kroz umjetničke radionice. U 2012. godini sredstva su utrošena prema planu te nije bilo odstupanja.</w:t>
      </w:r>
    </w:p>
    <w:p w:rsidR="00AC0832" w:rsidRDefault="00AC0832">
      <w:pPr>
        <w:pStyle w:val="Heading6"/>
      </w:pPr>
      <w:r>
        <w:t>Zakonske i druge pravne osnove</w:t>
      </w:r>
    </w:p>
    <w:p w:rsidR="00AC0832" w:rsidRDefault="00AC0832">
      <w:r>
        <w:t xml:space="preserve">- Zakon o financiranju javnih potreba u kulturi (NN 47/90, 27/93 i 38/09) </w:t>
      </w:r>
    </w:p>
    <w:p w:rsidR="00AC0832" w:rsidRDefault="00AC0832">
      <w:r>
        <w:t xml:space="preserve">- Pravilnik o izboru i utvrđivanju programa javnih potreba u kulturi (NN 137/08, 57/09 i 62/09) </w:t>
      </w:r>
    </w:p>
    <w:p w:rsidR="00AC0832" w:rsidRDefault="00AC0832">
      <w:r>
        <w:t xml:space="preserve">- Zakon o ustanovama (NN 76/93; NN 29/97, NN 47/99 - Ispravak i NN 35/08) </w:t>
      </w:r>
    </w:p>
    <w:p w:rsidR="00AC0832" w:rsidRDefault="00AC0832">
      <w:r>
        <w:t xml:space="preserve">- Zakon o upravljanju javnim ustanovama u kulturi (NN 96/01) </w:t>
      </w:r>
    </w:p>
    <w:p w:rsidR="00AC0832" w:rsidRDefault="00AC0832">
      <w:r>
        <w:t>-Zakon o kulturnim vijećima (NN 48/04, 44/09)</w:t>
      </w:r>
    </w:p>
    <w:p w:rsidR="00AC0832" w:rsidRDefault="00AC0832">
      <w:pPr>
        <w:pStyle w:val="Heading7"/>
      </w:pPr>
      <w:r>
        <w:t>Cilj 1. Održavanje standarda ukupnog broja programa</w:t>
      </w:r>
    </w:p>
    <w:p w:rsidR="00AC0832" w:rsidRDefault="00AC0832">
      <w:pPr>
        <w:pStyle w:val="Heading8"/>
        <w:jc w:val="left"/>
      </w:pPr>
      <w:r>
        <w:t>Opis provedbe cilja programa</w:t>
      </w:r>
    </w:p>
    <w:p w:rsidR="00AC0832" w:rsidRDefault="00AC0832">
      <w:pPr>
        <w:pStyle w:val="Normal6"/>
      </w:pPr>
      <w:r>
        <w:t>Ansambl je u 2012. godini svojim izvedbama ostvario, kao i uvijek, iznimno visoku umjetničku razinu. Program je ostvario kroz predstavljanje plesne i glezbene tradicije Hrvatske, te HRvata okolnih zemalja.</w:t>
      </w:r>
    </w:p>
    <w:p w:rsidR="00AC0832" w:rsidRDefault="00AC0832">
      <w:pPr>
        <w:pStyle w:val="Heading6"/>
      </w:pPr>
      <w:r>
        <w:t>A836001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A836001-ADMINISTRACIJA I UPRAVLJANJE</w:t>
            </w:r>
          </w:p>
        </w:tc>
        <w:tc>
          <w:tcPr>
            <w:tcW w:w="2322" w:type="dxa"/>
          </w:tcPr>
          <w:p w:rsidR="00AC0832" w:rsidRDefault="00AC0832">
            <w:pPr>
              <w:pStyle w:val="CellColumn"/>
            </w:pPr>
            <w:r>
              <w:t>11.773.115</w:t>
            </w:r>
          </w:p>
        </w:tc>
        <w:tc>
          <w:tcPr>
            <w:tcW w:w="2322" w:type="dxa"/>
          </w:tcPr>
          <w:p w:rsidR="00AC0832" w:rsidRDefault="00AC0832">
            <w:pPr>
              <w:pStyle w:val="CellColumn"/>
            </w:pPr>
            <w:r>
              <w:t>11.762.853</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ovoj aktivnosti osigurana su sredstva za plaće i materijalne rashode za zaposlenike Ansambla LADO. U 2012. godini nije bilo odstupanja od planiranih sredstava.</w:t>
      </w:r>
    </w:p>
    <w:p w:rsidR="00AC0832" w:rsidRDefault="00AC0832">
      <w:pPr>
        <w:pStyle w:val="Heading6"/>
      </w:pPr>
      <w:r>
        <w:t>A836002 PROGRAMI ANSAMBLA LADA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A836002-PROGRAMI ANSAMBLA LADA</w:t>
            </w:r>
          </w:p>
        </w:tc>
        <w:tc>
          <w:tcPr>
            <w:tcW w:w="2322" w:type="dxa"/>
          </w:tcPr>
          <w:p w:rsidR="00AC0832" w:rsidRDefault="00AC0832">
            <w:pPr>
              <w:pStyle w:val="CellColumn"/>
            </w:pPr>
            <w:r>
              <w:t>540.000</w:t>
            </w:r>
          </w:p>
        </w:tc>
        <w:tc>
          <w:tcPr>
            <w:tcW w:w="2322" w:type="dxa"/>
          </w:tcPr>
          <w:p w:rsidR="00AC0832" w:rsidRDefault="00AC0832">
            <w:pPr>
              <w:pStyle w:val="CellColumn"/>
            </w:pPr>
            <w:r>
              <w:t>540.000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Održavanjem standarda novih programa u 2012. godini , na svojim koncertima i gostrovanjima u Republici HRvatskoj i inozemstvu, LADO je izveo velik broj plesnih koreografija kao i vokalnih, instrumentalnih i vokalno - instrumentalnih skladbi. U ansamblu je nastupalo 38 plesačica i plesača (istodobno i pjevači) te 14 glazbenika koji sviraju velik broja različitih tradicijskih i klasičnih glazbala.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Održavanje standarda broja novih programa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8</w:t>
            </w:r>
          </w:p>
        </w:tc>
        <w:tc>
          <w:tcPr>
            <w:tcW w:w="1300" w:type="dxa"/>
          </w:tcPr>
          <w:p w:rsidR="00AC0832" w:rsidRDefault="00AC0832">
            <w:pPr>
              <w:pStyle w:val="CellColumn"/>
            </w:pPr>
            <w:r>
              <w:t>MK</w:t>
            </w:r>
          </w:p>
        </w:tc>
        <w:tc>
          <w:tcPr>
            <w:tcW w:w="1300" w:type="dxa"/>
          </w:tcPr>
          <w:p w:rsidR="00AC0832" w:rsidRDefault="00AC0832">
            <w:pPr>
              <w:pStyle w:val="CellColumn"/>
            </w:pPr>
            <w:r>
              <w:t>8</w:t>
            </w:r>
          </w:p>
        </w:tc>
        <w:tc>
          <w:tcPr>
            <w:tcW w:w="1300" w:type="dxa"/>
          </w:tcPr>
          <w:p w:rsidR="00AC0832" w:rsidRDefault="00AC0832">
            <w:pPr>
              <w:pStyle w:val="CellColumn"/>
            </w:pPr>
            <w:r>
              <w:t>8</w:t>
            </w:r>
          </w:p>
        </w:tc>
      </w:tr>
    </w:tbl>
    <w:p w:rsidR="00AC0832" w:rsidRDefault="00AC0832">
      <w:pPr>
        <w:jc w:val="left"/>
      </w:pPr>
    </w:p>
    <w:p w:rsidR="00AC0832" w:rsidRDefault="00AC0832">
      <w:pPr>
        <w:pStyle w:val="Heading3"/>
      </w:pPr>
      <w:r>
        <w:t>22339 Hrvatski restauratorski zavod</w:t>
      </w:r>
    </w:p>
    <w:p w:rsidR="00AC0832" w:rsidRDefault="00AC0832">
      <w:pPr>
        <w:pStyle w:val="Heading4"/>
      </w:pPr>
      <w:r>
        <w:t>Uvod</w:t>
      </w:r>
    </w:p>
    <w:p w:rsidR="00AC0832" w:rsidRDefault="00AC0832">
      <w:pPr>
        <w:pStyle w:val="Normal5"/>
      </w:pPr>
      <w:r>
        <w:t>Hrvatski restauratorski zavod utemeljen je 1997. godine uredbom Vlade Republike Hrvatske o spajanju javnih ustanova konzervatorsko-restauratorskih djelatnosti u vlasništvu Republike Hrvatske: Zavoda za restauriranje umjetnina (utemeljen godine 1948. i Restauratorskog zavoda Hrvatske (utemeljen 1966. godine). Osnovna djelatnost Zavoda je konzerviranje i restauriranje nepokretnih kulturnih dobara (graditeljskog naslijeđa, zidnih slika i mozaika, kamene plastike, štukatura, arheoloških nalazišta) i pokretnih kulturnih dobara (štafelajnog slikarstva, drvene polikromirane skulpture, arheoloških nalaza, umjetnina na papiru, namještaja, predmeta od tekstila i metala) te drugih predmeta kulturnog, povijesnog ili tehničkog značaja.Zavod za obavljanje djelatnosti koristi prostore na 12 lokacija u Zagrebu i 14 lokacija izvan Zagreba. Uz ravnatelja, kojeg na prijedlog ministra kulture imenuje Vlada Republike Hrvatske, Zavodom upravlja Upravno vijeće koje imenuje ministar. Zavod se financira iz državnog proračuna, a neposredno surađuje s Konzervatorskim odjelima Uprave za zaštitu kulturne baštine Ministarstva kulture Republike Hrvatske te sa stručnim i znanstvenim ustanovama u Hrvatskoj i u inozemstvu, u svrhu rješavanja svojih zadaća istraživanja, konzervatorsko-restauratorske zaštite i očuvanja kulturnih dobara. U 2012. godini nije bilo odstupanja.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22339-Hrvatski restauratorski zavod</w:t>
            </w:r>
          </w:p>
        </w:tc>
        <w:tc>
          <w:tcPr>
            <w:tcW w:w="2322" w:type="dxa"/>
          </w:tcPr>
          <w:p w:rsidR="00AC0832" w:rsidRDefault="00AC0832">
            <w:pPr>
              <w:pStyle w:val="CellColumn"/>
            </w:pPr>
            <w:r>
              <w:t>66.064.609</w:t>
            </w:r>
          </w:p>
        </w:tc>
        <w:tc>
          <w:tcPr>
            <w:tcW w:w="2322" w:type="dxa"/>
          </w:tcPr>
          <w:p w:rsidR="00AC0832" w:rsidRDefault="00AC0832">
            <w:pPr>
              <w:pStyle w:val="CellColumn"/>
            </w:pPr>
            <w:r>
              <w:t>66.052.110</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Small"/>
            </w:pPr>
            <w:r>
              <w:t>3908-ZAŠTITA KULTURNIH DOBARA</w:t>
            </w:r>
          </w:p>
        </w:tc>
        <w:tc>
          <w:tcPr>
            <w:tcW w:w="2322" w:type="dxa"/>
          </w:tcPr>
          <w:p w:rsidR="00AC0832" w:rsidRDefault="00AC0832">
            <w:pPr>
              <w:pStyle w:val="CellColumnSmall"/>
            </w:pPr>
            <w:r>
              <w:t>66.064.609</w:t>
            </w:r>
          </w:p>
        </w:tc>
        <w:tc>
          <w:tcPr>
            <w:tcW w:w="2322" w:type="dxa"/>
          </w:tcPr>
          <w:p w:rsidR="00AC0832" w:rsidRDefault="00AC0832">
            <w:pPr>
              <w:pStyle w:val="CellColumnSmall"/>
            </w:pPr>
            <w:r>
              <w:t>66.052.110</w:t>
            </w:r>
          </w:p>
        </w:tc>
        <w:tc>
          <w:tcPr>
            <w:tcW w:w="2322" w:type="dxa"/>
          </w:tcPr>
          <w:p w:rsidR="00AC0832" w:rsidRDefault="00AC0832">
            <w:pPr>
              <w:pStyle w:val="CellColumnSmall"/>
            </w:pPr>
            <w:r>
              <w:t>100,0</w:t>
            </w:r>
          </w:p>
        </w:tc>
      </w:tr>
    </w:tbl>
    <w:p w:rsidR="00AC0832" w:rsidRDefault="00AC0832">
      <w:pPr>
        <w:jc w:val="left"/>
      </w:pPr>
    </w:p>
    <w:p w:rsidR="00AC0832" w:rsidRDefault="00AC0832">
      <w:pPr>
        <w:pStyle w:val="Heading4"/>
      </w:pPr>
      <w:r>
        <w:t>OBRAZLOŽENJE PROGRAMA</w:t>
      </w:r>
    </w:p>
    <w:p w:rsidR="00AC0832" w:rsidRDefault="00AC0832">
      <w:pPr>
        <w:pStyle w:val="Heading5"/>
      </w:pPr>
      <w:r>
        <w:t>3908 ZAŠTITA KULTURNIH DOBARA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3908-ZAŠTITA KULTURNIH DOBARA</w:t>
            </w:r>
          </w:p>
        </w:tc>
        <w:tc>
          <w:tcPr>
            <w:tcW w:w="2322" w:type="dxa"/>
          </w:tcPr>
          <w:p w:rsidR="00AC0832" w:rsidRDefault="00AC0832">
            <w:pPr>
              <w:pStyle w:val="CellColumn"/>
            </w:pPr>
            <w:r>
              <w:t>66.064.609</w:t>
            </w:r>
          </w:p>
        </w:tc>
        <w:tc>
          <w:tcPr>
            <w:tcW w:w="2322" w:type="dxa"/>
          </w:tcPr>
          <w:p w:rsidR="00AC0832" w:rsidRDefault="00AC0832">
            <w:pPr>
              <w:pStyle w:val="CellColumn"/>
            </w:pPr>
            <w:r>
              <w:t>66.052.110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Opis programa</w:t>
      </w:r>
    </w:p>
    <w:p w:rsidR="00AC0832" w:rsidRDefault="00AC0832">
      <w:r>
        <w:t>Programom Hrvatskog resauratorskog zavoda provodi se sustavna konzervatorsko-restauratorska istraživanja zaštićenih kulturnih dobara uz izradu konzervatorsko-tehničke dokumentacije. Provođenje konzervatorsko-restauratorskih radova na pokretnim i nepokretnim kulturnim dobrima koje obuhvaća graditeljsko nasljeđe, umjetnine i druge predmete od kulturnog, povijesnog i tehničkog značaja, njihovu obnovu, uređenje i prezentiranje. Stručna vještačenja, utvrđivanje stanja kulturnih dobara, uzroka, vrsta i stupnjeva oštećenja, provođenje stručnog nadzora i promidžba konzervatorsko-restauratorske djelatnosti. u 2012. godini ni je bilo odstupanja o plana.</w:t>
      </w:r>
    </w:p>
    <w:p w:rsidR="00AC0832" w:rsidRDefault="00AC0832">
      <w:pPr>
        <w:pStyle w:val="Heading6"/>
      </w:pPr>
      <w:r>
        <w:t>Zakonske i druge pravne osnove</w:t>
      </w:r>
    </w:p>
    <w:p w:rsidR="00AC0832" w:rsidRDefault="00AC0832">
      <w:r>
        <w:t>Hrvatski restauratorski zavod utemeljen je 1997. godine uredbom Vlade Republike Hrvatske o spajanju javnih ustanova konzervatorsko-restauratorskih djelatnosti u vlasništvu Republike Hrvatske: Zavoda za restauriranje umjetnina (utemeljen godine 1948. i Restauratorskog zavoda Hrvatske (utemeljen 1966. godine).</w:t>
      </w:r>
    </w:p>
    <w:p w:rsidR="00AC0832" w:rsidRDefault="00AC0832">
      <w:pPr>
        <w:pStyle w:val="Heading6"/>
      </w:pPr>
      <w:r>
        <w:t>A834001 PROGRAMI HRVATSKOG RESTAURATORSKOG ZAVODA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A834001-PROGRAMI HRVATSKOG RESTAURATORSKOG ZAVODA</w:t>
            </w:r>
          </w:p>
        </w:tc>
        <w:tc>
          <w:tcPr>
            <w:tcW w:w="2322" w:type="dxa"/>
          </w:tcPr>
          <w:p w:rsidR="00AC0832" w:rsidRDefault="00AC0832">
            <w:pPr>
              <w:pStyle w:val="CellColumn"/>
            </w:pPr>
            <w:r>
              <w:t>21.100.000</w:t>
            </w:r>
          </w:p>
        </w:tc>
        <w:tc>
          <w:tcPr>
            <w:tcW w:w="2322" w:type="dxa"/>
          </w:tcPr>
          <w:p w:rsidR="00AC0832" w:rsidRDefault="00AC0832">
            <w:pPr>
              <w:pStyle w:val="CellColumn"/>
            </w:pPr>
            <w:r>
              <w:t>21.099.797</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Ovom aktivnosti provedena su sustavna konzervatorsko - restauratorska istraživanja zaštićenih kulturnih dobara uz izradu konzervatorsko - tehničke dokumentacije. Provedeni su konzervatorsko - restauratorski radovi na pokretnim i nepokretnim kulturnim dobrima koji su obuhvatili graditeljsko nasljeđe, umjetnine i druge predmete od kulturnog, povijesnog i tehničkog značaja, njihovu obnovu, uređenje i prezentiranje. Stručna vještačenja, utvrđivanje stanja kulturnih dobara, uzorka, vrsta i stupnjeva oštećenja, provođenje stručnog nadzora i promidžba konzervatorsko - restauratorske djelatnosti. U 2012. godini nije bilo odstupanja od plana.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7"/>
        <w:gridCol w:w="1279"/>
        <w:gridCol w:w="1272"/>
        <w:gridCol w:w="1282"/>
        <w:gridCol w:w="1279"/>
        <w:gridCol w:w="1282"/>
        <w:gridCol w:w="128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provedenih cjelovitih programa Hrvatskog restauratorskog zavoda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20</w:t>
            </w:r>
          </w:p>
        </w:tc>
        <w:tc>
          <w:tcPr>
            <w:tcW w:w="1300" w:type="dxa"/>
          </w:tcPr>
          <w:p w:rsidR="00AC0832" w:rsidRDefault="00AC0832">
            <w:pPr>
              <w:pStyle w:val="CellColumn"/>
            </w:pPr>
            <w:r>
              <w:t>MK</w:t>
            </w:r>
          </w:p>
        </w:tc>
        <w:tc>
          <w:tcPr>
            <w:tcW w:w="1300" w:type="dxa"/>
          </w:tcPr>
          <w:p w:rsidR="00AC0832" w:rsidRDefault="00AC0832">
            <w:pPr>
              <w:pStyle w:val="CellColumn"/>
            </w:pPr>
            <w:r>
              <w:t>21</w:t>
            </w:r>
          </w:p>
        </w:tc>
        <w:tc>
          <w:tcPr>
            <w:tcW w:w="1300" w:type="dxa"/>
          </w:tcPr>
          <w:p w:rsidR="00AC0832" w:rsidRDefault="00AC0832">
            <w:pPr>
              <w:pStyle w:val="CellColumn"/>
            </w:pPr>
            <w:r>
              <w:t>23</w:t>
            </w:r>
          </w:p>
        </w:tc>
      </w:tr>
    </w:tbl>
    <w:p w:rsidR="00AC0832" w:rsidRDefault="00AC0832">
      <w:pPr>
        <w:jc w:val="left"/>
      </w:pPr>
    </w:p>
    <w:p w:rsidR="00AC0832" w:rsidRDefault="00AC0832">
      <w:pPr>
        <w:pStyle w:val="Heading6"/>
      </w:pPr>
      <w:r>
        <w:t>A834002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A834002-ADMINISTRACIJA I UPRAVLJANJE</w:t>
            </w:r>
          </w:p>
        </w:tc>
        <w:tc>
          <w:tcPr>
            <w:tcW w:w="2322" w:type="dxa"/>
          </w:tcPr>
          <w:p w:rsidR="00AC0832" w:rsidRDefault="00AC0832">
            <w:pPr>
              <w:pStyle w:val="CellColumn"/>
            </w:pPr>
            <w:r>
              <w:t>44.964.609</w:t>
            </w:r>
          </w:p>
        </w:tc>
        <w:tc>
          <w:tcPr>
            <w:tcW w:w="2322" w:type="dxa"/>
          </w:tcPr>
          <w:p w:rsidR="00AC0832" w:rsidRDefault="00AC0832">
            <w:pPr>
              <w:pStyle w:val="CellColumn"/>
            </w:pPr>
            <w:r>
              <w:t>44.952.313</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ovoj aktivnosti osigurana su sredstva za plaće zaposlenika te materijalne rashode. osigurani su materijalni preduvjeti za obavljanje konzervatorsko - restauratorske djelatnosti korz održavanje prostora i opreme u funkcionalnom stanju. Za obavljanje svoje djelatnsoti, Zavod koristi prostore na dvanaest lokacija u Zagrebu i četrnaest lokacija izvan Zagreba. Obavljanje djelatnosti zahtjeva osiguranje posebnih uvjeta s gledišta zaštite na radu te korištenja različite opreme uređaja. U 2012. godini nije bilo odstupanja od plana.</w:t>
      </w:r>
    </w:p>
    <w:p w:rsidR="00AC0832" w:rsidRDefault="00AC0832">
      <w:pPr>
        <w:pStyle w:val="Heading3"/>
      </w:pPr>
      <w:r>
        <w:t>23585 Hrvatska knjižnica za slijepe</w:t>
      </w:r>
    </w:p>
    <w:p w:rsidR="00AC0832" w:rsidRDefault="00AC0832">
      <w:pPr>
        <w:pStyle w:val="Heading4"/>
      </w:pPr>
      <w:r>
        <w:t>Uvod</w:t>
      </w:r>
    </w:p>
    <w:p w:rsidR="00AC0832" w:rsidRDefault="00AC0832">
      <w:pPr>
        <w:pStyle w:val="Normal5"/>
      </w:pPr>
      <w:r>
        <w:t>Odlukom Vlade Republike Hrvatske od 1999. godine Hrvatska knjižnica za slijepe djeluje kao javna ustanova od interesa za Republiku Hrvatsku. Osnovne su joj djelatnosti: tiskanje i snimanje knjiga s područja stručne literature i lijepe književnosti, tiskanje i snimanje časopisa, nabava knjižnične građe u tehnikama dostupnim slijepima (na brajici i u zvučnoj tehnici), stručna obrada, čuvanje, zaštita i popravak knjižnične građe, izrada biltena i kataloga, redovna posudba knjiga u svim tehnikama, pomoć korisnicima pri izboru i korištenju knjižnične građe, informacijskih pomagala i izvora, vođenje dokumentacije o građi i korisnicima. Korisnici knjižnice su slijepe i slabovidne osobe, a i svi oni koji iz nekog razloga ne mogu čitati standardni tisak (disleksija, moždani udar, tjelesna oštećenja i sl.). Knjižni fond čine naslovi knjiga na brajici i zvučnoj tehnici - na audio kazetama i odnedavno CD-ima u MP3 formatu. U 2012. godini nije bilo odstupanja od plana.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23585-Hrvatska knjižnica za slijepe</w:t>
            </w:r>
          </w:p>
        </w:tc>
        <w:tc>
          <w:tcPr>
            <w:tcW w:w="2322" w:type="dxa"/>
          </w:tcPr>
          <w:p w:rsidR="00AC0832" w:rsidRDefault="00AC0832">
            <w:pPr>
              <w:pStyle w:val="CellColumn"/>
            </w:pPr>
            <w:r>
              <w:t>2.833.900</w:t>
            </w:r>
          </w:p>
        </w:tc>
        <w:tc>
          <w:tcPr>
            <w:tcW w:w="2322" w:type="dxa"/>
          </w:tcPr>
          <w:p w:rsidR="00AC0832" w:rsidRDefault="00AC0832">
            <w:pPr>
              <w:pStyle w:val="CellColumn"/>
            </w:pPr>
            <w:r>
              <w:t>2.808.587</w:t>
            </w:r>
          </w:p>
        </w:tc>
        <w:tc>
          <w:tcPr>
            <w:tcW w:w="2322" w:type="dxa"/>
          </w:tcPr>
          <w:p w:rsidR="00AC0832" w:rsidRDefault="00AC0832">
            <w:pPr>
              <w:pStyle w:val="CellColumn"/>
            </w:pPr>
            <w:r>
              <w:t>99,1</w:t>
            </w:r>
          </w:p>
        </w:tc>
      </w:tr>
      <w:tr w:rsidR="00AC0832" w:rsidTr="00BE20ED">
        <w:trPr>
          <w:jc w:val="center"/>
        </w:trPr>
        <w:tc>
          <w:tcPr>
            <w:tcW w:w="2322" w:type="dxa"/>
          </w:tcPr>
          <w:p w:rsidR="00AC0832" w:rsidRDefault="00AC0832">
            <w:pPr>
              <w:pStyle w:val="CellColumnSmall"/>
            </w:pPr>
            <w:r>
              <w:t>3905-KNJIŽNIČNA DJELATNOST</w:t>
            </w:r>
          </w:p>
        </w:tc>
        <w:tc>
          <w:tcPr>
            <w:tcW w:w="2322" w:type="dxa"/>
          </w:tcPr>
          <w:p w:rsidR="00AC0832" w:rsidRDefault="00AC0832">
            <w:pPr>
              <w:pStyle w:val="CellColumnSmall"/>
            </w:pPr>
            <w:r>
              <w:t>2.833.900</w:t>
            </w:r>
          </w:p>
        </w:tc>
        <w:tc>
          <w:tcPr>
            <w:tcW w:w="2322" w:type="dxa"/>
          </w:tcPr>
          <w:p w:rsidR="00AC0832" w:rsidRDefault="00AC0832">
            <w:pPr>
              <w:pStyle w:val="CellColumnSmall"/>
            </w:pPr>
            <w:r>
              <w:t>2.808.587</w:t>
            </w:r>
          </w:p>
        </w:tc>
        <w:tc>
          <w:tcPr>
            <w:tcW w:w="2322" w:type="dxa"/>
          </w:tcPr>
          <w:p w:rsidR="00AC0832" w:rsidRDefault="00AC0832">
            <w:pPr>
              <w:pStyle w:val="CellColumnSmall"/>
            </w:pPr>
            <w:r>
              <w:t>99,1</w:t>
            </w:r>
          </w:p>
        </w:tc>
      </w:tr>
    </w:tbl>
    <w:p w:rsidR="00AC0832" w:rsidRDefault="00AC0832">
      <w:pPr>
        <w:jc w:val="left"/>
      </w:pPr>
    </w:p>
    <w:p w:rsidR="00AC0832" w:rsidRDefault="00AC0832">
      <w:pPr>
        <w:pStyle w:val="Heading4"/>
      </w:pPr>
      <w:r>
        <w:t>OBRAZLOŽENJE PROGRAMA</w:t>
      </w:r>
    </w:p>
    <w:p w:rsidR="00AC0832" w:rsidRDefault="00AC0832">
      <w:pPr>
        <w:pStyle w:val="Heading5"/>
      </w:pPr>
      <w:r>
        <w:t>3905 KNJIŽNIČNA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3905-KNJIŽNIČNA DJELATNOST</w:t>
            </w:r>
          </w:p>
        </w:tc>
        <w:tc>
          <w:tcPr>
            <w:tcW w:w="2322" w:type="dxa"/>
          </w:tcPr>
          <w:p w:rsidR="00AC0832" w:rsidRDefault="00AC0832">
            <w:pPr>
              <w:pStyle w:val="CellColumn"/>
            </w:pPr>
            <w:r>
              <w:t>2.833.900</w:t>
            </w:r>
          </w:p>
        </w:tc>
        <w:tc>
          <w:tcPr>
            <w:tcW w:w="2322" w:type="dxa"/>
          </w:tcPr>
          <w:p w:rsidR="00AC0832" w:rsidRDefault="00AC0832">
            <w:pPr>
              <w:pStyle w:val="CellColumn"/>
            </w:pPr>
            <w:r>
              <w:t>2.808.587</w:t>
            </w:r>
          </w:p>
        </w:tc>
        <w:tc>
          <w:tcPr>
            <w:tcW w:w="2322" w:type="dxa"/>
          </w:tcPr>
          <w:p w:rsidR="00AC0832" w:rsidRDefault="00AC0832">
            <w:pPr>
              <w:pStyle w:val="CellColumn"/>
            </w:pPr>
            <w:r>
              <w:t>99,1</w:t>
            </w:r>
          </w:p>
        </w:tc>
      </w:tr>
    </w:tbl>
    <w:p w:rsidR="00AC0832" w:rsidRDefault="00AC0832">
      <w:pPr>
        <w:jc w:val="left"/>
      </w:pPr>
    </w:p>
    <w:p w:rsidR="00AC0832" w:rsidRDefault="00AC0832">
      <w:pPr>
        <w:pStyle w:val="Heading6"/>
      </w:pPr>
      <w:r>
        <w:t>Opis programa</w:t>
      </w:r>
    </w:p>
    <w:p w:rsidR="00AC0832" w:rsidRDefault="00AC0832">
      <w:r>
        <w:t xml:space="preserve">Hrvatska knjižnica za slijepe je izdavač knjiga i časopisa za slijepe i slabovidne osobe. Jedina knjižnica za slijepe u Hrvatskoj vrlo dobro surađuje s ostalim narodnim knjižnicama prezentacijom svoga rada i fonda kroz zajedničke akcije na širenju knjižničnih usluga za slijepe i slabovidne. </w:t>
      </w:r>
    </w:p>
    <w:p w:rsidR="00AC0832" w:rsidRDefault="00AC0832">
      <w:r>
        <w:t xml:space="preserve">Korisnici knjižnice su prije svega slijepe i slabovidne osobe, a potom i svi oni koji iz nekog razloga ne mogu čitati standardni tisak (disleksija, moždani udar, tjelesna oštećenja i sl.).  </w:t>
      </w:r>
    </w:p>
    <w:p w:rsidR="00AC0832" w:rsidRDefault="00AC0832">
      <w:r>
        <w:t>Knjige se najvećim dijelom korisnicima šalju poštom na kućne adrese po cijeloj Hrvatskoj pa i u inozemstvo. Starijim teško pokretnim ili nepokretnim korisnicima iz Zagreba i zagrebačke županije koji ne mogu sami doći posuditi knjige, koji žive sami ili u domovima umirovljenika već knjige se dostavljaju automobilom na telefonski poziv, jednom tjedno. U 2012. godini nije bilo odstupanja od plana.</w:t>
      </w:r>
    </w:p>
    <w:p w:rsidR="00AC0832" w:rsidRDefault="00AC0832">
      <w:pPr>
        <w:pStyle w:val="Heading6"/>
      </w:pPr>
      <w:r>
        <w:t>Zakonske i druge pravne osnove</w:t>
      </w:r>
    </w:p>
    <w:p w:rsidR="00AC0832" w:rsidRDefault="00AC0832">
      <w:r>
        <w:t xml:space="preserve">- Zakon o financiranju javnih potreba u kulturi (“Narodne novine” br. 47/90 i 27/93) </w:t>
      </w:r>
    </w:p>
    <w:p w:rsidR="00AC0832" w:rsidRDefault="00AC0832">
      <w:r>
        <w:t xml:space="preserve"> - Pravilnik o izboru i utvrđivanju programa javnih potreba u kulturi (“Narodne novine” br. 137/08,  57/09, 62/09) </w:t>
      </w:r>
    </w:p>
    <w:p w:rsidR="00AC0832" w:rsidRDefault="00AC0832">
      <w:r>
        <w:t xml:space="preserve">- Zakon o knjižnicama (NN 105/97, 5/98, 104/00, 69/09) </w:t>
      </w:r>
    </w:p>
    <w:p w:rsidR="00AC0832" w:rsidRDefault="00AC0832">
      <w:r>
        <w:t xml:space="preserve">- Pravilnik o matičnoj djelatnosti knjižnica u Republici Hrvatskoj (NN 43/01) </w:t>
      </w:r>
    </w:p>
    <w:p w:rsidR="00AC0832" w:rsidRDefault="00AC0832">
      <w:r>
        <w:t xml:space="preserve">- Standardi za narodne knjižnice u Republici Hrvatskoj (NN 58/99) </w:t>
      </w:r>
    </w:p>
    <w:p w:rsidR="00AC0832" w:rsidRDefault="00AC0832">
      <w:r>
        <w:t>- Uredba o osnivanju Hrvatske knjižnice za slijepe (NN 115/99)</w:t>
      </w:r>
    </w:p>
    <w:p w:rsidR="00AC0832" w:rsidRDefault="00AC0832">
      <w:pPr>
        <w:pStyle w:val="Heading7"/>
      </w:pPr>
      <w:r>
        <w:t>Cilj 1. Održavanje kontinuiteta knjižničnih usluga za slijepe i slabovidne osobe</w:t>
      </w:r>
    </w:p>
    <w:p w:rsidR="00AC0832" w:rsidRDefault="00AC0832">
      <w:pPr>
        <w:pStyle w:val="Heading8"/>
        <w:jc w:val="left"/>
      </w:pPr>
      <w:r>
        <w:t>Opis provedbe cilja programa</w:t>
      </w:r>
    </w:p>
    <w:p w:rsidR="00AC0832" w:rsidRDefault="00AC0832">
      <w:pPr>
        <w:pStyle w:val="Normal6"/>
      </w:pPr>
      <w:r>
        <w:t>Održavanje kontinuiteta knjižničnih usluga za slijepe i slabovidne osobe u cilju uključenja svih stanovnika s posebnim potrebama i dostupnosti informacija.</w:t>
      </w:r>
    </w:p>
    <w:p w:rsidR="00AC0832" w:rsidRDefault="00AC0832">
      <w:pPr>
        <w:pStyle w:val="Heading6"/>
      </w:pPr>
      <w:r>
        <w:t>A835001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A835001-ADMINISTRACIJA I UPRAVLJANJE</w:t>
            </w:r>
          </w:p>
        </w:tc>
        <w:tc>
          <w:tcPr>
            <w:tcW w:w="2322" w:type="dxa"/>
          </w:tcPr>
          <w:p w:rsidR="00AC0832" w:rsidRDefault="00AC0832">
            <w:pPr>
              <w:pStyle w:val="CellColumn"/>
            </w:pPr>
            <w:r>
              <w:t>2.833.900</w:t>
            </w:r>
          </w:p>
        </w:tc>
        <w:tc>
          <w:tcPr>
            <w:tcW w:w="2322" w:type="dxa"/>
          </w:tcPr>
          <w:p w:rsidR="00AC0832" w:rsidRDefault="00AC0832">
            <w:pPr>
              <w:pStyle w:val="CellColumn"/>
            </w:pPr>
            <w:r>
              <w:t>2.808.587</w:t>
            </w:r>
          </w:p>
        </w:tc>
        <w:tc>
          <w:tcPr>
            <w:tcW w:w="2322" w:type="dxa"/>
          </w:tcPr>
          <w:p w:rsidR="00AC0832" w:rsidRDefault="00AC0832">
            <w:pPr>
              <w:pStyle w:val="CellColumn"/>
            </w:pPr>
            <w:r>
              <w:t>99,1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ovoj aktivnosti osigurana su sredstva za obavljanje redovite knjižnične i nakladničke djelatnosti Knjižnice te sredstva za ulaganje u prostor i opremu. U 2012. godini nije bilo odstupanja od plana.</w:t>
      </w:r>
    </w:p>
    <w:p w:rsidR="00AC0832" w:rsidRDefault="00AC0832">
      <w:pPr>
        <w:pStyle w:val="Heading3"/>
      </w:pPr>
      <w:r>
        <w:t>23608 Zavod za obnovu Dubrovnika</w:t>
      </w:r>
    </w:p>
    <w:p w:rsidR="00AC0832" w:rsidRDefault="00AC0832">
      <w:pPr>
        <w:pStyle w:val="Heading4"/>
      </w:pPr>
      <w:r>
        <w:t>Uvod</w:t>
      </w:r>
    </w:p>
    <w:p w:rsidR="00AC0832" w:rsidRDefault="00AC0832">
      <w:pPr>
        <w:pStyle w:val="Normal5"/>
      </w:pPr>
      <w:r>
        <w:t>Osnovna djelatnost Zavoda uključuje pripremne radnje (snimke postojećeg stanja, arhjeološka i druga istraživanja, tender dokumentaciju radova na obnovi, suglasnosti i dozvole nadležnih institucija), poslove nadzora (odabir izvoditelja, stručni nadzor), osiguranje sredstava (zakonski okvir financiranja, drugi izvori kao joint ventures, koncesije, donacije i drugo), promociju (povijesne jezgre, metoda i rezultati obnove), odnose s javnošću i administrativne i tehničke poslove servisiranja programa i ustanove kao takve. U 2012. godini nije bilo odstupanja od plana.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23608-Zavod za obnovu Dubrovnika</w:t>
            </w:r>
          </w:p>
        </w:tc>
        <w:tc>
          <w:tcPr>
            <w:tcW w:w="2322" w:type="dxa"/>
          </w:tcPr>
          <w:p w:rsidR="00AC0832" w:rsidRDefault="00AC0832">
            <w:pPr>
              <w:pStyle w:val="CellColumn"/>
            </w:pPr>
            <w:r>
              <w:t>6.797.588</w:t>
            </w:r>
          </w:p>
        </w:tc>
        <w:tc>
          <w:tcPr>
            <w:tcW w:w="2322" w:type="dxa"/>
          </w:tcPr>
          <w:p w:rsidR="00AC0832" w:rsidRDefault="00AC0832">
            <w:pPr>
              <w:pStyle w:val="CellColumn"/>
            </w:pPr>
            <w:r>
              <w:t>6.790.113</w:t>
            </w:r>
          </w:p>
        </w:tc>
        <w:tc>
          <w:tcPr>
            <w:tcW w:w="2322" w:type="dxa"/>
          </w:tcPr>
          <w:p w:rsidR="00AC0832" w:rsidRDefault="00AC0832">
            <w:pPr>
              <w:pStyle w:val="CellColumn"/>
            </w:pPr>
            <w:r>
              <w:t>99,9</w:t>
            </w:r>
          </w:p>
        </w:tc>
      </w:tr>
      <w:tr w:rsidR="00AC0832" w:rsidTr="00BE20ED">
        <w:trPr>
          <w:jc w:val="center"/>
        </w:trPr>
        <w:tc>
          <w:tcPr>
            <w:tcW w:w="2322" w:type="dxa"/>
          </w:tcPr>
          <w:p w:rsidR="00AC0832" w:rsidRDefault="00AC0832">
            <w:pPr>
              <w:pStyle w:val="CellColumnSmall"/>
            </w:pPr>
            <w:r>
              <w:t>3908-ZAŠTITA KULTURNIH DOBARA</w:t>
            </w:r>
          </w:p>
        </w:tc>
        <w:tc>
          <w:tcPr>
            <w:tcW w:w="2322" w:type="dxa"/>
          </w:tcPr>
          <w:p w:rsidR="00AC0832" w:rsidRDefault="00AC0832">
            <w:pPr>
              <w:pStyle w:val="CellColumnSmall"/>
            </w:pPr>
            <w:r>
              <w:t>6.797.588</w:t>
            </w:r>
          </w:p>
        </w:tc>
        <w:tc>
          <w:tcPr>
            <w:tcW w:w="2322" w:type="dxa"/>
          </w:tcPr>
          <w:p w:rsidR="00AC0832" w:rsidRDefault="00AC0832">
            <w:pPr>
              <w:pStyle w:val="CellColumnSmall"/>
            </w:pPr>
            <w:r>
              <w:t>6.790.113</w:t>
            </w:r>
          </w:p>
        </w:tc>
        <w:tc>
          <w:tcPr>
            <w:tcW w:w="2322" w:type="dxa"/>
          </w:tcPr>
          <w:p w:rsidR="00AC0832" w:rsidRDefault="00AC0832">
            <w:pPr>
              <w:pStyle w:val="CellColumnSmall"/>
            </w:pPr>
            <w:r>
              <w:t>99,9</w:t>
            </w:r>
          </w:p>
        </w:tc>
      </w:tr>
    </w:tbl>
    <w:p w:rsidR="00AC0832" w:rsidRDefault="00AC0832">
      <w:pPr>
        <w:jc w:val="left"/>
      </w:pPr>
    </w:p>
    <w:p w:rsidR="00AC0832" w:rsidRDefault="00AC0832">
      <w:pPr>
        <w:pStyle w:val="Heading4"/>
      </w:pPr>
      <w:r>
        <w:t>OBRAZLOŽENJE PROGRAMA</w:t>
      </w:r>
    </w:p>
    <w:p w:rsidR="00AC0832" w:rsidRDefault="00AC0832">
      <w:pPr>
        <w:pStyle w:val="Heading5"/>
      </w:pPr>
      <w:r>
        <w:t>3908 ZAŠTITA KULTURNIH DOBARA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3908-ZAŠTITA KULTURNIH DOBARA</w:t>
            </w:r>
          </w:p>
        </w:tc>
        <w:tc>
          <w:tcPr>
            <w:tcW w:w="2322" w:type="dxa"/>
          </w:tcPr>
          <w:p w:rsidR="00AC0832" w:rsidRDefault="00AC0832">
            <w:pPr>
              <w:pStyle w:val="CellColumn"/>
            </w:pPr>
            <w:r>
              <w:t>6.797.588</w:t>
            </w:r>
          </w:p>
        </w:tc>
        <w:tc>
          <w:tcPr>
            <w:tcW w:w="2322" w:type="dxa"/>
          </w:tcPr>
          <w:p w:rsidR="00AC0832" w:rsidRDefault="00AC0832">
            <w:pPr>
              <w:pStyle w:val="CellColumn"/>
            </w:pPr>
            <w:r>
              <w:t>6.790.113</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6"/>
      </w:pPr>
      <w:r>
        <w:t>Opis programa</w:t>
      </w:r>
    </w:p>
    <w:p w:rsidR="00AC0832" w:rsidRDefault="00AC0832">
      <w:r>
        <w:t>Zavod za obnovu Dubrovnika izrađuje prijave za zaštitne radove na kulturnim dobrima, prema Pozivu za predlaganje programa javnih potreba u kulturi Republike Hrvatske. Provodi programe obnove Biskupske palače, crkve Sv.Križa, arheološkog lokaliteta na Pustijerni, aseizmičku sanaciju blokova povijesne jezgre Dubrovnika, izrađuje snimke postojećeg stanja povijesne jezgre i digitalizira ih te provodi projekt sanacije podzemlja katedrale, sve u Dubrovniku. Zavod izrađuje i provodi financijsku dokumentaciju, prati programe, vrši nadzor te izrađuje izvješća po završenom programu. Istraživanjem, dokumentiranjem, inventarizacijom kulturnih dobara, izradom projekata sanacije i njihovim provođenjem unapređuje stanje i vodi brigu o kulturnoj baštini Dubrovnika koji je na listi Svjetske baštine. U 2012. godini nije bilo odstupanja od plana.</w:t>
      </w:r>
    </w:p>
    <w:p w:rsidR="00AC0832" w:rsidRDefault="00AC0832">
      <w:pPr>
        <w:pStyle w:val="Heading6"/>
      </w:pPr>
      <w:r>
        <w:t>Zakonske i druge pravne osnove</w:t>
      </w:r>
    </w:p>
    <w:p w:rsidR="00AC0832" w:rsidRDefault="00AC0832">
      <w:r>
        <w:t>Zavod za obnovu Dubrovnika osnovan je odlukom Općine Dubrovnik. Njegov sadašnji status je javna ustanova s tri osnivača: Vladom RH, Gradom Dubrovnikom i Županijim dubrovačko-neretvanskom. - Zakon o obnovi ugrožene spomeničke cjeline Dubrovnika (NN 21/86, 26/93, NN 33/89, NN 128/99)</w:t>
      </w:r>
    </w:p>
    <w:p w:rsidR="00AC0832" w:rsidRDefault="00AC0832">
      <w:pPr>
        <w:pStyle w:val="Heading6"/>
      </w:pPr>
      <w:r>
        <w:t>A833001 PROGRAMI ZAVODA ZA OBNOVU DUBROVNIKA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A833001-PROGRAMI ZAVODA ZA OBNOVU DUBROVNIKA</w:t>
            </w:r>
          </w:p>
        </w:tc>
        <w:tc>
          <w:tcPr>
            <w:tcW w:w="2322" w:type="dxa"/>
          </w:tcPr>
          <w:p w:rsidR="00AC0832" w:rsidRDefault="00AC0832">
            <w:pPr>
              <w:pStyle w:val="CellColumn"/>
            </w:pPr>
            <w:r>
              <w:t>5.600.000</w:t>
            </w:r>
          </w:p>
        </w:tc>
        <w:tc>
          <w:tcPr>
            <w:tcW w:w="2322" w:type="dxa"/>
          </w:tcPr>
          <w:p w:rsidR="00AC0832" w:rsidRDefault="00AC0832">
            <w:pPr>
              <w:pStyle w:val="CellColumn"/>
            </w:pPr>
            <w:r>
              <w:t>5.600.000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Kroz ovu aktivnost Zavod izrađuje priave za zaštitne radove na kulturnim dobrima, prema pozivu za predlaganje programa javnih potreba u kulturi Republike Hrvatske. Provodi programe obnove povijesne jezgre Dubrovnika. Zavod izrađuje i provodi financijsku dokumentaciju, prati programe, vrši nadzor te izrađuje izvješća po završenom programu. Istraživanjem, dokumentiranjem, inventarizacijom kulturnih dobara, izradom projekata sanacije i njihovim provođenjem unapređuje se stanje i vodi briga o kulturnoj baštini Dubrovnika. U 2012. godini sredstva su u cijelosti utrošena te nije bilo odstupanja od plana.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provedenih cjelovitih programa zaštite i očuvanja Zavoda za obnovu Dubrovnika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2</w:t>
            </w:r>
          </w:p>
        </w:tc>
        <w:tc>
          <w:tcPr>
            <w:tcW w:w="1300" w:type="dxa"/>
          </w:tcPr>
          <w:p w:rsidR="00AC0832" w:rsidRDefault="00AC0832">
            <w:pPr>
              <w:pStyle w:val="CellColumn"/>
            </w:pPr>
            <w:r>
              <w:t>MK</w:t>
            </w:r>
          </w:p>
        </w:tc>
        <w:tc>
          <w:tcPr>
            <w:tcW w:w="1300" w:type="dxa"/>
          </w:tcPr>
          <w:p w:rsidR="00AC0832" w:rsidRDefault="00AC0832">
            <w:pPr>
              <w:pStyle w:val="CellColumn"/>
            </w:pPr>
            <w:r>
              <w:t>3</w:t>
            </w:r>
          </w:p>
        </w:tc>
        <w:tc>
          <w:tcPr>
            <w:tcW w:w="1300" w:type="dxa"/>
          </w:tcPr>
          <w:p w:rsidR="00AC0832" w:rsidRDefault="00AC0832">
            <w:pPr>
              <w:pStyle w:val="CellColumn"/>
            </w:pPr>
            <w:r>
              <w:t>3</w:t>
            </w:r>
          </w:p>
        </w:tc>
      </w:tr>
    </w:tbl>
    <w:p w:rsidR="00AC0832" w:rsidRDefault="00AC0832">
      <w:pPr>
        <w:jc w:val="left"/>
      </w:pPr>
    </w:p>
    <w:p w:rsidR="00AC0832" w:rsidRDefault="00AC0832">
      <w:pPr>
        <w:pStyle w:val="Heading6"/>
      </w:pPr>
      <w:r>
        <w:t>A833002 ADMINISTRACIJA I UPRAVLJANJE ZAVODOM ZA OBNOVU DUBROVNIKA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A833002-ADMINISTRACIJA I UPRAVLJANJE ZAVODOM ZA OBNOVU DUBROVNIKA</w:t>
            </w:r>
          </w:p>
        </w:tc>
        <w:tc>
          <w:tcPr>
            <w:tcW w:w="2322" w:type="dxa"/>
          </w:tcPr>
          <w:p w:rsidR="00AC0832" w:rsidRDefault="00AC0832">
            <w:pPr>
              <w:pStyle w:val="CellColumn"/>
            </w:pPr>
            <w:r>
              <w:t>1.197.588</w:t>
            </w:r>
          </w:p>
        </w:tc>
        <w:tc>
          <w:tcPr>
            <w:tcW w:w="2322" w:type="dxa"/>
          </w:tcPr>
          <w:p w:rsidR="00AC0832" w:rsidRDefault="00AC0832">
            <w:pPr>
              <w:pStyle w:val="CellColumn"/>
            </w:pPr>
            <w:r>
              <w:t>1.190.113</w:t>
            </w:r>
          </w:p>
        </w:tc>
        <w:tc>
          <w:tcPr>
            <w:tcW w:w="2322" w:type="dxa"/>
          </w:tcPr>
          <w:p w:rsidR="00AC0832" w:rsidRDefault="00AC0832">
            <w:pPr>
              <w:pStyle w:val="CellColumn"/>
            </w:pPr>
            <w:r>
              <w:t>99,4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ovoj aktivnosti osigurana su sredstva za plaće i materijalne rashode. Osiguravaju se materijalni preduvijeti za obavljanje djelatnosti Zavoda kroz održavanje prostora i opreme u funkcionalnom stanju. U 2012. godini nije bilo odstupanja od plana.</w:t>
      </w:r>
    </w:p>
    <w:p w:rsidR="00AC0832" w:rsidRDefault="00AC0832">
      <w:pPr>
        <w:pStyle w:val="Heading3"/>
      </w:pPr>
      <w:r>
        <w:t>25878 Hrvatsko narodno kazalište</w:t>
      </w:r>
    </w:p>
    <w:p w:rsidR="00AC0832" w:rsidRDefault="00AC0832">
      <w:pPr>
        <w:pStyle w:val="Heading4"/>
      </w:pPr>
      <w:r>
        <w:t>Uvod</w:t>
      </w:r>
    </w:p>
    <w:p w:rsidR="00AC0832" w:rsidRDefault="00AC0832">
      <w:pPr>
        <w:pStyle w:val="Normal5"/>
      </w:pPr>
      <w:r>
        <w:t>Hrvatsko narodno kazalište u Zagrebu je središnje nacionalno kazalište, čiji osnivači su Republika Hrvatska i Grad Zagreb. U svojih 150 godina postojanja HNK u Zagrebu je stvaralo kulturološku i kazališnu tradiciju, utemeljenu na nacionalnom i kulturnom identitetu. Predstavljajući bogat i raznovrstan repertoar triju kontinuiranih umjetničkih cjelina – opere, drame i baleta, ostvarena su djela visoke umjetničke razine, u izvedbi najvećih umjetnika i pisaca, glumaca, redatelja, scenografa i kostimografa, svjetski poznatih opernih i baletnih prvaka, dirigenata i koreografa. Umjetničko-estetska pozicija središnje nacionalne kuće podrazumijeva postavljanje djela svjetske klasike, nacionalne tradicije i suvremenog stvaralaštva. Svoju funkciju u suvremenom društvu HNK u Zagrebu definira repertoarnim profiliranjem klasičnih i suvremenih naslova, interpretirajući ih inovativnim i modernih kazališnim izričajem, razvijanjem kazališne kulture te širokim interkulturalnim dijalogom, kojim se umjetnički relevantno postavlja u europski kazališni kontekst. U 2012. godini utrošena su sredstva prema planu.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25878-Hrvatsko narodno kazalište</w:t>
            </w:r>
          </w:p>
        </w:tc>
        <w:tc>
          <w:tcPr>
            <w:tcW w:w="2322" w:type="dxa"/>
          </w:tcPr>
          <w:p w:rsidR="00AC0832" w:rsidRDefault="00AC0832">
            <w:pPr>
              <w:pStyle w:val="CellColumn"/>
            </w:pPr>
            <w:r>
              <w:t>88.585.227</w:t>
            </w:r>
          </w:p>
        </w:tc>
        <w:tc>
          <w:tcPr>
            <w:tcW w:w="2322" w:type="dxa"/>
          </w:tcPr>
          <w:p w:rsidR="00AC0832" w:rsidRDefault="00AC0832">
            <w:pPr>
              <w:pStyle w:val="CellColumn"/>
            </w:pPr>
            <w:r>
              <w:t>91.306.818</w:t>
            </w:r>
          </w:p>
        </w:tc>
        <w:tc>
          <w:tcPr>
            <w:tcW w:w="2322" w:type="dxa"/>
          </w:tcPr>
          <w:p w:rsidR="00AC0832" w:rsidRDefault="00AC0832">
            <w:pPr>
              <w:pStyle w:val="CellColumn"/>
            </w:pPr>
            <w:r>
              <w:t>103,1</w:t>
            </w:r>
          </w:p>
        </w:tc>
      </w:tr>
      <w:tr w:rsidR="00AC0832" w:rsidTr="00BE20ED">
        <w:trPr>
          <w:jc w:val="center"/>
        </w:trPr>
        <w:tc>
          <w:tcPr>
            <w:tcW w:w="2322" w:type="dxa"/>
          </w:tcPr>
          <w:p w:rsidR="00AC0832" w:rsidRDefault="00AC0832">
            <w:pPr>
              <w:pStyle w:val="CellColumnSmall"/>
            </w:pPr>
            <w:r>
              <w:t>3904-KAZALIŠNA I GLAZBENO- SCENSKA DJELATNOST</w:t>
            </w:r>
          </w:p>
        </w:tc>
        <w:tc>
          <w:tcPr>
            <w:tcW w:w="2322" w:type="dxa"/>
          </w:tcPr>
          <w:p w:rsidR="00AC0832" w:rsidRDefault="00AC0832">
            <w:pPr>
              <w:pStyle w:val="CellColumnSmall"/>
            </w:pPr>
            <w:r>
              <w:t>88.585.227</w:t>
            </w:r>
          </w:p>
        </w:tc>
        <w:tc>
          <w:tcPr>
            <w:tcW w:w="2322" w:type="dxa"/>
          </w:tcPr>
          <w:p w:rsidR="00AC0832" w:rsidRDefault="00AC0832">
            <w:pPr>
              <w:pStyle w:val="CellColumnSmall"/>
            </w:pPr>
            <w:r>
              <w:t>91.306.818</w:t>
            </w:r>
          </w:p>
        </w:tc>
        <w:tc>
          <w:tcPr>
            <w:tcW w:w="2322" w:type="dxa"/>
          </w:tcPr>
          <w:p w:rsidR="00AC0832" w:rsidRDefault="00AC0832">
            <w:pPr>
              <w:pStyle w:val="CellColumnSmall"/>
            </w:pPr>
            <w:r>
              <w:t>103,1</w:t>
            </w:r>
          </w:p>
        </w:tc>
      </w:tr>
    </w:tbl>
    <w:p w:rsidR="00AC0832" w:rsidRDefault="00AC0832">
      <w:pPr>
        <w:jc w:val="left"/>
      </w:pPr>
    </w:p>
    <w:p w:rsidR="00AC0832" w:rsidRDefault="00AC0832">
      <w:pPr>
        <w:pStyle w:val="Heading4"/>
      </w:pPr>
      <w:r>
        <w:t>OBRAZLOŽENJE PROGRAMA</w:t>
      </w:r>
    </w:p>
    <w:p w:rsidR="00AC0832" w:rsidRDefault="00AC0832">
      <w:pPr>
        <w:pStyle w:val="Heading5"/>
      </w:pPr>
      <w:r>
        <w:t>3904 KAZALIŠNA I GLAZBENO- SCENSKA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3904-KAZALIŠNA I GLAZBENO- SCENSKA DJELATNOST</w:t>
            </w:r>
          </w:p>
        </w:tc>
        <w:tc>
          <w:tcPr>
            <w:tcW w:w="2322" w:type="dxa"/>
          </w:tcPr>
          <w:p w:rsidR="00AC0832" w:rsidRDefault="00AC0832">
            <w:pPr>
              <w:pStyle w:val="CellColumn"/>
            </w:pPr>
            <w:r>
              <w:t>88.585.227</w:t>
            </w:r>
          </w:p>
        </w:tc>
        <w:tc>
          <w:tcPr>
            <w:tcW w:w="2322" w:type="dxa"/>
          </w:tcPr>
          <w:p w:rsidR="00AC0832" w:rsidRDefault="00AC0832">
            <w:pPr>
              <w:pStyle w:val="CellColumn"/>
            </w:pPr>
            <w:r>
              <w:t>91.306.818</w:t>
            </w:r>
          </w:p>
        </w:tc>
        <w:tc>
          <w:tcPr>
            <w:tcW w:w="2322" w:type="dxa"/>
          </w:tcPr>
          <w:p w:rsidR="00AC0832" w:rsidRDefault="00AC0832">
            <w:pPr>
              <w:pStyle w:val="CellColumn"/>
            </w:pPr>
            <w:r>
              <w:t>103,1</w:t>
            </w:r>
          </w:p>
        </w:tc>
      </w:tr>
    </w:tbl>
    <w:p w:rsidR="00AC0832" w:rsidRDefault="00AC0832">
      <w:pPr>
        <w:jc w:val="left"/>
      </w:pPr>
    </w:p>
    <w:p w:rsidR="00AC0832" w:rsidRDefault="00AC0832">
      <w:pPr>
        <w:pStyle w:val="Heading6"/>
      </w:pPr>
      <w:r>
        <w:t>Opis programa</w:t>
      </w:r>
    </w:p>
    <w:p w:rsidR="00AC0832" w:rsidRDefault="00AC0832">
      <w:r>
        <w:t>Programska aktivnost HNK u Zagrebu obuhvaća financiranje i ostvarivanje programa triju umjetničkih cjelina: Opere, Drame i Baleta, koje ostvaruju premijerni i reprizni program te programe gostovanja. Ostvarenjem programa potiče se produkcija djela visoke umjetničke razine, razni oblici programske suradnje te izvršavanje osnovne kulturne misije HNK u Zagrebu, kao središnjeg nacionalnog kazališta. U 2012. godini nije bilo većih odstupanja od plana.</w:t>
      </w:r>
    </w:p>
    <w:p w:rsidR="00AC0832" w:rsidRDefault="00AC0832">
      <w:pPr>
        <w:pStyle w:val="Heading6"/>
      </w:pPr>
      <w:r>
        <w:t>Zakonske i druge pravne osnove</w:t>
      </w:r>
    </w:p>
    <w:p w:rsidR="00AC0832" w:rsidRDefault="00AC0832">
      <w:r>
        <w:t xml:space="preserve">- Zakon o financiranju javnih potreba u kulturi (NN 47/90, 27/93 i 38/09) </w:t>
      </w:r>
    </w:p>
    <w:p w:rsidR="00AC0832" w:rsidRDefault="00AC0832">
      <w:r>
        <w:t xml:space="preserve">- Pravilnik o izboru i utvrđivanju programa javnih potreba u kulturi (NN 137/08, 57/09 i 62/09) </w:t>
      </w:r>
    </w:p>
    <w:p w:rsidR="00AC0832" w:rsidRDefault="00AC0832">
      <w:r>
        <w:t xml:space="preserve">- Zakon o kulturnim vijećima (NN 48/04, 44/09) </w:t>
      </w:r>
    </w:p>
    <w:p w:rsidR="00AC0832" w:rsidRDefault="00AC0832">
      <w:r>
        <w:t xml:space="preserve">- Zakon o kazalištima (NN 71/06) </w:t>
      </w:r>
    </w:p>
    <w:p w:rsidR="00AC0832" w:rsidRDefault="00AC0832">
      <w:r>
        <w:t xml:space="preserve">- Pravilnik o kriterijima i standardima za osiguravanje sredstava za nacionalna kazališta (NN 116/08) </w:t>
      </w:r>
    </w:p>
    <w:p w:rsidR="00AC0832" w:rsidRDefault="00AC0832">
      <w:r>
        <w:t xml:space="preserve">- Odluka o osnovnom programskom i financijskom okviru Hrvatskog narodnog kazališta u Zagrebu za </w:t>
      </w:r>
    </w:p>
    <w:p w:rsidR="00AC0832" w:rsidRDefault="00AC0832">
      <w:r>
        <w:t xml:space="preserve">  mandatno razdoblje 2009. – 2013. </w:t>
      </w:r>
    </w:p>
    <w:p w:rsidR="00AC0832" w:rsidRDefault="00AC0832">
      <w:r>
        <w:t xml:space="preserve">- Pravilnik o Očevidniku kazališta (NN 35/07) </w:t>
      </w:r>
    </w:p>
    <w:p w:rsidR="00AC0832" w:rsidRDefault="00AC0832">
      <w:r>
        <w:t>- Pravilnik o utvrđivanju kazališnih radnika koji se smatraju kazališni umjetnici (NN 35/07)</w:t>
      </w:r>
    </w:p>
    <w:p w:rsidR="00AC0832" w:rsidRDefault="00AC0832">
      <w:pPr>
        <w:pStyle w:val="Heading7"/>
      </w:pPr>
      <w:r>
        <w:t>Cilj 1. Održavanje standarda ukupnog broja izvedbi</w:t>
      </w:r>
    </w:p>
    <w:p w:rsidR="00AC0832" w:rsidRDefault="00AC0832">
      <w:pPr>
        <w:pStyle w:val="Heading8"/>
        <w:jc w:val="left"/>
      </w:pPr>
      <w:r>
        <w:t>Opis provedbe cilja programa</w:t>
      </w:r>
    </w:p>
    <w:p w:rsidR="00AC0832" w:rsidRDefault="00AC0832">
      <w:pPr>
        <w:pStyle w:val="Normal6"/>
      </w:pPr>
      <w:r>
        <w:t>Repertoar triju umjetničkih cjelina: opere, Drame i Baleta obuhvaća premijerne i reprizne izvedbe i programe gostovanja. ostvarena je visoka umjetnička razina programa, uprizorena su djela klasičnog i nacionalnog repertoara, što obuhvaća djela domaće i svjetske baštine te suvremenih djela. Ostvareni su uvjeti za kreativnost umjetnika. Održavanje ukupnog broja premijernih i repriznih izvedbi, gostovanja i popratnih programa, propisanih Odlukom o osnovnom programskom i financijskom okviru Hrvatskog narodnog kazališta u Zagrebu za mandatno razdoblje 2009. - 2013., važna je sastavnica u održavanju programske kvalitete. Krajnji korisnici ostvarenog programa su domaća i inozemna publika.</w:t>
      </w:r>
    </w:p>
    <w:p w:rsidR="00AC0832" w:rsidRDefault="00AC0832">
      <w:pPr>
        <w:pStyle w:val="Heading6"/>
      </w:pPr>
      <w:r>
        <w:t>A832001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A832001-ADMINISTRACIJA I UPRAVLJANJE</w:t>
            </w:r>
          </w:p>
        </w:tc>
        <w:tc>
          <w:tcPr>
            <w:tcW w:w="2322" w:type="dxa"/>
          </w:tcPr>
          <w:p w:rsidR="00AC0832" w:rsidRDefault="00AC0832">
            <w:pPr>
              <w:pStyle w:val="CellColumn"/>
            </w:pPr>
            <w:r>
              <w:t>75.247.780</w:t>
            </w:r>
          </w:p>
        </w:tc>
        <w:tc>
          <w:tcPr>
            <w:tcW w:w="2322" w:type="dxa"/>
          </w:tcPr>
          <w:p w:rsidR="00AC0832" w:rsidRDefault="00AC0832">
            <w:pPr>
              <w:pStyle w:val="CellColumn"/>
            </w:pPr>
            <w:r>
              <w:t>77.969.379</w:t>
            </w:r>
          </w:p>
        </w:tc>
        <w:tc>
          <w:tcPr>
            <w:tcW w:w="2322" w:type="dxa"/>
          </w:tcPr>
          <w:p w:rsidR="00AC0832" w:rsidRDefault="00AC0832">
            <w:pPr>
              <w:pStyle w:val="CellColumn"/>
            </w:pPr>
            <w:r>
              <w:t>103,6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Ovom aktivnošću se osiguravaju sredstva za plaće te materijalne rashode za djelatnike Hrvatskog narodnog kazališta. Minsitarstvo kulture financira 51% od ukupnog broja što iznosi 250 djelatnika. U 2012. godini nije bilo većih odstupanja od plana.</w:t>
      </w:r>
    </w:p>
    <w:p w:rsidR="00AC0832" w:rsidRDefault="00AC0832">
      <w:pPr>
        <w:pStyle w:val="Heading6"/>
      </w:pPr>
      <w:r>
        <w:t>A832002 PROGRAMI HRVATSKOG NARODNOG KAZALIŠTA U ZAGREBU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A832002-PROGRAMI HRVATSKOG NARODNOG KAZALIŠTA U ZAGREBU</w:t>
            </w:r>
          </w:p>
        </w:tc>
        <w:tc>
          <w:tcPr>
            <w:tcW w:w="2322" w:type="dxa"/>
          </w:tcPr>
          <w:p w:rsidR="00AC0832" w:rsidRDefault="00AC0832">
            <w:pPr>
              <w:pStyle w:val="CellColumn"/>
            </w:pPr>
            <w:r>
              <w:t>13.337.447</w:t>
            </w:r>
          </w:p>
        </w:tc>
        <w:tc>
          <w:tcPr>
            <w:tcW w:w="2322" w:type="dxa"/>
          </w:tcPr>
          <w:p w:rsidR="00AC0832" w:rsidRDefault="00AC0832">
            <w:pPr>
              <w:pStyle w:val="CellColumn"/>
            </w:pPr>
            <w:r>
              <w:t>13.337.439</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Programska aktivnost HNK u Zagrebu obuhvaća financiranje programa triju umjetničkih cjelena: Opere, Drame i Baleta. Ostvarenjem njihovih repertoara izvršene su minimalne obveze svake programske djelatnosti u jednoj kalendarskoj godini. U 2012. godini sredstva su utrošena prema planu, nije bilo odstupanja.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Održavanja standarda ukupnog broja premijernih i repriznih naslova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28</w:t>
            </w:r>
          </w:p>
        </w:tc>
        <w:tc>
          <w:tcPr>
            <w:tcW w:w="1300" w:type="dxa"/>
          </w:tcPr>
          <w:p w:rsidR="00AC0832" w:rsidRDefault="00AC0832">
            <w:pPr>
              <w:pStyle w:val="CellColumn"/>
            </w:pPr>
            <w:r>
              <w:t>MK</w:t>
            </w:r>
          </w:p>
        </w:tc>
        <w:tc>
          <w:tcPr>
            <w:tcW w:w="1300" w:type="dxa"/>
          </w:tcPr>
          <w:p w:rsidR="00AC0832" w:rsidRDefault="00AC0832">
            <w:pPr>
              <w:pStyle w:val="CellColumn"/>
            </w:pPr>
            <w:r>
              <w:t>28</w:t>
            </w:r>
          </w:p>
        </w:tc>
        <w:tc>
          <w:tcPr>
            <w:tcW w:w="1300" w:type="dxa"/>
          </w:tcPr>
          <w:p w:rsidR="00AC0832" w:rsidRDefault="00AC0832">
            <w:pPr>
              <w:pStyle w:val="CellColumn"/>
            </w:pPr>
            <w:r>
              <w:t>28</w:t>
            </w:r>
          </w:p>
        </w:tc>
      </w:tr>
    </w:tbl>
    <w:p w:rsidR="00AC0832" w:rsidRDefault="00AC0832">
      <w:pPr>
        <w:jc w:val="left"/>
      </w:pPr>
    </w:p>
    <w:p w:rsidR="00AC0832" w:rsidRDefault="00AC0832">
      <w:pPr>
        <w:pStyle w:val="Heading3"/>
      </w:pPr>
      <w:r>
        <w:t>25917 Hrvatska matica iseljenika</w:t>
      </w:r>
    </w:p>
    <w:p w:rsidR="00AC0832" w:rsidRDefault="00AC0832">
      <w:pPr>
        <w:pStyle w:val="Heading4"/>
      </w:pPr>
      <w:r>
        <w:t>Uvod</w:t>
      </w:r>
    </w:p>
    <w:p w:rsidR="00AC0832" w:rsidRDefault="00AC0832">
      <w:pPr>
        <w:pStyle w:val="Normal5"/>
      </w:pPr>
      <w:r>
        <w:t>Hrvatska  matica iseljenika definirana je kao središnja nacionalna ustanova za obavljanje društvene i privredne djelatnosti od značenja za položaj hrvatskih iseljeničkih zajednica i za hrvatske etničke manjine u drugim državama, za iseljenike s teritorija Republike Hrvatske koji žive i rade u inozemstvu a potječu iz drugih držav, kao i za članove njihovih obitelji koji borave u stranim zemljama. U 2012. godini iznosi za rashode neznatno su veći od planiranih iznosa iz čega je vidlkjivo da nije bilo većih odstupanja od plana.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25917-Hrvatska matica iseljenika</w:t>
            </w:r>
          </w:p>
        </w:tc>
        <w:tc>
          <w:tcPr>
            <w:tcW w:w="2322" w:type="dxa"/>
          </w:tcPr>
          <w:p w:rsidR="00AC0832" w:rsidRDefault="00AC0832">
            <w:pPr>
              <w:pStyle w:val="CellColumn"/>
            </w:pPr>
            <w:r>
              <w:t>5.478.482</w:t>
            </w:r>
          </w:p>
        </w:tc>
        <w:tc>
          <w:tcPr>
            <w:tcW w:w="2322" w:type="dxa"/>
          </w:tcPr>
          <w:p w:rsidR="00AC0832" w:rsidRDefault="00AC0832">
            <w:pPr>
              <w:pStyle w:val="CellColumn"/>
            </w:pPr>
            <w:r>
              <w:t>5.583.596</w:t>
            </w:r>
          </w:p>
        </w:tc>
        <w:tc>
          <w:tcPr>
            <w:tcW w:w="2322" w:type="dxa"/>
          </w:tcPr>
          <w:p w:rsidR="00AC0832" w:rsidRDefault="00AC0832">
            <w:pPr>
              <w:pStyle w:val="CellColumn"/>
            </w:pPr>
            <w:r>
              <w:t>101,9</w:t>
            </w:r>
          </w:p>
        </w:tc>
      </w:tr>
      <w:tr w:rsidR="00AC0832" w:rsidTr="00BE20ED">
        <w:trPr>
          <w:jc w:val="center"/>
        </w:trPr>
        <w:tc>
          <w:tcPr>
            <w:tcW w:w="2322" w:type="dxa"/>
          </w:tcPr>
          <w:p w:rsidR="00AC0832" w:rsidRDefault="00AC0832">
            <w:pPr>
              <w:pStyle w:val="CellColumnSmall"/>
            </w:pPr>
            <w:r>
              <w:t>3907-OSTALE DJELATNOSTI KULTURE</w:t>
            </w:r>
          </w:p>
        </w:tc>
        <w:tc>
          <w:tcPr>
            <w:tcW w:w="2322" w:type="dxa"/>
          </w:tcPr>
          <w:p w:rsidR="00AC0832" w:rsidRDefault="00AC0832">
            <w:pPr>
              <w:pStyle w:val="CellColumnSmall"/>
            </w:pPr>
            <w:r>
              <w:t>5.478.482</w:t>
            </w:r>
          </w:p>
        </w:tc>
        <w:tc>
          <w:tcPr>
            <w:tcW w:w="2322" w:type="dxa"/>
          </w:tcPr>
          <w:p w:rsidR="00AC0832" w:rsidRDefault="00AC0832">
            <w:pPr>
              <w:pStyle w:val="CellColumnSmall"/>
            </w:pPr>
            <w:r>
              <w:t>5.583.596</w:t>
            </w:r>
          </w:p>
        </w:tc>
        <w:tc>
          <w:tcPr>
            <w:tcW w:w="2322" w:type="dxa"/>
          </w:tcPr>
          <w:p w:rsidR="00AC0832" w:rsidRDefault="00AC0832">
            <w:pPr>
              <w:pStyle w:val="CellColumnSmall"/>
            </w:pPr>
            <w:r>
              <w:t>101,9</w:t>
            </w:r>
          </w:p>
        </w:tc>
      </w:tr>
    </w:tbl>
    <w:p w:rsidR="00AC0832" w:rsidRDefault="00AC0832">
      <w:pPr>
        <w:jc w:val="left"/>
      </w:pPr>
    </w:p>
    <w:p w:rsidR="00AC0832" w:rsidRDefault="00AC0832">
      <w:pPr>
        <w:pStyle w:val="Heading4"/>
      </w:pPr>
      <w:r>
        <w:t>OBRAZLOŽENJE PROGRAMA</w:t>
      </w:r>
    </w:p>
    <w:p w:rsidR="00AC0832" w:rsidRDefault="00AC0832">
      <w:pPr>
        <w:pStyle w:val="Heading5"/>
      </w:pPr>
      <w:r>
        <w:t>3907 OSTALE DJELATNOSTI KULTURE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3907-OSTALE DJELATNOSTI KULTURE</w:t>
            </w:r>
          </w:p>
        </w:tc>
        <w:tc>
          <w:tcPr>
            <w:tcW w:w="2322" w:type="dxa"/>
          </w:tcPr>
          <w:p w:rsidR="00AC0832" w:rsidRDefault="00AC0832">
            <w:pPr>
              <w:pStyle w:val="CellColumn"/>
            </w:pPr>
            <w:r>
              <w:t>5.478.482</w:t>
            </w:r>
          </w:p>
        </w:tc>
        <w:tc>
          <w:tcPr>
            <w:tcW w:w="2322" w:type="dxa"/>
          </w:tcPr>
          <w:p w:rsidR="00AC0832" w:rsidRDefault="00AC0832">
            <w:pPr>
              <w:pStyle w:val="CellColumn"/>
            </w:pPr>
            <w:r>
              <w:t>5.583.596</w:t>
            </w:r>
          </w:p>
        </w:tc>
        <w:tc>
          <w:tcPr>
            <w:tcW w:w="2322" w:type="dxa"/>
          </w:tcPr>
          <w:p w:rsidR="00AC0832" w:rsidRDefault="00AC0832">
            <w:pPr>
              <w:pStyle w:val="CellColumn"/>
            </w:pPr>
            <w:r>
              <w:t>101,9</w:t>
            </w:r>
          </w:p>
        </w:tc>
      </w:tr>
    </w:tbl>
    <w:p w:rsidR="00AC0832" w:rsidRDefault="00AC0832">
      <w:pPr>
        <w:jc w:val="left"/>
      </w:pPr>
    </w:p>
    <w:p w:rsidR="00AC0832" w:rsidRDefault="00AC0832">
      <w:pPr>
        <w:pStyle w:val="Heading6"/>
      </w:pPr>
      <w:r>
        <w:t>Opis programa</w:t>
      </w:r>
    </w:p>
    <w:p w:rsidR="00AC0832" w:rsidRDefault="00AC0832">
      <w:r>
        <w:t>Hrvatska matica iseljenika djeluje u svrhu očuvanja baštine pripadnika hrvatskih manjinskih zajednica u drugim zemljama, te nastoji uskladiti zahtjeve hrvatskih udruga ili pojedinaca izvan Republike Hrvatske. Hrvatska matica iseljenika sudjeluje u humanitarnim, ekološkim, obnoviteljskim i razvojnim programima građanskih inicijativa, državne uprave i regionalne/lokalne samouprave. U 2012. godini sredstva za rashode neznatno premašuju planirana sredstva iz čega je vidljivo da nije bilo zantnijih odstupanja od plana.</w:t>
      </w:r>
    </w:p>
    <w:p w:rsidR="00AC0832" w:rsidRDefault="00AC0832">
      <w:pPr>
        <w:pStyle w:val="Heading6"/>
      </w:pPr>
      <w:r>
        <w:t>Zakonske i druge pravne osnove</w:t>
      </w:r>
    </w:p>
    <w:p w:rsidR="00AC0832" w:rsidRDefault="00AC0832">
      <w:r>
        <w:t>- Zakon o Hrvatskoj matici iseljenika, NN 59/90.</w:t>
      </w:r>
    </w:p>
    <w:p w:rsidR="00AC0832" w:rsidRDefault="00AC0832">
      <w:pPr>
        <w:pStyle w:val="Heading7"/>
      </w:pPr>
      <w:r>
        <w:t>Cilj 1. Razvoj i poticanje dijaloga s Hrvatima u iseljeništvu</w:t>
      </w:r>
    </w:p>
    <w:p w:rsidR="00AC0832" w:rsidRDefault="00AC0832">
      <w:pPr>
        <w:pStyle w:val="Heading8"/>
        <w:jc w:val="left"/>
      </w:pPr>
      <w:r>
        <w:t>Opis provedbe cilja programa</w:t>
      </w:r>
    </w:p>
    <w:p w:rsidR="00AC0832" w:rsidRDefault="00AC0832">
      <w:pPr>
        <w:pStyle w:val="Normal6"/>
      </w:pPr>
      <w:r>
        <w:t>Slijedeći suvremene izazove, Hrvatska matica iseljenika sudjeluje u humanitarnim, ekološkim, obnoviteljskim i razvojnim programima građanskih inicijativa, državne uprave i regionalne/lokalne samouprave, pridonoseći raznovrsnosti i dinamici društvenog dijaloga u Republici Hrvatskoj te između domovine i iseljeništva.</w:t>
      </w:r>
    </w:p>
    <w:p w:rsidR="00AC0832" w:rsidRDefault="00AC0832">
      <w:pPr>
        <w:pStyle w:val="Heading6"/>
      </w:pPr>
      <w:r>
        <w:t>A565022 HRVATSKA MATICA ISELJENIKA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A565022-HRVATSKA MATICA ISELJENIKA</w:t>
            </w:r>
          </w:p>
        </w:tc>
        <w:tc>
          <w:tcPr>
            <w:tcW w:w="2322" w:type="dxa"/>
          </w:tcPr>
          <w:p w:rsidR="00AC0832" w:rsidRDefault="00AC0832">
            <w:pPr>
              <w:pStyle w:val="CellColumn"/>
            </w:pPr>
            <w:r>
              <w:t>5.478.482</w:t>
            </w:r>
          </w:p>
        </w:tc>
        <w:tc>
          <w:tcPr>
            <w:tcW w:w="2322" w:type="dxa"/>
          </w:tcPr>
          <w:p w:rsidR="00AC0832" w:rsidRDefault="00AC0832">
            <w:pPr>
              <w:pStyle w:val="CellColumn"/>
            </w:pPr>
            <w:r>
              <w:t>5.583.596</w:t>
            </w:r>
          </w:p>
        </w:tc>
        <w:tc>
          <w:tcPr>
            <w:tcW w:w="2322" w:type="dxa"/>
          </w:tcPr>
          <w:p w:rsidR="00AC0832" w:rsidRDefault="00AC0832">
            <w:pPr>
              <w:pStyle w:val="CellColumn"/>
            </w:pPr>
            <w:r>
              <w:t>101,9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Hrvatska matica iseljenika djeluje putem središnjeg ureda u Zagrebu i područnih ureda u šest hrvatskih regionalnih središta: Puli, Rijeci, Zadru, Splitu, Dubrovniku i Vukovaru. PRoghram realizira u osam ustrojstvenih jedinica: </w:t>
      </w:r>
    </w:p>
    <w:p w:rsidR="00AC0832" w:rsidRDefault="00AC0832">
      <w:pPr>
        <w:pStyle w:val="Normal6"/>
      </w:pPr>
      <w:r>
        <w:t xml:space="preserve">Odjel za kulturu </w:t>
      </w:r>
    </w:p>
    <w:p w:rsidR="00AC0832" w:rsidRDefault="00AC0832">
      <w:pPr>
        <w:pStyle w:val="Normal6"/>
      </w:pPr>
      <w:r>
        <w:t xml:space="preserve">Odjel za školstvo, znanost i sport </w:t>
      </w:r>
    </w:p>
    <w:p w:rsidR="00AC0832" w:rsidRDefault="00AC0832">
      <w:pPr>
        <w:pStyle w:val="Normal6"/>
      </w:pPr>
      <w:r>
        <w:t xml:space="preserve">Odjel za nakladništvo (časopis Matica, Hrvatski iseljenički zbornik, web portal HMI, ostale publikacije),  </w:t>
      </w:r>
    </w:p>
    <w:p w:rsidR="00AC0832" w:rsidRDefault="00AC0832">
      <w:pPr>
        <w:pStyle w:val="Normal6"/>
      </w:pPr>
      <w:r>
        <w:t xml:space="preserve">Informacijski odjel za iseljeništvo </w:t>
      </w:r>
    </w:p>
    <w:p w:rsidR="00AC0832" w:rsidRDefault="00AC0832">
      <w:pPr>
        <w:pStyle w:val="Normal6"/>
      </w:pPr>
      <w:r>
        <w:t xml:space="preserve">Odsjek isljeničke baštine </w:t>
      </w:r>
    </w:p>
    <w:p w:rsidR="00AC0832" w:rsidRDefault="00AC0832">
      <w:pPr>
        <w:pStyle w:val="Normal6"/>
      </w:pPr>
      <w:r>
        <w:t xml:space="preserve">Odjel za marketing i promociju </w:t>
      </w:r>
    </w:p>
    <w:p w:rsidR="00AC0832" w:rsidRDefault="00AC0832">
      <w:pPr>
        <w:pStyle w:val="Normal6"/>
      </w:pPr>
      <w:r>
        <w:t xml:space="preserve">Odjel za pravne i opće poslove </w:t>
      </w:r>
    </w:p>
    <w:p w:rsidR="00AC0832" w:rsidRDefault="00AC0832">
      <w:pPr>
        <w:pStyle w:val="Normal6"/>
      </w:pPr>
      <w:r>
        <w:t xml:space="preserve">odjel za financijske poslove </w:t>
      </w:r>
    </w:p>
    <w:p w:rsidR="00AC0832" w:rsidRDefault="00AC0832">
      <w:pPr>
        <w:pStyle w:val="Normal6"/>
      </w:pPr>
      <w:r>
        <w:t>U 2012. godini rasodi neznatno premašuju prihode te se može zakljčiti da nije bilo znatnijih odstupanja.</w:t>
      </w:r>
    </w:p>
    <w:p w:rsidR="00AC0832" w:rsidRDefault="00AC0832">
      <w:pPr>
        <w:pStyle w:val="Heading3"/>
      </w:pPr>
      <w:r>
        <w:t>44926 Hrvatski audiovizualni centar</w:t>
      </w:r>
    </w:p>
    <w:p w:rsidR="00AC0832" w:rsidRDefault="00AC0832">
      <w:pPr>
        <w:pStyle w:val="Heading4"/>
      </w:pPr>
      <w:r>
        <w:t>Uvod</w:t>
      </w:r>
    </w:p>
    <w:p w:rsidR="00AC0832" w:rsidRDefault="00AC0832">
      <w:pPr>
        <w:pStyle w:val="Normal5"/>
      </w:pPr>
      <w:r>
        <w:t>Hrvatski audiovizualni centar je javna ustanova koju je temeljem Zakona o audiovizualnim djelatnostima (NN 76/07) osnovala Vlada Republike Hrvatske u svrhu sustavnog promicanja audiovizualnog stvaralaštva u Republici Hrvatskoj. Centar priprema i provodi Nacionalni program promicanja audiovizualnog stvaralaštva potičući obavljanje, organiziranje i financiranje priprema, razvoja, proizvodnje, distribucije i prikazivanja hrvatskih, europskih i svjetskih audiovizualnih djela. Sredstva za rad Centra i provedbu Nacionalnog programa osiguravaju se iz državnog proračuna te iz dijela ukupnog godišnjeg bruto-prihoda ostvarenog obavljanjem audiovizualnih djelatnosti: Hrvatske radiotelevizije, nakladnika televizijskih programa na nacionalnoj razini, nakladnika televizijskih programa na regionalnoj razini, operatora sustava kabelske distribucije, operatora u nepokretnim i pokretnim telekomunikacijskim mrežama, davatelja usluga pristupa Internetu i osoba koje javno prikazuju audiovizualna djela. U 2012. godini nije bilo odstupanja od plana.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44926-Hrvatski audiovizualni centar</w:t>
            </w:r>
          </w:p>
        </w:tc>
        <w:tc>
          <w:tcPr>
            <w:tcW w:w="2322" w:type="dxa"/>
          </w:tcPr>
          <w:p w:rsidR="00AC0832" w:rsidRDefault="00AC0832">
            <w:pPr>
              <w:pStyle w:val="CellColumn"/>
            </w:pPr>
            <w:r>
              <w:t>36.187.628</w:t>
            </w:r>
          </w:p>
        </w:tc>
        <w:tc>
          <w:tcPr>
            <w:tcW w:w="2322" w:type="dxa"/>
          </w:tcPr>
          <w:p w:rsidR="00AC0832" w:rsidRDefault="00AC0832">
            <w:pPr>
              <w:pStyle w:val="CellColumn"/>
            </w:pPr>
            <w:r>
              <w:t>35.874.208</w:t>
            </w:r>
          </w:p>
        </w:tc>
        <w:tc>
          <w:tcPr>
            <w:tcW w:w="2322" w:type="dxa"/>
          </w:tcPr>
          <w:p w:rsidR="00AC0832" w:rsidRDefault="00AC0832">
            <w:pPr>
              <w:pStyle w:val="CellColumn"/>
            </w:pPr>
            <w:r>
              <w:t>99,1</w:t>
            </w:r>
          </w:p>
        </w:tc>
      </w:tr>
      <w:tr w:rsidR="00AC0832" w:rsidTr="00BE20ED">
        <w:trPr>
          <w:jc w:val="center"/>
        </w:trPr>
        <w:tc>
          <w:tcPr>
            <w:tcW w:w="2322" w:type="dxa"/>
          </w:tcPr>
          <w:p w:rsidR="00AC0832" w:rsidRDefault="00AC0832">
            <w:pPr>
              <w:pStyle w:val="CellColumnSmall"/>
            </w:pPr>
            <w:r>
              <w:t>3906-PROGRAMI AUDIO VIZUALNE DJELATNOSTI I MEDIJA</w:t>
            </w:r>
          </w:p>
        </w:tc>
        <w:tc>
          <w:tcPr>
            <w:tcW w:w="2322" w:type="dxa"/>
          </w:tcPr>
          <w:p w:rsidR="00AC0832" w:rsidRDefault="00AC0832">
            <w:pPr>
              <w:pStyle w:val="CellColumnSmall"/>
            </w:pPr>
            <w:r>
              <w:t>36.187.628</w:t>
            </w:r>
          </w:p>
        </w:tc>
        <w:tc>
          <w:tcPr>
            <w:tcW w:w="2322" w:type="dxa"/>
          </w:tcPr>
          <w:p w:rsidR="00AC0832" w:rsidRDefault="00AC0832">
            <w:pPr>
              <w:pStyle w:val="CellColumnSmall"/>
            </w:pPr>
            <w:r>
              <w:t>35.874.208</w:t>
            </w:r>
          </w:p>
        </w:tc>
        <w:tc>
          <w:tcPr>
            <w:tcW w:w="2322" w:type="dxa"/>
          </w:tcPr>
          <w:p w:rsidR="00AC0832" w:rsidRDefault="00AC0832">
            <w:pPr>
              <w:pStyle w:val="CellColumnSmall"/>
            </w:pPr>
            <w:r>
              <w:t>99,1</w:t>
            </w:r>
          </w:p>
        </w:tc>
      </w:tr>
    </w:tbl>
    <w:p w:rsidR="00AC0832" w:rsidRDefault="00AC0832">
      <w:pPr>
        <w:jc w:val="left"/>
      </w:pPr>
    </w:p>
    <w:p w:rsidR="00AC0832" w:rsidRDefault="00AC0832">
      <w:pPr>
        <w:pStyle w:val="Heading4"/>
      </w:pPr>
      <w:r>
        <w:t>OBRAZLOŽENJE PROGRAMA</w:t>
      </w:r>
    </w:p>
    <w:p w:rsidR="00AC0832" w:rsidRDefault="00AC0832">
      <w:pPr>
        <w:pStyle w:val="Heading5"/>
      </w:pPr>
      <w:r>
        <w:t>3906 PROGRAMI AUDIO VIZUALNE DJELATNOSTI I MEDIJA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3906-PROGRAMI AUDIO VIZUALNE DJELATNOSTI I MEDIJA</w:t>
            </w:r>
          </w:p>
        </w:tc>
        <w:tc>
          <w:tcPr>
            <w:tcW w:w="2322" w:type="dxa"/>
          </w:tcPr>
          <w:p w:rsidR="00AC0832" w:rsidRDefault="00AC0832">
            <w:pPr>
              <w:pStyle w:val="CellColumn"/>
            </w:pPr>
            <w:r>
              <w:t>36.187.628</w:t>
            </w:r>
          </w:p>
        </w:tc>
        <w:tc>
          <w:tcPr>
            <w:tcW w:w="2322" w:type="dxa"/>
          </w:tcPr>
          <w:p w:rsidR="00AC0832" w:rsidRDefault="00AC0832">
            <w:pPr>
              <w:pStyle w:val="CellColumn"/>
            </w:pPr>
            <w:r>
              <w:t>35.874.208</w:t>
            </w:r>
          </w:p>
        </w:tc>
        <w:tc>
          <w:tcPr>
            <w:tcW w:w="2322" w:type="dxa"/>
          </w:tcPr>
          <w:p w:rsidR="00AC0832" w:rsidRDefault="00AC0832">
            <w:pPr>
              <w:pStyle w:val="CellColumn"/>
            </w:pPr>
            <w:r>
              <w:t>99,1</w:t>
            </w:r>
          </w:p>
        </w:tc>
      </w:tr>
    </w:tbl>
    <w:p w:rsidR="00AC0832" w:rsidRDefault="00AC0832">
      <w:pPr>
        <w:jc w:val="left"/>
      </w:pPr>
    </w:p>
    <w:p w:rsidR="00AC0832" w:rsidRDefault="00AC0832">
      <w:pPr>
        <w:pStyle w:val="Heading6"/>
      </w:pPr>
      <w:r>
        <w:t>Opis programa</w:t>
      </w:r>
    </w:p>
    <w:p w:rsidR="00AC0832" w:rsidRDefault="00AC0832">
      <w:r>
        <w:t xml:space="preserve">U 2012. godini Hrvatski audiovizualni centar proveo je Nacionalni program promicanja audiovuzalnog stvaralaštva i putem javnog natječaja raspodijelio sredstva za poticanje audiovizualnih djelatnosti i komplementarnih djelatnosti. </w:t>
      </w:r>
    </w:p>
    <w:p w:rsidR="00AC0832" w:rsidRDefault="00AC0832">
      <w:r>
        <w:t xml:space="preserve">Pod audiovizualnim djelatnostima smatraju se razvoj, proizvodnja, promocija, distribucija i prikazivanje audiovizualnih djela: igranih i dokumentarnih filmova, animiranih filmova i eksperimentalnih filmova. </w:t>
      </w:r>
    </w:p>
    <w:p w:rsidR="00AC0832" w:rsidRDefault="00AC0832">
      <w:r>
        <w:t xml:space="preserve">Komplementarne djelatnosti su zaštita audiovizualne baštine uključujući kinotečnu djelatnost, filmski festivali i druge audiovizualne manifestacije, te djelatnosti razvijanja audiovizualne kulture, programi promocije i prodaje hrvatskih audiovizualnih djela, međunarodna suradnja, proučavanje i kritičko vrednovanje audiovizualnih djelatnosti, izdavaštvo u području audiovizualnih djelatnosti, programi stručnog usavršavanja i programi audiovizualnih udruga i organizacija. </w:t>
      </w:r>
    </w:p>
    <w:p w:rsidR="00AC0832" w:rsidRDefault="00AC0832">
      <w:r>
        <w:t>Nije bilo u 2012. godini odstupanja od plana.</w:t>
      </w:r>
    </w:p>
    <w:p w:rsidR="00AC0832" w:rsidRDefault="00AC0832">
      <w:pPr>
        <w:pStyle w:val="Heading6"/>
      </w:pPr>
      <w:r>
        <w:t>Zakonske i druge pravne osnove</w:t>
      </w:r>
    </w:p>
    <w:p w:rsidR="00AC0832" w:rsidRDefault="00AC0832">
      <w:r>
        <w:t xml:space="preserve">Zakoni: </w:t>
      </w:r>
    </w:p>
    <w:p w:rsidR="00AC0832" w:rsidRDefault="00AC0832">
      <w:r>
        <w:t xml:space="preserve">- Zakon o audiovizualnim djelatnostima (NN 76/07) </w:t>
      </w:r>
    </w:p>
    <w:p w:rsidR="00AC0832" w:rsidRDefault="00AC0832">
      <w:r>
        <w:t xml:space="preserve">Pravilnici: </w:t>
      </w:r>
    </w:p>
    <w:p w:rsidR="00AC0832" w:rsidRDefault="00AC0832">
      <w:r>
        <w:t xml:space="preserve">- Pravilnik o postupku, kriterijima i rokovima za provedbu Nacionalnog programa promicanja audiovizualnog stvaralaštva, (NN  152/09) </w:t>
      </w:r>
    </w:p>
    <w:p w:rsidR="00AC0832" w:rsidRDefault="00AC0832">
      <w:r>
        <w:t xml:space="preserve">- Pravilnik o statusu i financiranju Festivala igranog filma u Puli (NN 74/08) </w:t>
      </w:r>
    </w:p>
    <w:p w:rsidR="00AC0832" w:rsidRDefault="00AC0832">
      <w:r>
        <w:t xml:space="preserve">Odluke: </w:t>
      </w:r>
    </w:p>
    <w:p w:rsidR="00AC0832" w:rsidRDefault="00AC0832">
      <w:r>
        <w:t xml:space="preserve">- Odluka o objavljivanju pravila o državnoj potpori kinematografskoj i ostaloj audiovizualnoj djelatnosti  </w:t>
      </w:r>
    </w:p>
    <w:p w:rsidR="00AC0832" w:rsidRDefault="00AC0832">
      <w:r>
        <w:t xml:space="preserve">(NN 46/08) </w:t>
      </w:r>
    </w:p>
    <w:p w:rsidR="00AC0832" w:rsidRDefault="00AC0832">
      <w:r>
        <w:t xml:space="preserve">Međunarodni pravni propisi: </w:t>
      </w:r>
    </w:p>
    <w:p w:rsidR="00AC0832" w:rsidRDefault="00AC0832">
      <w:r>
        <w:t xml:space="preserve">- Zakon o ratifikaciji Europske konvencije o filmskoj koprodukciji br. 147 iz 1992., s konačnim prijedlogom zakona (NN-MU 4/04) </w:t>
      </w:r>
    </w:p>
    <w:p w:rsidR="00AC0832" w:rsidRDefault="00AC0832">
      <w:r>
        <w:t xml:space="preserve">- Zakon o potvrđivanju Protokola o pristupanju Republike Hrvatske marakeškom ugovoru o osnivanju svjetske trgovinske organizacije (NN-MU 13/00, NN-MU 14/00) </w:t>
      </w:r>
    </w:p>
    <w:p w:rsidR="00AC0832" w:rsidRDefault="00AC0832">
      <w:r>
        <w:t xml:space="preserve">- Zakon o potvrđivanju Europske konvencije za zaštitu audiovizualne baštine (NN-MU 5/07) </w:t>
      </w:r>
    </w:p>
    <w:p w:rsidR="00AC0832" w:rsidRDefault="00AC0832">
      <w:r>
        <w:t>- Uredba o objavi Ugovora o filmskoj koprodukciji između Vlade Republike Hrvatske i Vlade Talijanske Republike (NN-MU 11/07)</w:t>
      </w:r>
    </w:p>
    <w:p w:rsidR="00AC0832" w:rsidRDefault="00AC0832">
      <w:pPr>
        <w:pStyle w:val="Heading7"/>
      </w:pPr>
      <w:r>
        <w:t>Cilj 1. Razvoj proizvodnje, distribucije, prikazivanja, elektronske difuzije i promocije audiovizualnih djela</w:t>
      </w:r>
    </w:p>
    <w:p w:rsidR="00AC0832" w:rsidRDefault="00AC0832">
      <w:pPr>
        <w:pStyle w:val="Heading8"/>
        <w:jc w:val="left"/>
      </w:pPr>
      <w:r>
        <w:t>Opis provedbe cilja programa</w:t>
      </w:r>
    </w:p>
    <w:p w:rsidR="00AC0832" w:rsidRDefault="00AC0832">
      <w:pPr>
        <w:pStyle w:val="Normal6"/>
      </w:pPr>
      <w:r>
        <w:t>Za poboljšanje uvjeta i osiguranje dostatne razine za razvoj proizvodnje, distribucije, prikazivanja, elektronske difuzije i promocije audiovizualnih djela nužno je prije svega osigurati stabilne i zakonske prilive Hrvatskog audiovizualnog centra iz svih propisanih, heterogenih izvora. Također, potrebna su i dodatna proračunska sredstva za programe od nacionalnog značaja kao što je to  program digitalizacije nezavisnih kinodvorana, započet, po uzoru na druge zemlje Unije, u kolovozu mjesecu 2011. Zakonom o izmjenama i dopuni Zakona o audiovizualnim djelatnostima (NN 90/2011) osigurava se povećanje ukupne mase sredstava koja su na raspolaganju Hrvatskom audiovizualnom centru za obavljanje svojih djelatnosti što će dovesti do povećanja razine sufinanciranja po pojedinom projektu i samim time do adekvatnog broja realiziranih projekata. Ciljana financijska potpora distribuciji kroz programe Hrvatskog audiovizualnog centra i posebice financijska potpora kinoprikazivaštvu kroz Nacionalni program digitalizacije nezavisnih kinodvorana rezultira povećanjem i očuvanjem lokalnih kina koja se danas nalaze u velikim teškoćama. Hrvatskoj su hitno potrebne ove mjere radi  harmonizacije i europeizacije kinorepertoara, te postizanja većeg tržišnog udjela hrvatskih i europskih djela u domaćoj eksploataciji.</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1739"/>
        <w:gridCol w:w="1235"/>
        <w:gridCol w:w="1258"/>
        <w:gridCol w:w="1252"/>
        <w:gridCol w:w="1258"/>
        <w:gridCol w:w="127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odlazaka u kino godišnje po glavi stanovnika</w:t>
            </w:r>
          </w:p>
        </w:tc>
        <w:tc>
          <w:tcPr>
            <w:tcW w:w="1300" w:type="dxa"/>
          </w:tcPr>
          <w:p w:rsidR="00AC0832" w:rsidRDefault="00AC0832">
            <w:pPr>
              <w:pStyle w:val="CellColumn"/>
            </w:pPr>
            <w:r>
              <w:t>Ulaganjem u proizvodnju, distribuciju, kinoprikazivaštvo i promociju povećat će se broj odlazaka u kino po glavi stanovnika</w:t>
            </w:r>
          </w:p>
        </w:tc>
        <w:tc>
          <w:tcPr>
            <w:tcW w:w="1300" w:type="dxa"/>
          </w:tcPr>
          <w:p w:rsidR="00AC0832" w:rsidRDefault="00AC0832">
            <w:pPr>
              <w:pStyle w:val="CellColumn"/>
            </w:pPr>
            <w:r>
              <w:t>Broj</w:t>
            </w:r>
          </w:p>
        </w:tc>
        <w:tc>
          <w:tcPr>
            <w:tcW w:w="1300" w:type="dxa"/>
          </w:tcPr>
          <w:p w:rsidR="00AC0832" w:rsidRDefault="00AC0832">
            <w:pPr>
              <w:pStyle w:val="CellColumn"/>
            </w:pPr>
            <w:r>
              <w:t>0,8</w:t>
            </w:r>
          </w:p>
        </w:tc>
        <w:tc>
          <w:tcPr>
            <w:tcW w:w="1300" w:type="dxa"/>
          </w:tcPr>
          <w:p w:rsidR="00AC0832" w:rsidRDefault="00AC0832">
            <w:pPr>
              <w:pStyle w:val="CellColumn"/>
            </w:pPr>
            <w:r>
              <w:t>HAVC, DZS</w:t>
            </w:r>
          </w:p>
        </w:tc>
        <w:tc>
          <w:tcPr>
            <w:tcW w:w="1300" w:type="dxa"/>
          </w:tcPr>
          <w:p w:rsidR="00AC0832" w:rsidRDefault="00AC0832">
            <w:pPr>
              <w:pStyle w:val="CellColumn"/>
            </w:pPr>
            <w:r>
              <w:t>0,9</w:t>
            </w:r>
          </w:p>
        </w:tc>
        <w:tc>
          <w:tcPr>
            <w:tcW w:w="1300" w:type="dxa"/>
          </w:tcPr>
          <w:p w:rsidR="00AC0832" w:rsidRDefault="00AC0832">
            <w:pPr>
              <w:pStyle w:val="CellColumn"/>
            </w:pPr>
            <w:r>
              <w:t>0,9</w:t>
            </w:r>
          </w:p>
        </w:tc>
      </w:tr>
    </w:tbl>
    <w:p w:rsidR="00AC0832" w:rsidRDefault="00AC0832">
      <w:pPr>
        <w:jc w:val="left"/>
      </w:pPr>
    </w:p>
    <w:p w:rsidR="00AC0832" w:rsidRDefault="00AC0832">
      <w:pPr>
        <w:pStyle w:val="Heading7"/>
      </w:pPr>
      <w:r>
        <w:t>Cilj 2. Poticanje svestranih komplementarnih audiovizualnih djelatnosti</w:t>
      </w:r>
    </w:p>
    <w:p w:rsidR="00AC0832" w:rsidRDefault="00AC0832">
      <w:pPr>
        <w:pStyle w:val="Heading8"/>
        <w:jc w:val="left"/>
      </w:pPr>
      <w:r>
        <w:t>Opis provedbe cilja programa</w:t>
      </w:r>
    </w:p>
    <w:p w:rsidR="00AC0832" w:rsidRDefault="00AC0832">
      <w:pPr>
        <w:pStyle w:val="Normal6"/>
      </w:pPr>
      <w:r>
        <w:t>Nužno je poticati širenje filmske i općenito audiovizualne kulture te specifičnih znanja vezanih uz audiovizualno stvaralaštvo kroz izdavaštvo, filmske festivale, i neprofesijsko stvaralaštvo, kao i poticati raznolike oblike edukacije – kako one namijenjene profesionalcima tako i one namijenjene mladim naraštajima i širokoj publici.</w:t>
      </w:r>
    </w:p>
    <w:p w:rsidR="00AC0832" w:rsidRDefault="00AC0832">
      <w:pPr>
        <w:pStyle w:val="Heading7"/>
      </w:pPr>
      <w:r>
        <w:t>Cilj 3. Očuvanje audiovizualne baštine i unapređenje dostupnosti audiovizualnog nasljeđa</w:t>
      </w:r>
    </w:p>
    <w:p w:rsidR="00AC0832" w:rsidRDefault="00AC0832">
      <w:pPr>
        <w:pStyle w:val="Heading8"/>
        <w:jc w:val="left"/>
      </w:pPr>
      <w:r>
        <w:t>Opis provedbe cilja programa</w:t>
      </w:r>
    </w:p>
    <w:p w:rsidR="00AC0832" w:rsidRDefault="00AC0832">
      <w:pPr>
        <w:pStyle w:val="Normal6"/>
      </w:pPr>
      <w:r>
        <w:t>Za očuvanje audiovizualne baštine i unapređenje javne dostupnosti kulturno vrijednog domaćeg i svjetskog audiovizualnog nasljeđa potrebno je dovršiti nacionalni projekt Hrvatske kinoteke rješavanjem njenog neadekvatnog rezidentnog statusa u sklopu Hrvatskog državnog arhiva i osigurati dodatna sredstva nužno potrebna za očuvanje i obnovu domicilne građe i nabavu adekvatnog kataloga svjetske klasike.</w:t>
      </w:r>
    </w:p>
    <w:p w:rsidR="00AC0832" w:rsidRDefault="00AC0832">
      <w:pPr>
        <w:pStyle w:val="Heading7"/>
      </w:pPr>
      <w:r>
        <w:t>Cilj 4. Poticanje domaćih i stranih ulaganja u audiovizalni sektor</w:t>
      </w:r>
    </w:p>
    <w:p w:rsidR="00AC0832" w:rsidRDefault="00AC0832">
      <w:pPr>
        <w:pStyle w:val="Heading8"/>
        <w:jc w:val="left"/>
      </w:pPr>
      <w:r>
        <w:t>Opis provedbe cilja programa</w:t>
      </w:r>
    </w:p>
    <w:p w:rsidR="00AC0832" w:rsidRDefault="00AC0832">
      <w:pPr>
        <w:pStyle w:val="Normal6"/>
      </w:pPr>
      <w:r>
        <w:t>Usvajanjem Zakona o izmjenama i dopuni Zakona o audiovizualnim djelatnostima (NN 90/2011) stvorena je zakonska osnova za uvođenje sveoubuhvatnog paketa regulativnih, fiskalnih i promičbenih mjera nužnih za pozicioniranje Hrvatske kao destinacije za snimanje i oživljavanje te nekoć od vodećih izvoznih grana na dobrobit audivoizualnog sektora i domaćeg gospodarstva u cjelini. Taj cjelovit sustav mjera i poticaja namijenjen je domaćim i stranim ekipama koji svoje projekte realiziraju u Republici Hrvatskoj koristeći ovdašnje lokacije te tehničke i kreativne usluge domaće audiovizualne industrije. Uz izravne prihode audiovizualnog sektora,  ove mjere omogućuju izravne prihode drugim dijelovima privrede (transport, turizam, trgovina) te neizravne učinke vezane uz globalnu promociju Hrvatske kao turističke destinacije odnosno nove članice Europske unije. Prema članku 9. navedenog Zakona „financijski poticaj“ (za „ulaganja u proizvodnju audiovizualnih djela“) „izvršit će Ministarstvo kulture na teret državnog proračuna u okviru osiguranih sredstava namijenjenih za mjere poticaja.“ U Ocjeni potrebnih sredstava za provođenje Zakona navedeno je da će se potrebna sredstva osigurati „preraspodjelom u državnom proračunu unutar limita predviđenog projekcijama državnog proračuna za 2012. i 2013. godinu, a svake godine u iznosu od 10 milijuna kuna godišnje“.</w:t>
      </w:r>
    </w:p>
    <w:p w:rsidR="00AC0832" w:rsidRDefault="00AC0832">
      <w:pPr>
        <w:pStyle w:val="Heading6"/>
      </w:pPr>
      <w:r>
        <w:t>A785006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A785006-ADMINISTRACIJA I UPRAVLJANJE</w:t>
            </w:r>
          </w:p>
        </w:tc>
        <w:tc>
          <w:tcPr>
            <w:tcW w:w="2322" w:type="dxa"/>
          </w:tcPr>
          <w:p w:rsidR="00AC0832" w:rsidRDefault="00AC0832">
            <w:pPr>
              <w:pStyle w:val="CellColumn"/>
            </w:pPr>
            <w:r>
              <w:t>1.587.628</w:t>
            </w:r>
          </w:p>
        </w:tc>
        <w:tc>
          <w:tcPr>
            <w:tcW w:w="2322" w:type="dxa"/>
          </w:tcPr>
          <w:p w:rsidR="00AC0832" w:rsidRDefault="00AC0832">
            <w:pPr>
              <w:pStyle w:val="CellColumn"/>
            </w:pPr>
            <w:r>
              <w:t>1.574.208</w:t>
            </w:r>
          </w:p>
        </w:tc>
        <w:tc>
          <w:tcPr>
            <w:tcW w:w="2322" w:type="dxa"/>
          </w:tcPr>
          <w:p w:rsidR="00AC0832" w:rsidRDefault="00AC0832">
            <w:pPr>
              <w:pStyle w:val="CellColumn"/>
            </w:pPr>
            <w:r>
              <w:t>99,2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ovoj aktivnosti osigurana su sredstva za sedam djelatnika HAVC-a te tekuće rashode. U 2012. godini nije bilo odstupanja od plana.</w:t>
      </w:r>
    </w:p>
    <w:p w:rsidR="00AC0832" w:rsidRDefault="00AC0832">
      <w:pPr>
        <w:pStyle w:val="Heading6"/>
      </w:pPr>
      <w:r>
        <w:t>A785007 KULTURNA KONTAKT TOČKA PROGRAMA MEDIA - MEDIA desk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A785007-KULTURNA KONTAKT TOČKA PROGRAMA MEDIA - MEDIA desk</w:t>
            </w:r>
          </w:p>
        </w:tc>
        <w:tc>
          <w:tcPr>
            <w:tcW w:w="2322" w:type="dxa"/>
          </w:tcPr>
          <w:p w:rsidR="00AC0832" w:rsidRDefault="00AC0832">
            <w:pPr>
              <w:pStyle w:val="CellColumn"/>
            </w:pPr>
            <w:r>
              <w:t>600.000</w:t>
            </w:r>
          </w:p>
        </w:tc>
        <w:tc>
          <w:tcPr>
            <w:tcW w:w="2322" w:type="dxa"/>
          </w:tcPr>
          <w:p w:rsidR="00AC0832" w:rsidRDefault="00AC0832">
            <w:pPr>
              <w:pStyle w:val="CellColumn"/>
            </w:pPr>
            <w:r>
              <w:t>300.000</w:t>
            </w:r>
          </w:p>
        </w:tc>
        <w:tc>
          <w:tcPr>
            <w:tcW w:w="2322" w:type="dxa"/>
          </w:tcPr>
          <w:p w:rsidR="00AC0832" w:rsidRDefault="00AC0832">
            <w:pPr>
              <w:pStyle w:val="CellColumn"/>
            </w:pPr>
            <w:r>
              <w:t>50,0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Hrvatski MEDIA desk osnovan je u okviru HAVC-a i radi na promociji i širenju informacija o programu MEDIA 2007, pruža savjetodavnu pomoć svima onima koji žele sudjelovati u njemu te blisko surađuje s Izvršnom agencijom za obrazovanje, audiovizualnu politiku i kulturu  (EACEA).U 2012. godini sredstva su utrošena prema planu.</w:t>
      </w:r>
    </w:p>
    <w:p w:rsidR="00AC0832" w:rsidRDefault="00AC0832">
      <w:pPr>
        <w:pStyle w:val="Heading6"/>
      </w:pPr>
      <w:r>
        <w:t>A785009 PROGRAMI HRVATSKOG AUDIOVIZUALNOG CENTRA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A785009-PROGRAMI HRVATSKOG AUDIOVIZUALNOG CENTRA</w:t>
            </w:r>
          </w:p>
        </w:tc>
        <w:tc>
          <w:tcPr>
            <w:tcW w:w="2322" w:type="dxa"/>
          </w:tcPr>
          <w:p w:rsidR="00AC0832" w:rsidRDefault="00AC0832">
            <w:pPr>
              <w:pStyle w:val="CellColumn"/>
            </w:pPr>
            <w:r>
              <w:t>34.000.000</w:t>
            </w:r>
          </w:p>
        </w:tc>
        <w:tc>
          <w:tcPr>
            <w:tcW w:w="2322" w:type="dxa"/>
          </w:tcPr>
          <w:p w:rsidR="00AC0832" w:rsidRDefault="00AC0832">
            <w:pPr>
              <w:pStyle w:val="CellColumn"/>
            </w:pPr>
            <w:r>
              <w:t>34.000.000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Progami HAVC-a obuhvaćaju potporu audiovizualnom stvaralaštvu, komplementarnim djelatnostima te međunarodnoj suradnji i promociji. U 2012. godini srdedstva za rashode u potpunsoti odgovaraju planiranim sredstvima  iz čega je vidljivo da nije bilo odstupanja od plana.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5"/>
        <w:gridCol w:w="1795"/>
        <w:gridCol w:w="963"/>
        <w:gridCol w:w="1329"/>
        <w:gridCol w:w="1048"/>
        <w:gridCol w:w="1329"/>
        <w:gridCol w:w="132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realiziranih filmskih naslova -dugometražni igrani film</w:t>
            </w:r>
          </w:p>
        </w:tc>
        <w:tc>
          <w:tcPr>
            <w:tcW w:w="1300" w:type="dxa"/>
          </w:tcPr>
          <w:p w:rsidR="00AC0832" w:rsidRDefault="00AC0832">
            <w:pPr>
              <w:pStyle w:val="CellColumn"/>
            </w:pPr>
            <w:r>
              <w:t>Povećanjem ukupne razine sredstava za proizvodnju i osiguranjem veće razine sufinanciranja po filmu doći će do povećanja broja realizacije odobrenih projekata</w:t>
            </w:r>
          </w:p>
        </w:tc>
        <w:tc>
          <w:tcPr>
            <w:tcW w:w="1300" w:type="dxa"/>
          </w:tcPr>
          <w:p w:rsidR="00AC0832" w:rsidRDefault="00AC0832">
            <w:pPr>
              <w:pStyle w:val="CellColumn"/>
            </w:pPr>
            <w:r>
              <w:t>Broj</w:t>
            </w:r>
          </w:p>
        </w:tc>
        <w:tc>
          <w:tcPr>
            <w:tcW w:w="1300" w:type="dxa"/>
          </w:tcPr>
          <w:p w:rsidR="00AC0832" w:rsidRDefault="00AC0832">
            <w:pPr>
              <w:pStyle w:val="CellColumn"/>
            </w:pPr>
            <w:r>
              <w:t>8</w:t>
            </w:r>
          </w:p>
        </w:tc>
        <w:tc>
          <w:tcPr>
            <w:tcW w:w="1300" w:type="dxa"/>
          </w:tcPr>
          <w:p w:rsidR="00AC0832" w:rsidRDefault="00AC0832">
            <w:pPr>
              <w:pStyle w:val="CellColumn"/>
            </w:pPr>
            <w:r>
              <w:t>HAVC</w:t>
            </w:r>
          </w:p>
        </w:tc>
        <w:tc>
          <w:tcPr>
            <w:tcW w:w="1300" w:type="dxa"/>
          </w:tcPr>
          <w:p w:rsidR="00AC0832" w:rsidRDefault="00AC0832">
            <w:pPr>
              <w:pStyle w:val="CellColumn"/>
            </w:pPr>
            <w:r>
              <w:t>9</w:t>
            </w:r>
          </w:p>
        </w:tc>
        <w:tc>
          <w:tcPr>
            <w:tcW w:w="1300" w:type="dxa"/>
          </w:tcPr>
          <w:p w:rsidR="00AC0832" w:rsidRDefault="00AC0832">
            <w:pPr>
              <w:pStyle w:val="CellColumn"/>
            </w:pPr>
            <w:r>
              <w:t>13</w:t>
            </w:r>
          </w:p>
        </w:tc>
      </w:tr>
      <w:tr w:rsidR="00AC0832" w:rsidTr="00BE20ED">
        <w:trPr>
          <w:jc w:val="center"/>
        </w:trPr>
        <w:tc>
          <w:tcPr>
            <w:tcW w:w="1300" w:type="dxa"/>
          </w:tcPr>
          <w:p w:rsidR="00AC0832" w:rsidRDefault="00AC0832">
            <w:pPr>
              <w:pStyle w:val="CellColumn"/>
            </w:pPr>
            <w:r>
              <w:t>Povećanje ukupnog prometa audiovizualnih djela (kino i kućni video)</w:t>
            </w:r>
          </w:p>
        </w:tc>
        <w:tc>
          <w:tcPr>
            <w:tcW w:w="1300" w:type="dxa"/>
          </w:tcPr>
          <w:p w:rsidR="00AC0832" w:rsidRDefault="00AC0832">
            <w:pPr>
              <w:pStyle w:val="CellColumn"/>
            </w:pPr>
            <w:r>
              <w:t>Ulaganjem u distribuciju, kinoprikazivaštvo (posebice digitalizaciju kinoprikazivačkog sektora) i promociju povećat će ukupni promet audiovizualnih djela (kino i kućni video)</w:t>
            </w:r>
          </w:p>
        </w:tc>
        <w:tc>
          <w:tcPr>
            <w:tcW w:w="1300" w:type="dxa"/>
          </w:tcPr>
          <w:p w:rsidR="00AC0832" w:rsidRDefault="00AC0832">
            <w:pPr>
              <w:pStyle w:val="CellColumn"/>
            </w:pPr>
            <w:r>
              <w:t>HRK</w:t>
            </w:r>
          </w:p>
        </w:tc>
        <w:tc>
          <w:tcPr>
            <w:tcW w:w="1300" w:type="dxa"/>
          </w:tcPr>
          <w:p w:rsidR="00AC0832" w:rsidRDefault="00AC0832">
            <w:pPr>
              <w:pStyle w:val="CellColumn"/>
            </w:pPr>
            <w:r>
              <w:t>150.000.000</w:t>
            </w:r>
          </w:p>
        </w:tc>
        <w:tc>
          <w:tcPr>
            <w:tcW w:w="1300" w:type="dxa"/>
          </w:tcPr>
          <w:p w:rsidR="00AC0832" w:rsidRDefault="00AC0832">
            <w:pPr>
              <w:pStyle w:val="CellColumn"/>
            </w:pPr>
            <w:r>
              <w:t>HAVC, DZS</w:t>
            </w:r>
          </w:p>
        </w:tc>
        <w:tc>
          <w:tcPr>
            <w:tcW w:w="1300" w:type="dxa"/>
          </w:tcPr>
          <w:p w:rsidR="00AC0832" w:rsidRDefault="00AC0832">
            <w:pPr>
              <w:pStyle w:val="CellColumn"/>
            </w:pPr>
            <w:r>
              <w:t>155.000.000</w:t>
            </w:r>
          </w:p>
        </w:tc>
        <w:tc>
          <w:tcPr>
            <w:tcW w:w="1300" w:type="dxa"/>
          </w:tcPr>
          <w:p w:rsidR="00AC0832" w:rsidRDefault="00AC0832">
            <w:pPr>
              <w:pStyle w:val="CellColumn"/>
            </w:pPr>
            <w:r>
              <w:t>111.936.899</w:t>
            </w:r>
          </w:p>
        </w:tc>
      </w:tr>
      <w:tr w:rsidR="00AC0832" w:rsidTr="00BE20ED">
        <w:trPr>
          <w:jc w:val="center"/>
        </w:trPr>
        <w:tc>
          <w:tcPr>
            <w:tcW w:w="1300" w:type="dxa"/>
          </w:tcPr>
          <w:p w:rsidR="00AC0832" w:rsidRDefault="00AC0832">
            <w:pPr>
              <w:pStyle w:val="CellColumn"/>
            </w:pPr>
            <w:r>
              <w:t>Povećanje broja stranih filmskih produkcija (dugometražni igrani i dokumentarni filmovi, televizijske serije) koje koriste Hrvatsku kao destinaciju za snimanje</w:t>
            </w:r>
          </w:p>
        </w:tc>
        <w:tc>
          <w:tcPr>
            <w:tcW w:w="1300" w:type="dxa"/>
          </w:tcPr>
          <w:p w:rsidR="00AC0832" w:rsidRDefault="00AC0832">
            <w:pPr>
              <w:pStyle w:val="CellColumn"/>
            </w:pPr>
            <w:r>
              <w:t>Izradom i usvajanjem paketa regulativnih, fiskalnih i promičbenih mjera Hrvatska će se pozicionirati ponovo kao zemlja destinacija za snimanje</w:t>
            </w:r>
          </w:p>
        </w:tc>
        <w:tc>
          <w:tcPr>
            <w:tcW w:w="1300" w:type="dxa"/>
          </w:tcPr>
          <w:p w:rsidR="00AC0832" w:rsidRDefault="00AC0832">
            <w:pPr>
              <w:pStyle w:val="CellColumn"/>
            </w:pPr>
            <w:r>
              <w:t>Broj</w:t>
            </w:r>
          </w:p>
        </w:tc>
        <w:tc>
          <w:tcPr>
            <w:tcW w:w="1300" w:type="dxa"/>
          </w:tcPr>
          <w:p w:rsidR="00AC0832" w:rsidRDefault="00AC0832">
            <w:pPr>
              <w:pStyle w:val="CellColumn"/>
            </w:pPr>
            <w:r>
              <w:t>8</w:t>
            </w:r>
          </w:p>
        </w:tc>
        <w:tc>
          <w:tcPr>
            <w:tcW w:w="1300" w:type="dxa"/>
          </w:tcPr>
          <w:p w:rsidR="00AC0832" w:rsidRDefault="00AC0832">
            <w:pPr>
              <w:pStyle w:val="CellColumn"/>
            </w:pPr>
            <w:r>
              <w:t>HAVC</w:t>
            </w:r>
          </w:p>
        </w:tc>
        <w:tc>
          <w:tcPr>
            <w:tcW w:w="1300" w:type="dxa"/>
          </w:tcPr>
          <w:p w:rsidR="00AC0832" w:rsidRDefault="00AC0832">
            <w:pPr>
              <w:pStyle w:val="CellColumn"/>
            </w:pPr>
            <w:r>
              <w:t>10</w:t>
            </w:r>
          </w:p>
        </w:tc>
        <w:tc>
          <w:tcPr>
            <w:tcW w:w="1300" w:type="dxa"/>
          </w:tcPr>
          <w:p w:rsidR="00AC0832" w:rsidRDefault="00AC0832">
            <w:pPr>
              <w:pStyle w:val="CellColumn"/>
            </w:pPr>
            <w:r>
              <w:t>5</w:t>
            </w:r>
          </w:p>
        </w:tc>
      </w:tr>
    </w:tbl>
    <w:p w:rsidR="00AC0832" w:rsidRDefault="00AC0832">
      <w:pPr>
        <w:jc w:val="left"/>
      </w:pPr>
    </w:p>
    <w:p w:rsidR="00AC0832" w:rsidRDefault="00AC0832">
      <w:pPr>
        <w:pStyle w:val="Heading3"/>
      </w:pPr>
      <w:r>
        <w:t>45189 Međunarodni centar za podvodnu arheologiju</w:t>
      </w:r>
    </w:p>
    <w:p w:rsidR="00AC0832" w:rsidRDefault="00AC0832">
      <w:pPr>
        <w:pStyle w:val="Heading4"/>
      </w:pPr>
      <w:r>
        <w:t>Uvod</w:t>
      </w:r>
    </w:p>
    <w:p w:rsidR="00AC0832" w:rsidRDefault="00AC0832">
      <w:pPr>
        <w:pStyle w:val="Normal5"/>
      </w:pPr>
      <w:r>
        <w:t>Ministarstvo kulture osigurava sredstva za osnovne troškove Centra, dok će sredstva potrebna za provođenje pojedinih programa biti osigurana iz različitih izvora, ovisno o programu ili projektu. Sredstva za međunarodne programe i projekte osigurat će se iz međunarodnih izvora. U 2012. godini nije bilo odstupanja od plana.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45189-Međunarodni centar za podvodnu arheologiju</w:t>
            </w:r>
          </w:p>
        </w:tc>
        <w:tc>
          <w:tcPr>
            <w:tcW w:w="2322" w:type="dxa"/>
          </w:tcPr>
          <w:p w:rsidR="00AC0832" w:rsidRDefault="00AC0832">
            <w:pPr>
              <w:pStyle w:val="CellColumn"/>
            </w:pPr>
            <w:r>
              <w:t>753.234</w:t>
            </w:r>
          </w:p>
        </w:tc>
        <w:tc>
          <w:tcPr>
            <w:tcW w:w="2322" w:type="dxa"/>
          </w:tcPr>
          <w:p w:rsidR="00AC0832" w:rsidRDefault="00AC0832">
            <w:pPr>
              <w:pStyle w:val="CellColumn"/>
            </w:pPr>
            <w:r>
              <w:t>753.203</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Small"/>
            </w:pPr>
            <w:r>
              <w:t>3908-ZAŠTITA KULTURNIH DOBARA</w:t>
            </w:r>
          </w:p>
        </w:tc>
        <w:tc>
          <w:tcPr>
            <w:tcW w:w="2322" w:type="dxa"/>
          </w:tcPr>
          <w:p w:rsidR="00AC0832" w:rsidRDefault="00AC0832">
            <w:pPr>
              <w:pStyle w:val="CellColumnSmall"/>
            </w:pPr>
            <w:r>
              <w:t>753.234</w:t>
            </w:r>
          </w:p>
        </w:tc>
        <w:tc>
          <w:tcPr>
            <w:tcW w:w="2322" w:type="dxa"/>
          </w:tcPr>
          <w:p w:rsidR="00AC0832" w:rsidRDefault="00AC0832">
            <w:pPr>
              <w:pStyle w:val="CellColumnSmall"/>
            </w:pPr>
            <w:r>
              <w:t>753.203</w:t>
            </w:r>
          </w:p>
        </w:tc>
        <w:tc>
          <w:tcPr>
            <w:tcW w:w="2322" w:type="dxa"/>
          </w:tcPr>
          <w:p w:rsidR="00AC0832" w:rsidRDefault="00AC0832">
            <w:pPr>
              <w:pStyle w:val="CellColumnSmall"/>
            </w:pPr>
            <w:r>
              <w:t>100,0</w:t>
            </w:r>
          </w:p>
        </w:tc>
      </w:tr>
    </w:tbl>
    <w:p w:rsidR="00AC0832" w:rsidRDefault="00AC0832">
      <w:pPr>
        <w:jc w:val="left"/>
      </w:pPr>
    </w:p>
    <w:p w:rsidR="00AC0832" w:rsidRDefault="00AC0832">
      <w:pPr>
        <w:pStyle w:val="Heading4"/>
      </w:pPr>
      <w:r>
        <w:t>OBRAZLOŽENJE PROGRAMA</w:t>
      </w:r>
    </w:p>
    <w:p w:rsidR="00AC0832" w:rsidRDefault="00AC0832">
      <w:pPr>
        <w:pStyle w:val="Heading5"/>
      </w:pPr>
      <w:r>
        <w:t>3908 ZAŠTITA KULTURNIH DOBARA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3908-ZAŠTITA KULTURNIH DOBARA</w:t>
            </w:r>
          </w:p>
        </w:tc>
        <w:tc>
          <w:tcPr>
            <w:tcW w:w="2322" w:type="dxa"/>
          </w:tcPr>
          <w:p w:rsidR="00AC0832" w:rsidRDefault="00AC0832">
            <w:pPr>
              <w:pStyle w:val="CellColumn"/>
            </w:pPr>
            <w:r>
              <w:t>753.234</w:t>
            </w:r>
          </w:p>
        </w:tc>
        <w:tc>
          <w:tcPr>
            <w:tcW w:w="2322" w:type="dxa"/>
          </w:tcPr>
          <w:p w:rsidR="00AC0832" w:rsidRDefault="00AC0832">
            <w:pPr>
              <w:pStyle w:val="CellColumn"/>
            </w:pPr>
            <w:r>
              <w:t>753.203</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Opis programa</w:t>
      </w:r>
    </w:p>
    <w:p w:rsidR="00AC0832" w:rsidRDefault="00AC0832">
      <w:r>
        <w:t>Program zaštite kulturnih dobara odnosi se na rekognisciranje, istraživanje i zaštitu podvodnih arheoloških nalazišta u Republici Hrvatskoj. U 2012. godini nije bilo odstupanja od plana.</w:t>
      </w:r>
    </w:p>
    <w:p w:rsidR="00AC0832" w:rsidRDefault="00AC0832">
      <w:pPr>
        <w:pStyle w:val="Heading6"/>
      </w:pPr>
      <w:r>
        <w:t>Zakonske i druge pravne osnove</w:t>
      </w:r>
    </w:p>
    <w:p w:rsidR="00AC0832" w:rsidRDefault="00AC0832">
      <w:r>
        <w:t>Konvencija o zaštiti podvodne kulturne baštine iz 2001.</w:t>
      </w:r>
    </w:p>
    <w:p w:rsidR="00AC0832" w:rsidRDefault="00AC0832">
      <w:pPr>
        <w:pStyle w:val="Heading6"/>
      </w:pPr>
      <w:r>
        <w:t>A843001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A843001-ADMINISTRACIJA I UPRAVLJANJE</w:t>
            </w:r>
          </w:p>
        </w:tc>
        <w:tc>
          <w:tcPr>
            <w:tcW w:w="2322" w:type="dxa"/>
          </w:tcPr>
          <w:p w:rsidR="00AC0832" w:rsidRDefault="00AC0832">
            <w:pPr>
              <w:pStyle w:val="CellColumn"/>
            </w:pPr>
            <w:r>
              <w:t>753.234</w:t>
            </w:r>
          </w:p>
        </w:tc>
        <w:tc>
          <w:tcPr>
            <w:tcW w:w="2322" w:type="dxa"/>
          </w:tcPr>
          <w:p w:rsidR="00AC0832" w:rsidRDefault="00AC0832">
            <w:pPr>
              <w:pStyle w:val="CellColumn"/>
            </w:pPr>
            <w:r>
              <w:t>753.203</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Glavna aktivnost centra za podvodnu arheologiju u Zadru je provođenje aktivnosti obrazovanja u polju istraživanja, konzerviranja i restauriranja podvodne kulturne baštine. Osim glavne aktivnosti Centra u razdoblju 2011. - 2013. godine Centar provodi i dio programskih aktivnosti: razvijanje i širenje najsuvremenijih metoda istraživanja u podvnodnoj arheologiji, konzervaciji i restauraciji, obuci i razmjeni znanja.  </w:t>
      </w:r>
    </w:p>
    <w:p w:rsidR="00AC0832" w:rsidRDefault="00AC0832">
      <w:pPr>
        <w:pStyle w:val="Normal6"/>
      </w:pPr>
      <w:r>
        <w:t>U 2012. godini nije bilo odstupanja od plana.</w:t>
      </w:r>
    </w:p>
    <w:p w:rsidR="00AC0832" w:rsidRDefault="00AC0832">
      <w:pPr>
        <w:pStyle w:val="Heading1"/>
      </w:pPr>
      <w:r>
        <w:t>060 MINISTARSTVO POLJOPRIVREDE</w:t>
      </w:r>
    </w:p>
    <w:p w:rsidR="00AC0832" w:rsidRDefault="00AC0832">
      <w:pPr>
        <w:pStyle w:val="Heading4"/>
      </w:pPr>
      <w:r>
        <w:t>Uvod</w:t>
      </w:r>
    </w:p>
    <w:p w:rsidR="00AC0832" w:rsidRDefault="00AC0832">
      <w:pPr>
        <w:pStyle w:val="Normal3"/>
      </w:pPr>
      <w:r>
        <w:t xml:space="preserve">Ministarstvo poljoprivrede odgovorno je za provođenje poljoprivredne politike Vlade Republike Hrvatske i održivo i skladno korištenje funkcija šuma i voda i trajno poboljšavanje njihova stanja.  </w:t>
      </w:r>
    </w:p>
    <w:p w:rsidR="00AC0832" w:rsidRDefault="00AC0832">
      <w:pPr>
        <w:pStyle w:val="Normal3"/>
      </w:pPr>
      <w:r>
        <w:t xml:space="preserve">Ministarstvo poljoprivrede obavlja upravne i druge poslove koji se odnose na stalno povećanje konkurentnosti hrvatske poljoprivrede kroz poticanje proizvodnje, potporu dohotku poljoprivrednim gospodarstvima, kapitalna ulaganja i ruralni razvitak; povećanje trenda rasta poticaja u poljoprivredi; nove investicije i poticaji za ekološku i organsku proizvodnju, prerađivačku industriju, ribarstvo te osiguranje zdravstvene ispravnosti i kakvoće hrane, zaštita i prilagođavanje korištenja voda i šuma potrebama ukupnog gospodarskog razvitka Republike Hrvatske, razvoj gospodarenja lovištima i divljači i razvoj drvne industrije. </w:t>
      </w:r>
    </w:p>
    <w:p w:rsidR="00AC0832" w:rsidRDefault="00AC0832">
      <w:pPr>
        <w:pStyle w:val="Normal3"/>
      </w:pPr>
      <w:r>
        <w:t xml:space="preserve">U Državnom proračunu Republike Hrvatske unutar razdjela organizacijske klasifikacije Ministarstva poljoprivrede strukturirane su sljedeće glave:  </w:t>
      </w:r>
    </w:p>
    <w:p w:rsidR="00AC0832" w:rsidRDefault="00AC0832">
      <w:pPr>
        <w:pStyle w:val="Normal3"/>
      </w:pPr>
      <w:r>
        <w:t xml:space="preserve">06005 - Ministarstvo poljoprivrede </w:t>
      </w:r>
    </w:p>
    <w:p w:rsidR="00AC0832" w:rsidRDefault="00AC0832">
      <w:pPr>
        <w:pStyle w:val="Normal3"/>
      </w:pPr>
      <w:r>
        <w:t xml:space="preserve">06025 - Hrvatska agencija za hranu </w:t>
      </w:r>
    </w:p>
    <w:p w:rsidR="00AC0832" w:rsidRDefault="00AC0832">
      <w:pPr>
        <w:pStyle w:val="Normal3"/>
      </w:pPr>
      <w:r>
        <w:t xml:space="preserve"> 06030 - Agencija za plaćanja u poljoprivredi, ribarstvu i ruralnom razvoju </w:t>
      </w:r>
    </w:p>
    <w:p w:rsidR="00AC0832" w:rsidRDefault="00AC0832">
      <w:pPr>
        <w:pStyle w:val="Normal3"/>
      </w:pPr>
      <w:r>
        <w:t xml:space="preserve">06035 - Hrvatski centar za poljoprivredu, hranu i selo </w:t>
      </w:r>
    </w:p>
    <w:p w:rsidR="00AC0832" w:rsidRDefault="00AC0832">
      <w:pPr>
        <w:pStyle w:val="Normal3"/>
      </w:pPr>
      <w:r>
        <w:t xml:space="preserve">06040 – Agencija za poljoprivredno zemljište </w:t>
      </w:r>
    </w:p>
    <w:p w:rsidR="00AC0832" w:rsidRDefault="00AC0832">
      <w:pPr>
        <w:pStyle w:val="Normal3"/>
      </w:pPr>
      <w:r>
        <w:t xml:space="preserve">06045 – Hrvatska poljoprivredna agencija </w:t>
      </w:r>
    </w:p>
    <w:p w:rsidR="00AC0832" w:rsidRDefault="00AC0832">
      <w:pPr>
        <w:pStyle w:val="Normal3"/>
      </w:pPr>
      <w:r>
        <w:t>Ministarstvo poljoprivrede u provedbi mjera iz svoje nadležnosti surađuje sa brojnim institucijama uz proračunsko sufinanciranje njihovih pojedinih aktivnosti. Među njima valja istaknuti novoosnovane institucije Hrvatsku poljoprivrednu agenciju, Hrvatski centar za poljoprivredu, hranu i selo, Hrvatsku poljoprivrednu komoru i Agenciju za poljoprivredno zemljište.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06005-Ministarstvo poljoprivrede</w:t>
            </w:r>
          </w:p>
        </w:tc>
        <w:tc>
          <w:tcPr>
            <w:tcW w:w="2322" w:type="dxa"/>
          </w:tcPr>
          <w:p w:rsidR="00AC0832" w:rsidRDefault="00AC0832">
            <w:pPr>
              <w:pStyle w:val="CellColumn"/>
            </w:pPr>
            <w:r>
              <w:t>4.539.922.882</w:t>
            </w:r>
          </w:p>
        </w:tc>
        <w:tc>
          <w:tcPr>
            <w:tcW w:w="2322" w:type="dxa"/>
          </w:tcPr>
          <w:p w:rsidR="00AC0832" w:rsidRDefault="00AC0832">
            <w:pPr>
              <w:pStyle w:val="CellColumn"/>
            </w:pPr>
            <w:r>
              <w:t>4.302.575.986</w:t>
            </w:r>
          </w:p>
        </w:tc>
        <w:tc>
          <w:tcPr>
            <w:tcW w:w="2322" w:type="dxa"/>
          </w:tcPr>
          <w:p w:rsidR="00AC0832" w:rsidRDefault="00AC0832">
            <w:pPr>
              <w:pStyle w:val="CellColumn"/>
            </w:pPr>
            <w:r>
              <w:t>94,8</w:t>
            </w:r>
          </w:p>
        </w:tc>
      </w:tr>
      <w:tr w:rsidR="00AC0832" w:rsidTr="00BE20ED">
        <w:trPr>
          <w:jc w:val="center"/>
        </w:trPr>
        <w:tc>
          <w:tcPr>
            <w:tcW w:w="2322" w:type="dxa"/>
          </w:tcPr>
          <w:p w:rsidR="00AC0832" w:rsidRDefault="00AC0832">
            <w:pPr>
              <w:pStyle w:val="CellColumn"/>
            </w:pPr>
            <w:r>
              <w:t>06025-Hrvatska agencija za hranu</w:t>
            </w:r>
          </w:p>
        </w:tc>
        <w:tc>
          <w:tcPr>
            <w:tcW w:w="2322" w:type="dxa"/>
          </w:tcPr>
          <w:p w:rsidR="00AC0832" w:rsidRDefault="00AC0832">
            <w:pPr>
              <w:pStyle w:val="CellColumn"/>
            </w:pPr>
            <w:r>
              <w:t>5.000.000</w:t>
            </w:r>
          </w:p>
        </w:tc>
        <w:tc>
          <w:tcPr>
            <w:tcW w:w="2322" w:type="dxa"/>
          </w:tcPr>
          <w:p w:rsidR="00AC0832" w:rsidRDefault="00AC0832">
            <w:pPr>
              <w:pStyle w:val="CellColumn"/>
            </w:pPr>
            <w:r>
              <w:t>4.950.808</w:t>
            </w:r>
          </w:p>
        </w:tc>
        <w:tc>
          <w:tcPr>
            <w:tcW w:w="2322" w:type="dxa"/>
          </w:tcPr>
          <w:p w:rsidR="00AC0832" w:rsidRDefault="00AC0832">
            <w:pPr>
              <w:pStyle w:val="CellColumn"/>
            </w:pPr>
            <w:r>
              <w:t>99,0</w:t>
            </w:r>
          </w:p>
        </w:tc>
      </w:tr>
      <w:tr w:rsidR="00AC0832" w:rsidTr="00BE20ED">
        <w:trPr>
          <w:jc w:val="center"/>
        </w:trPr>
        <w:tc>
          <w:tcPr>
            <w:tcW w:w="2322" w:type="dxa"/>
          </w:tcPr>
          <w:p w:rsidR="00AC0832" w:rsidRDefault="00AC0832">
            <w:pPr>
              <w:pStyle w:val="CellColumn"/>
            </w:pPr>
            <w:r>
              <w:t>06030-Agencija za plaćanja u poljoprivredi, ribarstvu i ruralnom razvoju</w:t>
            </w:r>
          </w:p>
        </w:tc>
        <w:tc>
          <w:tcPr>
            <w:tcW w:w="2322" w:type="dxa"/>
          </w:tcPr>
          <w:p w:rsidR="00AC0832" w:rsidRDefault="00AC0832">
            <w:pPr>
              <w:pStyle w:val="CellColumn"/>
            </w:pPr>
            <w:r>
              <w:t>127.071.185</w:t>
            </w:r>
          </w:p>
        </w:tc>
        <w:tc>
          <w:tcPr>
            <w:tcW w:w="2322" w:type="dxa"/>
          </w:tcPr>
          <w:p w:rsidR="00AC0832" w:rsidRDefault="00AC0832">
            <w:pPr>
              <w:pStyle w:val="CellColumn"/>
            </w:pPr>
            <w:r>
              <w:t>118.569.207</w:t>
            </w:r>
          </w:p>
        </w:tc>
        <w:tc>
          <w:tcPr>
            <w:tcW w:w="2322" w:type="dxa"/>
          </w:tcPr>
          <w:p w:rsidR="00AC0832" w:rsidRDefault="00AC0832">
            <w:pPr>
              <w:pStyle w:val="CellColumn"/>
            </w:pPr>
            <w:r>
              <w:t>93,3</w:t>
            </w:r>
          </w:p>
        </w:tc>
      </w:tr>
      <w:tr w:rsidR="00AC0832" w:rsidTr="00BE20ED">
        <w:trPr>
          <w:jc w:val="center"/>
        </w:trPr>
        <w:tc>
          <w:tcPr>
            <w:tcW w:w="2322" w:type="dxa"/>
          </w:tcPr>
          <w:p w:rsidR="00AC0832" w:rsidRDefault="00AC0832">
            <w:pPr>
              <w:pStyle w:val="CellColumn"/>
            </w:pPr>
            <w:r>
              <w:t>06035-Hrvatski centar za poljoprivredu, hranu i selo</w:t>
            </w:r>
          </w:p>
        </w:tc>
        <w:tc>
          <w:tcPr>
            <w:tcW w:w="2322" w:type="dxa"/>
          </w:tcPr>
          <w:p w:rsidR="00AC0832" w:rsidRDefault="00AC0832">
            <w:pPr>
              <w:pStyle w:val="CellColumn"/>
            </w:pPr>
            <w:r>
              <w:t>44.980.800</w:t>
            </w:r>
          </w:p>
        </w:tc>
        <w:tc>
          <w:tcPr>
            <w:tcW w:w="2322" w:type="dxa"/>
          </w:tcPr>
          <w:p w:rsidR="00AC0832" w:rsidRDefault="00AC0832">
            <w:pPr>
              <w:pStyle w:val="CellColumn"/>
            </w:pPr>
            <w:r>
              <w:t>27.280.828</w:t>
            </w:r>
          </w:p>
        </w:tc>
        <w:tc>
          <w:tcPr>
            <w:tcW w:w="2322" w:type="dxa"/>
          </w:tcPr>
          <w:p w:rsidR="00AC0832" w:rsidRDefault="00AC0832">
            <w:pPr>
              <w:pStyle w:val="CellColumn"/>
            </w:pPr>
            <w:r>
              <w:t>60,6</w:t>
            </w:r>
          </w:p>
        </w:tc>
      </w:tr>
      <w:tr w:rsidR="00AC0832" w:rsidTr="00BE20ED">
        <w:trPr>
          <w:jc w:val="center"/>
        </w:trPr>
        <w:tc>
          <w:tcPr>
            <w:tcW w:w="2322" w:type="dxa"/>
          </w:tcPr>
          <w:p w:rsidR="00AC0832" w:rsidRDefault="00AC0832">
            <w:pPr>
              <w:pStyle w:val="CellColumn"/>
            </w:pPr>
            <w:r>
              <w:t>06040-Agencija za poljoprivredno zemljište</w:t>
            </w:r>
          </w:p>
        </w:tc>
        <w:tc>
          <w:tcPr>
            <w:tcW w:w="2322" w:type="dxa"/>
          </w:tcPr>
          <w:p w:rsidR="00AC0832" w:rsidRDefault="00AC0832">
            <w:pPr>
              <w:pStyle w:val="CellColumn"/>
            </w:pPr>
            <w:r>
              <w:t>3.968.708</w:t>
            </w:r>
          </w:p>
        </w:tc>
        <w:tc>
          <w:tcPr>
            <w:tcW w:w="2322" w:type="dxa"/>
          </w:tcPr>
          <w:p w:rsidR="00AC0832" w:rsidRDefault="00AC0832">
            <w:pPr>
              <w:pStyle w:val="CellColumn"/>
            </w:pPr>
            <w:r>
              <w:t>2.228.789</w:t>
            </w:r>
          </w:p>
        </w:tc>
        <w:tc>
          <w:tcPr>
            <w:tcW w:w="2322" w:type="dxa"/>
          </w:tcPr>
          <w:p w:rsidR="00AC0832" w:rsidRDefault="00AC0832">
            <w:pPr>
              <w:pStyle w:val="CellColumn"/>
            </w:pPr>
            <w:r>
              <w:t>56,2</w:t>
            </w:r>
          </w:p>
        </w:tc>
      </w:tr>
      <w:tr w:rsidR="00AC0832" w:rsidTr="00BE20ED">
        <w:trPr>
          <w:jc w:val="center"/>
        </w:trPr>
        <w:tc>
          <w:tcPr>
            <w:tcW w:w="2322" w:type="dxa"/>
          </w:tcPr>
          <w:p w:rsidR="00AC0832" w:rsidRDefault="00AC0832">
            <w:pPr>
              <w:pStyle w:val="CellColumn"/>
            </w:pPr>
            <w:r>
              <w:t>06045-Hrvatska poljoprivredna agencija</w:t>
            </w:r>
          </w:p>
        </w:tc>
        <w:tc>
          <w:tcPr>
            <w:tcW w:w="2322" w:type="dxa"/>
          </w:tcPr>
          <w:p w:rsidR="00AC0832" w:rsidRDefault="00AC0832">
            <w:pPr>
              <w:pStyle w:val="CellColumn"/>
            </w:pPr>
            <w:r>
              <w:t>30.999.500</w:t>
            </w:r>
          </w:p>
        </w:tc>
        <w:tc>
          <w:tcPr>
            <w:tcW w:w="2322" w:type="dxa"/>
          </w:tcPr>
          <w:p w:rsidR="00AC0832" w:rsidRDefault="00AC0832">
            <w:pPr>
              <w:pStyle w:val="CellColumn"/>
            </w:pPr>
            <w:r>
              <w:t>30.997.399</w:t>
            </w:r>
          </w:p>
        </w:tc>
        <w:tc>
          <w:tcPr>
            <w:tcW w:w="2322" w:type="dxa"/>
          </w:tcPr>
          <w:p w:rsidR="00AC0832" w:rsidRDefault="00AC0832">
            <w:pPr>
              <w:pStyle w:val="CellColumn"/>
            </w:pPr>
            <w:r>
              <w:t>100,0</w:t>
            </w:r>
          </w:p>
        </w:tc>
      </w:tr>
      <w:tr w:rsidR="00AC0832" w:rsidTr="00BE20ED">
        <w:trPr>
          <w:jc w:val="center"/>
        </w:trPr>
        <w:tc>
          <w:tcPr>
            <w:tcW w:w="2322" w:type="dxa"/>
            <w:shd w:val="clear" w:color="auto" w:fill="B5C0D8"/>
          </w:tcPr>
          <w:p w:rsidR="00AC0832" w:rsidRDefault="00AC0832">
            <w:pPr>
              <w:pStyle w:val="CellColumn"/>
            </w:pPr>
            <w:r>
              <w:t>Ukupno 060-MINISTARSTVO POLJOPRIVREDE</w:t>
            </w:r>
          </w:p>
        </w:tc>
        <w:tc>
          <w:tcPr>
            <w:tcW w:w="2322" w:type="dxa"/>
            <w:shd w:val="clear" w:color="auto" w:fill="B5C0D8"/>
          </w:tcPr>
          <w:p w:rsidR="00AC0832" w:rsidRDefault="00AC0832">
            <w:pPr>
              <w:pStyle w:val="CellColumn"/>
            </w:pPr>
            <w:r>
              <w:t>4.751.943.075</w:t>
            </w:r>
          </w:p>
        </w:tc>
        <w:tc>
          <w:tcPr>
            <w:tcW w:w="2322" w:type="dxa"/>
            <w:shd w:val="clear" w:color="auto" w:fill="B5C0D8"/>
          </w:tcPr>
          <w:p w:rsidR="00AC0832" w:rsidRDefault="00AC0832">
            <w:pPr>
              <w:pStyle w:val="CellColumn"/>
            </w:pPr>
            <w:r>
              <w:t>4.486.603.017</w:t>
            </w:r>
          </w:p>
        </w:tc>
        <w:tc>
          <w:tcPr>
            <w:tcW w:w="2322" w:type="dxa"/>
            <w:shd w:val="clear" w:color="auto" w:fill="B5C0D8"/>
          </w:tcPr>
          <w:p w:rsidR="00AC0832" w:rsidRDefault="00AC0832">
            <w:pPr>
              <w:pStyle w:val="CellColumn"/>
            </w:pPr>
            <w:r>
              <w:t>94,4</w:t>
            </w:r>
          </w:p>
        </w:tc>
      </w:tr>
    </w:tbl>
    <w:p w:rsidR="00AC0832" w:rsidRDefault="00AC0832">
      <w:pPr>
        <w:jc w:val="left"/>
      </w:pPr>
    </w:p>
    <w:p w:rsidR="00AC0832" w:rsidRDefault="00AC0832">
      <w:pPr>
        <w:pStyle w:val="Heading2"/>
      </w:pPr>
      <w:r>
        <w:t>06005 Ministarstvo poljoprivrede</w:t>
      </w:r>
    </w:p>
    <w:p w:rsidR="00AC0832" w:rsidRDefault="00AC0832">
      <w:pPr>
        <w:pStyle w:val="Heading4"/>
      </w:pPr>
      <w:r>
        <w:t>Uvod</w:t>
      </w:r>
    </w:p>
    <w:p w:rsidR="00AC0832" w:rsidRDefault="00AC0832">
      <w:pPr>
        <w:pStyle w:val="Normal3"/>
      </w:pPr>
      <w:r>
        <w:t xml:space="preserve">Ministarstvo poljoprivrede obavlja upravne i druge poslove u području poljoprivrede, ribarstva, šumarstva, ruralnog razvoja, gospodarenja i raspolaganja poljoprivrednim zemljištem u vlasništvu države, poljoprivredne politike, tržišnih i strukturnih potpora u poljoprivredi, prehrambene i duhanske industrije i veterinarstva, i to: biljne proizvodnje i agroekologije, zaštitu biljnih sorti i priznavanje sorti poljoprivrednog bilja, promet i primjenu gnojiva i poboljšivača tla, biljnog zdravstva, prometa i primjene sredstava za zaštitu bilja, uzgoj uzgojno valjanih životinja, propisuje uvjete za proizvodnju i promet grožđa, vina i drugih proizvoda od grožđa i vina. </w:t>
      </w:r>
    </w:p>
    <w:p w:rsidR="00AC0832" w:rsidRDefault="00AC0832">
      <w:pPr>
        <w:pStyle w:val="Normal3"/>
      </w:pPr>
      <w:r>
        <w:t xml:space="preserve">Ministarstvo propisuje mjere upravljanja i gospodarenja biološkim bogatstvima mora i slatkih voda; određivanje i kontrolu ribolovnog napora; određivanje granica između unutarnjeg i vanjskoga ribolovnog mora, granica ribolovnih zona, propisuje namjene, vrste i količine ribolovnih alata i opreme u ribolovu, propisuje i uvjete za uzgoj ribe i drugih vodenih organizama, uvjete za obavljanje ribolova i uvjete za priznavanje organizacija proizvođača u ribarstvu. </w:t>
      </w:r>
    </w:p>
    <w:p w:rsidR="00AC0832" w:rsidRDefault="00AC0832">
      <w:pPr>
        <w:pStyle w:val="Normal3"/>
      </w:pPr>
      <w:r>
        <w:t xml:space="preserve">Ministarstvo obavlja upravne i druge poslove koji se odnose na šumarstvo, zaštitu šuma, uređivanje pravnih odnosa na šumama i šumskom zemljištu u vlasništvu države, osim imovinskopravnih poslova; drvnu industriju i lovstvo; inspekcijske poslove koji se odnose na šumarstvo i lovstvo; provodi međunarodne sporazume u dijelu koji se odnose na šumarstvo; uređenje odnosa i uvjeta proizvodnje, prometa i uporabe šumskog sjemena i šumskih sadnica, šumarske ekologije, zaštite šuma od elementarnih nepogoda i antropogenih utjecaja, požara, očuvanje šumskih genetskih izvora i šumskog reprodukcijskog materijala. </w:t>
      </w:r>
    </w:p>
    <w:p w:rsidR="00AC0832" w:rsidRDefault="00AC0832">
      <w:pPr>
        <w:pStyle w:val="Normal3"/>
      </w:pPr>
      <w:r>
        <w:t xml:space="preserve">Ministarstvo obavlja i upravne i druge poslove koji se odnose na: upravljanje vodama i vodno-gospodarskim sustavom; praćenje i prilagođavanje vodno-gospodarskog razvitka s potrebama gospodarskog razvitka; uređenje vodotoka i drugih voda i zaštitu od štetnog djelovanja voda i leda; zaštitu od erozije i bujica: hidromelioracijsku odvodnju i navodnjavanje zemljišta; upravljanje vodnim dobrom i njegovo korištenje; provedbu zaštite voda i zaštite mora od zagađivanja s kopna; osiguravanje zalihe voda u svrhu vodoopskrbe naselja s pitkom vodom i gospodarstva s industrijskom vodom; korištenje vodnih snaga: planiranje i usklađivanje razvoja i izgradnje javnih vodoopskrbnih sustava i javnih kanalizacijskih sustava od državnog interesa; inspekcijske poslove na zaštiti od voda, korištenju voda i zaštiti voda od zagađivanja. </w:t>
      </w:r>
    </w:p>
    <w:p w:rsidR="00AC0832" w:rsidRDefault="00AC0832">
      <w:pPr>
        <w:pStyle w:val="Normal3"/>
      </w:pPr>
      <w:r>
        <w:t xml:space="preserve">Ministarstvo provodi i koordinira mjere ruralnog razvoja, razvitka seoskog prostora, ekološke i održive poljoprivrede, poljoprivrednog zadrugarstva i drugih oblika udruživanja u poljoprivredi i ribarstvu, promicanje autohtonih proizvoda, marketinške pripreme poljoprivredno-prehrambenih proizvoda, očuvanja izvornih i zaštićenih pasmina domaćih životinja. </w:t>
      </w:r>
    </w:p>
    <w:p w:rsidR="00AC0832" w:rsidRDefault="00AC0832">
      <w:pPr>
        <w:pStyle w:val="Normal3"/>
      </w:pPr>
      <w:r>
        <w:t xml:space="preserve">Ministarstvo uređuje pravne odnose na poljoprivrednom zemljištu, osim imovinskopravnih poslova, pokreće i vodi postupak komasacije, osim imovinskopravnih poslova, prenamjene poljoprivrednog zemljišta u građevinsko, zaštitu poljoprivrednog zemljišta, vođenje evidencije o poljoprivrednom zemljištu. </w:t>
      </w:r>
    </w:p>
    <w:p w:rsidR="00AC0832" w:rsidRDefault="00AC0832">
      <w:pPr>
        <w:pStyle w:val="Normal3"/>
      </w:pPr>
      <w:r>
        <w:t xml:space="preserve">Ministarstvo provodi mjere poticajne politike u poljoprivredi i ribarstvu, te njihovu prilagodbu mjerilima Svjetske trgovinske organizacije, uređuje i koordinira sufinanciranje poljoprivrede, ribarstva i prerade poljoprivrednih proizvoda proračunskim sredstvima. </w:t>
      </w:r>
    </w:p>
    <w:p w:rsidR="00AC0832" w:rsidRDefault="00AC0832">
      <w:pPr>
        <w:pStyle w:val="Normal3"/>
      </w:pPr>
      <w:r>
        <w:t xml:space="preserve">Ministarstvo obavlja upravne i druge poslove koji se odnose na zdravstvenu ispravnost, higijenu i kakvoću hrane, hrane za životinje i organizaciju službenih kontrola. </w:t>
      </w:r>
    </w:p>
    <w:p w:rsidR="00AC0832" w:rsidRDefault="00AC0832">
      <w:pPr>
        <w:pStyle w:val="Normal3"/>
      </w:pPr>
      <w:r>
        <w:t xml:space="preserve">Ministarstvo provodi mjere radi otkrivanja i sprječavanja pojava zaraznih bolesti životinja, zaštitu životinja i veterinarske lijekove, propisuje uvjete i kontrolu životinja i proizvoda životinjskog podrijetla u proizvodnji i prometu. </w:t>
      </w:r>
    </w:p>
    <w:p w:rsidR="00AC0832" w:rsidRDefault="00AC0832">
      <w:pPr>
        <w:pStyle w:val="Normal3"/>
      </w:pPr>
      <w:r>
        <w:t xml:space="preserve">Ministarstvo obavlja poslove fitosanitarne i granične veterinarske inspekcije, inspekcijske poslove u poljoprivredi, ribarstvu, veterinarstvu te, u skladu s posebnim propisom, o hrani inspekcijske poslove koji se odnose na zdravstvenu ispravnosti i higijenu hrane i hrane za životinje te kakvoću primarnih poljoprivrednih proizvoda, hrane i hrane za životinje. </w:t>
      </w:r>
    </w:p>
    <w:p w:rsidR="00AC0832" w:rsidRDefault="00AC0832">
      <w:pPr>
        <w:pStyle w:val="Normal3"/>
      </w:pPr>
      <w:r>
        <w:t xml:space="preserve">Ministarstvo koordinira i usklađuje hrvatsku poljoprivrednu politiku i politiku ruralnog razvoja s odgovarajućim politikama Europske unije u dijelu koji se odnosi na poljoprivredu, prehranu, ruralni razvoj i ribarstvo, provodi projekte iz fondova i programa EU i ostalih oblika međunarodne pomoći. </w:t>
      </w:r>
    </w:p>
    <w:p w:rsidR="00AC0832" w:rsidRDefault="00AC0832">
      <w:pPr>
        <w:pStyle w:val="Normal3"/>
      </w:pPr>
      <w:r>
        <w:t xml:space="preserve">Ministarstvo obavlja poslove koji se odnose na sudjelovanje Republike Hrvatske u radu tijela Europske unije u područjima iz njegove nadležnosti. </w:t>
      </w:r>
    </w:p>
    <w:p w:rsidR="00AC0832" w:rsidRDefault="00AC0832">
      <w:pPr>
        <w:pStyle w:val="Normal3"/>
      </w:pPr>
      <w:r>
        <w:t>Ministarstvo obavlja i druge poslove koji su mu stavljeni u nadležnost posebnim propisima.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06005-Ministarstvo poljoprivrede</w:t>
            </w:r>
          </w:p>
        </w:tc>
        <w:tc>
          <w:tcPr>
            <w:tcW w:w="2322" w:type="dxa"/>
          </w:tcPr>
          <w:p w:rsidR="00AC0832" w:rsidRDefault="00AC0832">
            <w:pPr>
              <w:pStyle w:val="CellColumn"/>
            </w:pPr>
            <w:r>
              <w:t>4.539.922.882</w:t>
            </w:r>
          </w:p>
        </w:tc>
        <w:tc>
          <w:tcPr>
            <w:tcW w:w="2322" w:type="dxa"/>
          </w:tcPr>
          <w:p w:rsidR="00AC0832" w:rsidRDefault="00AC0832">
            <w:pPr>
              <w:pStyle w:val="CellColumn"/>
            </w:pPr>
            <w:r>
              <w:t>4.302.575.986</w:t>
            </w:r>
          </w:p>
        </w:tc>
        <w:tc>
          <w:tcPr>
            <w:tcW w:w="2322" w:type="dxa"/>
          </w:tcPr>
          <w:p w:rsidR="00AC0832" w:rsidRDefault="00AC0832">
            <w:pPr>
              <w:pStyle w:val="CellColumn"/>
            </w:pPr>
            <w:r>
              <w:t>94,8</w:t>
            </w:r>
          </w:p>
        </w:tc>
      </w:tr>
      <w:tr w:rsidR="00AC0832" w:rsidTr="00BE20ED">
        <w:trPr>
          <w:jc w:val="center"/>
        </w:trPr>
        <w:tc>
          <w:tcPr>
            <w:tcW w:w="2322" w:type="dxa"/>
          </w:tcPr>
          <w:p w:rsidR="00AC0832" w:rsidRDefault="00AC0832">
            <w:pPr>
              <w:pStyle w:val="CellColumnSmall"/>
            </w:pPr>
            <w:r>
              <w:t>3001-UPRAVLJANJE POLJOPRIVREDOM, RIBARSTVOM I RURALNIM RAZVOJEM</w:t>
            </w:r>
          </w:p>
        </w:tc>
        <w:tc>
          <w:tcPr>
            <w:tcW w:w="2322" w:type="dxa"/>
          </w:tcPr>
          <w:p w:rsidR="00AC0832" w:rsidRDefault="00AC0832">
            <w:pPr>
              <w:pStyle w:val="CellColumnSmall"/>
            </w:pPr>
            <w:r>
              <w:t>345.743.789</w:t>
            </w:r>
          </w:p>
        </w:tc>
        <w:tc>
          <w:tcPr>
            <w:tcW w:w="2322" w:type="dxa"/>
          </w:tcPr>
          <w:p w:rsidR="00AC0832" w:rsidRDefault="00AC0832">
            <w:pPr>
              <w:pStyle w:val="CellColumnSmall"/>
            </w:pPr>
            <w:r>
              <w:t>307.262.532</w:t>
            </w:r>
          </w:p>
        </w:tc>
        <w:tc>
          <w:tcPr>
            <w:tcW w:w="2322" w:type="dxa"/>
          </w:tcPr>
          <w:p w:rsidR="00AC0832" w:rsidRDefault="00AC0832">
            <w:pPr>
              <w:pStyle w:val="CellColumnSmall"/>
            </w:pPr>
            <w:r>
              <w:t>88,9</w:t>
            </w:r>
          </w:p>
        </w:tc>
      </w:tr>
      <w:tr w:rsidR="00AC0832" w:rsidTr="00BE20ED">
        <w:trPr>
          <w:jc w:val="center"/>
        </w:trPr>
        <w:tc>
          <w:tcPr>
            <w:tcW w:w="2322" w:type="dxa"/>
          </w:tcPr>
          <w:p w:rsidR="00AC0832" w:rsidRDefault="00AC0832">
            <w:pPr>
              <w:pStyle w:val="CellColumnSmall"/>
            </w:pPr>
            <w:r>
              <w:t>3002-POLJOPRIVREDA</w:t>
            </w:r>
          </w:p>
        </w:tc>
        <w:tc>
          <w:tcPr>
            <w:tcW w:w="2322" w:type="dxa"/>
          </w:tcPr>
          <w:p w:rsidR="00AC0832" w:rsidRDefault="00AC0832">
            <w:pPr>
              <w:pStyle w:val="CellColumnSmall"/>
            </w:pPr>
            <w:r>
              <w:t>2.562.265.199</w:t>
            </w:r>
          </w:p>
        </w:tc>
        <w:tc>
          <w:tcPr>
            <w:tcW w:w="2322" w:type="dxa"/>
          </w:tcPr>
          <w:p w:rsidR="00AC0832" w:rsidRDefault="00AC0832">
            <w:pPr>
              <w:pStyle w:val="CellColumnSmall"/>
            </w:pPr>
            <w:r>
              <w:t>2.561.659.147</w:t>
            </w:r>
          </w:p>
        </w:tc>
        <w:tc>
          <w:tcPr>
            <w:tcW w:w="2322" w:type="dxa"/>
          </w:tcPr>
          <w:p w:rsidR="00AC0832" w:rsidRDefault="00AC0832">
            <w:pPr>
              <w:pStyle w:val="CellColumnSmall"/>
            </w:pPr>
            <w:r>
              <w:t>100,0</w:t>
            </w:r>
          </w:p>
        </w:tc>
      </w:tr>
      <w:tr w:rsidR="00AC0832" w:rsidTr="00BE20ED">
        <w:trPr>
          <w:jc w:val="center"/>
        </w:trPr>
        <w:tc>
          <w:tcPr>
            <w:tcW w:w="2322" w:type="dxa"/>
          </w:tcPr>
          <w:p w:rsidR="00AC0832" w:rsidRDefault="00AC0832">
            <w:pPr>
              <w:pStyle w:val="CellColumnSmall"/>
            </w:pPr>
            <w:r>
              <w:t>3003-VETERINARSTVO I SIGURNOST HRANE</w:t>
            </w:r>
          </w:p>
        </w:tc>
        <w:tc>
          <w:tcPr>
            <w:tcW w:w="2322" w:type="dxa"/>
          </w:tcPr>
          <w:p w:rsidR="00AC0832" w:rsidRDefault="00AC0832">
            <w:pPr>
              <w:pStyle w:val="CellColumnSmall"/>
            </w:pPr>
            <w:r>
              <w:t>350.338.748</w:t>
            </w:r>
          </w:p>
        </w:tc>
        <w:tc>
          <w:tcPr>
            <w:tcW w:w="2322" w:type="dxa"/>
          </w:tcPr>
          <w:p w:rsidR="00AC0832" w:rsidRDefault="00AC0832">
            <w:pPr>
              <w:pStyle w:val="CellColumnSmall"/>
            </w:pPr>
            <w:r>
              <w:t>328.263.795</w:t>
            </w:r>
          </w:p>
        </w:tc>
        <w:tc>
          <w:tcPr>
            <w:tcW w:w="2322" w:type="dxa"/>
          </w:tcPr>
          <w:p w:rsidR="00AC0832" w:rsidRDefault="00AC0832">
            <w:pPr>
              <w:pStyle w:val="CellColumnSmall"/>
            </w:pPr>
            <w:r>
              <w:t>93,7</w:t>
            </w:r>
          </w:p>
        </w:tc>
      </w:tr>
      <w:tr w:rsidR="00AC0832" w:rsidTr="00BE20ED">
        <w:trPr>
          <w:jc w:val="center"/>
        </w:trPr>
        <w:tc>
          <w:tcPr>
            <w:tcW w:w="2322" w:type="dxa"/>
          </w:tcPr>
          <w:p w:rsidR="00AC0832" w:rsidRDefault="00AC0832">
            <w:pPr>
              <w:pStyle w:val="CellColumnSmall"/>
            </w:pPr>
            <w:r>
              <w:t>3004-RURALNI RAZVOJ</w:t>
            </w:r>
          </w:p>
        </w:tc>
        <w:tc>
          <w:tcPr>
            <w:tcW w:w="2322" w:type="dxa"/>
          </w:tcPr>
          <w:p w:rsidR="00AC0832" w:rsidRDefault="00AC0832">
            <w:pPr>
              <w:pStyle w:val="CellColumnSmall"/>
            </w:pPr>
            <w:r>
              <w:t>522.870.557</w:t>
            </w:r>
          </w:p>
        </w:tc>
        <w:tc>
          <w:tcPr>
            <w:tcW w:w="2322" w:type="dxa"/>
          </w:tcPr>
          <w:p w:rsidR="00AC0832" w:rsidRDefault="00AC0832">
            <w:pPr>
              <w:pStyle w:val="CellColumnSmall"/>
            </w:pPr>
            <w:r>
              <w:t>481.026.411</w:t>
            </w:r>
          </w:p>
        </w:tc>
        <w:tc>
          <w:tcPr>
            <w:tcW w:w="2322" w:type="dxa"/>
          </w:tcPr>
          <w:p w:rsidR="00AC0832" w:rsidRDefault="00AC0832">
            <w:pPr>
              <w:pStyle w:val="CellColumnSmall"/>
            </w:pPr>
            <w:r>
              <w:t>92,0</w:t>
            </w:r>
          </w:p>
        </w:tc>
      </w:tr>
      <w:tr w:rsidR="00AC0832" w:rsidTr="00BE20ED">
        <w:trPr>
          <w:jc w:val="center"/>
        </w:trPr>
        <w:tc>
          <w:tcPr>
            <w:tcW w:w="2322" w:type="dxa"/>
          </w:tcPr>
          <w:p w:rsidR="00AC0832" w:rsidRDefault="00AC0832">
            <w:pPr>
              <w:pStyle w:val="CellColumnSmall"/>
            </w:pPr>
            <w:r>
              <w:t>3005-RIBARSTVO</w:t>
            </w:r>
          </w:p>
        </w:tc>
        <w:tc>
          <w:tcPr>
            <w:tcW w:w="2322" w:type="dxa"/>
          </w:tcPr>
          <w:p w:rsidR="00AC0832" w:rsidRDefault="00AC0832">
            <w:pPr>
              <w:pStyle w:val="CellColumnSmall"/>
            </w:pPr>
            <w:r>
              <w:t>79.996.917</w:t>
            </w:r>
          </w:p>
        </w:tc>
        <w:tc>
          <w:tcPr>
            <w:tcW w:w="2322" w:type="dxa"/>
          </w:tcPr>
          <w:p w:rsidR="00AC0832" w:rsidRDefault="00AC0832">
            <w:pPr>
              <w:pStyle w:val="CellColumnSmall"/>
            </w:pPr>
            <w:r>
              <w:t>65.113.009</w:t>
            </w:r>
          </w:p>
        </w:tc>
        <w:tc>
          <w:tcPr>
            <w:tcW w:w="2322" w:type="dxa"/>
          </w:tcPr>
          <w:p w:rsidR="00AC0832" w:rsidRDefault="00AC0832">
            <w:pPr>
              <w:pStyle w:val="CellColumnSmall"/>
            </w:pPr>
            <w:r>
              <w:t>81,4</w:t>
            </w:r>
          </w:p>
        </w:tc>
      </w:tr>
      <w:tr w:rsidR="00AC0832" w:rsidTr="00BE20ED">
        <w:trPr>
          <w:jc w:val="center"/>
        </w:trPr>
        <w:tc>
          <w:tcPr>
            <w:tcW w:w="2322" w:type="dxa"/>
          </w:tcPr>
          <w:p w:rsidR="00AC0832" w:rsidRDefault="00AC0832">
            <w:pPr>
              <w:pStyle w:val="CellColumnSmall"/>
            </w:pPr>
            <w:r>
              <w:t>3006-GOSPODARENJE I ZAŠTITA ŠUMSKIH RESURSA, LOVIŠTA I DIVLJAČI</w:t>
            </w:r>
          </w:p>
        </w:tc>
        <w:tc>
          <w:tcPr>
            <w:tcW w:w="2322" w:type="dxa"/>
          </w:tcPr>
          <w:p w:rsidR="00AC0832" w:rsidRDefault="00AC0832">
            <w:pPr>
              <w:pStyle w:val="CellColumnSmall"/>
            </w:pPr>
            <w:r>
              <w:t>7.400.000</w:t>
            </w:r>
          </w:p>
        </w:tc>
        <w:tc>
          <w:tcPr>
            <w:tcW w:w="2322" w:type="dxa"/>
          </w:tcPr>
          <w:p w:rsidR="00AC0832" w:rsidRDefault="00AC0832">
            <w:pPr>
              <w:pStyle w:val="CellColumnSmall"/>
            </w:pPr>
            <w:r>
              <w:t>4.052.619</w:t>
            </w:r>
          </w:p>
        </w:tc>
        <w:tc>
          <w:tcPr>
            <w:tcW w:w="2322" w:type="dxa"/>
          </w:tcPr>
          <w:p w:rsidR="00AC0832" w:rsidRDefault="00AC0832">
            <w:pPr>
              <w:pStyle w:val="CellColumnSmall"/>
            </w:pPr>
            <w:r>
              <w:t>54,8</w:t>
            </w:r>
          </w:p>
        </w:tc>
      </w:tr>
      <w:tr w:rsidR="00AC0832" w:rsidTr="00BE20ED">
        <w:trPr>
          <w:jc w:val="center"/>
        </w:trPr>
        <w:tc>
          <w:tcPr>
            <w:tcW w:w="2322" w:type="dxa"/>
          </w:tcPr>
          <w:p w:rsidR="00AC0832" w:rsidRDefault="00AC0832">
            <w:pPr>
              <w:pStyle w:val="CellColumnSmall"/>
            </w:pPr>
            <w:r>
              <w:t>3007-SUSTAV NAVODNJAVANJA I ZAŠTITE OD ŠTETNOG DJELOVANJA VODA</w:t>
            </w:r>
          </w:p>
        </w:tc>
        <w:tc>
          <w:tcPr>
            <w:tcW w:w="2322" w:type="dxa"/>
          </w:tcPr>
          <w:p w:rsidR="00AC0832" w:rsidRDefault="00AC0832">
            <w:pPr>
              <w:pStyle w:val="CellColumnSmall"/>
            </w:pPr>
            <w:r>
              <w:t>37.919.627</w:t>
            </w:r>
          </w:p>
        </w:tc>
        <w:tc>
          <w:tcPr>
            <w:tcW w:w="2322" w:type="dxa"/>
          </w:tcPr>
          <w:p w:rsidR="00AC0832" w:rsidRDefault="00AC0832">
            <w:pPr>
              <w:pStyle w:val="CellColumnSmall"/>
            </w:pPr>
            <w:r>
              <w:t>37.452.573</w:t>
            </w:r>
          </w:p>
        </w:tc>
        <w:tc>
          <w:tcPr>
            <w:tcW w:w="2322" w:type="dxa"/>
          </w:tcPr>
          <w:p w:rsidR="00AC0832" w:rsidRDefault="00AC0832">
            <w:pPr>
              <w:pStyle w:val="CellColumnSmall"/>
            </w:pPr>
            <w:r>
              <w:t>98,8</w:t>
            </w:r>
          </w:p>
        </w:tc>
      </w:tr>
      <w:tr w:rsidR="00AC0832" w:rsidTr="00BE20ED">
        <w:trPr>
          <w:jc w:val="center"/>
        </w:trPr>
        <w:tc>
          <w:tcPr>
            <w:tcW w:w="2322" w:type="dxa"/>
          </w:tcPr>
          <w:p w:rsidR="00AC0832" w:rsidRDefault="00AC0832">
            <w:pPr>
              <w:pStyle w:val="CellColumnSmall"/>
            </w:pPr>
            <w:r>
              <w:t>3207-POTICANJE RAZVOJA INDUSTRIJSKE PRERADE DRVA</w:t>
            </w:r>
          </w:p>
        </w:tc>
        <w:tc>
          <w:tcPr>
            <w:tcW w:w="2322" w:type="dxa"/>
          </w:tcPr>
          <w:p w:rsidR="00AC0832" w:rsidRDefault="00AC0832">
            <w:pPr>
              <w:pStyle w:val="CellColumnSmall"/>
            </w:pPr>
            <w:r>
              <w:t>62.175.000</w:t>
            </w:r>
          </w:p>
        </w:tc>
        <w:tc>
          <w:tcPr>
            <w:tcW w:w="2322" w:type="dxa"/>
          </w:tcPr>
          <w:p w:rsidR="00AC0832" w:rsidRDefault="00AC0832">
            <w:pPr>
              <w:pStyle w:val="CellColumnSmall"/>
            </w:pPr>
            <w:r>
              <w:t>60.244.095</w:t>
            </w:r>
          </w:p>
        </w:tc>
        <w:tc>
          <w:tcPr>
            <w:tcW w:w="2322" w:type="dxa"/>
          </w:tcPr>
          <w:p w:rsidR="00AC0832" w:rsidRDefault="00AC0832">
            <w:pPr>
              <w:pStyle w:val="CellColumnSmall"/>
            </w:pPr>
            <w:r>
              <w:t>96,9</w:t>
            </w:r>
          </w:p>
        </w:tc>
      </w:tr>
      <w:tr w:rsidR="00AC0832" w:rsidTr="00BE20ED">
        <w:trPr>
          <w:jc w:val="center"/>
        </w:trPr>
        <w:tc>
          <w:tcPr>
            <w:tcW w:w="2322" w:type="dxa"/>
          </w:tcPr>
          <w:p w:rsidR="00AC0832" w:rsidRDefault="00AC0832">
            <w:pPr>
              <w:pStyle w:val="CellColumnSmall"/>
            </w:pPr>
            <w:r>
              <w:t>3406-RAZVOJ SUSTAVA JAVNE ODVODNJE I ZAŠTITE VODA I MORA</w:t>
            </w:r>
          </w:p>
        </w:tc>
        <w:tc>
          <w:tcPr>
            <w:tcW w:w="2322" w:type="dxa"/>
          </w:tcPr>
          <w:p w:rsidR="00AC0832" w:rsidRDefault="00AC0832">
            <w:pPr>
              <w:pStyle w:val="CellColumnSmall"/>
            </w:pPr>
            <w:r>
              <w:t>542.925.688</w:t>
            </w:r>
          </w:p>
        </w:tc>
        <w:tc>
          <w:tcPr>
            <w:tcW w:w="2322" w:type="dxa"/>
          </w:tcPr>
          <w:p w:rsidR="00AC0832" w:rsidRDefault="00AC0832">
            <w:pPr>
              <w:pStyle w:val="CellColumnSmall"/>
            </w:pPr>
            <w:r>
              <w:t>434.858.945</w:t>
            </w:r>
          </w:p>
        </w:tc>
        <w:tc>
          <w:tcPr>
            <w:tcW w:w="2322" w:type="dxa"/>
          </w:tcPr>
          <w:p w:rsidR="00AC0832" w:rsidRDefault="00AC0832">
            <w:pPr>
              <w:pStyle w:val="CellColumnSmall"/>
            </w:pPr>
            <w:r>
              <w:t>80,1</w:t>
            </w:r>
          </w:p>
        </w:tc>
      </w:tr>
      <w:tr w:rsidR="00AC0832" w:rsidTr="00BE20ED">
        <w:trPr>
          <w:jc w:val="center"/>
        </w:trPr>
        <w:tc>
          <w:tcPr>
            <w:tcW w:w="2322" w:type="dxa"/>
          </w:tcPr>
          <w:p w:rsidR="00AC0832" w:rsidRDefault="00AC0832">
            <w:pPr>
              <w:pStyle w:val="CellColumnSmall"/>
            </w:pPr>
            <w:r>
              <w:t>3508-RAZVOJ I UPRAVLJANJE VODOOPSKRBNIM SUSTAVOM</w:t>
            </w:r>
          </w:p>
        </w:tc>
        <w:tc>
          <w:tcPr>
            <w:tcW w:w="2322" w:type="dxa"/>
          </w:tcPr>
          <w:p w:rsidR="00AC0832" w:rsidRDefault="00AC0832">
            <w:pPr>
              <w:pStyle w:val="CellColumnSmall"/>
            </w:pPr>
            <w:r>
              <w:t>28.287.357</w:t>
            </w:r>
          </w:p>
        </w:tc>
        <w:tc>
          <w:tcPr>
            <w:tcW w:w="2322" w:type="dxa"/>
          </w:tcPr>
          <w:p w:rsidR="00AC0832" w:rsidRDefault="00AC0832">
            <w:pPr>
              <w:pStyle w:val="CellColumnSmall"/>
            </w:pPr>
            <w:r>
              <w:t>22.642.860</w:t>
            </w:r>
          </w:p>
        </w:tc>
        <w:tc>
          <w:tcPr>
            <w:tcW w:w="2322" w:type="dxa"/>
          </w:tcPr>
          <w:p w:rsidR="00AC0832" w:rsidRDefault="00AC0832">
            <w:pPr>
              <w:pStyle w:val="CellColumnSmall"/>
            </w:pPr>
            <w:r>
              <w:t>80,0</w:t>
            </w:r>
          </w:p>
        </w:tc>
      </w:tr>
    </w:tbl>
    <w:p w:rsidR="00AC0832" w:rsidRDefault="00AC0832">
      <w:pPr>
        <w:jc w:val="left"/>
      </w:pPr>
    </w:p>
    <w:p w:rsidR="00AC0832" w:rsidRDefault="00AC0832">
      <w:pPr>
        <w:pStyle w:val="Heading4"/>
      </w:pPr>
      <w:r>
        <w:t>OBRAZLOŽENJE PROGRAMA</w:t>
      </w:r>
    </w:p>
    <w:p w:rsidR="00AC0832" w:rsidRDefault="00AC0832">
      <w:pPr>
        <w:pStyle w:val="Heading5"/>
      </w:pPr>
      <w:r>
        <w:t>3001 UPRAVLJANJE POLJOPRIVREDOM, RIBARSTVOM I RURALNIM RAZVOJEM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3001-UPRAVLJANJE POLJOPRIVREDOM, RIBARSTVOM I RURALNIM RAZVOJEM</w:t>
            </w:r>
          </w:p>
        </w:tc>
        <w:tc>
          <w:tcPr>
            <w:tcW w:w="2322" w:type="dxa"/>
          </w:tcPr>
          <w:p w:rsidR="00AC0832" w:rsidRDefault="00AC0832">
            <w:pPr>
              <w:pStyle w:val="CellColumn"/>
            </w:pPr>
            <w:r>
              <w:t>345.743.789</w:t>
            </w:r>
          </w:p>
        </w:tc>
        <w:tc>
          <w:tcPr>
            <w:tcW w:w="2322" w:type="dxa"/>
          </w:tcPr>
          <w:p w:rsidR="00AC0832" w:rsidRDefault="00AC0832">
            <w:pPr>
              <w:pStyle w:val="CellColumn"/>
            </w:pPr>
            <w:r>
              <w:t>307.262.532</w:t>
            </w:r>
          </w:p>
        </w:tc>
        <w:tc>
          <w:tcPr>
            <w:tcW w:w="2322" w:type="dxa"/>
          </w:tcPr>
          <w:p w:rsidR="00AC0832" w:rsidRDefault="00AC0832">
            <w:pPr>
              <w:pStyle w:val="CellColumn"/>
            </w:pPr>
            <w:r>
              <w:t>88,9</w:t>
            </w:r>
          </w:p>
        </w:tc>
      </w:tr>
    </w:tbl>
    <w:p w:rsidR="00AC0832" w:rsidRDefault="00AC0832">
      <w:pPr>
        <w:jc w:val="left"/>
      </w:pPr>
    </w:p>
    <w:p w:rsidR="00AC0832" w:rsidRDefault="00AC0832">
      <w:pPr>
        <w:pStyle w:val="Heading6"/>
      </w:pPr>
      <w:r>
        <w:t>Opis programa</w:t>
      </w:r>
    </w:p>
    <w:p w:rsidR="00AC0832" w:rsidRDefault="00AC0832">
      <w:pPr>
        <w:pStyle w:val="Normal5"/>
      </w:pPr>
      <w:r>
        <w:t xml:space="preserve">Za redovito poslovanje i obavljanje svih djelatnosti u ministarstvu kroz aktivnosti koje su obuhvaćene ovim programom financirat će se troškovi  ukupnih rashoda za zaposlene, korištenja usluga i dobara, nabave neproizvedene imovine i nabave proizvedene dugotrajne imovine. </w:t>
      </w:r>
    </w:p>
    <w:p w:rsidR="00AC0832" w:rsidRDefault="00AC0832">
      <w:pPr>
        <w:pStyle w:val="Normal5"/>
      </w:pPr>
      <w:r>
        <w:t xml:space="preserve">Realizacija programa doprinijeti će ostvarenju ciljeva utvrđenih Strategijom Vladinih programa za razdoblje 2012.-2014., i to posebnog cilja 8.1. Prilagodba sustava potpora poljoprivrednoj proizvodnji i ribarstvu sustavu EU, posebnog cilja 8.2. Poboljšanje tržišnih mehanizama za prodaju poljoprivredno – prehrambenih i ribarskih proizvoda, posebnog cilja 8.3. Zaštita zdravlja ljudi, životinja i bilja, te zaštita interesa potrošača i posebnog cilja 8.4. Poboljšanje uvjeta života na ruralnom prostoru. </w:t>
      </w:r>
    </w:p>
    <w:p w:rsidR="00AC0832" w:rsidRDefault="00AC0832">
      <w:pPr>
        <w:pStyle w:val="Normal5"/>
      </w:pPr>
      <w:r>
        <w:t>Nadalje će se provoditi projekti iz IPA-e koji se financiraju dijelom iz EU sredstava te dijelom putem nacionalnog sufinanciranja. U sklopu Zajma, a financirano s pozicije darovnice, kao potpora u provedbi Projekta usklađivanja poljoprivrednog zakonodavstva s pravnom stečevinom EU financirati će se edukacija udruga poljoprivrednika sa ciljem upoznavanja procesa pristupanja EU, procedurama i načinu poslovanja kad postanemo EU članica. Također se s pozicije darovnice financira Projekt kontrole onečišćenja u poljoprivredi, unutar kojega je uspostavljen Investicijski fond za smanjenje nitrata, početak demonstracijskih aktivnosti te edukacija poljoprivrednika u cilju širenja primjene dobre poljoprivredne prakse.</w:t>
      </w:r>
    </w:p>
    <w:p w:rsidR="00AC0832" w:rsidRDefault="00AC0832">
      <w:pPr>
        <w:pStyle w:val="Heading6"/>
      </w:pPr>
      <w:r>
        <w:t>Zakonske i druge pravne osnove</w:t>
      </w:r>
    </w:p>
    <w:p w:rsidR="00AC0832" w:rsidRDefault="00AC0832">
      <w:pPr>
        <w:pStyle w:val="Normal5"/>
      </w:pPr>
      <w:r>
        <w:t>Zakon o potvrđivanju Ugovora o zajmu 7360-HR za „Projekt pravnog i institucionalnog usklađivanja u području poljoprivrede s pravnom stečevinom EU“ (NN – Međunarodni ugovori 10/06), Ugovor o Nizozemskoj darovnici između Republike Hrvatske i Međunarodne banke za obnovu i razvoj za tehničku pomoć, kao potpora u provedbi Projekta usklađivanja poljoprivrednog zakonodavstva s pravnom stečevinom EU (Darovnica broj TF070378), (NN - Međunarodni ugovori br.8/06), Ugovor između Republike Hrvatske i Međunarodne banke za obnovu i razvoj o darovnici Zaklade globalnog fonda za okoliš za »Projekt kontrole onečišćenja u poljoprivredi« (Darovnica broj TF090845-HR), (NN - Međunarodni ugovori br.4/08).</w:t>
      </w:r>
    </w:p>
    <w:p w:rsidR="00AC0832" w:rsidRDefault="00AC0832">
      <w:pPr>
        <w:pStyle w:val="Heading7"/>
      </w:pPr>
      <w:r>
        <w:t>Cilj 1. Cilj je izraditi Operativni program za Europski ribarski fond te osposobiti djelatnike Uprave ribarstva, kao budućeg Upravljačkog tijela, za samostalno programiranje odnosno provođenje aktivnosti predviđenih Planom provedbe mjera koje proizlaze iz Operativnog programa.</w:t>
      </w:r>
    </w:p>
    <w:p w:rsidR="00AC0832" w:rsidRDefault="00AC0832">
      <w:pPr>
        <w:pStyle w:val="Heading8"/>
        <w:jc w:val="left"/>
      </w:pPr>
      <w:r>
        <w:t>Opis provedbe cilja programa</w:t>
      </w:r>
    </w:p>
    <w:p w:rsidR="00AC0832" w:rsidRDefault="00AC0832">
      <w:pPr>
        <w:pStyle w:val="Normal6"/>
      </w:pPr>
      <w:r>
        <w:t>Cilj je izraditi Operativni program za Europski ribarski fond te osposobiti djelatnike Uprave ribarstva, kao budućeg Upravljačkog tijela, za samostalno programiranje odnosno provođenje aktivnosti predviđenih Planom provedbe mjera koje proizlaze iz Operativnog programa.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2"/>
        <w:gridCol w:w="1362"/>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Uspostavljen funkcionalni sustav upravljanja i kontrole Operativnog programa</w:t>
            </w:r>
          </w:p>
        </w:tc>
        <w:tc>
          <w:tcPr>
            <w:tcW w:w="1300" w:type="dxa"/>
          </w:tcPr>
          <w:p w:rsidR="00AC0832" w:rsidRDefault="00AC0832">
            <w:pPr>
              <w:pStyle w:val="CellColumn"/>
            </w:pPr>
            <w:r>
              <w:t>Uspostavljen funkcionalni sustav upravljanja i kontrole Operativnog programa</w:t>
            </w:r>
          </w:p>
        </w:tc>
        <w:tc>
          <w:tcPr>
            <w:tcW w:w="1300" w:type="dxa"/>
          </w:tcPr>
          <w:p w:rsidR="00AC0832" w:rsidRDefault="00AC0832">
            <w:pPr>
              <w:pStyle w:val="CellColumn"/>
            </w:pPr>
            <w:r>
              <w:t>%</w:t>
            </w:r>
          </w:p>
        </w:tc>
        <w:tc>
          <w:tcPr>
            <w:tcW w:w="1300" w:type="dxa"/>
          </w:tcPr>
          <w:p w:rsidR="00AC0832" w:rsidRDefault="00AC0832">
            <w:pPr>
              <w:pStyle w:val="CellColumn"/>
            </w:pPr>
            <w:r>
              <w:t>7</w:t>
            </w:r>
          </w:p>
        </w:tc>
        <w:tc>
          <w:tcPr>
            <w:tcW w:w="1300" w:type="dxa"/>
          </w:tcPr>
          <w:p w:rsidR="00AC0832" w:rsidRDefault="00AC0832">
            <w:pPr>
              <w:pStyle w:val="CellColumn"/>
            </w:pPr>
            <w:r>
              <w:t>Strateški plan</w:t>
            </w:r>
          </w:p>
        </w:tc>
        <w:tc>
          <w:tcPr>
            <w:tcW w:w="1300" w:type="dxa"/>
          </w:tcPr>
          <w:p w:rsidR="00AC0832" w:rsidRDefault="00AC0832">
            <w:pPr>
              <w:pStyle w:val="CellColumn"/>
            </w:pPr>
            <w:r>
              <w:t>10</w:t>
            </w:r>
          </w:p>
        </w:tc>
        <w:tc>
          <w:tcPr>
            <w:tcW w:w="1300" w:type="dxa"/>
          </w:tcPr>
          <w:p w:rsidR="00AC0832" w:rsidRDefault="00AC0832">
            <w:pPr>
              <w:pStyle w:val="CellColumn"/>
            </w:pPr>
            <w:r>
              <w:t>10</w:t>
            </w:r>
          </w:p>
        </w:tc>
      </w:tr>
    </w:tbl>
    <w:p w:rsidR="00AC0832" w:rsidRDefault="00AC0832">
      <w:pPr>
        <w:jc w:val="left"/>
      </w:pPr>
    </w:p>
    <w:p w:rsidR="00AC0832" w:rsidRDefault="00AC0832">
      <w:pPr>
        <w:pStyle w:val="Heading7"/>
      </w:pPr>
      <w:r>
        <w:t>Cilj 2. Izgradnja i opremanje veterinarskih i fitosanitarnih graničnih inspekcijskih postaja</w:t>
      </w:r>
    </w:p>
    <w:p w:rsidR="00AC0832" w:rsidRDefault="00AC0832">
      <w:pPr>
        <w:pStyle w:val="Heading8"/>
        <w:jc w:val="left"/>
      </w:pPr>
      <w:r>
        <w:t>Opis provedbe cilja programa</w:t>
      </w:r>
    </w:p>
    <w:p w:rsidR="00AC0832" w:rsidRDefault="00AC0832">
      <w:pPr>
        <w:pStyle w:val="Normal6"/>
      </w:pPr>
      <w:r>
        <w:t>Kao buduća granica EU Republika Hrvatska mora uspostaviti učinkovit sustav veterinarskih, fitosanitarnih i sanitarnih graničnih kontrola proizvoda životinjskog porijekla, živih životinja, biljaka i biljnih proizvoda. Trenutno, granične veterinarske i fitosanitarne inspekcijske postaje ne zadovoljavaju minimalne EU zahtjeve (Commission Directive 98/22/EC i Commission Decision 2001/812/EC). Cilj je izgraditi i opremiti sedam dugoročnih graničnih inspekcijskih postaja (Zračna luka Zagreb, Bajakovo, Luka Rijeka, Stara Gradiška, Metković, Karasovići i Luka Ploče) koji ostaju u funkciji nakon ulaske Hrvatske u EU, u skladu s EU propisima.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08"/>
        <w:gridCol w:w="1800"/>
        <w:gridCol w:w="502"/>
        <w:gridCol w:w="1232"/>
        <w:gridCol w:w="1866"/>
        <w:gridCol w:w="728"/>
        <w:gridCol w:w="1252"/>
      </w:tblGrid>
      <w:tr w:rsidR="00AC0832" w:rsidTr="00DF0D8F">
        <w:trPr>
          <w:jc w:val="center"/>
        </w:trPr>
        <w:tc>
          <w:tcPr>
            <w:tcW w:w="1908" w:type="dxa"/>
            <w:shd w:val="clear" w:color="auto" w:fill="B5C0D8"/>
          </w:tcPr>
          <w:p w:rsidR="00AC0832" w:rsidRPr="00BE20ED" w:rsidRDefault="00AC0832">
            <w:pPr>
              <w:rPr>
                <w:sz w:val="20"/>
                <w:lang w:eastAsia="hr-HR"/>
              </w:rPr>
            </w:pPr>
            <w:r w:rsidRPr="00BE20ED">
              <w:rPr>
                <w:sz w:val="20"/>
                <w:lang w:eastAsia="hr-HR"/>
              </w:rPr>
              <w:t>Pokazatelj učinka</w:t>
            </w:r>
          </w:p>
        </w:tc>
        <w:tc>
          <w:tcPr>
            <w:tcW w:w="1800" w:type="dxa"/>
            <w:shd w:val="clear" w:color="auto" w:fill="B5C0D8"/>
          </w:tcPr>
          <w:p w:rsidR="00AC0832" w:rsidRDefault="00AC0832">
            <w:pPr>
              <w:pStyle w:val="CellHeader"/>
            </w:pPr>
            <w:r>
              <w:t>Definicija</w:t>
            </w:r>
          </w:p>
        </w:tc>
        <w:tc>
          <w:tcPr>
            <w:tcW w:w="502" w:type="dxa"/>
            <w:shd w:val="clear" w:color="auto" w:fill="B5C0D8"/>
          </w:tcPr>
          <w:p w:rsidR="00AC0832" w:rsidRDefault="00AC0832">
            <w:pPr>
              <w:pStyle w:val="CellHeader"/>
            </w:pPr>
            <w:r>
              <w:t>Jedinica</w:t>
            </w:r>
          </w:p>
        </w:tc>
        <w:tc>
          <w:tcPr>
            <w:tcW w:w="1232" w:type="dxa"/>
            <w:shd w:val="clear" w:color="auto" w:fill="B5C0D8"/>
          </w:tcPr>
          <w:p w:rsidR="00AC0832" w:rsidRDefault="00AC0832">
            <w:pPr>
              <w:pStyle w:val="CellHeader"/>
            </w:pPr>
            <w:r>
              <w:t>Polazna vrijednost</w:t>
            </w:r>
          </w:p>
        </w:tc>
        <w:tc>
          <w:tcPr>
            <w:tcW w:w="1866" w:type="dxa"/>
            <w:shd w:val="clear" w:color="auto" w:fill="B5C0D8"/>
          </w:tcPr>
          <w:p w:rsidR="00AC0832" w:rsidRDefault="00AC0832">
            <w:pPr>
              <w:pStyle w:val="CellHeader"/>
            </w:pPr>
            <w:r>
              <w:t>Izvor podataka</w:t>
            </w:r>
          </w:p>
        </w:tc>
        <w:tc>
          <w:tcPr>
            <w:tcW w:w="728" w:type="dxa"/>
            <w:shd w:val="clear" w:color="auto" w:fill="B5C0D8"/>
          </w:tcPr>
          <w:p w:rsidR="00AC0832" w:rsidRDefault="00AC0832">
            <w:pPr>
              <w:pStyle w:val="CellHeader"/>
            </w:pPr>
            <w:r>
              <w:t>Ciljana vrijednost (2012.)</w:t>
            </w:r>
          </w:p>
        </w:tc>
        <w:tc>
          <w:tcPr>
            <w:tcW w:w="1252" w:type="dxa"/>
            <w:shd w:val="clear" w:color="auto" w:fill="B5C0D8"/>
          </w:tcPr>
          <w:p w:rsidR="00AC0832" w:rsidRDefault="00AC0832">
            <w:pPr>
              <w:pStyle w:val="CellHeader"/>
            </w:pPr>
            <w:r>
              <w:t>Ostvarena vrijednost (2012.)</w:t>
            </w:r>
          </w:p>
        </w:tc>
      </w:tr>
      <w:tr w:rsidR="00AC0832" w:rsidTr="00DF0D8F">
        <w:trPr>
          <w:jc w:val="center"/>
        </w:trPr>
        <w:tc>
          <w:tcPr>
            <w:tcW w:w="1908" w:type="dxa"/>
          </w:tcPr>
          <w:p w:rsidR="00AC0832" w:rsidRDefault="00AC0832">
            <w:pPr>
              <w:pStyle w:val="CellColumn"/>
            </w:pPr>
            <w:r>
              <w:t>Granični prijelazi usklađeni sa EU standardima</w:t>
            </w:r>
          </w:p>
        </w:tc>
        <w:tc>
          <w:tcPr>
            <w:tcW w:w="1800" w:type="dxa"/>
          </w:tcPr>
          <w:p w:rsidR="00AC0832" w:rsidRDefault="00AC0832">
            <w:pPr>
              <w:pStyle w:val="CellColumn"/>
            </w:pPr>
            <w:r>
              <w:t>Granični prijelazi usklađeni sa EU standardima</w:t>
            </w:r>
          </w:p>
        </w:tc>
        <w:tc>
          <w:tcPr>
            <w:tcW w:w="502" w:type="dxa"/>
          </w:tcPr>
          <w:p w:rsidR="00AC0832" w:rsidRDefault="00AC0832">
            <w:pPr>
              <w:pStyle w:val="CellColumn"/>
            </w:pPr>
            <w:r>
              <w:t>1</w:t>
            </w:r>
          </w:p>
        </w:tc>
        <w:tc>
          <w:tcPr>
            <w:tcW w:w="1232" w:type="dxa"/>
          </w:tcPr>
          <w:p w:rsidR="00AC0832" w:rsidRDefault="00AC0832">
            <w:pPr>
              <w:pStyle w:val="CellColumn"/>
            </w:pPr>
            <w:r>
              <w:t>0</w:t>
            </w:r>
          </w:p>
        </w:tc>
        <w:tc>
          <w:tcPr>
            <w:tcW w:w="1866" w:type="dxa"/>
          </w:tcPr>
          <w:p w:rsidR="00AC0832" w:rsidRDefault="00AC0832">
            <w:pPr>
              <w:pStyle w:val="CellColumn"/>
            </w:pPr>
            <w:r>
              <w:t>Strateški plan Ministarstva poljoprivrede 2012. - 2014.</w:t>
            </w:r>
          </w:p>
        </w:tc>
        <w:tc>
          <w:tcPr>
            <w:tcW w:w="728" w:type="dxa"/>
          </w:tcPr>
          <w:p w:rsidR="00AC0832" w:rsidRDefault="00AC0832">
            <w:pPr>
              <w:pStyle w:val="CellColumn"/>
            </w:pPr>
            <w:r>
              <w:t>7</w:t>
            </w:r>
          </w:p>
        </w:tc>
        <w:tc>
          <w:tcPr>
            <w:tcW w:w="1252" w:type="dxa"/>
          </w:tcPr>
          <w:p w:rsidR="00AC0832" w:rsidRDefault="00AC0832">
            <w:pPr>
              <w:pStyle w:val="CellColumn"/>
            </w:pPr>
            <w:r>
              <w:t>0</w:t>
            </w:r>
          </w:p>
        </w:tc>
      </w:tr>
    </w:tbl>
    <w:p w:rsidR="00AC0832" w:rsidRDefault="00AC0832">
      <w:pPr>
        <w:jc w:val="left"/>
      </w:pPr>
    </w:p>
    <w:p w:rsidR="00AC0832" w:rsidRDefault="00AC0832">
      <w:pPr>
        <w:pStyle w:val="Heading6"/>
      </w:pPr>
      <w:r>
        <w:t>A568000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A568000-ADMINISTRACIJA I UPRAVLJANJE</w:t>
            </w:r>
          </w:p>
        </w:tc>
        <w:tc>
          <w:tcPr>
            <w:tcW w:w="2322" w:type="dxa"/>
          </w:tcPr>
          <w:p w:rsidR="00AC0832" w:rsidRDefault="00AC0832">
            <w:pPr>
              <w:pStyle w:val="CellColumn"/>
            </w:pPr>
            <w:r>
              <w:t>206.255.229</w:t>
            </w:r>
          </w:p>
        </w:tc>
        <w:tc>
          <w:tcPr>
            <w:tcW w:w="2322" w:type="dxa"/>
          </w:tcPr>
          <w:p w:rsidR="00AC0832" w:rsidRDefault="00AC0832">
            <w:pPr>
              <w:pStyle w:val="CellColumn"/>
            </w:pPr>
            <w:r>
              <w:t>192.722.697</w:t>
            </w:r>
          </w:p>
        </w:tc>
        <w:tc>
          <w:tcPr>
            <w:tcW w:w="2322" w:type="dxa"/>
          </w:tcPr>
          <w:p w:rsidR="00AC0832" w:rsidRDefault="00AC0832">
            <w:pPr>
              <w:pStyle w:val="CellColumn"/>
            </w:pPr>
            <w:r>
              <w:t>93,4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Ovaj program obuhvaća troškove korištenja usluga i dobara potrebnih za redovito poslovanje i obavljanje svih djelatnosti u Ministarstvu, a odnosi se na plaće, stručno usavršavanje službenika te ostali zajednički rashodi Ministarstva poljoprivrede.</w:t>
      </w:r>
    </w:p>
    <w:p w:rsidR="00AC0832" w:rsidRDefault="00AC0832">
      <w:pPr>
        <w:pStyle w:val="Heading6"/>
      </w:pPr>
      <w:r>
        <w:t>A568250 TROŠKOVI ANALIZE INSPEKCIJSKIH UZORAKA I GEODETSKE USLUGE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A568250-TROŠKOVI ANALIZE INSPEKCIJSKIH UZORAKA I GEODETSKE USLUGE</w:t>
            </w:r>
          </w:p>
        </w:tc>
        <w:tc>
          <w:tcPr>
            <w:tcW w:w="2322" w:type="dxa"/>
          </w:tcPr>
          <w:p w:rsidR="00AC0832" w:rsidRDefault="00AC0832">
            <w:pPr>
              <w:pStyle w:val="CellColumn"/>
            </w:pPr>
            <w:r>
              <w:t>500.000</w:t>
            </w:r>
          </w:p>
        </w:tc>
        <w:tc>
          <w:tcPr>
            <w:tcW w:w="2322" w:type="dxa"/>
          </w:tcPr>
          <w:p w:rsidR="00AC0832" w:rsidRDefault="00AC0832">
            <w:pPr>
              <w:pStyle w:val="CellColumn"/>
            </w:pPr>
            <w:r>
              <w:t>333.871</w:t>
            </w:r>
          </w:p>
        </w:tc>
        <w:tc>
          <w:tcPr>
            <w:tcW w:w="2322" w:type="dxa"/>
          </w:tcPr>
          <w:p w:rsidR="00AC0832" w:rsidRDefault="00AC0832">
            <w:pPr>
              <w:pStyle w:val="CellColumn"/>
            </w:pPr>
            <w:r>
              <w:t>66,8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Planirana sredstva odnose se na troškove analize inspekcijskih uzoraka i geodetske usluge inspekcija Uprave poljoprivrede i prehrambene industrije.  </w:t>
      </w:r>
    </w:p>
    <w:p w:rsidR="00AC0832" w:rsidRDefault="00AC0832">
      <w:pPr>
        <w:pStyle w:val="Normal6"/>
      </w:pPr>
      <w:r>
        <w:t>Sredstva su planirana racionalno, pri čemu se vodilo računa da budu dostatna za plaćanje analiza uzoraka koji predstavljaju reprezentativni broj obzirom na broj subjekata i količinu proizvoda koji podliježu  nadzoru ovih inspekcija.</w:t>
      </w:r>
    </w:p>
    <w:p w:rsidR="00AC0832" w:rsidRDefault="00AC0832">
      <w:pPr>
        <w:pStyle w:val="Heading6"/>
      </w:pPr>
    </w:p>
    <w:p w:rsidR="00AC0832" w:rsidRDefault="00AC0832">
      <w:pPr>
        <w:pStyle w:val="Heading6"/>
      </w:pPr>
      <w:r>
        <w:t>K401088 GEF DAROVNICA PROJEKT KONTROLE ONEČIŠĆENJA U POLJOPRIVREDI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K401088-GEF DAROVNICA PROJEKT KONTROLE ONEČIŠĆENJA U POLJOPRIVREDI</w:t>
            </w:r>
          </w:p>
        </w:tc>
        <w:tc>
          <w:tcPr>
            <w:tcW w:w="2322" w:type="dxa"/>
          </w:tcPr>
          <w:p w:rsidR="00AC0832" w:rsidRDefault="00AC0832">
            <w:pPr>
              <w:pStyle w:val="CellColumn"/>
            </w:pPr>
            <w:r>
              <w:t>11.222.000</w:t>
            </w:r>
          </w:p>
        </w:tc>
        <w:tc>
          <w:tcPr>
            <w:tcW w:w="2322" w:type="dxa"/>
          </w:tcPr>
          <w:p w:rsidR="00AC0832" w:rsidRDefault="00AC0832">
            <w:pPr>
              <w:pStyle w:val="CellColumn"/>
            </w:pPr>
            <w:r>
              <w:t>13.328.026</w:t>
            </w:r>
          </w:p>
        </w:tc>
        <w:tc>
          <w:tcPr>
            <w:tcW w:w="2322" w:type="dxa"/>
          </w:tcPr>
          <w:p w:rsidR="00AC0832" w:rsidRDefault="00AC0832">
            <w:pPr>
              <w:pStyle w:val="CellColumn"/>
            </w:pPr>
            <w:r>
              <w:t>118,8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 pozicije darovnice GEF-a za Projekt kontrole onečišćenja u poljoprivredi uspostavljen je Investicijski fond za smanjenje nitrata, početak demonstracijskih aktivnosti te edukacija poljoprivrednika u cilju širenja primjene Dobre poljoprivredne prakse. Za navedenu aktivnost bilo je predviđeno 11.222.000 kuna a utrošeno je 13.328.025 kuna. </w:t>
      </w:r>
    </w:p>
    <w:p w:rsidR="00AC0832" w:rsidRDefault="00AC0832">
      <w:pPr>
        <w:pStyle w:val="Normal6"/>
      </w:pPr>
      <w:r>
        <w:t xml:space="preserve"> U 2012. godini utrošeno je više sredstava od planiranog zbog kašnjenja radova u 2011.(izgradnja spremišta za stajnjak) te su isplate izvršene u 2012. godini. Uslijed promjena u tečaju USD, kao i nastalih ušteda, a sa ciljem što većeg iskorištenja sredstava darovnice u siječnju 2012. uz odobrenje Svjetske banke pokrenuta je dodatna, neplanirana, nabava opreme za manipulaciju stajnjakom za poljoprivrednike.</w:t>
      </w:r>
    </w:p>
    <w:p w:rsidR="00AC0832" w:rsidRDefault="00AC0832">
      <w:pPr>
        <w:pStyle w:val="Heading6"/>
      </w:pPr>
      <w:r>
        <w:t>K568254 USTROJAVANJE I OPREMANJE INSPEKCIJE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K568254-USTROJAVANJE I OPREMANJE INSPEKCIJE</w:t>
            </w:r>
          </w:p>
        </w:tc>
        <w:tc>
          <w:tcPr>
            <w:tcW w:w="2322" w:type="dxa"/>
          </w:tcPr>
          <w:p w:rsidR="00AC0832" w:rsidRDefault="00AC0832">
            <w:pPr>
              <w:pStyle w:val="CellColumn"/>
            </w:pPr>
            <w:r>
              <w:t>132.000</w:t>
            </w:r>
          </w:p>
        </w:tc>
        <w:tc>
          <w:tcPr>
            <w:tcW w:w="2322" w:type="dxa"/>
          </w:tcPr>
          <w:p w:rsidR="00AC0832" w:rsidRDefault="00AC0832">
            <w:pPr>
              <w:pStyle w:val="CellColumn"/>
            </w:pPr>
            <w:r>
              <w:t>61.061</w:t>
            </w:r>
          </w:p>
        </w:tc>
        <w:tc>
          <w:tcPr>
            <w:tcW w:w="2322" w:type="dxa"/>
          </w:tcPr>
          <w:p w:rsidR="00AC0832" w:rsidRDefault="00AC0832">
            <w:pPr>
              <w:pStyle w:val="CellColumn"/>
            </w:pPr>
            <w:r>
              <w:t>46,3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Planirana sredstva odnose se na nabavu računalne opreme, telefaks uređaja, fotokopirnih aparata, foto aparata, namještaja, telefonskih aparata, mobitela, skenera i drugih uređaja za potrebe rada inspekcija Uprave poljoprivrede i prehrambene industrije, Sektora inspekcija u poljoprivredi.  </w:t>
      </w:r>
    </w:p>
    <w:p w:rsidR="00AC0832" w:rsidRDefault="00AC0832" w:rsidP="00DF0D8F">
      <w:pPr>
        <w:pStyle w:val="Normal6"/>
      </w:pPr>
      <w:r>
        <w:t>Sredstva su planirana racionalno, pri čemu se vodilo računa da budu dostatna za plaćanje uredske opreme, namještaja i komunikacijske opreme.</w:t>
      </w:r>
    </w:p>
    <w:p w:rsidR="00AC0832" w:rsidRDefault="00AC0832">
      <w:pPr>
        <w:pStyle w:val="Heading6"/>
      </w:pPr>
      <w:r>
        <w:t>K568273 PROJEKT USKLAĐENJA POLJOPRIVREDE S PRAVNOM STEČEVINOM  EU (ZAJAM IBRD I UDIO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88"/>
        <w:gridCol w:w="1656"/>
        <w:gridCol w:w="2322"/>
        <w:gridCol w:w="2322"/>
      </w:tblGrid>
      <w:tr w:rsidR="00AC0832" w:rsidTr="00DF0D8F">
        <w:trPr>
          <w:jc w:val="center"/>
        </w:trPr>
        <w:tc>
          <w:tcPr>
            <w:tcW w:w="2988" w:type="dxa"/>
            <w:shd w:val="clear" w:color="auto" w:fill="B5C0D8"/>
          </w:tcPr>
          <w:p w:rsidR="00AC0832" w:rsidRDefault="00AC0832">
            <w:pPr>
              <w:pStyle w:val="CellHeader"/>
            </w:pPr>
            <w:r>
              <w:t>Naziv aktivnosti</w:t>
            </w:r>
          </w:p>
        </w:tc>
        <w:tc>
          <w:tcPr>
            <w:tcW w:w="1656"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DF0D8F">
        <w:trPr>
          <w:jc w:val="center"/>
        </w:trPr>
        <w:tc>
          <w:tcPr>
            <w:tcW w:w="2988" w:type="dxa"/>
          </w:tcPr>
          <w:p w:rsidR="00AC0832" w:rsidRDefault="00AC0832">
            <w:pPr>
              <w:pStyle w:val="CellColumn"/>
            </w:pPr>
            <w:r>
              <w:t>K568273-PROJEKT USKLAĐENJA POLJOPRIVREDE S PRAVNOM STEČEVINOM  EU (ZAJAM IBRD I UDIO RH)</w:t>
            </w:r>
          </w:p>
        </w:tc>
        <w:tc>
          <w:tcPr>
            <w:tcW w:w="1656" w:type="dxa"/>
          </w:tcPr>
          <w:p w:rsidR="00AC0832" w:rsidRDefault="00AC0832">
            <w:pPr>
              <w:pStyle w:val="CellColumn"/>
            </w:pPr>
            <w:r>
              <w:t>28.082.500</w:t>
            </w:r>
          </w:p>
        </w:tc>
        <w:tc>
          <w:tcPr>
            <w:tcW w:w="2322" w:type="dxa"/>
          </w:tcPr>
          <w:p w:rsidR="00AC0832" w:rsidRDefault="00AC0832">
            <w:pPr>
              <w:pStyle w:val="CellColumn"/>
            </w:pPr>
            <w:r>
              <w:t>24.501.654</w:t>
            </w:r>
          </w:p>
        </w:tc>
        <w:tc>
          <w:tcPr>
            <w:tcW w:w="2322" w:type="dxa"/>
          </w:tcPr>
          <w:p w:rsidR="00AC0832" w:rsidRDefault="00AC0832">
            <w:pPr>
              <w:pStyle w:val="CellColumn"/>
            </w:pPr>
            <w:r>
              <w:t>87,2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Projektom su u 2012. financirane slijedeće osnovne aktivnosti:  </w:t>
      </w:r>
    </w:p>
    <w:p w:rsidR="00AC0832" w:rsidRDefault="00AC0832">
      <w:pPr>
        <w:pStyle w:val="Normal6"/>
      </w:pPr>
      <w:r>
        <w:t xml:space="preserve">- ulaganje u građevinske radove za novu zgrade za potrebe Zavoda za zaštitu bilja i Zavoda za voćarstvo u Zagrebu. Vrijednost ugovora je 5,5 milijuna EUR. </w:t>
      </w:r>
    </w:p>
    <w:p w:rsidR="00AC0832" w:rsidRDefault="00AC0832">
      <w:pPr>
        <w:pStyle w:val="Normal6"/>
      </w:pPr>
      <w:r>
        <w:t xml:space="preserve">- nabava laboratorijskog i uredskog namještaja za potrebe Zavoda za zaštitu bilja u vrijednosti 0,3 milijuna EUR.   </w:t>
      </w:r>
    </w:p>
    <w:p w:rsidR="00AC0832" w:rsidRDefault="00AC0832">
      <w:pPr>
        <w:pStyle w:val="Normal6"/>
      </w:pPr>
      <w:r>
        <w:t>Do manjeg iskorištenja sredstava od planiranog je došlo zbog manje vrijednosti laboratorijskog i uredskog namještaja od inicijalno planiranog.</w:t>
      </w:r>
    </w:p>
    <w:p w:rsidR="00AC0832" w:rsidRDefault="00AC0832">
      <w:pPr>
        <w:pStyle w:val="Heading5"/>
      </w:pPr>
      <w:r>
        <w:t>3002 POLJOPRIVREDA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3002-POLJOPRIVREDA</w:t>
            </w:r>
          </w:p>
        </w:tc>
        <w:tc>
          <w:tcPr>
            <w:tcW w:w="2322" w:type="dxa"/>
          </w:tcPr>
          <w:p w:rsidR="00AC0832" w:rsidRDefault="00AC0832">
            <w:pPr>
              <w:pStyle w:val="CellColumn"/>
            </w:pPr>
            <w:r>
              <w:t>2.562.265.199</w:t>
            </w:r>
          </w:p>
        </w:tc>
        <w:tc>
          <w:tcPr>
            <w:tcW w:w="2322" w:type="dxa"/>
          </w:tcPr>
          <w:p w:rsidR="00AC0832" w:rsidRDefault="00AC0832">
            <w:pPr>
              <w:pStyle w:val="CellColumn"/>
            </w:pPr>
            <w:r>
              <w:t>2.561.659.147</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Programom su obuhvaćene aktivnosti u sklopu kojih će se u najvećoj mjeri financirati poticanje poljoprivredne proizvodnje putem izravnih plaćanja radi osiguranja stabilnosti dohotka proizvođača. Ovaj segment u ukupnom proračunu Ministarstva poljoprivrede financijski je najizdašniji i u tom aspektu najznačajniji. Uz aktivnosti za provedbu mjera stabilizacije tržišta poljoprivrednih proizvoda u slučaju mogućih poremećaja na tržištu (intervencija), ovim se aktivnostima omogućuje olakšano buduće integriranje RH u jedinstveno tržište EU gdje je obvezna primjena jedinstvene poljoprivredne politike, posebice na području tržišno-cjenovnih mjera, ali i mjera ruralnog razvoja. S obzirom da je jedan od glavnih ograničavajućih čimbenika povećanja konkurentnosti hrvatske poljoprivrede mala veličina i usitnjenost posjeda, u sklopu ovog programa su značajne aktivnosti na okrupnjavanju poljoprivrednih površina, programe vezane uz raspolaganje poljoprivrednim zemljištem u državnom te privatnom vlasništvu. </w:t>
      </w:r>
    </w:p>
    <w:p w:rsidR="00AC0832" w:rsidRDefault="00AC0832">
      <w:pPr>
        <w:pStyle w:val="Normal5"/>
      </w:pPr>
      <w:r>
        <w:t xml:space="preserve">Uslijed nepovoljne proizvodne strukture, aktivnosti su usmjerene na povećanje konkurentnosti domaće proizvodnje restrukturiranjem poljoprivredne proizvodnje i modernizacijom proizvodnih kapaciteta poljoprivrednih gospodarstava, posebice povećanjem proizvodnje proizvoda koji su deficitarni (voća, povrća, mesa). Stoga su ovim programom obuhvaćene aktivnosti na unaprjeđenju stanja u biljnoj i stočarskoj proizvodnji. U biljnoj proizvodnji navedeno se posebice odnosi na sektore voćarstva i povrćarstva, uz uspostavu sustava kontrole sukladnosti s tržišnim standardima i sustava potpora proizvođačkim grupama i proizvođačkim organizacijama. U stočarskoj proizvodnji naglasak je posebice na aktivnostima za unaprjeđenje tržišta mlijeka i mesa, daljnjem praćenju i unaprjeđenju uzgojnog rada, unaprjeđenju sustava sljedivosti, sustava ocjenjivanja i klasiranja trupova na liniji klanja te nastavku uspostave uzgojnih organizacija u stočarstvu. </w:t>
      </w:r>
    </w:p>
    <w:p w:rsidR="00AC0832" w:rsidRDefault="00AC0832">
      <w:pPr>
        <w:pStyle w:val="Normal5"/>
      </w:pPr>
      <w:r>
        <w:t xml:space="preserve">U sklopu programa, primjenjenim istraživanjima u poljoprivredi (VIP) omogućuje se prijenos znanstvenih spoznaja u praktičnoj primjeni, uspostavom sustava poljoprivrednih knjigovodstvenih podataka (FADN) evaluirati će se i analizirati utjecaj mjera poljoprivredne politike na dohodak poljoprivrednih proizvođača, dok Poljoprivredni informacijski centar Ministarstva prikuplja sve relevantne podatke, informacije i evidencije iz djelokruga TDU, jedinica područne i lokalne samouprave te ustanova od važnosti za poljoprivredu. </w:t>
      </w:r>
    </w:p>
    <w:p w:rsidR="00AC0832" w:rsidRDefault="00AC0832">
      <w:pPr>
        <w:pStyle w:val="Normal5"/>
      </w:pPr>
      <w:r>
        <w:t>Realizacija programa doprinijet će ostvarenju ciljeva utvrđenih Strategijom Vladinih programa za razdoblje 2011. – 2013., i to posebnog cilja 8.1.  Prilagodba sustava potpora poljoprivrednoj proizvodnji i ribarstvu sustavu Europske unije i 8.2. Poboljšanje tržišnih mehanizama za prodaju poljoprivredno prehrambenih i ribarskih proizvoda.</w:t>
      </w:r>
    </w:p>
    <w:p w:rsidR="00AC0832" w:rsidRDefault="00AC0832">
      <w:pPr>
        <w:pStyle w:val="Heading6"/>
      </w:pPr>
      <w:r>
        <w:t>Zakonske i druge pravne osnove</w:t>
      </w:r>
    </w:p>
    <w:p w:rsidR="00AC0832" w:rsidRDefault="00AC0832">
      <w:pPr>
        <w:pStyle w:val="Normal5"/>
      </w:pPr>
      <w:r>
        <w:t xml:space="preserve">Zakon o poljoprivredi (NN, br. 149/09) </w:t>
      </w:r>
    </w:p>
    <w:p w:rsidR="00AC0832" w:rsidRDefault="00AC0832">
      <w:pPr>
        <w:pStyle w:val="Normal5"/>
      </w:pPr>
      <w:r>
        <w:t xml:space="preserve">Zakon o uređenju tržišta poljoprivrednih proizvoda (NN, br. 149/09, 22/11) </w:t>
      </w:r>
    </w:p>
    <w:p w:rsidR="00AC0832" w:rsidRDefault="00AC0832">
      <w:pPr>
        <w:pStyle w:val="Normal5"/>
      </w:pPr>
      <w:r>
        <w:t>Zakon o državnoj potpori poljoprivredi i ruralnom razvoju (NN, br 92/10, 124/11)</w:t>
      </w:r>
    </w:p>
    <w:p w:rsidR="00AC0832" w:rsidRDefault="00AC0832">
      <w:pPr>
        <w:pStyle w:val="Heading7"/>
      </w:pPr>
      <w:r>
        <w:t>Cilj 1. Održanje stabilnosti dohotka poljoprivrednika</w:t>
      </w:r>
    </w:p>
    <w:p w:rsidR="00AC0832" w:rsidRDefault="00AC0832">
      <w:pPr>
        <w:pStyle w:val="Heading8"/>
        <w:jc w:val="left"/>
      </w:pPr>
      <w:r>
        <w:t>Opis provedbe cilja programa</w:t>
      </w:r>
    </w:p>
    <w:p w:rsidR="00AC0832" w:rsidRDefault="00AC0832">
      <w:pPr>
        <w:pStyle w:val="Normal6"/>
      </w:pPr>
      <w:r>
        <w:t>S obzirom na promjene koje naše poljoprivredne proizvođače očekuju ulaskom na jedinstveno tržište EU, cilj je ostvaren kroz zadržavanje stabilnog dohotka proizvođača i povećanje rentabilnost putem provedbe mjere izravnih plaćanja kojima se potiče njihova poljoprivredna proizvodnja.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7"/>
        <w:gridCol w:w="1617"/>
        <w:gridCol w:w="1173"/>
        <w:gridCol w:w="1217"/>
        <w:gridCol w:w="1205"/>
        <w:gridCol w:w="1217"/>
        <w:gridCol w:w="124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dohotka poljoprivrednika i ribara</w:t>
            </w:r>
          </w:p>
        </w:tc>
        <w:tc>
          <w:tcPr>
            <w:tcW w:w="1300" w:type="dxa"/>
          </w:tcPr>
          <w:p w:rsidR="00AC0832" w:rsidRDefault="00AC0832">
            <w:pPr>
              <w:pStyle w:val="CellColumn"/>
            </w:pPr>
            <w:r>
              <w:t>Povećanje dohotka poljoprivrednika i ribara</w:t>
            </w:r>
          </w:p>
        </w:tc>
        <w:tc>
          <w:tcPr>
            <w:tcW w:w="1300" w:type="dxa"/>
          </w:tcPr>
          <w:p w:rsidR="00AC0832" w:rsidRDefault="00AC0832">
            <w:pPr>
              <w:pStyle w:val="CellColumn"/>
            </w:pPr>
            <w:r>
              <w:t>indeks</w:t>
            </w:r>
          </w:p>
        </w:tc>
        <w:tc>
          <w:tcPr>
            <w:tcW w:w="1300" w:type="dxa"/>
          </w:tcPr>
          <w:p w:rsidR="00AC0832" w:rsidRDefault="00AC0832">
            <w:pPr>
              <w:pStyle w:val="CellColumn"/>
            </w:pPr>
            <w:r>
              <w:t>100</w:t>
            </w:r>
          </w:p>
        </w:tc>
        <w:tc>
          <w:tcPr>
            <w:tcW w:w="1300" w:type="dxa"/>
          </w:tcPr>
          <w:p w:rsidR="00AC0832" w:rsidRDefault="00AC0832">
            <w:pPr>
              <w:pStyle w:val="CellColumn"/>
            </w:pPr>
            <w:r>
              <w:t>Strateški plan</w:t>
            </w:r>
          </w:p>
        </w:tc>
        <w:tc>
          <w:tcPr>
            <w:tcW w:w="1300" w:type="dxa"/>
          </w:tcPr>
          <w:p w:rsidR="00AC0832" w:rsidRDefault="00AC0832">
            <w:pPr>
              <w:pStyle w:val="CellColumn"/>
            </w:pPr>
            <w:r>
              <w:t>105</w:t>
            </w:r>
          </w:p>
        </w:tc>
        <w:tc>
          <w:tcPr>
            <w:tcW w:w="1300" w:type="dxa"/>
          </w:tcPr>
          <w:p w:rsidR="00AC0832" w:rsidRDefault="00AC0832">
            <w:pPr>
              <w:pStyle w:val="CellColumn"/>
            </w:pPr>
            <w:r>
              <w:t>105</w:t>
            </w:r>
          </w:p>
        </w:tc>
      </w:tr>
    </w:tbl>
    <w:p w:rsidR="00AC0832" w:rsidRDefault="00AC0832">
      <w:pPr>
        <w:jc w:val="left"/>
      </w:pPr>
    </w:p>
    <w:p w:rsidR="00AC0832" w:rsidRDefault="00AC0832">
      <w:pPr>
        <w:pStyle w:val="Heading7"/>
      </w:pPr>
      <w:r>
        <w:t>Cilj 2. Stabilizacija tržišta poljoprivrednih proizvoda</w:t>
      </w:r>
    </w:p>
    <w:p w:rsidR="00AC0832" w:rsidRDefault="00AC0832">
      <w:pPr>
        <w:pStyle w:val="Heading8"/>
        <w:jc w:val="left"/>
      </w:pPr>
      <w:r>
        <w:t>Opis provedbe cilja programa</w:t>
      </w:r>
    </w:p>
    <w:p w:rsidR="00AC0832" w:rsidRDefault="00AC0832">
      <w:pPr>
        <w:pStyle w:val="Normal6"/>
      </w:pPr>
      <w:r>
        <w:t>U 2012. godini provođene su aktivnosti sukladne Zakonu o uređenju tržišta poljoprivrednih proizvoda (Narodne novine br. 149/09, 22/11, 120/12) čime je glavna intencija ovog cilja ispunjena u potpunosti  za stabilizaciju tržišnih poremećaja koji su se pojavili uslijed disproporcije u ponudi i potražnji.</w:t>
      </w:r>
    </w:p>
    <w:p w:rsidR="00AC0832" w:rsidRDefault="00AC0832">
      <w:pPr>
        <w:pStyle w:val="Heading7"/>
      </w:pPr>
      <w:r>
        <w:t>Cilj 3. Povećanje prijenosa znanja sa znanstvenih institucija na obiteljska poljoprivredna gospodarstva</w:t>
      </w:r>
    </w:p>
    <w:p w:rsidR="00AC0832" w:rsidRDefault="00AC0832">
      <w:pPr>
        <w:pStyle w:val="Heading8"/>
        <w:jc w:val="left"/>
      </w:pPr>
      <w:r>
        <w:t>Opis provedbe cilja programa</w:t>
      </w:r>
    </w:p>
    <w:p w:rsidR="00AC0832" w:rsidRDefault="00AC0832">
      <w:pPr>
        <w:pStyle w:val="Normal6"/>
      </w:pPr>
      <w:r>
        <w:t>Poticanje strateških poljoprivrednih istraživanja koja imaju za cilj primjenjivost rezultata istraživanja na obiteljskim poljoprivrednim gospodarstvima što će omogućiti konkurentniju poljoprivrednu proizvodnju. Kroz program se potiče sudjelovanje samih poljoprivrednih proizvođača u postavljanju prioriteta istraživanja, provedbi te financiranju istraživanja kako bi nova znanja imala najučinkovitiju primjenu.</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1451"/>
        <w:gridCol w:w="1235"/>
        <w:gridCol w:w="1259"/>
        <w:gridCol w:w="1362"/>
        <w:gridCol w:w="1259"/>
        <w:gridCol w:w="1271"/>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sufinanciranih primjenjenih istraživanja  u odnosu na ukupan broj</w:t>
            </w:r>
          </w:p>
        </w:tc>
        <w:tc>
          <w:tcPr>
            <w:tcW w:w="1300" w:type="dxa"/>
          </w:tcPr>
          <w:p w:rsidR="00AC0832" w:rsidRDefault="00AC0832">
            <w:pPr>
              <w:pStyle w:val="CellColumn"/>
            </w:pPr>
            <w:r>
              <w:t>Povećanje broja sufinanciranih primjenjenih istraživanja  u odnosu na ukupan broj</w:t>
            </w:r>
          </w:p>
        </w:tc>
        <w:tc>
          <w:tcPr>
            <w:tcW w:w="1300" w:type="dxa"/>
          </w:tcPr>
          <w:p w:rsidR="00AC0832" w:rsidRDefault="00AC0832">
            <w:pPr>
              <w:pStyle w:val="CellColumn"/>
            </w:pPr>
            <w:r>
              <w:t>%</w:t>
            </w:r>
          </w:p>
        </w:tc>
        <w:tc>
          <w:tcPr>
            <w:tcW w:w="1300" w:type="dxa"/>
          </w:tcPr>
          <w:p w:rsidR="00AC0832" w:rsidRDefault="00AC0832">
            <w:pPr>
              <w:pStyle w:val="CellColumn"/>
            </w:pPr>
            <w:r>
              <w:t>75</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80</w:t>
            </w:r>
          </w:p>
        </w:tc>
        <w:tc>
          <w:tcPr>
            <w:tcW w:w="1300" w:type="dxa"/>
          </w:tcPr>
          <w:p w:rsidR="00AC0832" w:rsidRDefault="00AC0832">
            <w:pPr>
              <w:pStyle w:val="CellColumn"/>
            </w:pPr>
            <w:r>
              <w:t>103</w:t>
            </w:r>
          </w:p>
        </w:tc>
      </w:tr>
    </w:tbl>
    <w:p w:rsidR="00AC0832" w:rsidRDefault="00AC0832">
      <w:pPr>
        <w:jc w:val="left"/>
      </w:pPr>
    </w:p>
    <w:p w:rsidR="00AC0832" w:rsidRDefault="00AC0832">
      <w:pPr>
        <w:pStyle w:val="Heading6"/>
      </w:pPr>
      <w:r>
        <w:t>A568024 POTICANJE POLJOPRIVREDNE PROIZVODNJE I INTERVENCIJE NA TRŽIŠTU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A568024-POTICANJE POLJOPRIVREDNE PROIZVODNJE I INTERVENCIJE NA TRŽIŠTU</w:t>
            </w:r>
          </w:p>
        </w:tc>
        <w:tc>
          <w:tcPr>
            <w:tcW w:w="2322" w:type="dxa"/>
          </w:tcPr>
          <w:p w:rsidR="00AC0832" w:rsidRDefault="00AC0832">
            <w:pPr>
              <w:pStyle w:val="CellColumn"/>
            </w:pPr>
            <w:r>
              <w:t>1.643.959.979</w:t>
            </w:r>
          </w:p>
        </w:tc>
        <w:tc>
          <w:tcPr>
            <w:tcW w:w="2322" w:type="dxa"/>
          </w:tcPr>
          <w:p w:rsidR="00AC0832" w:rsidRDefault="00AC0832">
            <w:pPr>
              <w:pStyle w:val="CellColumn"/>
            </w:pPr>
            <w:r>
              <w:t>1.643.959.979</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 ove aktivnosti proračuna utrošena su sredstva za podmirivanje obveza po osnovu ostvarenih prava sukladno jedinstvenom zahtjevu za izravna plaćanja i mjere ruralnog razvoja (osnovno plaćanje, proizvodno vezano plaćanje) za razdoblje iz proizvodne 2011. godine. Pored toga vršene su i isplate pet rata proizvođačima mlijeka – osnovno plaćanje u biljnoj proizvodnji u proizvodnoj 2012. godini – regionalno plaćanje, te godišnja plaćanja u stočarstvu za 2012. Također, s iste pozicije su plaćene potpore u ribarstvu (I kvartal 2012.), tržišna kompenzacija za ribe sukladno odluci Vlade RH. </w:t>
      </w:r>
    </w:p>
    <w:p w:rsidR="00AC0832" w:rsidRDefault="00AC0832">
      <w:pPr>
        <w:pStyle w:val="Normal6"/>
      </w:pPr>
      <w:r>
        <w:t xml:space="preserve">Tijekom 2012. godine sredstva doznačena iz Proračuna utrošena su za plaćanja državnih potpora u poljoprivredi i to kako slijedi:  </w:t>
      </w:r>
    </w:p>
    <w:p w:rsidR="00AC0832" w:rsidRDefault="00AC0832">
      <w:pPr>
        <w:pStyle w:val="Normal6"/>
      </w:pPr>
      <w:r>
        <w:t xml:space="preserve">1.Osnovno plaćanje u biljnoj proizvodnji za proizvodnu 2012. – regionalna plaćanja (mlijeko)   u iznosu od 137.757.546,03 kuna.  </w:t>
      </w:r>
    </w:p>
    <w:p w:rsidR="00AC0832" w:rsidRDefault="00AC0832">
      <w:pPr>
        <w:pStyle w:val="Normal6"/>
      </w:pPr>
      <w:r>
        <w:t xml:space="preserve">2. Osnovno plaćanje u biljnoj proizvodnji za proizvodnu 2011. godinu, u iznosu od    1.428.895.338,45 kuna.  </w:t>
      </w:r>
    </w:p>
    <w:p w:rsidR="00AC0832" w:rsidRDefault="00AC0832">
      <w:pPr>
        <w:pStyle w:val="Normal6"/>
      </w:pPr>
      <w:r>
        <w:t xml:space="preserve">3. Proizvodno vezana plaćanja u biljnoj proizvodnji za proizvodnu 2011. godinu, u iznosu od 24.437.558,29 kuna.  </w:t>
      </w:r>
    </w:p>
    <w:p w:rsidR="00AC0832" w:rsidRDefault="00AC0832">
      <w:pPr>
        <w:pStyle w:val="Normal6"/>
      </w:pPr>
      <w:r>
        <w:t xml:space="preserve">4. Proizvodno vezana plaćanja u stočarstvu za proizvodnu 2011. godinu, u iznosu od 102.000.976,95 kuna.  </w:t>
      </w:r>
    </w:p>
    <w:p w:rsidR="00AC0832" w:rsidRDefault="00AC0832">
      <w:pPr>
        <w:pStyle w:val="Normal6"/>
      </w:pPr>
      <w:r>
        <w:t xml:space="preserve">5. Godišnja plaćanja za proizvodnu 2012. godinu, u iznosu od 4.315.765,38  kuna.  </w:t>
      </w:r>
    </w:p>
    <w:p w:rsidR="00AC0832" w:rsidRDefault="00AC0832">
      <w:pPr>
        <w:pStyle w:val="Normal6"/>
      </w:pPr>
      <w:r>
        <w:t xml:space="preserve">6. IAKS mjere ruralnog razvoja za razdoblje do pristupanja za proizvodnu 2011. godinu, u iznosu od 127.663.439,15 kuna.  </w:t>
      </w:r>
    </w:p>
    <w:p w:rsidR="00AC0832" w:rsidRDefault="00AC0832">
      <w:pPr>
        <w:pStyle w:val="Normal6"/>
      </w:pPr>
      <w:r>
        <w:t xml:space="preserve">7. Potpore u ribarstvu (uzgoj autohtone vrste bijele morske ribe, dagnje, kamenice, riblja mlađ, slatkovodna riba, ulov male plave ribe, riblji proizvodi), I kvartal 2012. godine, te Odluka VRH  tržišna kompenzacija riba (II polug. 2011. i I polug. 2012.)  u iznosu od 37.440.904,91 kn.  </w:t>
      </w:r>
    </w:p>
    <w:p w:rsidR="00AC0832" w:rsidRDefault="00AC0832">
      <w:pPr>
        <w:pStyle w:val="Normal6"/>
      </w:pPr>
      <w:r>
        <w:t>8. Dohodovna potpora, I skupina za  I polugodište 2012 u iznosu od 23.241.000,00 kn.</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Provedena reforma sustava izravnih plaćanja</w:t>
            </w:r>
          </w:p>
        </w:tc>
        <w:tc>
          <w:tcPr>
            <w:tcW w:w="1300" w:type="dxa"/>
          </w:tcPr>
          <w:p w:rsidR="00AC0832" w:rsidRDefault="00AC0832">
            <w:pPr>
              <w:pStyle w:val="CellColumn"/>
            </w:pPr>
            <w:r>
              <w:t>Provedena reforma sustava izravnih plaćanja</w:t>
            </w:r>
          </w:p>
        </w:tc>
        <w:tc>
          <w:tcPr>
            <w:tcW w:w="1300" w:type="dxa"/>
          </w:tcPr>
          <w:p w:rsidR="00AC0832" w:rsidRDefault="00AC0832">
            <w:pPr>
              <w:pStyle w:val="CellColumn"/>
            </w:pPr>
            <w:r>
              <w:t>%</w:t>
            </w:r>
          </w:p>
        </w:tc>
        <w:tc>
          <w:tcPr>
            <w:tcW w:w="1300" w:type="dxa"/>
          </w:tcPr>
          <w:p w:rsidR="00AC0832" w:rsidRDefault="00AC0832">
            <w:pPr>
              <w:pStyle w:val="CellColumn"/>
            </w:pPr>
            <w:r>
              <w:t>51</w:t>
            </w:r>
          </w:p>
        </w:tc>
        <w:tc>
          <w:tcPr>
            <w:tcW w:w="1300" w:type="dxa"/>
          </w:tcPr>
          <w:p w:rsidR="00AC0832" w:rsidRDefault="00AC0832">
            <w:pPr>
              <w:pStyle w:val="CellColumn"/>
            </w:pPr>
            <w:r>
              <w:t>Strateški plan</w:t>
            </w:r>
          </w:p>
        </w:tc>
        <w:tc>
          <w:tcPr>
            <w:tcW w:w="1300" w:type="dxa"/>
          </w:tcPr>
          <w:p w:rsidR="00AC0832" w:rsidRDefault="00AC0832">
            <w:pPr>
              <w:pStyle w:val="CellColumn"/>
            </w:pPr>
            <w:r>
              <w:t>70</w:t>
            </w:r>
          </w:p>
        </w:tc>
        <w:tc>
          <w:tcPr>
            <w:tcW w:w="1300" w:type="dxa"/>
          </w:tcPr>
          <w:p w:rsidR="00AC0832" w:rsidRDefault="00AC0832">
            <w:pPr>
              <w:pStyle w:val="CellColumn"/>
            </w:pPr>
            <w:r>
              <w:t>85</w:t>
            </w:r>
          </w:p>
        </w:tc>
      </w:tr>
    </w:tbl>
    <w:p w:rsidR="00AC0832" w:rsidRDefault="00AC0832">
      <w:pPr>
        <w:jc w:val="left"/>
      </w:pPr>
    </w:p>
    <w:p w:rsidR="00AC0832" w:rsidRDefault="00AC0832">
      <w:pPr>
        <w:pStyle w:val="Heading6"/>
      </w:pPr>
      <w:r>
        <w:t>A568058 ISTRAŽIVANJE U POLJOPRIVREDI (VIJEĆE ZA ISTRAŽIVANJE U POLJOPRIVREDI)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A568058-ISTRAŽIVANJE U POLJOPRIVREDI (VIJEĆE ZA ISTRAŽIVANJE U POLJOPRIVREDI)</w:t>
            </w:r>
          </w:p>
        </w:tc>
        <w:tc>
          <w:tcPr>
            <w:tcW w:w="2322" w:type="dxa"/>
          </w:tcPr>
          <w:p w:rsidR="00AC0832" w:rsidRDefault="00AC0832">
            <w:pPr>
              <w:pStyle w:val="CellColumn"/>
            </w:pPr>
            <w:r>
              <w:t>1.753.050</w:t>
            </w:r>
          </w:p>
        </w:tc>
        <w:tc>
          <w:tcPr>
            <w:tcW w:w="2322" w:type="dxa"/>
          </w:tcPr>
          <w:p w:rsidR="00AC0832" w:rsidRDefault="00AC0832">
            <w:pPr>
              <w:pStyle w:val="CellColumn"/>
            </w:pPr>
            <w:r>
              <w:t>1.753.050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protekloj 2012. godini Vijeće za istraživanja u poljoprivredi se najvećim dijelom bavilo praćenjem  provedbe odobrenih istraživačkih projekata 9. i 10. natječajnog kruga. Pet projekta 9. VIP natječaja i četiri projekta 10. VIP natječaja uspješno je privedeno kraju i prihvaćena su njihova završna izvješća. Jednom jednogodišnjem projektu 10. VIP natječaja odobreno je produženje do 2013. godine u kojoj će završiti i preostala sva dvogodišnja projekta 10. VIP natječaja. Za projekte 9. VIP natječaja isplaćeno je 209.400,00 kn dok je za projekte 10. VIP natječaja isplaćeno 181.314,05 kn. U 2012. godini raspisan je 11. VIP natječaj temeljem kojeg je odobreno sufinanciranje 41 znanstveno – istraživačkog projekta za koje je isplaćena 1. rata sufinanciranja u iznosu od 1.158.529,40 kn. Također temeljem Javnog poziva za sufinanciranje izdavanja znanstveno – stručnih knjiga odobreno je sufinanciranje za devet knjiga te je isplaćeno sufinanciranje za šest knjiga (za preostale tri knjige sufinanciranje će se isplatiti u 2013. godini). </w:t>
      </w:r>
    </w:p>
    <w:p w:rsidR="00AC0832" w:rsidRDefault="00AC0832">
      <w:pPr>
        <w:pStyle w:val="Normal6"/>
      </w:pPr>
      <w:r>
        <w:t>U 2012. godini članovi VIP-a proveli su 11 terenskih pregleda za što im je isplaćena naknada u iznosu od 21.672,42 kn dok je za znanstvenu recenziju ponuda pristiglih na 11. natječaj isplaćeno 41.764,30 kn. Za podmirenje ostalih administrativnih troškova VIP-a u 2012. godini utrošeno je 51.399,83 kn.</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1451"/>
        <w:gridCol w:w="1235"/>
        <w:gridCol w:w="1259"/>
        <w:gridCol w:w="1362"/>
        <w:gridCol w:w="1259"/>
        <w:gridCol w:w="1271"/>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sufinanciranih istraživanja</w:t>
            </w:r>
          </w:p>
        </w:tc>
        <w:tc>
          <w:tcPr>
            <w:tcW w:w="1300" w:type="dxa"/>
          </w:tcPr>
          <w:p w:rsidR="00AC0832" w:rsidRDefault="00AC0832">
            <w:pPr>
              <w:pStyle w:val="CellColumn"/>
            </w:pPr>
            <w:r>
              <w:t>Povećanje broja sufinanciranih istraživanja</w:t>
            </w:r>
          </w:p>
        </w:tc>
        <w:tc>
          <w:tcPr>
            <w:tcW w:w="1300" w:type="dxa"/>
          </w:tcPr>
          <w:p w:rsidR="00AC0832" w:rsidRDefault="00AC0832">
            <w:pPr>
              <w:pStyle w:val="CellColumn"/>
            </w:pPr>
            <w:r>
              <w:t>Broj</w:t>
            </w:r>
          </w:p>
        </w:tc>
        <w:tc>
          <w:tcPr>
            <w:tcW w:w="1300" w:type="dxa"/>
          </w:tcPr>
          <w:p w:rsidR="00AC0832" w:rsidRDefault="00AC0832">
            <w:pPr>
              <w:pStyle w:val="CellColumn"/>
            </w:pPr>
            <w:r>
              <w:t>195</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203</w:t>
            </w:r>
          </w:p>
        </w:tc>
        <w:tc>
          <w:tcPr>
            <w:tcW w:w="1300" w:type="dxa"/>
          </w:tcPr>
          <w:p w:rsidR="00AC0832" w:rsidRDefault="00AC0832">
            <w:pPr>
              <w:pStyle w:val="CellColumn"/>
            </w:pPr>
            <w:r>
              <w:t>243</w:t>
            </w:r>
          </w:p>
        </w:tc>
      </w:tr>
    </w:tbl>
    <w:p w:rsidR="00AC0832" w:rsidRDefault="00AC0832">
      <w:pPr>
        <w:jc w:val="left"/>
      </w:pPr>
    </w:p>
    <w:p w:rsidR="00AC0832" w:rsidRDefault="00AC0832">
      <w:pPr>
        <w:pStyle w:val="Heading6"/>
      </w:pPr>
      <w:r>
        <w:t>A568112 REFERENTNI LABORATORIJ ZA MLIJEKO (ZAVOD)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A568112-REFERENTNI LABORATORIJ ZA MLIJEKO (ZAVOD)</w:t>
            </w:r>
          </w:p>
        </w:tc>
        <w:tc>
          <w:tcPr>
            <w:tcW w:w="2322" w:type="dxa"/>
          </w:tcPr>
          <w:p w:rsidR="00AC0832" w:rsidRDefault="00AC0832">
            <w:pPr>
              <w:pStyle w:val="CellColumn"/>
            </w:pPr>
            <w:r>
              <w:t>480.000</w:t>
            </w:r>
          </w:p>
        </w:tc>
        <w:tc>
          <w:tcPr>
            <w:tcW w:w="2322" w:type="dxa"/>
          </w:tcPr>
          <w:p w:rsidR="00AC0832" w:rsidRDefault="00AC0832">
            <w:pPr>
              <w:pStyle w:val="CellColumn"/>
            </w:pPr>
            <w:r>
              <w:t>480.000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sustavu utvrđivanja kvalitete mlijeka mora postojati nadzor nad radom kojeg provodi  referentni laboratorij. U nas je to od početka uspostave ovoga sustava referentni laboratorij Agronomskog fakulteta u Zagrebu koji zadovoljava sve propisane standarde.  </w:t>
      </w:r>
    </w:p>
    <w:p w:rsidR="00AC0832" w:rsidRDefault="00AC0832">
      <w:pPr>
        <w:pStyle w:val="Normal6"/>
      </w:pPr>
      <w:r>
        <w:t>Referentni laboratorij na Agronomskom fakultetu u Zagrebu obavlja nadzor nad provedbom ispitivanja kvalitete svježeg sirovog mlijeka kojeg obavlja Središnji laboratorij za kontrolu mlijeka. Ovaj sustav kontrole je preduvjet za akreditaciju Središnjeg laboratorija za kontrolu mlijeka.</w:t>
      </w:r>
    </w:p>
    <w:p w:rsidR="00AC0832" w:rsidRDefault="00AC0832">
      <w:pPr>
        <w:pStyle w:val="Heading6"/>
      </w:pPr>
      <w:r>
        <w:t>A650126 SUFINANCIRANJE RADA UZGOJNIH UDRUŽENJA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A650126-SUFINANCIRANJE RADA UZGOJNIH UDRUŽENJA</w:t>
            </w:r>
          </w:p>
        </w:tc>
        <w:tc>
          <w:tcPr>
            <w:tcW w:w="2322" w:type="dxa"/>
          </w:tcPr>
          <w:p w:rsidR="00AC0832" w:rsidRDefault="00AC0832">
            <w:pPr>
              <w:pStyle w:val="CellColumn"/>
            </w:pPr>
            <w:r>
              <w:t>1.400.000</w:t>
            </w:r>
          </w:p>
        </w:tc>
        <w:tc>
          <w:tcPr>
            <w:tcW w:w="2322" w:type="dxa"/>
          </w:tcPr>
          <w:p w:rsidR="00AC0832" w:rsidRDefault="00AC0832">
            <w:pPr>
              <w:pStyle w:val="CellColumn"/>
            </w:pPr>
            <w:r>
              <w:t>1.399.997</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Navedenom pozicijom počinje se sustavno sufinancirati uspostava i rad uzgojnih organizacija koje trebaju sukladno odredbama Zakona o stočarstvu preuzimati poslove uzgojnog rada u stočarstvu. Kako postojeće uzgojne organizacije po svojoj opremljenosti, stručnosti i ustrojstvu još nisu u cijelosti organizirane, javlja se potreba da se, uz sredstva prikupljena od članarine, pomogne sufinanciranjem njihova rada. Navedena uspostava i omogućavanje samostalnog rada uzgojnih organizacija proizlazi i iz obveza koje RH ima prema odredbama zootehničkog zakonodavstva EU i našeg usklađivanja s navedenim.</w:t>
      </w:r>
    </w:p>
    <w:p w:rsidR="00AC0832" w:rsidRDefault="00AC0832">
      <w:pPr>
        <w:pStyle w:val="Heading6"/>
      </w:pPr>
      <w:r>
        <w:t>A819046 POTICANJE POLJOPRIVREDNE PROIZVODNJE I INTERVENCIJE NA TRŽIŠTU - UGOVORENE OBVEZE IZ 2011. GODINE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A819046-POTICANJE POLJOPRIVREDNE PROIZVODNJE I INTERVENCIJE NA TRŽIŠTU - UGOVORENE OBVEZE IZ 2011. GODINE</w:t>
            </w:r>
          </w:p>
        </w:tc>
        <w:tc>
          <w:tcPr>
            <w:tcW w:w="2322" w:type="dxa"/>
          </w:tcPr>
          <w:p w:rsidR="00AC0832" w:rsidRDefault="00AC0832">
            <w:pPr>
              <w:pStyle w:val="CellColumn"/>
            </w:pPr>
            <w:r>
              <w:t>776.272.170</w:t>
            </w:r>
          </w:p>
        </w:tc>
        <w:tc>
          <w:tcPr>
            <w:tcW w:w="2322" w:type="dxa"/>
          </w:tcPr>
          <w:p w:rsidR="00AC0832" w:rsidRDefault="00AC0832">
            <w:pPr>
              <w:pStyle w:val="CellColumn"/>
            </w:pPr>
            <w:r>
              <w:t>776.272.170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Sredstva planirana na ovoj proračunskoj aktivnosti u 2012. godini iskorištena su za proizvodno vezana plaćanja iz proizvodne 2011. godine, potpore za mlijeko iz 2011. godine, potpore u ribarstvu (II, III i IV kvartal 2011. godine, te za zaostatke iz ranijih kvartala. Zatim, plaćene su potpore za interventni otkup grožđa, jabuka, mandarina i maslinovog ulja iz 2011. godine sukladno odlukama Vlade RH i zaostaci iz prijašnjih razdoblja. </w:t>
      </w:r>
    </w:p>
    <w:p w:rsidR="00AC0832" w:rsidRDefault="00AC0832">
      <w:pPr>
        <w:pStyle w:val="Normal6"/>
      </w:pPr>
      <w:r>
        <w:t xml:space="preserve">Sredstva osigurana u Državnom proračunu, na proračunskoj aktivnosti A816046 – Poticanje poljoprivredne proizvodnje, obveze iz 2011. doznačena tijekom 2012. utrošena su za:  </w:t>
      </w:r>
    </w:p>
    <w:p w:rsidR="00AC0832" w:rsidRDefault="00AC0832">
      <w:pPr>
        <w:pStyle w:val="Normal6"/>
      </w:pPr>
      <w:r>
        <w:t xml:space="preserve">1.Proizvodno vezana plaćanja, za 2011 godinu u iznosu od  63.901.572,23 kn </w:t>
      </w:r>
    </w:p>
    <w:p w:rsidR="00AC0832" w:rsidRDefault="00AC0832">
      <w:pPr>
        <w:pStyle w:val="Normal6"/>
      </w:pPr>
      <w:r>
        <w:t xml:space="preserve">2.Biljna proizvodnja za proizvodnu 2010. godinu (proljetna sjetva, jesenska sjetva) za naknadno odobrene zahtjeve, u iznosu od 409.060,89 kn </w:t>
      </w:r>
    </w:p>
    <w:p w:rsidR="00AC0832" w:rsidRDefault="00AC0832">
      <w:pPr>
        <w:pStyle w:val="Normal6"/>
      </w:pPr>
      <w:r>
        <w:t xml:space="preserve">3.Posebna plaćanja u biljnoj proizvodnji za proizvodnu 2010. u iznosu od 118.444,35 kn. </w:t>
      </w:r>
    </w:p>
    <w:p w:rsidR="00AC0832" w:rsidRDefault="00AC0832">
      <w:pPr>
        <w:pStyle w:val="Normal6"/>
      </w:pPr>
      <w:r>
        <w:t xml:space="preserve">4.Ostala plaćanja u biljnoj proizvodnji za proizvodnu 2010. godinu (sadni materijal, duhan, maslinovo ulje, masline), u iznosu od 385.086,64 kn </w:t>
      </w:r>
    </w:p>
    <w:p w:rsidR="00AC0832" w:rsidRDefault="00AC0832">
      <w:pPr>
        <w:pStyle w:val="Normal6"/>
      </w:pPr>
      <w:r>
        <w:t xml:space="preserve">5.Biljna proizvodnja za proizvodnu 2009. godinu (proljetna sjetva, jesenska sjetva) za ispravke , u iznosu od    86.015,02 kn. </w:t>
      </w:r>
    </w:p>
    <w:p w:rsidR="00AC0832" w:rsidRDefault="00AC0832">
      <w:pPr>
        <w:pStyle w:val="Normal6"/>
      </w:pPr>
      <w:r>
        <w:t xml:space="preserve">6.Pravo na 15% od ukupno odobrenog iznosa potpore za plaćanja provedena u 2009. godini, a slijedom proizvodnje iz 2008. godine, sukladno Odluci Vlade Republike Hrvatske o posebnim mjerama pomoći poljoprivrednim proizvođačima u uvjetima financijske krize, u iznosu od 126.661,15 kn. </w:t>
      </w:r>
    </w:p>
    <w:p w:rsidR="00AC0832" w:rsidRDefault="00AC0832">
      <w:pPr>
        <w:pStyle w:val="Normal6"/>
      </w:pPr>
      <w:r>
        <w:t xml:space="preserve">7.Osiguranje poljoprivredne proizvodnje za proizvodnu 2011. godinu, u iznosu od 27.411.241,66 kuna, te osiguranje poljoprivredne proizvodnje za proizvodnu 2010. i 2009. godinu naknadno odobreni zahtjevi, u iznosu od 155.503,93 kn.  </w:t>
      </w:r>
    </w:p>
    <w:p w:rsidR="00AC0832" w:rsidRDefault="00AC0832">
      <w:pPr>
        <w:pStyle w:val="Normal6"/>
      </w:pPr>
      <w:r>
        <w:t xml:space="preserve">8.Potpora za mlijeko, za razdoblje od kolovoza 2011. do prosinca 2011. godine, te jednim  dijelom naknadno odobreni zahtjevi za ranije razdoblje (od listopada 2010 do srpnja 2011.) , u ukupnom iznosu od 97.345.805,85 kn. </w:t>
      </w:r>
    </w:p>
    <w:p w:rsidR="00AC0832" w:rsidRDefault="00AC0832">
      <w:pPr>
        <w:pStyle w:val="Normal6"/>
      </w:pPr>
      <w:r>
        <w:t xml:space="preserve">9.Interventni otkup mlijeka sukladno Odluci Vlade Republike Hrvatske, za listopad  2011. godine, uz  iznos naknadno odobrenih zahtjeva iz ranijih razdoblja (od listopada 2010 do rujna 2011.), u ukupnom iznosu od 20.968.323,17 kn. </w:t>
      </w:r>
    </w:p>
    <w:p w:rsidR="00AC0832" w:rsidRDefault="00AC0832">
      <w:pPr>
        <w:pStyle w:val="Normal6"/>
      </w:pPr>
      <w:r>
        <w:t xml:space="preserve">10. Proizvodno vezana plaćanja za 2011. - potpore u stočarstvu (premija za krave dojilje, ovce i koze, mliječne krave i rasplodne krmače), te godišnja plaćanja  za naknadno odobrene zahtjeve i ispravke računa za proizvodnu 2009 u ukupnom iznosu od 242.613.779,90  kn.  </w:t>
      </w:r>
    </w:p>
    <w:p w:rsidR="00AC0832" w:rsidRDefault="00AC0832">
      <w:pPr>
        <w:pStyle w:val="Normal6"/>
      </w:pPr>
      <w:r>
        <w:t xml:space="preserve">11.Plaćanja u stočarstvu (plaćanja po grlu stoke, držanje goveda, tov i klanje stoke, proizvodnja rasplodnog materijala, pčelarstvo) za proizvodnu 2011. godinu, te manji iznosi za naknadno odobrene zahtjeve za proizvodnu 2010. godinu, u ukupnom iznosu od 62.202.711,97  kn.  </w:t>
      </w:r>
    </w:p>
    <w:p w:rsidR="00AC0832" w:rsidRDefault="00AC0832">
      <w:pPr>
        <w:pStyle w:val="Normal6"/>
      </w:pPr>
      <w:r>
        <w:t xml:space="preserve">12.Potpore u ribarstvu (uzgoj autohtone vrste bijele morske ribe, dagnje, kamenice, riblja mlađ, slatkovodna riba, ulov male plave ribe, riblji proizvodi), IV kvartal 2011. godine, te ispravci računa za III i IV kvartal 2010, i I, II i III kvartal 2011. godine,    dodatni poticaj sukladno Odluci Vlade Republike Hrvatske jednokratna pomoć u ribarstvu 2011 u ukupnom iznosu od 79.763.725,71 kn. </w:t>
      </w:r>
    </w:p>
    <w:p w:rsidR="00AC0832" w:rsidRDefault="00AC0832">
      <w:pPr>
        <w:pStyle w:val="Normal6"/>
      </w:pPr>
      <w:r>
        <w:t>13.Sukladno Odlukama Vlade Republike Hrvatske iz 2011. godine isplaćene su potpore za interventni otkup grožđa, jabuka, mandarina, jabuka za industrijsku preradu i maslinovog ulja u ukupnom  iznosu od 90.753.833,01 kn.</w:t>
      </w:r>
    </w:p>
    <w:p w:rsidR="00AC0832" w:rsidRDefault="00AC0832">
      <w:pPr>
        <w:pStyle w:val="Heading6"/>
      </w:pPr>
      <w:r>
        <w:t>A820046 POTPORA DOHOTKU NEKOMERCIJALNIM POLJOPRIVREDNICIMA - UGOVORENE OBVEZE IZ 2011. GODINE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2"/>
        <w:gridCol w:w="2272"/>
        <w:gridCol w:w="2272"/>
        <w:gridCol w:w="228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A820046-POTPORA DOHOTKU NEKOMERCIJALNIM POLJOPRIVREDNICIMA - UGOVORENE OBVEZE IZ 2011. GODINE</w:t>
            </w:r>
          </w:p>
        </w:tc>
        <w:tc>
          <w:tcPr>
            <w:tcW w:w="2322" w:type="dxa"/>
          </w:tcPr>
          <w:p w:rsidR="00AC0832" w:rsidRDefault="00AC0832">
            <w:pPr>
              <w:pStyle w:val="CellColumn"/>
            </w:pPr>
            <w:r>
              <w:t>88.000.000</w:t>
            </w:r>
          </w:p>
        </w:tc>
        <w:tc>
          <w:tcPr>
            <w:tcW w:w="2322" w:type="dxa"/>
          </w:tcPr>
          <w:p w:rsidR="00AC0832" w:rsidRDefault="00AC0832">
            <w:pPr>
              <w:pStyle w:val="CellColumn"/>
            </w:pPr>
            <w:r>
              <w:t>88.000.000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Potpora dohotku nekomercijalnim poljoprivrednim gospodarstvima dijeli se na dvije skupine: </w:t>
      </w:r>
    </w:p>
    <w:p w:rsidR="00AC0832" w:rsidRDefault="00AC0832">
      <w:pPr>
        <w:pStyle w:val="Normal6"/>
      </w:pPr>
      <w:r>
        <w:t xml:space="preserve">Korisnici potpore dohotku I. skupine jesu obiteljska poljoprivredna gospodarstva čiji nositelj ili član u trenutku podnošenja zahtjeva za potporu dohotku ima status osiguranika mirovinskog osiguranja u svojstvu poljoprivrednika i najmanje 50 godina života za žene, odnosno 55 za muškarce.  </w:t>
      </w:r>
    </w:p>
    <w:p w:rsidR="00AC0832" w:rsidRDefault="00AC0832">
      <w:pPr>
        <w:pStyle w:val="Normal6"/>
      </w:pPr>
      <w:r>
        <w:t xml:space="preserve">Korisnici potpore dohotku II. skupine jesu obiteljska poljoprivredna gospodarstva čiji nositelj ili član u trenutku podnošenja zahtjeva pripada jednoj od slijedećih kategorija: osoba je korisnik mirovine kao poljoprivrednik (1), osoba ima status osiguranika mirovinskog osiguranja u svojstvu poljoprivrednika i manje od 50 godina života za žene, odnosno 55 za muškarce (2), osoba ima najmanje 65 godina starosti, a ne ostvaruje dohodak po osnovi samostalnog ili nesamostalnog rada niti mirovinu.  </w:t>
      </w:r>
    </w:p>
    <w:p w:rsidR="00AC0832" w:rsidRDefault="00AC0832">
      <w:pPr>
        <w:pStyle w:val="Normal6"/>
      </w:pPr>
      <w:r>
        <w:t>Korisnici ove potpore u obavljanju poljoprivredne proizvodnje korite najviše 5 ha poljoprivrednog zemljišta, a ukupni obijem poljoprivredne proizvodnje im iznosi najmanje tri proizvodne jedinice.</w:t>
      </w:r>
    </w:p>
    <w:p w:rsidR="00AC0832" w:rsidRDefault="00AC0832">
      <w:pPr>
        <w:pStyle w:val="Heading6"/>
      </w:pPr>
    </w:p>
    <w:p w:rsidR="00AC0832" w:rsidRDefault="00AC0832">
      <w:pPr>
        <w:pStyle w:val="Heading6"/>
      </w:pPr>
    </w:p>
    <w:p w:rsidR="00AC0832" w:rsidRDefault="00AC0832">
      <w:pPr>
        <w:pStyle w:val="Heading6"/>
      </w:pPr>
    </w:p>
    <w:p w:rsidR="00AC0832" w:rsidRDefault="00AC0832">
      <w:pPr>
        <w:pStyle w:val="Heading6"/>
      </w:pPr>
      <w:r>
        <w:t>T821044 HORIZONTALNE MJERE POTPORE  U PREHRAMBENO - PRERAĐIVAČKOJ INDUSTRIJI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T821044-HORIZONTALNE MJERE POTPORE  U PREHRAMBENO - PRERAĐIVAČKOJ INDUSTRIJI</w:t>
            </w:r>
          </w:p>
        </w:tc>
        <w:tc>
          <w:tcPr>
            <w:tcW w:w="2322" w:type="dxa"/>
          </w:tcPr>
          <w:p w:rsidR="00AC0832" w:rsidRDefault="00AC0832">
            <w:pPr>
              <w:pStyle w:val="CellColumn"/>
            </w:pPr>
            <w:r>
              <w:t>50.000.000</w:t>
            </w:r>
          </w:p>
        </w:tc>
        <w:tc>
          <w:tcPr>
            <w:tcW w:w="2322" w:type="dxa"/>
          </w:tcPr>
          <w:p w:rsidR="00AC0832" w:rsidRDefault="00AC0832">
            <w:pPr>
              <w:pStyle w:val="CellColumn"/>
            </w:pPr>
            <w:r>
              <w:t>49.743.951</w:t>
            </w:r>
          </w:p>
        </w:tc>
        <w:tc>
          <w:tcPr>
            <w:tcW w:w="2322" w:type="dxa"/>
          </w:tcPr>
          <w:p w:rsidR="00AC0832" w:rsidRDefault="00AC0832">
            <w:pPr>
              <w:pStyle w:val="CellColumn"/>
            </w:pPr>
            <w:r>
              <w:t>99,5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Ministarstvo poljoprivrede je objavilo javni natječaj za sufinanciranje projekata u području prehrambeno-prerađivačke  i provelo odabir  temeljem kojega su dodijeljena nepovratna namjenska sredstva za sljedeće mjere i programe: </w:t>
      </w:r>
    </w:p>
    <w:p w:rsidR="00AC0832" w:rsidRDefault="00AC0832">
      <w:pPr>
        <w:pStyle w:val="Normal6"/>
      </w:pPr>
      <w:r>
        <w:t xml:space="preserve">Mjera 1.) modernizacija tehnoloških procesa i uvođenje novih tehnologija i proizvoda, do 35% vrijednosti investicije, a maksimalno 2.000.000,00 kuna po projektu, </w:t>
      </w:r>
    </w:p>
    <w:p w:rsidR="00AC0832" w:rsidRDefault="00AC0832">
      <w:pPr>
        <w:pStyle w:val="Normal6"/>
      </w:pPr>
      <w:r>
        <w:t xml:space="preserve">Mjera 2.) ulaganja u zaštitu okoliša i energetsku učinkovitost u prehrambeno – prerađivačkoj industriji i usklađivanje s IPPC direktivom, do 35% vrijednosti investicije, a maksimalno 3.000.000,00 kuna po projektu </w:t>
      </w:r>
    </w:p>
    <w:p w:rsidR="00AC0832" w:rsidRDefault="00AC0832">
      <w:pPr>
        <w:pStyle w:val="Normal6"/>
      </w:pPr>
      <w:r>
        <w:t xml:space="preserve">Mjera 3.) potpora marketinškim, razvojnim aktivnostima, aktivnostima istraživanja tržišta proizvođača za ulazak na europska, regionalna i treća tržišta i u trgovačke lance, do 35% vrijednosti investicije, a maksimalno 500.000,00 kuna po projektu, </w:t>
      </w:r>
    </w:p>
    <w:p w:rsidR="00AC0832" w:rsidRDefault="00AC0832">
      <w:pPr>
        <w:pStyle w:val="Normal6"/>
      </w:pPr>
      <w:r>
        <w:t xml:space="preserve">Mjera 4.), uvođenje i primjena sustava upravljanja procesom u objekte za proizvodnju hrane i hrane za životinje, te stjecanje pojedinih certifikata u proizvodnji hrane, do 35% vrijednosti investicije, a maksimalno 50.000,00 kuna po projektu, </w:t>
      </w:r>
    </w:p>
    <w:p w:rsidR="00AC0832" w:rsidRDefault="00AC0832">
      <w:pPr>
        <w:pStyle w:val="Normal6"/>
      </w:pPr>
      <w:r>
        <w:t>Mjera 5.) obrazovanje i usavršavanje ljudskih resursa za rad na inozemnim tržištima, do 35% vrijednosti investicije, a maksimalno 50.000,00 kuna po projektu.</w:t>
      </w:r>
    </w:p>
    <w:p w:rsidR="00AC0832" w:rsidRDefault="00AC0832">
      <w:pPr>
        <w:pStyle w:val="Heading5"/>
      </w:pPr>
      <w:r>
        <w:t>3003 VETERINARSTVO I SIGURNOST HRANE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3003-VETERINARSTVO I SIGURNOST HRANE</w:t>
            </w:r>
          </w:p>
        </w:tc>
        <w:tc>
          <w:tcPr>
            <w:tcW w:w="2322" w:type="dxa"/>
          </w:tcPr>
          <w:p w:rsidR="00AC0832" w:rsidRDefault="00AC0832">
            <w:pPr>
              <w:pStyle w:val="CellColumn"/>
            </w:pPr>
            <w:r>
              <w:t>350.338.748</w:t>
            </w:r>
          </w:p>
        </w:tc>
        <w:tc>
          <w:tcPr>
            <w:tcW w:w="2322" w:type="dxa"/>
          </w:tcPr>
          <w:p w:rsidR="00AC0832" w:rsidRDefault="00AC0832">
            <w:pPr>
              <w:pStyle w:val="CellColumn"/>
            </w:pPr>
            <w:r>
              <w:t>328.263.795</w:t>
            </w:r>
          </w:p>
        </w:tc>
        <w:tc>
          <w:tcPr>
            <w:tcW w:w="2322" w:type="dxa"/>
          </w:tcPr>
          <w:p w:rsidR="00AC0832" w:rsidRDefault="00AC0832">
            <w:pPr>
              <w:pStyle w:val="CellColumn"/>
            </w:pPr>
            <w:r>
              <w:t>93,7</w:t>
            </w:r>
          </w:p>
        </w:tc>
      </w:tr>
    </w:tbl>
    <w:p w:rsidR="00AC0832" w:rsidRDefault="00AC0832">
      <w:pPr>
        <w:jc w:val="left"/>
      </w:pPr>
    </w:p>
    <w:p w:rsidR="00AC0832" w:rsidRDefault="00AC0832">
      <w:pPr>
        <w:pStyle w:val="Heading6"/>
      </w:pPr>
      <w:r>
        <w:t>Opis programa</w:t>
      </w:r>
    </w:p>
    <w:p w:rsidR="00AC0832" w:rsidRDefault="00AC0832">
      <w:pPr>
        <w:pStyle w:val="Normal5"/>
      </w:pPr>
      <w:r>
        <w:t xml:space="preserve">Zbog sve većeg broja bolesti i kriza u području sigurnosti hrane i hrane za životinje, te zdravlja životinja i zdravstvene zaštite bilja, globalizacije i liberalizacije tržišta, raznolikog izbora hrane te sve većih zahtjeva potrošača uveden je integrirani pristup sigurnosti hrane čiji je cilj osiguranje visoke razine sigurnosti hrane i hrane za životinje a u svrhu zaštite zdravlja ljudi, životinja te zdravstvene zaštite bilja te zaštite interesa potrošača. </w:t>
      </w:r>
    </w:p>
    <w:p w:rsidR="00AC0832" w:rsidRDefault="00AC0832">
      <w:pPr>
        <w:pStyle w:val="Normal5"/>
      </w:pPr>
      <w:r>
        <w:t xml:space="preserve">Sustav koji osigurava sigurnost hrane zajednički je svim državama Europske unije, no jednako tako omogućuje raznolikost budući da ostavlja prostor za proizvodnju poljoprivrednih i prehrambenih proizvoda čija je posebna kakvoća vezana uz određene regije ili određene tradicionalne načine proizvodnje. </w:t>
      </w:r>
    </w:p>
    <w:p w:rsidR="00AC0832" w:rsidRDefault="00AC0832">
      <w:pPr>
        <w:pStyle w:val="Normal5"/>
      </w:pPr>
      <w:r>
        <w:t xml:space="preserve">Sustav sigurnosti i kakvoće hrane i hrane za životinje uključuje nadležno tijelo odnosno Ministarstvo poljoprivrede (MP), tijela nadležna za provođenje službenih kontrola hrane i hrane za životinje (Ministarstvo poljoprivrede, Ministarstvo zdravlja  i Državni inspektorat ), te druge institucije u Republici Hrvatskoj (kontrolna tijela, službeni i referentni laboratoriji, Hrvatska agencija za hranu). U navedenom sustavu, MP je određeno kao nadležno tijelo odnosno središnje tijelo državne uprave nadležno za sigurnost, higijenu i kakvoću hrane i hrane za životinje te predstavlja nacionalnu kontakt točku prema Europskoj komisiji u području sigurnosti hrane i hrane za životinje. </w:t>
      </w:r>
    </w:p>
    <w:p w:rsidR="00AC0832" w:rsidRDefault="00AC0832">
      <w:pPr>
        <w:pStyle w:val="Normal5"/>
      </w:pPr>
      <w:r>
        <w:t xml:space="preserve">Kao nadležno tijelo MP je odgovorno za razvoj politike u području sigurnosti i kakvoće hrane i hrane za životinje, organizaciju službenih kontrola te za osiguranje učinkovite i djelotvorne koordinacije svih aktivnosti, a osobito aktivnosti službenih kontrola, između svih tijela i institucija u RH uključenih u sustav sigurnosti hrane i hrane za životinje. </w:t>
      </w:r>
    </w:p>
    <w:p w:rsidR="00AC0832" w:rsidRDefault="00AC0832">
      <w:pPr>
        <w:pStyle w:val="Normal5"/>
      </w:pPr>
      <w:r>
        <w:t xml:space="preserve">Unapređenje sustava sigurnosti i kakvoće hrane i hrane za životinje u narednom trogodišnjem razdoblju MP će ostvariti unapređenjem HR RASFF sustava, uspostavom sustava službenih i referentnih laboratorija za hranu i hranu za životinje za potrebe službenih kontrola, komunikacijom sa javnosti i jačanjem svijesti javnosti o sigurnosti hrane te uspostavom sustava certifikacijskih tijela. </w:t>
      </w:r>
    </w:p>
    <w:p w:rsidR="00AC0832" w:rsidRDefault="00AC0832">
      <w:pPr>
        <w:pStyle w:val="Normal5"/>
      </w:pPr>
      <w:r>
        <w:t xml:space="preserve">U cilju unapređenja sustava sigurnosti i kakvoće hrane i hrane za životinje nužno je provoditi službene kontrole hrane životinjskog podrijetla i hrane za životinje u objektima u poslovanju s hranom životinjskog podrijetla i hranom za životinje, koje se moraju provoditi redovito na temelju analize rizika i s odgovarajućom učestalosti, prema planu kontrola u cilju zaštite zdravlja ljudi i zaštite interesa potrošača, te zaštite zdravlja i dobrobiti životinja, a uključuju i uzorkovanje i laboratorijske analize, kada uzorke pri provođenju službenih kontrola u objektima u poslovanju s hranom životinjskog podrijetla i hranom za životinja uzima državni veterinarski inspektor odnosno službeni veterinar sukladno propisanom. Službene kontrole provode se i u međunarodnom prometu u cilju izvoza hrane odnosno stavljanja na tržište Republike Hrvatske zdravstveno ispravne odnosno sigurne hrane. </w:t>
      </w:r>
    </w:p>
    <w:p w:rsidR="00AC0832" w:rsidRDefault="00AC0832">
      <w:pPr>
        <w:pStyle w:val="Normal5"/>
      </w:pPr>
      <w:r>
        <w:t xml:space="preserve">Strategija kojom se učinkovito smanjuje pojava zaraznih bolesti životinja, identična je strategiji Europske unije  „bolje spriječiti nego liječiti“ („prevention is better than cure”), kojom se može doći do zacrtanog cilja. Sprječavanjem pojave zaraznih bolesti, znatno se umanjuje sociološko-ekonomski učinak kojeg suzbijanje zaraznih bolesti može imati na posjednike, te državni proračun.  Cilj je staviti veći fokus na preventivne mjere, nadziranje, kontrolu i istraživanje u svrhu smanjenja broja pojave zaraznih bolesti, a na taj način umanjiti negativne učinke do kojih dolazi nakon izbijanja zaraznih bolesti životinja. Također takva strategija objedinjuje puno više od same kontrole zaraznih bolesti životinja, što više, ona  u zdravlju životinja objedinjuje i javno zdravstvo, sigurnost hrane, dobrobit životinja, održivi razvoj i istraživanje.Prioriteti moraju biti razmotreni na način da se osiguraju sredstva i izvori u područjima od najveće koristi za građane Republike Hrvatske.Očekivani rezultati ovakve strategije moraju biti mjerljivi, snažni i učinkoviti. </w:t>
      </w:r>
    </w:p>
    <w:p w:rsidR="00AC0832" w:rsidRDefault="00AC0832">
      <w:pPr>
        <w:pStyle w:val="Normal5"/>
      </w:pPr>
      <w:r>
        <w:t xml:space="preserve">Redovito se izrađuju državni programi monitoringa rezidua i kakvoće mora i živih školjkaša čija provedba osigurava stavljanje na tržište zdravstveno ispravne hrane životinjskog podrijetla. </w:t>
      </w:r>
    </w:p>
    <w:p w:rsidR="00AC0832" w:rsidRDefault="00AC0832">
      <w:pPr>
        <w:pStyle w:val="Normal5"/>
      </w:pPr>
      <w:r>
        <w:t>Izrađen je Nacionalni program unapređenja objekata u poslovanju s hranom životinjskog podrijetla i objekata u poslovanju s nusproizvodima životinjskog podrijetla koji nisu za prehranu ljudi, koji ima za cilj u konačnici usklađenost svih objekata sa propisanim zahtjevima usklađenim sa standardima EU. Provođenjem Programa omogućuje se subjektima u poslovanju s hranom životinjskog podrijetla i s nusproizvodima sustavno usklađivanje ne dovodeći u pitanje sigurnost hrane koja se stavlja na tržište.</w:t>
      </w:r>
    </w:p>
    <w:p w:rsidR="00AC0832" w:rsidRDefault="00AC0832">
      <w:pPr>
        <w:pStyle w:val="Heading6"/>
      </w:pPr>
      <w:r>
        <w:t>Zakonske i druge pravne osnove</w:t>
      </w:r>
    </w:p>
    <w:p w:rsidR="00AC0832" w:rsidRDefault="00AC0832">
      <w:pPr>
        <w:pStyle w:val="Normal5"/>
      </w:pPr>
      <w:r>
        <w:t xml:space="preserve">- Zakon o hrani (NN br. 46/07, 84/08, 55/11) </w:t>
      </w:r>
    </w:p>
    <w:p w:rsidR="00AC0832" w:rsidRDefault="00AC0832">
      <w:pPr>
        <w:pStyle w:val="Normal5"/>
      </w:pPr>
      <w:r>
        <w:t xml:space="preserve">- Zakon o veterinarstvu („Narodne novine“ br. 41/07) </w:t>
      </w:r>
    </w:p>
    <w:p w:rsidR="00AC0832" w:rsidRDefault="00AC0832">
      <w:pPr>
        <w:pStyle w:val="Normal5"/>
      </w:pPr>
      <w:r>
        <w:t xml:space="preserve">-  Pravilnik o službenim kontrolama koje se provode radi verifikacije postupanja u skladu s odredbama propisa o hrani i hrani za životinje, te propisa o zdravlju i zaštiti životinja („Narodne novine“, broj 99/09 i 74/08), </w:t>
      </w:r>
    </w:p>
    <w:p w:rsidR="00AC0832" w:rsidRDefault="00AC0832">
      <w:pPr>
        <w:pStyle w:val="Normal5"/>
      </w:pPr>
      <w:r>
        <w:t xml:space="preserve">- Pravilnik o visini pristojbi i naknada za službene kontrole hrane životinjskog podrijetla i hrane za životinje („Narodne novine“, broj 79/09-107/09),; </w:t>
      </w:r>
    </w:p>
    <w:p w:rsidR="00AC0832" w:rsidRDefault="00AC0832">
      <w:pPr>
        <w:pStyle w:val="Normal5"/>
      </w:pPr>
      <w:r>
        <w:t xml:space="preserve">- Pravilnik o izdavanju certifikata za žive životinje i proizvode životinjskog podrijetla u međunarodnom prometu („Narodne novine“, broj 137/08 i 97/09); </w:t>
      </w:r>
    </w:p>
    <w:p w:rsidR="00AC0832" w:rsidRDefault="00AC0832">
      <w:pPr>
        <w:pStyle w:val="Normal5"/>
      </w:pPr>
      <w:r>
        <w:t xml:space="preserve">- Godišnja Naredba o mjerama zaštite životinja od zaraznih i nametničkih bolesti i njihovom financiranju </w:t>
      </w:r>
    </w:p>
    <w:p w:rsidR="00AC0832" w:rsidRDefault="00AC0832">
      <w:pPr>
        <w:pStyle w:val="Normal5"/>
      </w:pPr>
      <w:r>
        <w:t xml:space="preserve">- Pravilnik o veterinarskim uvjetima za stavljanje u promet goveda i svinja („Narodne novine“ br. 154/2008) </w:t>
      </w:r>
    </w:p>
    <w:p w:rsidR="00AC0832" w:rsidRDefault="00AC0832">
      <w:pPr>
        <w:pStyle w:val="Normal5"/>
      </w:pPr>
      <w:r>
        <w:t xml:space="preserve">- Pravilnik o veterinarsko-zdravstvenim uvjetima za stavljanje u promet ovaca i koza („Narodne novine“ br.  51/2009) </w:t>
      </w:r>
    </w:p>
    <w:p w:rsidR="00AC0832" w:rsidRDefault="00AC0832">
      <w:pPr>
        <w:pStyle w:val="Normal5"/>
      </w:pPr>
      <w:r>
        <w:t xml:space="preserve">- Pravilnik za kontrolu salmonela i drugih određenih uzročnika zoonoza koji se prenose hranom („Narodne novine“ br., 105/06) </w:t>
      </w:r>
    </w:p>
    <w:p w:rsidR="00AC0832" w:rsidRDefault="00AC0832">
      <w:pPr>
        <w:pStyle w:val="Normal5"/>
      </w:pPr>
      <w:r>
        <w:t>- Pravilnik o smjernicama za izradu i provedbu programa nadziranja influence ptica u peradi i divljih ptica („Narodne novine“ br. 114/2008)</w:t>
      </w:r>
    </w:p>
    <w:p w:rsidR="00AC0832" w:rsidRDefault="00AC0832">
      <w:pPr>
        <w:pStyle w:val="Heading7"/>
      </w:pPr>
      <w:r>
        <w:t>Cilj 1. Povećanje sigurne hrane životinjskog podrijetla i hrane za životinje na tržištu Republike Hrvatske</w:t>
      </w:r>
    </w:p>
    <w:p w:rsidR="00AC0832" w:rsidRDefault="00AC0832">
      <w:pPr>
        <w:pStyle w:val="Heading8"/>
        <w:jc w:val="left"/>
      </w:pPr>
      <w:r>
        <w:t>Opis provedbe cilja programa</w:t>
      </w:r>
    </w:p>
    <w:p w:rsidR="00AC0832" w:rsidRDefault="00AC0832">
      <w:pPr>
        <w:pStyle w:val="Normal6"/>
      </w:pPr>
      <w:r>
        <w:t>Uspostava sustava službenih kontrola, usklađenog sa sustavom službenih kontrola u Europskoj uniji, u području sigurnosti i kakvoće hrane i hrane za životinje aktivnost je i mjerilo koje se moralo ispuniti u cilju zatvaranja pregovora u poglavlju 12.- Sigurnost hrane, veterinarstvo i fitosanitarni nadzor. Službene kontrole moraju se provoditi u svim fazama proizvodnje, prerade i distribucije hrane ili hrane za životinje, te na životinjama i proizvodima životinjskog podrijetla. Kvalitetnim provođenjem službenih kontrola hrane životinjskog podrijetla i hrane za životinje putem educiranih osoba ovlaštenih za provođenje službenih kontrola potrebno je verificirati postupanje sukladno propisima o hrani te hrani za životinje, o zdravlju i dobrobiti životinja, osiguravajući zdravstvenu ispravnost, higijenu i kakvoću hrane i hrane za životinje odnosno sigurnost hrane. Učinkovita organizacija službenih kontrola koja se provodi i u objektima u poslovanju s hranom životinjskog podrijetla dovodi do unaprjeđenja objekata u poslovanju s hranom, poduzimanjem mjera u cilju otklanjanja nesukladnosti odnosno nedostataka, osiguravajući stavljanje na tržište sigurne hrane te time zaštitu zdravlja ljudi, životinja i interesa potrošača.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62"/>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sigurnosti hrane životinjskog podrijetla i hrane za životinje na tržištu RH</w:t>
            </w:r>
          </w:p>
        </w:tc>
        <w:tc>
          <w:tcPr>
            <w:tcW w:w="1300" w:type="dxa"/>
          </w:tcPr>
          <w:p w:rsidR="00AC0832" w:rsidRDefault="00AC0832">
            <w:pPr>
              <w:pStyle w:val="CellColumn"/>
            </w:pPr>
            <w:r>
              <w:t>Povećanje sigurnosti hrane životinjskog podrijetla i hrane za životinje na tržištu RH</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80</w:t>
            </w:r>
          </w:p>
        </w:tc>
        <w:tc>
          <w:tcPr>
            <w:tcW w:w="1300" w:type="dxa"/>
          </w:tcPr>
          <w:p w:rsidR="00AC0832" w:rsidRDefault="00AC0832">
            <w:pPr>
              <w:pStyle w:val="CellColumn"/>
            </w:pPr>
            <w:r>
              <w:t>80</w:t>
            </w:r>
          </w:p>
        </w:tc>
      </w:tr>
    </w:tbl>
    <w:p w:rsidR="00AC0832" w:rsidRDefault="00AC0832">
      <w:pPr>
        <w:jc w:val="left"/>
      </w:pPr>
    </w:p>
    <w:p w:rsidR="00AC0832" w:rsidRDefault="00AC0832">
      <w:pPr>
        <w:pStyle w:val="Heading7"/>
      </w:pPr>
      <w:r>
        <w:t>Cilj 2. Unapređenje  HR RASFF sustava</w:t>
      </w:r>
    </w:p>
    <w:p w:rsidR="00AC0832" w:rsidRDefault="00AC0832">
      <w:pPr>
        <w:pStyle w:val="Heading8"/>
        <w:jc w:val="left"/>
      </w:pPr>
      <w:r>
        <w:t>Opis provedbe cilja programa</w:t>
      </w:r>
    </w:p>
    <w:p w:rsidR="00AC0832" w:rsidRDefault="00AC0832">
      <w:pPr>
        <w:pStyle w:val="Normal6"/>
      </w:pPr>
      <w:r>
        <w:t>Cilj je osigurati učinkovito funkcioniranje HR RASFF sustava u smislu održavanja IT RASFF aplikacije educiranja djelatnika , te daljnjeg usklađivanja sa zahtjevima EU RASFFA.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62"/>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educiranih osoba koje sudjeluju u HR RASFF sustavu</w:t>
            </w:r>
          </w:p>
        </w:tc>
        <w:tc>
          <w:tcPr>
            <w:tcW w:w="1300" w:type="dxa"/>
          </w:tcPr>
          <w:p w:rsidR="00AC0832" w:rsidRDefault="00AC0832">
            <w:pPr>
              <w:pStyle w:val="CellColumn"/>
            </w:pPr>
            <w:r>
              <w:t>Povećanje broja educiranih osoba koje sudjeluju u HR RASFF sustavu</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100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7"/>
      </w:pPr>
      <w:r>
        <w:t>Cilj 3. Smanjenje broja slučajeva bjesnoće u Hrvatskoj</w:t>
      </w:r>
    </w:p>
    <w:p w:rsidR="00AC0832" w:rsidRDefault="00AC0832">
      <w:pPr>
        <w:pStyle w:val="Heading8"/>
        <w:jc w:val="left"/>
      </w:pPr>
      <w:r>
        <w:t>Opis provedbe cilja programa</w:t>
      </w:r>
    </w:p>
    <w:p w:rsidR="00AC0832" w:rsidRDefault="00AC0832">
      <w:pPr>
        <w:pStyle w:val="Normal6"/>
      </w:pPr>
      <w:r>
        <w:t>Europska unija provodi regionalni projekt iskorjenjivanja životinjskih bolesti u zemljama zapadnog Balkana, u okviru kojeg svaka zemlja provodi vlasiti (nacionalni) projekt. U Hrvatskoj je započela provedba nacionalnog projekta iskorjenjivanja bjesnoće (iz programa IPA 2008), koji obuhvaća oralnu vakcinaciju lisica, testiranje uzoraka s ciljem utvrđivanja uspješnosti cjepljenja te epidemiološku analizu rezultata. Za uspješno iskorjenjivanje bjesnoće potrebno je oralnu vakcinaciju provoditi minimalno pet godina, što je osigurano projektima iz programa IPA 2008 i IPA 2010.  Ovi projekti uključuju i komponentu javnih kampanja kojima će se javnost upoznati s važnošću iskorjenjivanja bjesnoće te aktivnostima projekta.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328"/>
        <w:gridCol w:w="1300"/>
        <w:gridCol w:w="1300"/>
        <w:gridCol w:w="1362"/>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Bjesnoća iskorijenjena u RH</w:t>
            </w:r>
          </w:p>
        </w:tc>
        <w:tc>
          <w:tcPr>
            <w:tcW w:w="1300" w:type="dxa"/>
          </w:tcPr>
          <w:p w:rsidR="00AC0832" w:rsidRDefault="00AC0832">
            <w:pPr>
              <w:pStyle w:val="CellColumn"/>
            </w:pPr>
            <w:r>
              <w:t>Bjesnoća iskorijenjena u RH</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5</w:t>
            </w:r>
          </w:p>
        </w:tc>
        <w:tc>
          <w:tcPr>
            <w:tcW w:w="1300" w:type="dxa"/>
          </w:tcPr>
          <w:p w:rsidR="00AC0832" w:rsidRDefault="00AC0832">
            <w:pPr>
              <w:pStyle w:val="CellColumn"/>
            </w:pPr>
            <w:r>
              <w:t>34,7</w:t>
            </w:r>
          </w:p>
        </w:tc>
      </w:tr>
    </w:tbl>
    <w:p w:rsidR="00AC0832" w:rsidRDefault="00AC0832">
      <w:pPr>
        <w:jc w:val="left"/>
      </w:pPr>
    </w:p>
    <w:p w:rsidR="00AC0832" w:rsidRDefault="00AC0832">
      <w:pPr>
        <w:pStyle w:val="Heading6"/>
      </w:pPr>
      <w:r>
        <w:t>A401084 MONITORING PROGRAMI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A401084-MONITORING PROGRAMI</w:t>
            </w:r>
          </w:p>
        </w:tc>
        <w:tc>
          <w:tcPr>
            <w:tcW w:w="2322" w:type="dxa"/>
          </w:tcPr>
          <w:p w:rsidR="00AC0832" w:rsidRDefault="00AC0832">
            <w:pPr>
              <w:pStyle w:val="CellColumn"/>
            </w:pPr>
            <w:r>
              <w:t>15.000.000</w:t>
            </w:r>
          </w:p>
        </w:tc>
        <w:tc>
          <w:tcPr>
            <w:tcW w:w="2322" w:type="dxa"/>
          </w:tcPr>
          <w:p w:rsidR="00AC0832" w:rsidRDefault="00AC0832">
            <w:pPr>
              <w:pStyle w:val="CellColumn"/>
            </w:pPr>
            <w:r>
              <w:t>14.231.053</w:t>
            </w:r>
          </w:p>
        </w:tc>
        <w:tc>
          <w:tcPr>
            <w:tcW w:w="2322" w:type="dxa"/>
          </w:tcPr>
          <w:p w:rsidR="00AC0832" w:rsidRDefault="00AC0832">
            <w:pPr>
              <w:pStyle w:val="CellColumn"/>
            </w:pPr>
            <w:r>
              <w:t>94,9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Državni program monitoringa rezidua (DPMR) dio je službenih kontrola koje se provode radi zaštite javnoga zdravlja. DPMR je sustavno praćenje rezidua i drugih za ljudsko zdravlje škodljivih onečišćivača, u proizvodima životinjskoga podrijetla koji su namijenjeni prehrani ljudi. DPMR se dostavlja Europskoj Komisiji (EK) radi odobravanja do 31. ožujka tekuće godine. EK provjerava da li se zemlje pridržavaju Plana koji je naveden i je li je Plan izrađen i provođen u skladu s navedenim Direktivama. Ukoliko EK odobri Plan zemlja dobije dozvolu izvoza živih životinja i njihovih proizvoda u EU. Ukoliko EK utvrdi da dostavljeni Plan nije u skladu  ili se ne provodi na propisani način može ukinuti zemlji izvozni status. Obično je potrebno pet godina odobrenog DPMR od EK prije nego zemlja ponovno postigne izvozni status u EU.</w:t>
      </w:r>
    </w:p>
    <w:p w:rsidR="00AC0832" w:rsidRDefault="00AC0832">
      <w:pPr>
        <w:pStyle w:val="Heading6"/>
      </w:pPr>
      <w:r>
        <w:t>A401116 SLUŽBENE KONTROLE VETERINARSKE INSPEKCIJE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A401116-SLUŽBENE KONTROLE VETERINARSKE INSPEKCIJE</w:t>
            </w:r>
          </w:p>
        </w:tc>
        <w:tc>
          <w:tcPr>
            <w:tcW w:w="2322" w:type="dxa"/>
          </w:tcPr>
          <w:p w:rsidR="00AC0832" w:rsidRDefault="00AC0832">
            <w:pPr>
              <w:pStyle w:val="CellColumn"/>
            </w:pPr>
            <w:r>
              <w:t>46.641.750</w:t>
            </w:r>
          </w:p>
        </w:tc>
        <w:tc>
          <w:tcPr>
            <w:tcW w:w="2322" w:type="dxa"/>
          </w:tcPr>
          <w:p w:rsidR="00AC0832" w:rsidRDefault="00AC0832">
            <w:pPr>
              <w:pStyle w:val="CellColumn"/>
            </w:pPr>
            <w:r>
              <w:t>55.132.293</w:t>
            </w:r>
          </w:p>
        </w:tc>
        <w:tc>
          <w:tcPr>
            <w:tcW w:w="2322" w:type="dxa"/>
          </w:tcPr>
          <w:p w:rsidR="00AC0832" w:rsidRDefault="00AC0832">
            <w:pPr>
              <w:pStyle w:val="CellColumn"/>
            </w:pPr>
            <w:r>
              <w:t>118,2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Službene kontrole hrane životinjskog podrijetla i hrane za životinje provode ovlašteni veterinari kontrolnih tijela i ovlaštenih veterinarskih organizacija, kao i službeni veterinari te veterinarski inspektori Ministarstva poljoprivrede. Provode se redovito, na temelju analize rizika i s odgovarajućom učestalosti, prema planu kontrola te se njima omogućuje pravovremeno utvrđivanje nesukladnosti u objektima u poslovanju s hranom životinjskog podrijetla i hranom za životinje uz poduzimanje mjera radi otklanjanja nesukladnosti, osiguravajući sigurnost i kakvoću hrane te unaprjeđenje objekata. Službene kontrole provode se i u međunarodnom prometu radi stavljanja na tržište RH zdravstveno ispravne odnosno sigurne hrane. </w:t>
      </w:r>
    </w:p>
    <w:p w:rsidR="00AC0832" w:rsidRDefault="00AC0832">
      <w:pPr>
        <w:pStyle w:val="Normal6"/>
      </w:pPr>
      <w:r>
        <w:t xml:space="preserve">Dodijeljena sredstva u najvećem dijelu utrošena su na naknade za usluge ovlaštenih veterinarskih organizacija i kontrolnih tijela (trgovačka društva), za poslove provođenja službenih kontrola u objektima u poslovanju s hranom životinjskog podrijetla i hranom za životinje, što uključuje i izdavanja certifikata pri izvozu pošiljaka. Dio sredstava u ukupnom iznosu od cca 12.000.000,00 kn utrošen je za troškove pretraga na trihinelu koji se podmiruju sa stavke A401116 umjesto da ih podmiruju subjekti u poslovanju s hranom, sve u cilju rasterećenja gospodarstva. </w:t>
      </w:r>
    </w:p>
    <w:p w:rsidR="00AC0832" w:rsidRDefault="00AC0832">
      <w:pPr>
        <w:pStyle w:val="Normal6"/>
      </w:pPr>
      <w:r>
        <w:t>Također, Ministarstvo poljoprivrede subjektima u poslovanju s hranom na ime pristojbi za provedene službene kontrole ne obračunava PDV, a istovremeno ovlaštene veterinarske organizacije i kontrolna tijela za svoje usluge provođenja službenih kontrola Ministarstvu dostavljaju račune u kojima je obračunat PDV u ukupnom iznosu od cca 10.000.000,00 kn godišnje i navedeni iznos PDV-a se podmiruje sa stavke A 401116 te se na toj stavci očituje kao rashod odnosno Ministarstvo poljoprivrede ostvaruje proračunski deficit, iako naknadno ovlaštene veterinarske organizacije i kontrolna tijela taj PDV uplaćuju na drugu stavku proračuna, gdje je iskazan kao prihod. Iz navedenog razloga izvršenje proračuna je bilo veće od planiranih sredstava u 2012. godini.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62"/>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educiranih osoba ovlaštenih za provođenje službenih kontrola</w:t>
            </w:r>
          </w:p>
        </w:tc>
        <w:tc>
          <w:tcPr>
            <w:tcW w:w="1300" w:type="dxa"/>
          </w:tcPr>
          <w:p w:rsidR="00AC0832" w:rsidRDefault="00AC0832">
            <w:pPr>
              <w:pStyle w:val="CellColumn"/>
            </w:pPr>
            <w:r>
              <w:t>Povećanje broja educiranih osoba ovlaštenih za provođenje službenih kontrola</w:t>
            </w:r>
          </w:p>
        </w:tc>
        <w:tc>
          <w:tcPr>
            <w:tcW w:w="1300" w:type="dxa"/>
          </w:tcPr>
          <w:p w:rsidR="00AC0832" w:rsidRDefault="00AC0832">
            <w:pPr>
              <w:pStyle w:val="CellColumn"/>
            </w:pPr>
            <w:r>
              <w:t>Broj</w:t>
            </w:r>
          </w:p>
        </w:tc>
        <w:tc>
          <w:tcPr>
            <w:tcW w:w="1300" w:type="dxa"/>
          </w:tcPr>
          <w:p w:rsidR="00AC0832" w:rsidRDefault="00AC0832">
            <w:pPr>
              <w:pStyle w:val="CellColumn"/>
            </w:pPr>
            <w:r>
              <w:t>30</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380</w:t>
            </w:r>
          </w:p>
        </w:tc>
        <w:tc>
          <w:tcPr>
            <w:tcW w:w="1300" w:type="dxa"/>
          </w:tcPr>
          <w:p w:rsidR="00AC0832" w:rsidRDefault="00AC0832">
            <w:pPr>
              <w:pStyle w:val="CellColumn"/>
            </w:pPr>
            <w:r>
              <w:t>530</w:t>
            </w:r>
          </w:p>
        </w:tc>
      </w:tr>
    </w:tbl>
    <w:p w:rsidR="00AC0832" w:rsidRDefault="00AC0832">
      <w:pPr>
        <w:jc w:val="left"/>
      </w:pPr>
    </w:p>
    <w:p w:rsidR="00AC0832" w:rsidRDefault="00AC0832">
      <w:pPr>
        <w:pStyle w:val="Heading6"/>
      </w:pPr>
      <w:r>
        <w:t>A401134 UNAPREĐENJE HR RASFF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A401134-UNAPREĐENJE HR RASFF SUSTAVA</w:t>
            </w:r>
          </w:p>
        </w:tc>
        <w:tc>
          <w:tcPr>
            <w:tcW w:w="2322" w:type="dxa"/>
          </w:tcPr>
          <w:p w:rsidR="00AC0832" w:rsidRDefault="00AC0832">
            <w:pPr>
              <w:pStyle w:val="CellColumn"/>
            </w:pPr>
            <w:r>
              <w:t>90.000</w:t>
            </w:r>
          </w:p>
        </w:tc>
        <w:tc>
          <w:tcPr>
            <w:tcW w:w="2322" w:type="dxa"/>
          </w:tcPr>
          <w:p w:rsidR="00AC0832" w:rsidRDefault="00AC0832">
            <w:pPr>
              <w:pStyle w:val="CellColumn"/>
            </w:pPr>
            <w:r>
              <w:t>69.495</w:t>
            </w:r>
          </w:p>
        </w:tc>
        <w:tc>
          <w:tcPr>
            <w:tcW w:w="2322" w:type="dxa"/>
          </w:tcPr>
          <w:p w:rsidR="00AC0832" w:rsidRDefault="00AC0832">
            <w:pPr>
              <w:pStyle w:val="CellColumn"/>
            </w:pPr>
            <w:r>
              <w:t>77,2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Sustav brzog uzbunjivanja za hranu i hranu za životinje (eng. Rapid Alert System for Food and Feed - RASFF) je mrežni sustav izvještavanja o hrani odnosno hrani za životinje koja predstavlja izravan ili neizravan rizik za zdravlje ljudi, a koji je ključan instrument za osiguranje sigurnosti hrane i hrane za životinje u Europi. Razmjena informacija kroz RASFF sustav pomaže državama članicama mreže (EU, EEA) da djeluju brže i koordinirano kao odgovor na zdravstvene prijetnje koje potječu od hrane ili hrane za životinje. Svaka država članica RASFF sustava mora imati uspostavljen učinkovit sustav brzog uzbunjivanja za hranu i hranu za životinje na nacionalnoj razini koji je u funkciji svih 7 dana u tjednu i 24 sata na dan kako bi se osiguralo pravovremeno poduzimanje kontrolnih aktivnosti i mjera. Obzirom da smo od planiranih aktivnosti proveli samo aktivnost održavanja RASAFF sustava, te da planirane edukacije djelatnika u 2012 godini nisu provedene stoga se ovaj pokazatelj rezultata ne može prikazati kao relevantan.</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62"/>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educiranih osoba koje sudjeluju u HR RASFF sustavu</w:t>
            </w:r>
          </w:p>
        </w:tc>
        <w:tc>
          <w:tcPr>
            <w:tcW w:w="1300" w:type="dxa"/>
          </w:tcPr>
          <w:p w:rsidR="00AC0832" w:rsidRDefault="00AC0832">
            <w:pPr>
              <w:pStyle w:val="CellColumn"/>
            </w:pPr>
            <w:r>
              <w:t>Povećanje broja educiranih osoba koje sudjeluju u HR RASFF sustavu</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200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A568001 ZDRAVSTVENA ZAŠTITA ŽIVOTINJA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A568001-ZDRAVSTVENA ZAŠTITA ŽIVOTINJA</w:t>
            </w:r>
          </w:p>
        </w:tc>
        <w:tc>
          <w:tcPr>
            <w:tcW w:w="2322" w:type="dxa"/>
          </w:tcPr>
          <w:p w:rsidR="00AC0832" w:rsidRDefault="00AC0832">
            <w:pPr>
              <w:pStyle w:val="CellColumn"/>
            </w:pPr>
            <w:r>
              <w:t>183.706.785</w:t>
            </w:r>
          </w:p>
        </w:tc>
        <w:tc>
          <w:tcPr>
            <w:tcW w:w="2322" w:type="dxa"/>
          </w:tcPr>
          <w:p w:rsidR="00AC0832" w:rsidRDefault="00AC0832">
            <w:pPr>
              <w:pStyle w:val="CellColumn"/>
            </w:pPr>
            <w:r>
              <w:t>183.548.358</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svrhu zaštite i unaprjeđenja zdravstvenog statusa životinja u Republici Hrvatskoj (RH), a osobito životinja koje se koriste za proizvodnju hrane, MP Uprava veterinarstva određuje provedbu preventivnih mjera te mjera za rano otkrivanje, nadziranje, kontrolu i iskorjenjivanje bolesti životinja, uključujući zoonoze, bolesti koje izazivaju značajne ekonomske štete, te druge bolesti životinja od interesa za RH. U tu svrhu i u skladu sa Zakonom o veterinarstvu (Narodne novine br. 41/2007, 155/2008) i podzakonskim propisima provodi se uzorkovanje i laboratorijsko pretraživanje, provedba preventivnih biosigurnosnih mjera, cijepljenje, klanje ili usmrćivanje i neškodljivo uklanjanje životinja.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62"/>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certificiranih „službeno slobodnih“ stada u  odnosu na ukupan broj stada</w:t>
            </w:r>
          </w:p>
        </w:tc>
        <w:tc>
          <w:tcPr>
            <w:tcW w:w="1300" w:type="dxa"/>
          </w:tcPr>
          <w:p w:rsidR="00AC0832" w:rsidRDefault="00AC0832">
            <w:pPr>
              <w:pStyle w:val="CellColumn"/>
            </w:pPr>
            <w:r>
              <w:t>Povećanje broja certificiranih „službeno slobodnih“ stada u  odnosu na ukupan broj stada</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20</w:t>
            </w:r>
          </w:p>
        </w:tc>
        <w:tc>
          <w:tcPr>
            <w:tcW w:w="1300" w:type="dxa"/>
          </w:tcPr>
          <w:p w:rsidR="00AC0832" w:rsidRDefault="00AC0832">
            <w:pPr>
              <w:pStyle w:val="CellColumn"/>
            </w:pPr>
            <w:r>
              <w:t>60</w:t>
            </w:r>
          </w:p>
        </w:tc>
      </w:tr>
      <w:tr w:rsidR="00AC0832" w:rsidTr="00BE20ED">
        <w:trPr>
          <w:jc w:val="center"/>
        </w:trPr>
        <w:tc>
          <w:tcPr>
            <w:tcW w:w="1300" w:type="dxa"/>
          </w:tcPr>
          <w:p w:rsidR="00AC0832" w:rsidRDefault="00AC0832">
            <w:pPr>
              <w:pStyle w:val="CellColumn"/>
            </w:pPr>
            <w:r>
              <w:t>Povećanje broja subjekata koji drže životinje i postupaju s njima sukladno propisima o dobrobiti u odnosu na ukupan broj subjekata koji drže životinje životinja</w:t>
            </w:r>
          </w:p>
        </w:tc>
        <w:tc>
          <w:tcPr>
            <w:tcW w:w="1300" w:type="dxa"/>
          </w:tcPr>
          <w:p w:rsidR="00AC0832" w:rsidRDefault="00AC0832">
            <w:pPr>
              <w:pStyle w:val="CellColumn"/>
            </w:pPr>
            <w:r>
              <w:t>Povećanje broja subjekata koji drže životinje i postupaju s njima sukladno propisima o dobrobiti u odnosu na ukupan broj subjekata koji drže životinje životinja</w:t>
            </w:r>
          </w:p>
        </w:tc>
        <w:tc>
          <w:tcPr>
            <w:tcW w:w="1300" w:type="dxa"/>
          </w:tcPr>
          <w:p w:rsidR="00AC0832" w:rsidRDefault="00AC0832">
            <w:pPr>
              <w:pStyle w:val="CellColumn"/>
            </w:pPr>
            <w:r>
              <w:t>%</w:t>
            </w:r>
          </w:p>
        </w:tc>
        <w:tc>
          <w:tcPr>
            <w:tcW w:w="1300" w:type="dxa"/>
          </w:tcPr>
          <w:p w:rsidR="00AC0832" w:rsidRDefault="00AC0832">
            <w:pPr>
              <w:pStyle w:val="CellColumn"/>
            </w:pPr>
            <w:r>
              <w:t>40</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60</w:t>
            </w:r>
          </w:p>
        </w:tc>
        <w:tc>
          <w:tcPr>
            <w:tcW w:w="1300" w:type="dxa"/>
          </w:tcPr>
          <w:p w:rsidR="00AC0832" w:rsidRDefault="00AC0832">
            <w:pPr>
              <w:pStyle w:val="CellColumn"/>
            </w:pPr>
            <w:r>
              <w:t>80</w:t>
            </w:r>
          </w:p>
        </w:tc>
      </w:tr>
      <w:tr w:rsidR="00AC0832" w:rsidTr="00BE20ED">
        <w:trPr>
          <w:jc w:val="center"/>
        </w:trPr>
        <w:tc>
          <w:tcPr>
            <w:tcW w:w="1300" w:type="dxa"/>
          </w:tcPr>
          <w:p w:rsidR="00AC0832" w:rsidRDefault="00AC0832">
            <w:pPr>
              <w:pStyle w:val="CellColumn"/>
            </w:pPr>
            <w:r>
              <w:t>Smanjenje broja slučajeva bolesti i  životinja izlučenih iz uzgoja</w:t>
            </w:r>
          </w:p>
        </w:tc>
        <w:tc>
          <w:tcPr>
            <w:tcW w:w="1300" w:type="dxa"/>
          </w:tcPr>
          <w:p w:rsidR="00AC0832" w:rsidRDefault="00AC0832">
            <w:pPr>
              <w:pStyle w:val="CellColumn"/>
            </w:pPr>
            <w:r>
              <w:t>Smanjenje broja slučajeva bolesti i  životinja izlučenih iz uzgoja</w:t>
            </w:r>
          </w:p>
        </w:tc>
        <w:tc>
          <w:tcPr>
            <w:tcW w:w="1300" w:type="dxa"/>
          </w:tcPr>
          <w:p w:rsidR="00AC0832" w:rsidRDefault="00AC0832">
            <w:pPr>
              <w:pStyle w:val="CellColumn"/>
            </w:pPr>
            <w:r>
              <w:t>Broj</w:t>
            </w:r>
          </w:p>
        </w:tc>
        <w:tc>
          <w:tcPr>
            <w:tcW w:w="1300" w:type="dxa"/>
          </w:tcPr>
          <w:p w:rsidR="00AC0832" w:rsidRDefault="00AC0832">
            <w:pPr>
              <w:pStyle w:val="CellColumn"/>
            </w:pPr>
            <w:r>
              <w:t>2.161</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1500</w:t>
            </w:r>
          </w:p>
        </w:tc>
        <w:tc>
          <w:tcPr>
            <w:tcW w:w="1300" w:type="dxa"/>
          </w:tcPr>
          <w:p w:rsidR="00AC0832" w:rsidRDefault="00AC0832">
            <w:pPr>
              <w:pStyle w:val="CellColumn"/>
            </w:pPr>
            <w:r>
              <w:t>920</w:t>
            </w:r>
          </w:p>
        </w:tc>
      </w:tr>
    </w:tbl>
    <w:p w:rsidR="00AC0832" w:rsidRDefault="00AC0832">
      <w:pPr>
        <w:jc w:val="left"/>
      </w:pPr>
    </w:p>
    <w:p w:rsidR="00AC0832" w:rsidRDefault="00AC0832">
      <w:pPr>
        <w:pStyle w:val="Heading6"/>
      </w:pPr>
      <w:r>
        <w:t>A568057 ZBRINJAVANJE-NEŠKODLJIVO UNIŠTAVANJE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A568057-ZBRINJAVANJE-NEŠKODLJIVO UNIŠTAVANJE</w:t>
            </w:r>
          </w:p>
        </w:tc>
        <w:tc>
          <w:tcPr>
            <w:tcW w:w="2322" w:type="dxa"/>
          </w:tcPr>
          <w:p w:rsidR="00AC0832" w:rsidRDefault="00AC0832">
            <w:pPr>
              <w:pStyle w:val="CellColumn"/>
            </w:pPr>
            <w:r>
              <w:t>33.000.000</w:t>
            </w:r>
          </w:p>
        </w:tc>
        <w:tc>
          <w:tcPr>
            <w:tcW w:w="2322" w:type="dxa"/>
          </w:tcPr>
          <w:p w:rsidR="00AC0832" w:rsidRDefault="00AC0832">
            <w:pPr>
              <w:pStyle w:val="CellColumn"/>
            </w:pPr>
            <w:r>
              <w:t>32.998.927</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Sakupljanje, prijevoz, skladištenje, postupanje, prerada i uporaba ili uklanjanje nusproizvoda životinjskog podrijetla koji nisu za prehranu ljudi. Stavljanje na tržište i, u određenim slučajevima, izvoz i provoz nusproizvoda životinjskog podrijetla koji nisu za prehranu ljudi i od njih dobivenih proizvoda. </w:t>
      </w:r>
    </w:p>
    <w:p w:rsidR="00AC0832" w:rsidRDefault="00AC0832">
      <w:pPr>
        <w:pStyle w:val="Normal6"/>
      </w:pPr>
      <w:r>
        <w:t>Aktivnosti obavljaju pravne i fizičke osobe, tj. subjekti u poslovanju s nusproizvodima životinjskog podrijetla koji nisu za prehranu ljudi, čiji su objekti ili aktivnosti upisani u Upisnik koji vodi Uprava veterinarstvo.</w:t>
      </w:r>
    </w:p>
    <w:p w:rsidR="00AC0832" w:rsidRDefault="00AC0832">
      <w:pPr>
        <w:pStyle w:val="Heading6"/>
      </w:pPr>
      <w:r>
        <w:t>T568081 USLUGE OZNAČAVANJA ŽIVOTINJA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T568081-USLUGE OZNAČAVANJA ŽIVOTINJA</w:t>
            </w:r>
          </w:p>
        </w:tc>
        <w:tc>
          <w:tcPr>
            <w:tcW w:w="2322" w:type="dxa"/>
          </w:tcPr>
          <w:p w:rsidR="00AC0832" w:rsidRDefault="00AC0832">
            <w:pPr>
              <w:pStyle w:val="CellColumn"/>
            </w:pPr>
            <w:r>
              <w:t>10.000.000</w:t>
            </w:r>
          </w:p>
        </w:tc>
        <w:tc>
          <w:tcPr>
            <w:tcW w:w="2322" w:type="dxa"/>
          </w:tcPr>
          <w:p w:rsidR="00AC0832" w:rsidRDefault="00AC0832">
            <w:pPr>
              <w:pStyle w:val="CellColumn"/>
            </w:pPr>
            <w:r>
              <w:t>9.963.743</w:t>
            </w:r>
          </w:p>
        </w:tc>
        <w:tc>
          <w:tcPr>
            <w:tcW w:w="2322" w:type="dxa"/>
          </w:tcPr>
          <w:p w:rsidR="00AC0832" w:rsidRDefault="00AC0832">
            <w:pPr>
              <w:pStyle w:val="CellColumn"/>
            </w:pPr>
            <w:r>
              <w:t>99,6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Označavanje i registraciju životinja kao sastavne i nerazdvojive dijelove ukupnog procesa identifikacije životinja obavljaju ovlašteni i registrirani označavatelji koji mogu biti: </w:t>
      </w:r>
    </w:p>
    <w:p w:rsidR="00AC0832" w:rsidRDefault="00AC0832">
      <w:pPr>
        <w:pStyle w:val="Normal6"/>
      </w:pPr>
      <w:r>
        <w:t xml:space="preserve">-posjednici životinja; </w:t>
      </w:r>
    </w:p>
    <w:p w:rsidR="00AC0832" w:rsidRDefault="00AC0832">
      <w:pPr>
        <w:pStyle w:val="Normal6"/>
      </w:pPr>
      <w:r>
        <w:t xml:space="preserve">-ovlaštene veterinarske organizacije; </w:t>
      </w:r>
    </w:p>
    <w:p w:rsidR="00AC0832" w:rsidRDefault="00AC0832">
      <w:pPr>
        <w:pStyle w:val="Normal6"/>
      </w:pPr>
      <w:r>
        <w:t xml:space="preserve">-djelatnici Hrvatske poljoprivredne agencije. </w:t>
      </w:r>
    </w:p>
    <w:p w:rsidR="00AC0832" w:rsidRDefault="00AC0832">
      <w:pPr>
        <w:pStyle w:val="Normal6"/>
      </w:pPr>
      <w:r>
        <w:t xml:space="preserve">Označavanje podrazumijeva sam čin stavljanja sredstva za označavanje (ušna markica, elektronski transponder u obliku parenteralnog mikročipa ili bolusa) na životinju, a registraciju označenih životinja rade označavatelji unosom u računalne baze – registre označenih životinja koji se vode za svaku vrstu domaćih životinja posebno. Ovi registri jesu: </w:t>
      </w:r>
    </w:p>
    <w:p w:rsidR="00AC0832" w:rsidRDefault="00AC0832">
      <w:pPr>
        <w:pStyle w:val="Normal6"/>
      </w:pPr>
      <w:r>
        <w:t xml:space="preserve">-Jedinstveni registar goveda; </w:t>
      </w:r>
    </w:p>
    <w:p w:rsidR="00AC0832" w:rsidRDefault="00AC0832">
      <w:pPr>
        <w:pStyle w:val="Normal6"/>
      </w:pPr>
      <w:r>
        <w:t xml:space="preserve">-Jedinstveni registar svinja; </w:t>
      </w:r>
    </w:p>
    <w:p w:rsidR="00AC0832" w:rsidRDefault="00AC0832">
      <w:pPr>
        <w:pStyle w:val="Normal6"/>
      </w:pPr>
      <w:r>
        <w:t xml:space="preserve">-Jedinstveni registar ovaca i koza; </w:t>
      </w:r>
    </w:p>
    <w:p w:rsidR="00AC0832" w:rsidRDefault="00AC0832">
      <w:pPr>
        <w:pStyle w:val="Normal6"/>
      </w:pPr>
      <w:r>
        <w:t xml:space="preserve">-Jedinstveni registar konja. </w:t>
      </w:r>
    </w:p>
    <w:p w:rsidR="00AC0832" w:rsidRDefault="00AC0832">
      <w:pPr>
        <w:pStyle w:val="Normal6"/>
      </w:pPr>
      <w:r>
        <w:t xml:space="preserve">Sve ove baze dijelovi su računalnog sustava Jedinstvenog registra domaćih životinja koji pored ovih registara sadrži i druge podatke iz područja veterinarskog javnog zdravstva i veterinarske inspekcije. </w:t>
      </w:r>
    </w:p>
    <w:p w:rsidR="00AC0832" w:rsidRDefault="00AC0832">
      <w:pPr>
        <w:pStyle w:val="Normal6"/>
      </w:pPr>
      <w:r>
        <w:t xml:space="preserve">Tehničke poslove vezane za održavanje, razvoj i dogradnju ovog računalnog sustava Uprava veterinarstvo povjerava, na osnovi zakona i ugovora, Hrvatskoj poljoprivrednoj agenciji. </w:t>
      </w:r>
    </w:p>
    <w:p w:rsidR="00AC0832" w:rsidRDefault="00AC0832">
      <w:pPr>
        <w:pStyle w:val="Normal6"/>
      </w:pPr>
      <w:r>
        <w:t>Premještanje (migriranje) životinja i veterinarski pregled gospodarstva registrira se u ovom sustavu isključivo od strane ovlaštenih veterinarskih organizacija. Inspekcijski nadzor sustava obavlja veterinarska inspekcija, a za funkcioniranje cijelog sustava brine se Uprava veterinarstvo.</w:t>
      </w:r>
    </w:p>
    <w:p w:rsidR="00AC0832" w:rsidRDefault="00AC0832">
      <w:pPr>
        <w:pStyle w:val="Heading5"/>
      </w:pPr>
      <w:r>
        <w:t>3004 RURALNI RAZVOJ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3004-RURALNI RAZVOJ</w:t>
            </w:r>
          </w:p>
        </w:tc>
        <w:tc>
          <w:tcPr>
            <w:tcW w:w="2322" w:type="dxa"/>
          </w:tcPr>
          <w:p w:rsidR="00AC0832" w:rsidRDefault="00AC0832">
            <w:pPr>
              <w:pStyle w:val="CellColumn"/>
            </w:pPr>
            <w:r>
              <w:t>522.870.557</w:t>
            </w:r>
          </w:p>
        </w:tc>
        <w:tc>
          <w:tcPr>
            <w:tcW w:w="2322" w:type="dxa"/>
          </w:tcPr>
          <w:p w:rsidR="00AC0832" w:rsidRDefault="00AC0832">
            <w:pPr>
              <w:pStyle w:val="CellColumn"/>
            </w:pPr>
            <w:r>
              <w:t>481.026.411</w:t>
            </w:r>
          </w:p>
        </w:tc>
        <w:tc>
          <w:tcPr>
            <w:tcW w:w="2322" w:type="dxa"/>
          </w:tcPr>
          <w:p w:rsidR="00AC0832" w:rsidRDefault="00AC0832">
            <w:pPr>
              <w:pStyle w:val="CellColumn"/>
            </w:pPr>
            <w:r>
              <w:t>92,0</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Programom su obuhvaćene različite potpore korisnicima. Jedan oblik potpore su subvencije poljoprivrednim proizvođačima odnosno  poljoprivrednim gospodarstvima. Potpore dohotku nekomercijalnim gospodarstvima podrazumijevaju godišnja plaćanja neovisna o vrsti proizvodnje za dvije kategorije korisnika (mali proizvođači uključeni u sustav mirovinskog osiguranja do 50 godina žene ili 55 godina muškarci; mali proizvođači bez dohotka, u poljoprivrednoj mirovini ili uključeni u sustav mirovinskog osiguranja). </w:t>
      </w:r>
    </w:p>
    <w:p w:rsidR="00AC0832" w:rsidRDefault="00AC0832">
      <w:pPr>
        <w:pStyle w:val="Normal5"/>
      </w:pPr>
      <w:r>
        <w:t xml:space="preserve">Danom ulaska u EU ovakav vid potpore će se napustiti, a mali proizvođači moći će sudjelovati u EU modelu izravnih plaćanja (EU financiranje; SPS – shema jedinstvenog plaćanja po gospodarstvu) i mjerama ruralnog razvoja za samoopskrbna gospodarstva (EU financiranje). Poticaji za držanje izvornih i zaštićenih pasmina domaćih životinja podrazumijevaju godišnja plaćanja poljoprivrednim gospodarstvima po grlu/kljunu izvorne i zaštićene pasmine. Danom ulaska u EU ovakav vid potpore će se zadržati (EU financiranje), uz manje prilagodbe uvjeta za dodjelu potpora u skladu s pravilima EU. Također potpore se dodjeljuju u obliku kapitalne pomoći poljoprivrednim proizvođačima – poljoprivrednim gospodarstvima, subjektima uključenim u preradu poljoprivrednih proizvoda, jedinicama lokalne samouprave te poduzetnicima u ruralnim područjima, u vidu sufinanciranja investicija u dugotrajnu imovinu (intenzitet potpore od 50 do 100%) i to pretpristupnim sredstvima IPARD programa. Danom ulaska u EU ovakav vid potpore će se zadržati (EU financiranje), uz manje prilagodbe uvjeta za dodjelu potpora u skladu s pravilima EU. Premija osiguranja poljoprivredne proizvodnje subvencionirana je sredstvima Državnog proračuna u iznosu od 25%. Danom ulaska u EU ovakav vid potpore će se zadržati (EU financiranje), uz manje prilagodbe uvjeta za dodjelu potpora u skladu s pravilima EU. </w:t>
      </w:r>
    </w:p>
    <w:p w:rsidR="00AC0832" w:rsidRDefault="00AC0832">
      <w:pPr>
        <w:pStyle w:val="Normal5"/>
      </w:pPr>
      <w:r>
        <w:t xml:space="preserve">Naposljetku imamo i potpore u obliku tekuće donacije organizatorima znanstveno-stručnih, gospodarskih i lokalnih manifestacija, temeljem javnog natječaja. Danom ulaska u EU ove mjere će se zadržati (domaće finanaciranje). </w:t>
      </w:r>
    </w:p>
    <w:p w:rsidR="00AC0832" w:rsidRDefault="00AC0832">
      <w:pPr>
        <w:pStyle w:val="Normal5"/>
      </w:pPr>
      <w:r>
        <w:t>Realizacija ovoga programa povezana je s ostvarenjem ciljeva utvrđenih Strategijom Vladinih programa za razdoblje 2011. – 2013.: Konkurentniji poljoprivredno-prehrambeni i ribarski sektor, Prilagodba sustava potpora poljoprivrednoj proizvodnji i ribarstvu sustavu Europske unije te Poboljšanje uvjeta života na ruralnom prostoru.</w:t>
      </w:r>
    </w:p>
    <w:p w:rsidR="00AC0832" w:rsidRDefault="00AC0832">
      <w:pPr>
        <w:pStyle w:val="Heading6"/>
      </w:pPr>
      <w:r>
        <w:t>Zakonske i druge pravne osnove</w:t>
      </w:r>
    </w:p>
    <w:p w:rsidR="00AC0832" w:rsidRDefault="00AC0832">
      <w:pPr>
        <w:pStyle w:val="Normal5"/>
      </w:pPr>
      <w:r>
        <w:t xml:space="preserve">Zakon o državnoj potpori poljoprivredi i ruralnom razvoju (»Narodne novine», br. 92/10, 127/10 i 124/11.) </w:t>
      </w:r>
    </w:p>
    <w:p w:rsidR="00AC0832" w:rsidRDefault="00AC0832">
      <w:pPr>
        <w:pStyle w:val="Normal5"/>
      </w:pPr>
      <w:r>
        <w:t xml:space="preserve">Pravilnik o izravnim plaćanjima u poljoprivredi, potporama za očuvanje izvornih i zaštićenih pasmina domaćih životinja, potporama za ekološku i integriranu poljoprivrednu proizvodnju i potporama za područja s težim uvjetima gospodarenja u poljoprivredi (NN 12/11, 54/11, 81/11, 129/11, 148/11) </w:t>
      </w:r>
    </w:p>
    <w:p w:rsidR="00AC0832" w:rsidRDefault="00AC0832">
      <w:pPr>
        <w:pStyle w:val="Normal5"/>
      </w:pPr>
      <w:r>
        <w:t xml:space="preserve">Pravilnik o provedbi mjere potpore dohotku poljoprivrednih gospodarstava (»Narodne novine«, br. 21/11 i 31/11.) </w:t>
      </w:r>
    </w:p>
    <w:p w:rsidR="00AC0832" w:rsidRDefault="00AC0832">
      <w:pPr>
        <w:pStyle w:val="Normal5"/>
      </w:pPr>
      <w:r>
        <w:t xml:space="preserve">Pravilnik o ostvarivanju prava na potporu osiguranja od mogućih šteta proizvodnji u poljoprivredi (»Narodne novine«, br. 12/11).  </w:t>
      </w:r>
    </w:p>
    <w:p w:rsidR="00AC0832" w:rsidRDefault="00AC0832">
      <w:pPr>
        <w:pStyle w:val="Normal5"/>
      </w:pPr>
      <w:r>
        <w:t xml:space="preserve">Pravilnik o potpori kapitalnim ulaganjima u poljoprivredi (»Narodne novine«, br. 46/11 i 103/11) </w:t>
      </w:r>
    </w:p>
    <w:p w:rsidR="00AC0832" w:rsidRDefault="00AC0832">
      <w:pPr>
        <w:pStyle w:val="Normal5"/>
      </w:pPr>
      <w:r>
        <w:t xml:space="preserve">Zakon o potvrđivanju Sporazuma između Vlade Republike Hrvatske i Komisije Europskih zajednica o pravilima za suradnju u vezi s financijskom pomoći europske komisije Republici Hrvatskoj i provedbe pomoći u okviru komponente V. (IPARD) Instrumenta pretpristupne pomoći (IPA) (»Narodne novine«, br. 10/08.) </w:t>
      </w:r>
    </w:p>
    <w:p w:rsidR="00AC0832" w:rsidRDefault="00AC0832">
      <w:pPr>
        <w:pStyle w:val="Normal5"/>
      </w:pPr>
      <w:r>
        <w:t>Zakon o potvrđivanju Višegodišnjeg sporazuma o financiranju 2007. – 2010. između Komisije Europskih zajednica u ime Europske zajednice i Vlade Republike Hrvatske (»Narodne novine«, br. 1/10.)</w:t>
      </w:r>
    </w:p>
    <w:p w:rsidR="00AC0832" w:rsidRDefault="00AC0832">
      <w:pPr>
        <w:pStyle w:val="Heading7"/>
      </w:pPr>
      <w:r>
        <w:t>Cilj 1. Povećanje konkurentnosti poljoprivredne proizvodnje</w:t>
      </w:r>
    </w:p>
    <w:p w:rsidR="00AC0832" w:rsidRDefault="00AC0832">
      <w:pPr>
        <w:pStyle w:val="Heading8"/>
        <w:jc w:val="left"/>
      </w:pPr>
      <w:r>
        <w:t>Opis provedbe cilja programa</w:t>
      </w:r>
    </w:p>
    <w:p w:rsidR="00AC0832" w:rsidRDefault="00AC0832">
      <w:pPr>
        <w:pStyle w:val="Normal6"/>
      </w:pPr>
      <w:r>
        <w:t>Povećanje konkurentnosti proizvodnje na poljoprivrednim gospodarstvima i u subjektima uključenim u preradu poljoprivrednih proizvoda ostvarilo se davanjem potpora za investicije u dugotrajnu imovinu - izgradnja i rekonstrukcija proizvodnih objekata te opremanje proizvodnih objekata - u stočarstvu, biljnoj proizvodnji, prehrambenoj industriji. Potpore su doprinijele  postizanju ekonomije obujma, modernizaciji tehnoloških procesa i primjeni EU standarda u proizvodnji, a koji se odnose na zaštitu okoliša, zdravlje i dobrobit životinja te sigurnost na radu.</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bruto dodane vrijednosti proizvodnje korisnika potpore IPARD programa</w:t>
            </w:r>
          </w:p>
        </w:tc>
        <w:tc>
          <w:tcPr>
            <w:tcW w:w="1300" w:type="dxa"/>
          </w:tcPr>
          <w:p w:rsidR="00AC0832" w:rsidRDefault="00AC0832">
            <w:pPr>
              <w:pStyle w:val="CellColumn"/>
            </w:pPr>
            <w:r>
              <w:t>Povećanje bruto dodane vrijednosti proizvodnje korisnika potpore IPARD programa</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MP</w:t>
            </w:r>
          </w:p>
        </w:tc>
        <w:tc>
          <w:tcPr>
            <w:tcW w:w="1300" w:type="dxa"/>
          </w:tcPr>
          <w:p w:rsidR="00AC0832" w:rsidRDefault="00AC0832">
            <w:pPr>
              <w:pStyle w:val="CellColumn"/>
            </w:pPr>
            <w:r>
              <w:t>5</w:t>
            </w:r>
          </w:p>
        </w:tc>
        <w:tc>
          <w:tcPr>
            <w:tcW w:w="1300" w:type="dxa"/>
          </w:tcPr>
          <w:p w:rsidR="00AC0832" w:rsidRDefault="00AC0832">
            <w:pPr>
              <w:pStyle w:val="CellColumn"/>
            </w:pPr>
            <w:r>
              <w:t>5</w:t>
            </w:r>
          </w:p>
        </w:tc>
      </w:tr>
    </w:tbl>
    <w:p w:rsidR="00AC0832" w:rsidRDefault="00AC0832">
      <w:pPr>
        <w:jc w:val="left"/>
      </w:pPr>
    </w:p>
    <w:p w:rsidR="00AC0832" w:rsidRDefault="00AC0832">
      <w:pPr>
        <w:pStyle w:val="Heading7"/>
      </w:pPr>
      <w:r>
        <w:t>Cilj 2. Očuvanje biološke raznolikosti</w:t>
      </w:r>
    </w:p>
    <w:p w:rsidR="00AC0832" w:rsidRDefault="00AC0832">
      <w:pPr>
        <w:pStyle w:val="Heading8"/>
        <w:jc w:val="left"/>
      </w:pPr>
      <w:r>
        <w:t>Opis provedbe cilja programa</w:t>
      </w:r>
    </w:p>
    <w:p w:rsidR="00AC0832" w:rsidRDefault="00AC0832">
      <w:pPr>
        <w:pStyle w:val="Normal6"/>
      </w:pPr>
      <w:r>
        <w:t>Očuvanje biološke raznolikosti ostvarilo se davanjem potpora poljoprivrednim gospodarstvima za držanje zaštićenih i izvornih pasmina domaćih životinja. Potpore se daju po grlu životinje.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62"/>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životinja</w:t>
            </w:r>
          </w:p>
        </w:tc>
        <w:tc>
          <w:tcPr>
            <w:tcW w:w="1300" w:type="dxa"/>
          </w:tcPr>
          <w:p w:rsidR="00AC0832" w:rsidRDefault="00AC0832">
            <w:pPr>
              <w:pStyle w:val="CellColumn"/>
            </w:pPr>
            <w:r>
              <w:t>Povećanje broja životinja</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Strateški plan Ministarstva poljoprivrede 2012.- 2014.</w:t>
            </w:r>
          </w:p>
        </w:tc>
        <w:tc>
          <w:tcPr>
            <w:tcW w:w="1300" w:type="dxa"/>
          </w:tcPr>
          <w:p w:rsidR="00AC0832" w:rsidRDefault="00AC0832">
            <w:pPr>
              <w:pStyle w:val="CellColumn"/>
            </w:pPr>
            <w:r>
              <w:t>1</w:t>
            </w:r>
          </w:p>
        </w:tc>
        <w:tc>
          <w:tcPr>
            <w:tcW w:w="1300" w:type="dxa"/>
          </w:tcPr>
          <w:p w:rsidR="00AC0832" w:rsidRDefault="00AC0832">
            <w:pPr>
              <w:pStyle w:val="CellColumn"/>
            </w:pPr>
            <w:r>
              <w:t>1</w:t>
            </w:r>
          </w:p>
        </w:tc>
      </w:tr>
    </w:tbl>
    <w:p w:rsidR="00AC0832" w:rsidRDefault="00AC0832">
      <w:pPr>
        <w:jc w:val="left"/>
      </w:pPr>
    </w:p>
    <w:p w:rsidR="00AC0832" w:rsidRDefault="00AC0832">
      <w:pPr>
        <w:pStyle w:val="Heading7"/>
      </w:pPr>
      <w:r>
        <w:t>Cilj 3. Osiguranje stabilnosti dohotka nekomercijalnih gospodarstava</w:t>
      </w:r>
    </w:p>
    <w:p w:rsidR="00AC0832" w:rsidRDefault="00AC0832">
      <w:pPr>
        <w:pStyle w:val="Heading8"/>
        <w:jc w:val="left"/>
      </w:pPr>
      <w:r>
        <w:t>Opis provedbe cilja programa</w:t>
      </w:r>
    </w:p>
    <w:p w:rsidR="00AC0832" w:rsidRDefault="00AC0832">
      <w:pPr>
        <w:pStyle w:val="Normal6"/>
      </w:pPr>
      <w:r>
        <w:t>Osiguranje stabilnosti dohotka nekomercijalnih gospodarstava ostvarilo se davanjem potpora dohotku nekomercijalnim poljoprivrednim gospodarstvima potpora (malim poljoprivrednim gospodarstvima - pretežito samoopskrbnim gospodarstvima). S obzirom da ovakva gospodarstva ne sudjeluju u sustavu izravnih plaćanja (poticaja) ove potpore nisu vezane uz obujam i vrstu proizvodnje.</w:t>
      </w:r>
    </w:p>
    <w:p w:rsidR="00AC0832" w:rsidRDefault="00AC0832">
      <w:pPr>
        <w:pStyle w:val="Heading7"/>
      </w:pPr>
      <w:r>
        <w:t>Cilj 4. Diverzifikacija dohotka u ruralnim područjima</w:t>
      </w:r>
    </w:p>
    <w:p w:rsidR="00AC0832" w:rsidRDefault="00AC0832">
      <w:pPr>
        <w:pStyle w:val="Heading8"/>
        <w:jc w:val="left"/>
      </w:pPr>
      <w:r>
        <w:t>Opis provedbe cilja programa</w:t>
      </w:r>
    </w:p>
    <w:p w:rsidR="00AC0832" w:rsidRDefault="00AC0832">
      <w:pPr>
        <w:pStyle w:val="Normal6"/>
      </w:pPr>
      <w:r>
        <w:t>Diverzifikacija dohotka u ruralnim područjima ostvarila se davanjem potpora poljoprivrednim gospodarstvima i poduzetnicima u ruralnim područjima za investicije u dugotrajnu imovinu - izgradnja i rekonstrukcija objekata, opremanje objekata u sektorima prerade i izravne prodaje na poljoprivrednim gospodarstvima, ruralnog turizma, uzgoja slatkovodne ribe, tradicionalnih obrta i korištenja obnovljivih izvora energije. Potpore je doprinijela diverzifikaciji djelatnosti na poljoprivrednim gospodarstvima i na ruralnim područjima općenito.</w:t>
      </w:r>
    </w:p>
    <w:p w:rsidR="00AC0832" w:rsidRDefault="00AC0832">
      <w:pPr>
        <w:pStyle w:val="Heading7"/>
      </w:pPr>
      <w:r>
        <w:t>Cilj 5. Povećanje informiranosti poljoprivrednika</w:t>
      </w:r>
    </w:p>
    <w:p w:rsidR="00AC0832" w:rsidRDefault="00AC0832">
      <w:pPr>
        <w:pStyle w:val="Heading8"/>
        <w:jc w:val="left"/>
      </w:pPr>
      <w:r>
        <w:t>Opis provedbe cilja programa</w:t>
      </w:r>
    </w:p>
    <w:p w:rsidR="00AC0832" w:rsidRDefault="00AC0832">
      <w:pPr>
        <w:pStyle w:val="Normal6"/>
      </w:pPr>
      <w:r>
        <w:t xml:space="preserve">Povećanje informiranosti poljoprivrednika ostvarilo se davanjem potpora organizatorima znanstveno-stručnih, gospodarskih i lokalnih manifestacija. </w:t>
      </w:r>
    </w:p>
    <w:p w:rsidR="00AC0832" w:rsidRDefault="00AC0832">
      <w:pPr>
        <w:pStyle w:val="Normal6"/>
      </w:pPr>
      <w:r>
        <w:t>Edukacija i bolje informiranje poljoprivrednika, očuvanje kulturne baštine, seoskih običaja promicanje ruralnog razvoja i načina života  te unapređenje poljoprivrednih djelatnosti kroz prezentaciju najnovijih dostignuća i transfera tehnologije ostvaruju se putem organiziranja manifestacija. Sufinanciranjem održavanja manifestacijama u ruralnim područjima ministarstvo poljoprivrede doprinosi i povećanju trženja lokalnih gospodarstava te jačanju lokalne zajednice.</w:t>
      </w:r>
    </w:p>
    <w:p w:rsidR="00AC0832" w:rsidRDefault="00AC0832">
      <w:pPr>
        <w:pStyle w:val="Heading6"/>
      </w:pPr>
      <w:r>
        <w:t>A401117 RAZVOJ SELA I SEOSKOG PROSTORA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A401117-RAZVOJ SELA I SEOSKOG PROSTORA</w:t>
            </w:r>
          </w:p>
        </w:tc>
        <w:tc>
          <w:tcPr>
            <w:tcW w:w="2322" w:type="dxa"/>
          </w:tcPr>
          <w:p w:rsidR="00AC0832" w:rsidRDefault="00AC0832">
            <w:pPr>
              <w:pStyle w:val="CellColumn"/>
            </w:pPr>
            <w:r>
              <w:t>6.412.616</w:t>
            </w:r>
          </w:p>
        </w:tc>
        <w:tc>
          <w:tcPr>
            <w:tcW w:w="2322" w:type="dxa"/>
          </w:tcPr>
          <w:p w:rsidR="00AC0832" w:rsidRDefault="00AC0832">
            <w:pPr>
              <w:pStyle w:val="CellColumn"/>
            </w:pPr>
            <w:r>
              <w:t>6.412.616</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Izvršenje se odnosilo na : </w:t>
      </w:r>
    </w:p>
    <w:p w:rsidR="00AC0832" w:rsidRDefault="00AC0832">
      <w:pPr>
        <w:pStyle w:val="Normal6"/>
      </w:pPr>
      <w:r>
        <w:t xml:space="preserve">-Isplate zaostataka korisnicima potpore programa iz modela ruralnog razvitka prema Pravilniku o provedbi programa razvitka seoskog prostora (NN 71/05, 37/06, 109/06, 96/07 i 86/08) te prema Odluci ministra o načinu postupanja s predmetima vezanim uz provedbu Programa razvitka seoskog prostora. </w:t>
      </w:r>
    </w:p>
    <w:p w:rsidR="00AC0832" w:rsidRDefault="00AC0832">
      <w:pPr>
        <w:pStyle w:val="Normal6"/>
      </w:pPr>
      <w:r>
        <w:t xml:space="preserve">-Isplate sukladno Ugovoru o sufinanciranju realizacije programa „Revitalizacija vinograda na položaju Bucavac-Primošten“ u razdoblju od 2006-2011. godine.  </w:t>
      </w:r>
    </w:p>
    <w:p w:rsidR="00AC0832" w:rsidRDefault="00AC0832">
      <w:pPr>
        <w:pStyle w:val="Normal6"/>
      </w:pPr>
      <w:r>
        <w:t>-Isplate sukladno Ugovoru o sufinanciranju realizacije Programa „ Natjecanje orača u Republici Hrvatskoj u razdoblju 2010.-2012. godine i organizacija 59. svjetskog natjecanja orača 2012. godine u Republici Hrvatskoj“.</w:t>
      </w:r>
    </w:p>
    <w:p w:rsidR="00AC0832" w:rsidRDefault="00AC0832">
      <w:pPr>
        <w:pStyle w:val="Heading6"/>
      </w:pPr>
      <w:r>
        <w:t>A568022 ZAŠTIĆENE PASMINE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A568022-ZAŠTIĆENE PASMINE</w:t>
            </w:r>
          </w:p>
        </w:tc>
        <w:tc>
          <w:tcPr>
            <w:tcW w:w="2322" w:type="dxa"/>
          </w:tcPr>
          <w:p w:rsidR="00AC0832" w:rsidRDefault="00AC0832">
            <w:pPr>
              <w:pStyle w:val="CellColumn"/>
            </w:pPr>
            <w:r>
              <w:t>23.500.000</w:t>
            </w:r>
          </w:p>
        </w:tc>
        <w:tc>
          <w:tcPr>
            <w:tcW w:w="2322" w:type="dxa"/>
          </w:tcPr>
          <w:p w:rsidR="00AC0832" w:rsidRDefault="00AC0832">
            <w:pPr>
              <w:pStyle w:val="CellColumn"/>
            </w:pPr>
            <w:r>
              <w:t>23.500.000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Potpora za zaštićene pasmine je dio mjera za očuvanje i poboljšanje okoliša i krajobraza, odnosno unutar toga mjera za očuvanje biološke raznolikosti. Sredstvima osiguranim za provedbu ove mjere financiraju se korisnici koji drže minimalno poticanu količinu grla/kljunova/komada izvorne i zaštićene pasmine domaćih životinja, upisanih u Jedinstveni registar domaćih životinja i Središnji popis matičnih grla ili Središnji registar kopitara ili Središnji popis matičnih jata ili  Uzgojnu knjigu matica pčela.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62"/>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korisnika potpore</w:t>
            </w:r>
          </w:p>
        </w:tc>
        <w:tc>
          <w:tcPr>
            <w:tcW w:w="1300" w:type="dxa"/>
          </w:tcPr>
          <w:p w:rsidR="00AC0832" w:rsidRDefault="00AC0832">
            <w:pPr>
              <w:pStyle w:val="CellColumn"/>
            </w:pPr>
            <w:r>
              <w:t>Broj korisnika potpore</w:t>
            </w:r>
          </w:p>
        </w:tc>
        <w:tc>
          <w:tcPr>
            <w:tcW w:w="1300" w:type="dxa"/>
          </w:tcPr>
          <w:p w:rsidR="00AC0832" w:rsidRDefault="00AC0832">
            <w:pPr>
              <w:pStyle w:val="CellColumn"/>
            </w:pPr>
            <w:r>
              <w:t>Broj</w:t>
            </w:r>
          </w:p>
        </w:tc>
        <w:tc>
          <w:tcPr>
            <w:tcW w:w="1300" w:type="dxa"/>
          </w:tcPr>
          <w:p w:rsidR="00AC0832" w:rsidRDefault="00AC0832">
            <w:pPr>
              <w:pStyle w:val="CellColumn"/>
            </w:pPr>
            <w:r>
              <w:t>2740</w:t>
            </w:r>
          </w:p>
        </w:tc>
        <w:tc>
          <w:tcPr>
            <w:tcW w:w="1300" w:type="dxa"/>
          </w:tcPr>
          <w:p w:rsidR="00AC0832" w:rsidRDefault="00AC0832">
            <w:pPr>
              <w:pStyle w:val="CellColumn"/>
            </w:pPr>
            <w:r>
              <w:t>Strateški plan Ministarstva poljoprivrede</w:t>
            </w:r>
          </w:p>
        </w:tc>
        <w:tc>
          <w:tcPr>
            <w:tcW w:w="1300" w:type="dxa"/>
          </w:tcPr>
          <w:p w:rsidR="00AC0832" w:rsidRDefault="00AC0832">
            <w:pPr>
              <w:pStyle w:val="CellColumn"/>
            </w:pPr>
            <w:r>
              <w:t>2740</w:t>
            </w:r>
          </w:p>
        </w:tc>
        <w:tc>
          <w:tcPr>
            <w:tcW w:w="1300" w:type="dxa"/>
          </w:tcPr>
          <w:p w:rsidR="00AC0832" w:rsidRDefault="00AC0832">
            <w:pPr>
              <w:pStyle w:val="CellColumn"/>
            </w:pPr>
            <w:r>
              <w:t>1985</w:t>
            </w:r>
          </w:p>
        </w:tc>
      </w:tr>
    </w:tbl>
    <w:p w:rsidR="00AC0832" w:rsidRDefault="00AC0832">
      <w:pPr>
        <w:jc w:val="left"/>
      </w:pPr>
    </w:p>
    <w:p w:rsidR="00AC0832" w:rsidRDefault="00AC0832">
      <w:pPr>
        <w:pStyle w:val="Heading6"/>
      </w:pPr>
      <w:r>
        <w:t>A568047 INVESTICIJSKA POTPORA U POLJOPRIVREDI I RIBARSTVU - PRENESENE UGOVORENE OBVEZE IZ 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A568047-INVESTICIJSKA POTPORA U POLJOPRIVREDI I RIBARSTVU - PRENESENE UGOVORENE OBVEZE IZ 2011.</w:t>
            </w:r>
          </w:p>
        </w:tc>
        <w:tc>
          <w:tcPr>
            <w:tcW w:w="2322" w:type="dxa"/>
          </w:tcPr>
          <w:p w:rsidR="00AC0832" w:rsidRDefault="00AC0832">
            <w:pPr>
              <w:pStyle w:val="CellColumn"/>
            </w:pPr>
            <w:r>
              <w:t>320.807.941</w:t>
            </w:r>
          </w:p>
        </w:tc>
        <w:tc>
          <w:tcPr>
            <w:tcW w:w="2322" w:type="dxa"/>
          </w:tcPr>
          <w:p w:rsidR="00AC0832" w:rsidRDefault="00AC0832">
            <w:pPr>
              <w:pStyle w:val="CellColumn"/>
            </w:pPr>
            <w:r>
              <w:t>320.807.941</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Unutar ove aktivnosti nalazi se potpora kapitalnim ulaganjima u poljoprivredi. Potpora kapitalnim ulaganjima u poljoprivredi podrazumijeva dodjelu nepovratnih sredstava iz Državnog proračuna Republike Hrvatske putem javnog natječaja za dodjelu potpore kapitalnim ulaganjima za sufinanciranje troškova izgradnje, rekonstrukcije i opremanja objekata, kupovine uzgojno valjanih grla stoke, novih strojeva i mehanizacije te podizanja nasada voćnjaka i maslinika.</w:t>
      </w:r>
    </w:p>
    <w:p w:rsidR="00AC0832" w:rsidRDefault="00AC0832">
      <w:pPr>
        <w:pStyle w:val="Heading6"/>
      </w:pPr>
      <w:r>
        <w:t>A650131 MANIFESTACIJE I SAJMOVI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A650131-MANIFESTACIJE I SAJMOVI</w:t>
            </w:r>
          </w:p>
        </w:tc>
        <w:tc>
          <w:tcPr>
            <w:tcW w:w="2322" w:type="dxa"/>
          </w:tcPr>
          <w:p w:rsidR="00AC0832" w:rsidRDefault="00AC0832">
            <w:pPr>
              <w:pStyle w:val="CellColumn"/>
            </w:pPr>
            <w:r>
              <w:t>5.000.000</w:t>
            </w:r>
          </w:p>
        </w:tc>
        <w:tc>
          <w:tcPr>
            <w:tcW w:w="2322" w:type="dxa"/>
          </w:tcPr>
          <w:p w:rsidR="00AC0832" w:rsidRDefault="00AC0832">
            <w:pPr>
              <w:pStyle w:val="CellColumn"/>
            </w:pPr>
            <w:r>
              <w:t>5.000.000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Unutar ove aktivnosti nalazi se potpora organizatorima manifestacija koja je dodjeljena  prema Zakonu o državnoj potpori poljoprivredi i ruralnom razvoju (NN 92/10, 124/11, 120/12), a sukladno Pravilniku o provedbi mjere potpore za organizaciju manifestacija (NN 18/12, 45/12) Ministarstvo poljoprivrede dodjeljuje potpore za organizaciju manifestacija u području poljoprivrede i ruralnog razvoja, a kojom se potiču znanstveno-stručni skupovi, sajmovi i izložbe vezane uz poljoprivredu, prehranu i ruralni razvoj te lokalno-tradicijske manifestacije vezane uz prezentaciju kulturne baštine, tradicijskih obrta i lokalnih proizvoda.</w:t>
      </w: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2"/>
        <w:gridCol w:w="1473"/>
        <w:gridCol w:w="1200"/>
        <w:gridCol w:w="1236"/>
        <w:gridCol w:w="1226"/>
        <w:gridCol w:w="1236"/>
        <w:gridCol w:w="125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Održavanje kontinuiteta potpore kulturnim manifestacijama na ruralnom području na razini 250 korisnika godišnje, ukupno, po županijama i JLS</w:t>
            </w:r>
          </w:p>
        </w:tc>
        <w:tc>
          <w:tcPr>
            <w:tcW w:w="1300" w:type="dxa"/>
          </w:tcPr>
          <w:p w:rsidR="00AC0832" w:rsidRDefault="00AC0832">
            <w:pPr>
              <w:pStyle w:val="CellColumn"/>
            </w:pPr>
            <w:r>
              <w:t>Održavanje broja kulturnih, gospodarskih i drugih manifestacija koje promiču tradicijske vrijednosti, poljoprivrednu proizvodnju i ruralni razvoj</w:t>
            </w:r>
          </w:p>
        </w:tc>
        <w:tc>
          <w:tcPr>
            <w:tcW w:w="1300" w:type="dxa"/>
          </w:tcPr>
          <w:p w:rsidR="00AC0832" w:rsidRDefault="00AC0832">
            <w:pPr>
              <w:pStyle w:val="CellColumn"/>
            </w:pPr>
            <w:r>
              <w:t>Broj</w:t>
            </w:r>
          </w:p>
        </w:tc>
        <w:tc>
          <w:tcPr>
            <w:tcW w:w="1300" w:type="dxa"/>
          </w:tcPr>
          <w:p w:rsidR="00AC0832" w:rsidRDefault="00AC0832">
            <w:pPr>
              <w:pStyle w:val="CellColumn"/>
            </w:pPr>
            <w:r>
              <w:t>170</w:t>
            </w:r>
          </w:p>
        </w:tc>
        <w:tc>
          <w:tcPr>
            <w:tcW w:w="1300" w:type="dxa"/>
          </w:tcPr>
          <w:p w:rsidR="00AC0832" w:rsidRDefault="00AC0832">
            <w:pPr>
              <w:pStyle w:val="CellColumn"/>
            </w:pPr>
            <w:r>
              <w:t>MP</w:t>
            </w:r>
          </w:p>
        </w:tc>
        <w:tc>
          <w:tcPr>
            <w:tcW w:w="1300" w:type="dxa"/>
          </w:tcPr>
          <w:p w:rsidR="00AC0832" w:rsidRDefault="00AC0832">
            <w:pPr>
              <w:pStyle w:val="CellColumn"/>
            </w:pPr>
            <w:r>
              <w:t>250</w:t>
            </w:r>
          </w:p>
        </w:tc>
        <w:tc>
          <w:tcPr>
            <w:tcW w:w="1300" w:type="dxa"/>
          </w:tcPr>
          <w:p w:rsidR="00AC0832" w:rsidRDefault="00AC0832">
            <w:pPr>
              <w:pStyle w:val="CellColumn"/>
            </w:pPr>
            <w:r>
              <w:t>223</w:t>
            </w:r>
          </w:p>
        </w:tc>
      </w:tr>
    </w:tbl>
    <w:p w:rsidR="00AC0832" w:rsidRDefault="00AC0832">
      <w:pPr>
        <w:jc w:val="left"/>
      </w:pPr>
    </w:p>
    <w:p w:rsidR="00AC0832" w:rsidRDefault="00AC0832">
      <w:pPr>
        <w:pStyle w:val="Heading6"/>
      </w:pPr>
      <w:r>
        <w:t>T401118 IPARD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T401118-IPARD</w:t>
            </w:r>
          </w:p>
        </w:tc>
        <w:tc>
          <w:tcPr>
            <w:tcW w:w="2322" w:type="dxa"/>
          </w:tcPr>
          <w:p w:rsidR="00AC0832" w:rsidRDefault="00AC0832">
            <w:pPr>
              <w:pStyle w:val="CellColumn"/>
            </w:pPr>
            <w:r>
              <w:t>166.750.000</w:t>
            </w:r>
          </w:p>
        </w:tc>
        <w:tc>
          <w:tcPr>
            <w:tcW w:w="2322" w:type="dxa"/>
          </w:tcPr>
          <w:p w:rsidR="00AC0832" w:rsidRDefault="00AC0832">
            <w:pPr>
              <w:pStyle w:val="CellColumn"/>
            </w:pPr>
            <w:r>
              <w:t>125.077.934</w:t>
            </w:r>
          </w:p>
        </w:tc>
        <w:tc>
          <w:tcPr>
            <w:tcW w:w="2322" w:type="dxa"/>
          </w:tcPr>
          <w:p w:rsidR="00AC0832" w:rsidRDefault="00AC0832">
            <w:pPr>
              <w:pStyle w:val="CellColumn"/>
            </w:pPr>
            <w:r>
              <w:t>75,0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Budući je razdoblje od ugovaranja IPARD projekta do završetka njegove realizacije i isplate sredstava prilično dugotrajno, zbog prolongiranja rokova izgradnje, čime je od Agencije za plaćanja zatražena odgoda roka podnošenja Zahtjeva za isplatu, dio planiranih isplata nije realiziran u 2012. godini, već se podnošenje Zahtjeva i isplata očekuju u 2013. godini. </w:t>
      </w:r>
    </w:p>
    <w:p w:rsidR="00AC0832" w:rsidRDefault="00AC0832">
      <w:pPr>
        <w:pStyle w:val="Normal6"/>
      </w:pPr>
      <w:r>
        <w:t xml:space="preserve"> </w:t>
      </w:r>
    </w:p>
    <w:p w:rsidR="00AC0832" w:rsidRDefault="00AC0832">
      <w:pPr>
        <w:pStyle w:val="Normal6"/>
      </w:pPr>
      <w:r>
        <w:t>Tijekom 2012. godine ukupno je zaprimljeno 62 Zahtjeva za isplatu od kojih se 34 odnosi na ulaganje u mjeri 101, 16 se odnosi na ulaganje u mjeri 103, 1 zahtjev za 301 i 11 za 302. Ukupno je isplaćeno 125.291.637,52 kn, od čega je 51.878.736,54 kn za ulaganja u mjeri 101, 71.459.644,99 kn za ulaganja u mjeri 103 te 1.953.255,99 kn u mjeri 302.</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73"/>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korisnika potpore</w:t>
            </w:r>
          </w:p>
        </w:tc>
        <w:tc>
          <w:tcPr>
            <w:tcW w:w="1300" w:type="dxa"/>
          </w:tcPr>
          <w:p w:rsidR="00AC0832" w:rsidRDefault="00AC0832">
            <w:pPr>
              <w:pStyle w:val="CellColumn"/>
            </w:pPr>
            <w:r>
              <w:t>Broj korisnika koji su primili potporu za ulaganja u dugotrajnu imovinu u sklopu IPARD programa – poljoprivredna gospodarstva i subjekti u preradi</w:t>
            </w:r>
          </w:p>
        </w:tc>
        <w:tc>
          <w:tcPr>
            <w:tcW w:w="1300" w:type="dxa"/>
          </w:tcPr>
          <w:p w:rsidR="00AC0832" w:rsidRDefault="00AC0832">
            <w:pPr>
              <w:pStyle w:val="CellColumn"/>
            </w:pPr>
            <w:r>
              <w:t>Broj korisnika</w:t>
            </w:r>
          </w:p>
        </w:tc>
        <w:tc>
          <w:tcPr>
            <w:tcW w:w="1300" w:type="dxa"/>
          </w:tcPr>
          <w:p w:rsidR="00AC0832" w:rsidRDefault="00AC0832">
            <w:pPr>
              <w:pStyle w:val="CellColumn"/>
            </w:pPr>
            <w:r>
              <w:t>0</w:t>
            </w:r>
          </w:p>
        </w:tc>
        <w:tc>
          <w:tcPr>
            <w:tcW w:w="1300" w:type="dxa"/>
          </w:tcPr>
          <w:p w:rsidR="00AC0832" w:rsidRDefault="00AC0832">
            <w:pPr>
              <w:pStyle w:val="CellColumn"/>
            </w:pPr>
            <w:r>
              <w:t>Stateški plan</w:t>
            </w:r>
          </w:p>
        </w:tc>
        <w:tc>
          <w:tcPr>
            <w:tcW w:w="1300" w:type="dxa"/>
          </w:tcPr>
          <w:p w:rsidR="00AC0832" w:rsidRDefault="00AC0832">
            <w:pPr>
              <w:pStyle w:val="CellColumn"/>
            </w:pPr>
            <w:r>
              <w:t>60</w:t>
            </w:r>
          </w:p>
        </w:tc>
        <w:tc>
          <w:tcPr>
            <w:tcW w:w="1300" w:type="dxa"/>
          </w:tcPr>
          <w:p w:rsidR="00AC0832" w:rsidRDefault="00AC0832">
            <w:pPr>
              <w:pStyle w:val="CellColumn"/>
            </w:pPr>
            <w:r>
              <w:t>54</w:t>
            </w:r>
          </w:p>
        </w:tc>
      </w:tr>
    </w:tbl>
    <w:p w:rsidR="00AC0832" w:rsidRDefault="00AC0832">
      <w:pPr>
        <w:jc w:val="left"/>
      </w:pPr>
    </w:p>
    <w:p w:rsidR="00AC0832" w:rsidRDefault="00AC0832">
      <w:pPr>
        <w:pStyle w:val="Heading5"/>
      </w:pPr>
      <w:r>
        <w:t>3005 RIBARSTVO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3005-RIBARSTVO</w:t>
            </w:r>
          </w:p>
        </w:tc>
        <w:tc>
          <w:tcPr>
            <w:tcW w:w="2322" w:type="dxa"/>
          </w:tcPr>
          <w:p w:rsidR="00AC0832" w:rsidRDefault="00AC0832">
            <w:pPr>
              <w:pStyle w:val="CellColumn"/>
            </w:pPr>
            <w:r>
              <w:t>79.996.917</w:t>
            </w:r>
          </w:p>
        </w:tc>
        <w:tc>
          <w:tcPr>
            <w:tcW w:w="2322" w:type="dxa"/>
          </w:tcPr>
          <w:p w:rsidR="00AC0832" w:rsidRDefault="00AC0832">
            <w:pPr>
              <w:pStyle w:val="CellColumn"/>
            </w:pPr>
            <w:r>
              <w:t>65.113.009</w:t>
            </w:r>
          </w:p>
        </w:tc>
        <w:tc>
          <w:tcPr>
            <w:tcW w:w="2322" w:type="dxa"/>
          </w:tcPr>
          <w:p w:rsidR="00AC0832" w:rsidRDefault="00AC0832">
            <w:pPr>
              <w:pStyle w:val="CellColumn"/>
            </w:pPr>
            <w:r>
              <w:t>81,4</w:t>
            </w:r>
          </w:p>
        </w:tc>
      </w:tr>
    </w:tbl>
    <w:p w:rsidR="00AC0832" w:rsidRDefault="00AC0832">
      <w:pPr>
        <w:jc w:val="left"/>
      </w:pPr>
    </w:p>
    <w:p w:rsidR="00AC0832" w:rsidRDefault="00AC0832">
      <w:pPr>
        <w:pStyle w:val="Heading6"/>
      </w:pPr>
      <w:r>
        <w:t>Opis programa</w:t>
      </w:r>
    </w:p>
    <w:p w:rsidR="00AC0832" w:rsidRDefault="00AC0832">
      <w:pPr>
        <w:pStyle w:val="Normal5"/>
      </w:pPr>
      <w:r>
        <w:t xml:space="preserve">U cilju uspostave ribarstvene politike u skladu sa zahtjevima Europske unije, i obzirom na potrebu jačanja konkurentnosti ribarskog sektora na budućem zajedničkom tržištu EU, kroz program Ribarstvo nužno je nastaviti prilagodbu odgovarajućeg zakonodavnog i institucionalnog okvira vezano uz provedbu mehanizama strukturne potpore te uspostavu tržišta proizvodima ribarstva po uzoru na europski model. Sustav potpora u ribarstvu ulaskom RH u EU doživjet će značajnije promjene te je potrebno pripremiti sektor na mogućnosti korištenja odgovarajućih mehanizama strukturne potpore. Kada je riječ o sustavu trženja, EU daje vrlo velik značaj organizacijama proizvođača u ribarstvu te uspostavi organiziranog sustava trženja. Republika Hrvatska prepoznala je ribarske zadruge kao značajne dionike u provedbi politike ribarstva i organizaciji tržišta, te je dodatni poticaj istima dan kroz ulaganja u izgradnju i stavljanje u funkciju ribarskih veletržnica. </w:t>
      </w:r>
    </w:p>
    <w:p w:rsidR="00AC0832" w:rsidRDefault="00AC0832">
      <w:pPr>
        <w:pStyle w:val="Normal5"/>
      </w:pPr>
      <w:r>
        <w:t xml:space="preserve">Održivo gospodarenje ribljim resursima temeljna je odrednica politike ribarstva koja je uređena odgovarajućim zakonodavnim okvirom. Cilj održivog upravljanja živim bogatstvima jest postići odgovorno i održivo iskorištavanje ribljih resursa na ekološki uravnotežen te gospodarski i društveno opravdan način kroz mjere za zaštitu, očuvanje i obnovu resursa i eko-sustava. </w:t>
      </w:r>
    </w:p>
    <w:p w:rsidR="00AC0832" w:rsidRDefault="00AC0832">
      <w:pPr>
        <w:pStyle w:val="Normal5"/>
      </w:pPr>
      <w:r>
        <w:t xml:space="preserve">Mjere očuvanja i upravljanja se moraju zasnivati na najboljim dostupnim znanstvenim spoznajama i osiguravati dugoročnu održivost podjednako ribljih resursa kao i djelatnosti ribarstva te je stoga neophodan učinkovit sustav prikupljanja podataka o stanju resursa i ribolovnim aktivnostima. </w:t>
      </w:r>
    </w:p>
    <w:p w:rsidR="00AC0832" w:rsidRDefault="00AC0832">
      <w:pPr>
        <w:pStyle w:val="Normal5"/>
      </w:pPr>
      <w:r>
        <w:t>Također, održivo gospodarenje ribljim resursima nije moguće bez učinkovitog sustava nadzora i kontrole kroz rad inspekcijskih službi i sustav satelitskog praćenja plovila. Uspostava funkcionalnog i odgovarajućeg sustava satelitskog praćenja provila (VMS) u sklopu Ribarskog monitoring centra jedna je od značajnijih aktivnosti u procesu prilagodbe u okviru Zajedničke ribarstvene politike EU.</w:t>
      </w:r>
    </w:p>
    <w:p w:rsidR="00AC0832" w:rsidRDefault="00AC0832">
      <w:pPr>
        <w:pStyle w:val="Heading6"/>
      </w:pPr>
      <w:r>
        <w:t>Zakonske i druge pravne osnove</w:t>
      </w:r>
    </w:p>
    <w:p w:rsidR="00AC0832" w:rsidRDefault="00AC0832">
      <w:pPr>
        <w:pStyle w:val="Normal5"/>
      </w:pPr>
      <w:r>
        <w:t xml:space="preserve">Zakon o morskom ribarstvu („Narodne novine«, br. 56/10, 127/10 i 55/11) </w:t>
      </w:r>
    </w:p>
    <w:p w:rsidR="00AC0832" w:rsidRDefault="00AC0832">
      <w:pPr>
        <w:pStyle w:val="Normal5"/>
      </w:pPr>
      <w:r>
        <w:t xml:space="preserve">Zakon o slatkovodnom ribarstvu („Narodne novine“, br. 106/01, 7/03, 174/04, 10/05-ispravak i 49/05-pročišćeni tekst), </w:t>
      </w:r>
    </w:p>
    <w:p w:rsidR="00AC0832" w:rsidRDefault="00AC0832">
      <w:pPr>
        <w:pStyle w:val="Normal5"/>
      </w:pPr>
      <w:r>
        <w:t xml:space="preserve">Zakon o strukturnoj potpori i uređenju tržišta u ribarstvu („Narodne novine«, br. 153/09 i 127/10), </w:t>
      </w:r>
    </w:p>
    <w:p w:rsidR="00AC0832" w:rsidRDefault="00AC0832">
      <w:pPr>
        <w:pStyle w:val="Normal5"/>
      </w:pPr>
      <w:r>
        <w:t xml:space="preserve">Pravilnik o ribarskim zadrugama („Narodne novine«, br. 48/10), </w:t>
      </w:r>
    </w:p>
    <w:p w:rsidR="00AC0832" w:rsidRDefault="00AC0832">
      <w:pPr>
        <w:pStyle w:val="Normal5"/>
      </w:pPr>
      <w:r>
        <w:t xml:space="preserve">Pravilnik o dodjeli potpore ribarskim zadrugama („Narodne novine«, br. 63/10), </w:t>
      </w:r>
    </w:p>
    <w:p w:rsidR="00AC0832" w:rsidRDefault="00AC0832">
      <w:pPr>
        <w:pStyle w:val="Normal5"/>
      </w:pPr>
      <w:r>
        <w:t xml:space="preserve">Pravilnik o sustavu nadzora i praćenja ribarskih plovila i ribarstvenom monitoring centru (»Narodne novine«, br. 66/10) </w:t>
      </w:r>
    </w:p>
    <w:p w:rsidR="00AC0832" w:rsidRDefault="00AC0832">
      <w:pPr>
        <w:pStyle w:val="Normal5"/>
      </w:pPr>
      <w:r>
        <w:t>Pravilnik o sadržaju Plana prikupljanja podataka o morskom ribarstvu i sadržaju godišnjih izvješća o stanju ribarstva (»Narodne novine«, br. 120/11).</w:t>
      </w:r>
    </w:p>
    <w:p w:rsidR="00AC0832" w:rsidRDefault="00AC0832">
      <w:pPr>
        <w:pStyle w:val="Heading7"/>
      </w:pPr>
      <w:r>
        <w:t>Cilj 1. Uspostava odgovarajućih sustava prikupljanja podataka, nadzora i kontrole</w:t>
      </w:r>
    </w:p>
    <w:p w:rsidR="00AC0832" w:rsidRDefault="00AC0832">
      <w:pPr>
        <w:pStyle w:val="Heading8"/>
        <w:jc w:val="left"/>
      </w:pPr>
      <w:r>
        <w:t>Opis provedbe cilja programa</w:t>
      </w:r>
    </w:p>
    <w:p w:rsidR="00AC0832" w:rsidRDefault="00AC0832">
      <w:pPr>
        <w:pStyle w:val="Normal6"/>
      </w:pPr>
      <w:r>
        <w:t>Ostvarivanje ovoga cilja ima za zadatak održivo upravljanje biološkim bogatstvima kroz uspostavu odgovarajućih sustava prikupljanja podataka, nadzora i kontrole (satelitski sustav nadzora, nacionalni program prikupljanja podataka, iskrcajna mjesta i sl). Temeljem ostvarivanja ovoga cilja jedino je moguće donositi kvalitetne mjere ribarske politike. Uspostava ovoga sustava je započeta kroz niz aktivnosti vezanih uz rad geoinformacijskog sustava u ribarstvu, te osnaživanje ribarske inspekcije u svim aspektima.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1"/>
        <w:gridCol w:w="1351"/>
        <w:gridCol w:w="1300"/>
        <w:gridCol w:w="1300"/>
        <w:gridCol w:w="1362"/>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inspekcijskih nadzora</w:t>
            </w:r>
          </w:p>
        </w:tc>
        <w:tc>
          <w:tcPr>
            <w:tcW w:w="1300" w:type="dxa"/>
          </w:tcPr>
          <w:p w:rsidR="00AC0832" w:rsidRDefault="00AC0832">
            <w:pPr>
              <w:pStyle w:val="CellColumn"/>
            </w:pPr>
            <w:r>
              <w:t>Povećanje broja inspekcijskih nadzora</w:t>
            </w:r>
          </w:p>
        </w:tc>
        <w:tc>
          <w:tcPr>
            <w:tcW w:w="1300" w:type="dxa"/>
          </w:tcPr>
          <w:p w:rsidR="00AC0832" w:rsidRDefault="00AC0832">
            <w:pPr>
              <w:pStyle w:val="CellColumn"/>
            </w:pPr>
            <w:r>
              <w:t>Broj</w:t>
            </w:r>
          </w:p>
        </w:tc>
        <w:tc>
          <w:tcPr>
            <w:tcW w:w="1300" w:type="dxa"/>
          </w:tcPr>
          <w:p w:rsidR="00AC0832" w:rsidRDefault="00AC0832">
            <w:pPr>
              <w:pStyle w:val="CellColumn"/>
            </w:pPr>
            <w:r>
              <w:t>4800</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6500</w:t>
            </w:r>
          </w:p>
        </w:tc>
        <w:tc>
          <w:tcPr>
            <w:tcW w:w="1300" w:type="dxa"/>
          </w:tcPr>
          <w:p w:rsidR="00AC0832" w:rsidRDefault="00AC0832">
            <w:pPr>
              <w:pStyle w:val="CellColumn"/>
            </w:pPr>
            <w:r>
              <w:t>7.562</w:t>
            </w:r>
          </w:p>
        </w:tc>
      </w:tr>
      <w:tr w:rsidR="00AC0832" w:rsidTr="00BE20ED">
        <w:trPr>
          <w:jc w:val="center"/>
        </w:trPr>
        <w:tc>
          <w:tcPr>
            <w:tcW w:w="1300" w:type="dxa"/>
          </w:tcPr>
          <w:p w:rsidR="00AC0832" w:rsidRDefault="00AC0832">
            <w:pPr>
              <w:pStyle w:val="CellColumn"/>
            </w:pPr>
            <w:r>
              <w:t>Povećanje broja plovila pokrivenih satelitskim sustavom nadzora plovila</w:t>
            </w:r>
          </w:p>
        </w:tc>
        <w:tc>
          <w:tcPr>
            <w:tcW w:w="1300" w:type="dxa"/>
          </w:tcPr>
          <w:p w:rsidR="00AC0832" w:rsidRDefault="00AC0832">
            <w:pPr>
              <w:pStyle w:val="CellColumn"/>
            </w:pPr>
            <w:r>
              <w:t>Povećanje broja plovila pokrivenih satelitskim sustavom nadzora plovila</w:t>
            </w:r>
          </w:p>
        </w:tc>
        <w:tc>
          <w:tcPr>
            <w:tcW w:w="1300" w:type="dxa"/>
          </w:tcPr>
          <w:p w:rsidR="00AC0832" w:rsidRDefault="00AC0832">
            <w:pPr>
              <w:pStyle w:val="CellColumn"/>
            </w:pPr>
            <w:r>
              <w:t>Broj</w:t>
            </w:r>
          </w:p>
        </w:tc>
        <w:tc>
          <w:tcPr>
            <w:tcW w:w="1300" w:type="dxa"/>
          </w:tcPr>
          <w:p w:rsidR="00AC0832" w:rsidRDefault="00AC0832">
            <w:pPr>
              <w:pStyle w:val="CellColumn"/>
            </w:pPr>
            <w:r>
              <w:t>256</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400</w:t>
            </w:r>
          </w:p>
        </w:tc>
        <w:tc>
          <w:tcPr>
            <w:tcW w:w="1300" w:type="dxa"/>
          </w:tcPr>
          <w:p w:rsidR="00AC0832" w:rsidRDefault="00AC0832">
            <w:pPr>
              <w:pStyle w:val="CellColumn"/>
            </w:pPr>
            <w:r>
              <w:t>264</w:t>
            </w:r>
          </w:p>
        </w:tc>
      </w:tr>
      <w:tr w:rsidR="00AC0832" w:rsidTr="00BE20ED">
        <w:trPr>
          <w:jc w:val="center"/>
        </w:trPr>
        <w:tc>
          <w:tcPr>
            <w:tcW w:w="1300" w:type="dxa"/>
          </w:tcPr>
          <w:p w:rsidR="00AC0832" w:rsidRDefault="00AC0832">
            <w:pPr>
              <w:pStyle w:val="CellColumn"/>
            </w:pPr>
            <w:r>
              <w:t>Povećanje udjela iskrcajnih mjesta obuhvaćenih stalnim programom inspekcijskih nadzora</w:t>
            </w:r>
          </w:p>
        </w:tc>
        <w:tc>
          <w:tcPr>
            <w:tcW w:w="1300" w:type="dxa"/>
          </w:tcPr>
          <w:p w:rsidR="00AC0832" w:rsidRDefault="00AC0832">
            <w:pPr>
              <w:pStyle w:val="CellColumn"/>
            </w:pPr>
            <w:r>
              <w:t>Povećanje udjela iskrcajnih mjesta obuhvaćenih stalnim programom inspekcijskih nadzora</w:t>
            </w:r>
          </w:p>
        </w:tc>
        <w:tc>
          <w:tcPr>
            <w:tcW w:w="1300" w:type="dxa"/>
          </w:tcPr>
          <w:p w:rsidR="00AC0832" w:rsidRDefault="00AC0832">
            <w:pPr>
              <w:pStyle w:val="CellColumn"/>
            </w:pPr>
            <w:r>
              <w:t>%</w:t>
            </w:r>
          </w:p>
        </w:tc>
        <w:tc>
          <w:tcPr>
            <w:tcW w:w="1300" w:type="dxa"/>
          </w:tcPr>
          <w:p w:rsidR="00AC0832" w:rsidRDefault="00AC0832">
            <w:pPr>
              <w:pStyle w:val="CellColumn"/>
            </w:pPr>
            <w:r>
              <w:t>3</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40</w:t>
            </w:r>
          </w:p>
        </w:tc>
        <w:tc>
          <w:tcPr>
            <w:tcW w:w="1300" w:type="dxa"/>
          </w:tcPr>
          <w:p w:rsidR="00AC0832" w:rsidRDefault="00AC0832">
            <w:pPr>
              <w:pStyle w:val="CellColumn"/>
            </w:pPr>
            <w:r>
              <w:t>25</w:t>
            </w:r>
          </w:p>
        </w:tc>
      </w:tr>
    </w:tbl>
    <w:p w:rsidR="00AC0832" w:rsidRDefault="00AC0832">
      <w:pPr>
        <w:jc w:val="left"/>
      </w:pPr>
    </w:p>
    <w:p w:rsidR="00AC0832" w:rsidRDefault="00AC0832">
      <w:pPr>
        <w:pStyle w:val="Heading7"/>
      </w:pPr>
      <w:r>
        <w:t>Cilj 2. Uspostava održivog iskorištavanja bioloških bogatstava mora i kopnenih voda</w:t>
      </w:r>
    </w:p>
    <w:p w:rsidR="00AC0832" w:rsidRDefault="00AC0832">
      <w:pPr>
        <w:pStyle w:val="Heading8"/>
        <w:jc w:val="left"/>
      </w:pPr>
      <w:r>
        <w:t>Opis provedbe cilja programa</w:t>
      </w:r>
    </w:p>
    <w:p w:rsidR="00AC0832" w:rsidRDefault="00AC0832">
      <w:pPr>
        <w:pStyle w:val="Normal6"/>
      </w:pPr>
      <w:r>
        <w:t>Nacionalni program prikupljanja podataka obuhvaća složen sustav prikupljanja podataka koji obuhvaća praćenje stanja resursa, praćenje i analizu podataka o ulovu, iskrcaju kroz znanstvena istraživanja i sustav uzorkovanja, te prikupljanje ekonomskih podataka o obavljanju djelatnosti i podataka o uzgoju i preradi. Stoga je nužno je financirati izradu stručnih podloga i studija, a vezano i uz ekonomske, socijalne i tržišne pokazatelje, ali i pokazatelje stanja ribljih resursa mora i slatkih voda, što predstavlja temelj za donošenje mjere racionalnog upravljanja u ribarstvu.</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328"/>
        <w:gridCol w:w="1300"/>
        <w:gridCol w:w="1300"/>
        <w:gridCol w:w="1362"/>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Povećani stupanj usklanenosti rezultata znanstvenih podataka s podacima iz ulova</w:t>
            </w:r>
          </w:p>
        </w:tc>
        <w:tc>
          <w:tcPr>
            <w:tcW w:w="1300" w:type="dxa"/>
          </w:tcPr>
          <w:p w:rsidR="00AC0832" w:rsidRDefault="00AC0832">
            <w:pPr>
              <w:pStyle w:val="CellColumn"/>
            </w:pPr>
            <w:r>
              <w:t>Povećani stupanj usklanenosti rezultata znanstvenih podataka s podacima iz ulova</w:t>
            </w:r>
          </w:p>
        </w:tc>
        <w:tc>
          <w:tcPr>
            <w:tcW w:w="1300" w:type="dxa"/>
          </w:tcPr>
          <w:p w:rsidR="00AC0832" w:rsidRDefault="00AC0832">
            <w:pPr>
              <w:pStyle w:val="CellColumn"/>
            </w:pPr>
            <w:r>
              <w:t>%</w:t>
            </w:r>
          </w:p>
        </w:tc>
        <w:tc>
          <w:tcPr>
            <w:tcW w:w="1300" w:type="dxa"/>
          </w:tcPr>
          <w:p w:rsidR="00AC0832" w:rsidRDefault="00AC0832">
            <w:pPr>
              <w:pStyle w:val="CellColumn"/>
            </w:pPr>
            <w:r>
              <w:t>20</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60</w:t>
            </w:r>
          </w:p>
        </w:tc>
        <w:tc>
          <w:tcPr>
            <w:tcW w:w="1300" w:type="dxa"/>
          </w:tcPr>
          <w:p w:rsidR="00AC0832" w:rsidRDefault="00AC0832">
            <w:pPr>
              <w:pStyle w:val="CellColumn"/>
            </w:pPr>
            <w:r>
              <w:t>60</w:t>
            </w:r>
          </w:p>
        </w:tc>
      </w:tr>
    </w:tbl>
    <w:p w:rsidR="00AC0832" w:rsidRDefault="00AC0832">
      <w:pPr>
        <w:jc w:val="left"/>
      </w:pPr>
    </w:p>
    <w:p w:rsidR="00AC0832" w:rsidRDefault="00AC0832">
      <w:pPr>
        <w:pStyle w:val="Heading7"/>
      </w:pPr>
      <w:r>
        <w:t>Cilj 3. Uspostava strukturnih mehanizama u ribarstvu</w:t>
      </w:r>
    </w:p>
    <w:p w:rsidR="00AC0832" w:rsidRDefault="00AC0832">
      <w:pPr>
        <w:pStyle w:val="Heading8"/>
        <w:jc w:val="left"/>
      </w:pPr>
      <w:r>
        <w:t>Opis provedbe cilja programa</w:t>
      </w:r>
    </w:p>
    <w:p w:rsidR="00AC0832" w:rsidRDefault="00AC0832">
      <w:pPr>
        <w:pStyle w:val="Normal6"/>
      </w:pPr>
      <w:r>
        <w:t>Ovim ciljem doprinijet će se unaprjeđenju sektora ribarstva u cijelini, odnosno kako uzgoja, ulova tako i prerade. Da bi uzgajivači i prerađivači u ribarstvu mogli konkurentno sudjelovati na zajedničkom tržištu EU ovakvo sufinanciranje je neophodno. Realizacija ovoga cilja provodi se kroz sufinanciranje mjera strukturne politike u ribarstvu a koja je namjenjena registriranim ribarima, uzgajivačima i prerađivačima proizvoda ribarstva. Također, cilj mjera strukturne politike je i poticanje racionalnog upravljanja resursima mora i kopnenih voda, kroz sufinanciranje određenih mjera (trajno ili privremeno odustajanje od ribolova, preusmjeravanje u druge djelatnosti) a koje imaju za cilj usklađivanje ribolovnog napora sa stanjem resursa.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62"/>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Provedba programa strukturne potpore prema modelu EU</w:t>
            </w:r>
          </w:p>
        </w:tc>
        <w:tc>
          <w:tcPr>
            <w:tcW w:w="1300" w:type="dxa"/>
          </w:tcPr>
          <w:p w:rsidR="00AC0832" w:rsidRDefault="00AC0832">
            <w:pPr>
              <w:pStyle w:val="CellColumn"/>
            </w:pPr>
            <w:r>
              <w:t>Provedba programa strukturne potpore prema modelu EU</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30</w:t>
            </w:r>
          </w:p>
        </w:tc>
        <w:tc>
          <w:tcPr>
            <w:tcW w:w="1300" w:type="dxa"/>
          </w:tcPr>
          <w:p w:rsidR="00AC0832" w:rsidRDefault="00AC0832">
            <w:pPr>
              <w:pStyle w:val="CellColumn"/>
            </w:pPr>
            <w:r>
              <w:t>8</w:t>
            </w:r>
          </w:p>
        </w:tc>
      </w:tr>
    </w:tbl>
    <w:p w:rsidR="00AC0832" w:rsidRDefault="00AC0832">
      <w:pPr>
        <w:jc w:val="left"/>
      </w:pPr>
    </w:p>
    <w:p w:rsidR="00AC0832" w:rsidRDefault="00AC0832">
      <w:pPr>
        <w:pStyle w:val="Heading7"/>
      </w:pPr>
      <w:r>
        <w:t>Cilj 4. Uspostava mjera tržišno-cjenovne politike u ribarstvu</w:t>
      </w:r>
    </w:p>
    <w:p w:rsidR="00AC0832" w:rsidRDefault="00AC0832">
      <w:pPr>
        <w:pStyle w:val="Heading8"/>
        <w:jc w:val="left"/>
      </w:pPr>
      <w:r>
        <w:t>Opis provedbe cilja programa</w:t>
      </w:r>
    </w:p>
    <w:p w:rsidR="00AC0832" w:rsidRDefault="00AC0832">
      <w:pPr>
        <w:pStyle w:val="Normal6"/>
      </w:pPr>
      <w:r>
        <w:t>Uspostava mjera tržišno-cjenovne politike u ribarstvu obuhvaća reguliranje tržišta proizvoda ribarstva kroz uspostavu odgovarajuće infrastrukture (veletržnice ribe, iskrcajna mjesta..), uspostavu adekvatnih i konkurentnih udruženja u ribarstvu kao i uspostavu mjera intervencija i cjenovnih mjera. Usmjeravanjem trženja proizvoda ribarstva kroz veletržnice ribom želi se postići transparentnije trženje proizvodima ribarstva uz sve popratne usluge koje bi i sami ribari imali od poslovanja kroz veletržnice. Ovaj cilj će se realizirati kroz financiranje mjera od zajedničkog interesas na lokalnoj i državnoj razini. Zakonodavstvom RH posebno su prepoznate organizacije proizvođača i ribarske zadruge te međustrukovne organizacije. Ovakvim uređenjem tržišta proizvoda ribarstva ribari imaju priliku poduzeti mjere pomoću kojih će osigurati najbolje tržišne uvjete za svoje proizvode.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6"/>
        <w:gridCol w:w="1406"/>
        <w:gridCol w:w="1268"/>
        <w:gridCol w:w="1280"/>
        <w:gridCol w:w="1362"/>
        <w:gridCol w:w="1280"/>
        <w:gridCol w:w="128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prometa ribom kroz veletržnice ribom</w:t>
            </w:r>
          </w:p>
        </w:tc>
        <w:tc>
          <w:tcPr>
            <w:tcW w:w="1300" w:type="dxa"/>
          </w:tcPr>
          <w:p w:rsidR="00AC0832" w:rsidRDefault="00AC0832">
            <w:pPr>
              <w:pStyle w:val="CellColumn"/>
            </w:pPr>
            <w:r>
              <w:t>Povećanje prometa ribom kroz veletržnice ribom</w:t>
            </w:r>
          </w:p>
        </w:tc>
        <w:tc>
          <w:tcPr>
            <w:tcW w:w="1300" w:type="dxa"/>
          </w:tcPr>
          <w:p w:rsidR="00AC0832" w:rsidRDefault="00AC0832">
            <w:pPr>
              <w:pStyle w:val="CellColumn"/>
            </w:pPr>
            <w:r>
              <w:t>%</w:t>
            </w:r>
          </w:p>
        </w:tc>
        <w:tc>
          <w:tcPr>
            <w:tcW w:w="1300" w:type="dxa"/>
          </w:tcPr>
          <w:p w:rsidR="00AC0832" w:rsidRDefault="00AC0832">
            <w:pPr>
              <w:pStyle w:val="CellColumn"/>
            </w:pPr>
            <w:r>
              <w:t>1</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10</w:t>
            </w:r>
          </w:p>
        </w:tc>
        <w:tc>
          <w:tcPr>
            <w:tcW w:w="1300" w:type="dxa"/>
          </w:tcPr>
          <w:p w:rsidR="00AC0832" w:rsidRDefault="00AC0832">
            <w:pPr>
              <w:pStyle w:val="CellColumn"/>
            </w:pPr>
            <w:r>
              <w:t>1</w:t>
            </w:r>
          </w:p>
        </w:tc>
      </w:tr>
      <w:tr w:rsidR="00AC0832" w:rsidTr="00BE20ED">
        <w:trPr>
          <w:jc w:val="center"/>
        </w:trPr>
        <w:tc>
          <w:tcPr>
            <w:tcW w:w="1300" w:type="dxa"/>
          </w:tcPr>
          <w:p w:rsidR="00AC0832" w:rsidRDefault="00AC0832">
            <w:pPr>
              <w:pStyle w:val="CellColumn"/>
            </w:pPr>
            <w:r>
              <w:t>Povećanje udjela gospodarskih ribara udruženih u ribarske zadruge ili organizacije proizvođača u odnosu na ukupan broj ribara</w:t>
            </w:r>
          </w:p>
        </w:tc>
        <w:tc>
          <w:tcPr>
            <w:tcW w:w="1300" w:type="dxa"/>
          </w:tcPr>
          <w:p w:rsidR="00AC0832" w:rsidRDefault="00AC0832">
            <w:pPr>
              <w:pStyle w:val="CellColumn"/>
            </w:pPr>
            <w:r>
              <w:t>Povećanje udjela gospodarskih ribara udruženih u ribarske zadruge ili organizacije proizvođača u odnosu na ukupan broj ribara</w:t>
            </w:r>
          </w:p>
        </w:tc>
        <w:tc>
          <w:tcPr>
            <w:tcW w:w="1300" w:type="dxa"/>
          </w:tcPr>
          <w:p w:rsidR="00AC0832" w:rsidRDefault="00AC0832">
            <w:pPr>
              <w:pStyle w:val="CellColumn"/>
            </w:pPr>
            <w:r>
              <w:t>%</w:t>
            </w:r>
          </w:p>
        </w:tc>
        <w:tc>
          <w:tcPr>
            <w:tcW w:w="1300" w:type="dxa"/>
          </w:tcPr>
          <w:p w:rsidR="00AC0832" w:rsidRDefault="00AC0832">
            <w:pPr>
              <w:pStyle w:val="CellColumn"/>
            </w:pPr>
            <w:r>
              <w:t>10</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20</w:t>
            </w:r>
          </w:p>
        </w:tc>
        <w:tc>
          <w:tcPr>
            <w:tcW w:w="1300" w:type="dxa"/>
          </w:tcPr>
          <w:p w:rsidR="00AC0832" w:rsidRDefault="00AC0832">
            <w:pPr>
              <w:pStyle w:val="CellColumn"/>
            </w:pPr>
            <w:r>
              <w:t>25</w:t>
            </w:r>
          </w:p>
        </w:tc>
      </w:tr>
    </w:tbl>
    <w:p w:rsidR="00AC0832" w:rsidRDefault="00AC0832">
      <w:pPr>
        <w:jc w:val="left"/>
      </w:pPr>
    </w:p>
    <w:p w:rsidR="00AC0832" w:rsidRDefault="00AC0832">
      <w:pPr>
        <w:pStyle w:val="Heading6"/>
      </w:pPr>
      <w:r>
        <w:t>A401128 PRILAGODBA RIBARSKE FLOTE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A401128-PRILAGODBA RIBARSKE FLOTE</w:t>
            </w:r>
          </w:p>
        </w:tc>
        <w:tc>
          <w:tcPr>
            <w:tcW w:w="2322" w:type="dxa"/>
          </w:tcPr>
          <w:p w:rsidR="00AC0832" w:rsidRDefault="00AC0832">
            <w:pPr>
              <w:pStyle w:val="CellColumn"/>
            </w:pPr>
            <w:r>
              <w:t>51.272</w:t>
            </w:r>
          </w:p>
        </w:tc>
        <w:tc>
          <w:tcPr>
            <w:tcW w:w="2322" w:type="dxa"/>
          </w:tcPr>
          <w:p w:rsidR="00AC0832" w:rsidRDefault="00AC0832">
            <w:pPr>
              <w:pStyle w:val="CellColumn"/>
            </w:pPr>
            <w:r>
              <w:t>51.271</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Kroz ovu stavku financiraju se mjere usmjerene ka prilagođavanju kapaciteta flote zbog smanjenja ribolovnih mogućnosti ili usvajanja planova upravljanja; mjere usmjerene ka trajnoj obustavi ribolovnih aktivnosti; mjere usmjerene ka privremenoj obustavi ribolovnih aktivnosti; mjere investiranja u selektivnost i investicije na samom plovilu; mjere ulaganja u gospodarski ribolov malim plovilima i socio-ekonomske mjere. Financiranje koje se provodi kroz ovu stavku sukladno je financiranju koje se provodi u EU kroz Europski ribarski fond te u ovom trenu ima za cilj prelazak na novi sustav financiranja te pripremu kako sektora tako i administracije na način i mjere koje će se financirati danom stupanja RH u EU.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6"/>
        <w:gridCol w:w="1306"/>
        <w:gridCol w:w="1300"/>
        <w:gridCol w:w="1300"/>
        <w:gridCol w:w="1362"/>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Smanjenje razlike trenutnog i optimalnog ili ribolovnog napora u pojedinim segmentima flote</w:t>
            </w:r>
          </w:p>
        </w:tc>
        <w:tc>
          <w:tcPr>
            <w:tcW w:w="1300" w:type="dxa"/>
          </w:tcPr>
          <w:p w:rsidR="00AC0832" w:rsidRDefault="00AC0832">
            <w:pPr>
              <w:pStyle w:val="CellColumn"/>
            </w:pPr>
            <w:r>
              <w:t>Smanjenje razlike trenutnog i optimalnog ili ribolovnog napora u pojedinim segmentima flote</w:t>
            </w:r>
          </w:p>
        </w:tc>
        <w:tc>
          <w:tcPr>
            <w:tcW w:w="1300" w:type="dxa"/>
          </w:tcPr>
          <w:p w:rsidR="00AC0832" w:rsidRDefault="00AC0832">
            <w:pPr>
              <w:pStyle w:val="CellColumn"/>
            </w:pPr>
            <w:r>
              <w:t>INDEKS</w:t>
            </w:r>
          </w:p>
        </w:tc>
        <w:tc>
          <w:tcPr>
            <w:tcW w:w="1300" w:type="dxa"/>
          </w:tcPr>
          <w:p w:rsidR="00AC0832" w:rsidRDefault="00AC0832">
            <w:pPr>
              <w:pStyle w:val="CellColumn"/>
            </w:pPr>
            <w:r>
              <w:t>100</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75</w:t>
            </w:r>
          </w:p>
        </w:tc>
        <w:tc>
          <w:tcPr>
            <w:tcW w:w="1300" w:type="dxa"/>
          </w:tcPr>
          <w:p w:rsidR="00AC0832" w:rsidRDefault="00AC0832">
            <w:pPr>
              <w:pStyle w:val="CellColumn"/>
            </w:pPr>
            <w:r>
              <w:t>75</w:t>
            </w:r>
          </w:p>
        </w:tc>
      </w:tr>
    </w:tbl>
    <w:p w:rsidR="00AC0832" w:rsidRDefault="00AC0832">
      <w:pPr>
        <w:jc w:val="left"/>
      </w:pPr>
    </w:p>
    <w:p w:rsidR="00AC0832" w:rsidRDefault="00AC0832">
      <w:pPr>
        <w:pStyle w:val="Heading6"/>
      </w:pPr>
      <w:r>
        <w:t>A650058 POTICANJE USTROJA UDRUGA PROIZVOĐAČA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A650058-POTICANJE USTROJA UDRUGA PROIZVOĐAČA</w:t>
            </w:r>
          </w:p>
        </w:tc>
        <w:tc>
          <w:tcPr>
            <w:tcW w:w="2322" w:type="dxa"/>
          </w:tcPr>
          <w:p w:rsidR="00AC0832" w:rsidRDefault="00AC0832">
            <w:pPr>
              <w:pStyle w:val="CellColumn"/>
            </w:pPr>
            <w:r>
              <w:t>6.000.000</w:t>
            </w:r>
          </w:p>
        </w:tc>
        <w:tc>
          <w:tcPr>
            <w:tcW w:w="2322" w:type="dxa"/>
          </w:tcPr>
          <w:p w:rsidR="00AC0832" w:rsidRDefault="00AC0832">
            <w:pPr>
              <w:pStyle w:val="CellColumn"/>
            </w:pPr>
            <w:r>
              <w:t>5.343.601</w:t>
            </w:r>
          </w:p>
        </w:tc>
        <w:tc>
          <w:tcPr>
            <w:tcW w:w="2322" w:type="dxa"/>
          </w:tcPr>
          <w:p w:rsidR="00AC0832" w:rsidRDefault="00AC0832">
            <w:pPr>
              <w:pStyle w:val="CellColumn"/>
            </w:pPr>
            <w:r>
              <w:t>89,1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Udruge proizvođača su temelj provedbe tržišne politike u ribarstvu EU i ova mjera ima za cilj postizanje konkurentnosti naših ribara i uzgajivača u uvjetima ulaska RH u EU. Udruge proizvođača u EU su jedan od osnovnih elemenata u provedbi tržišne politike u ribarstvu. Organizacije proizvođača u ribarstvu su jedna sasvim nova kategorija u Republici Hrvatskoj, odnosno one kao takve nisu postojale do sada, te smo u obvezi do ulaska RH u EU omogućiti zainteresiranima koji će zadovoljiti uvjete da se udruže u organizacije proizvođača. Iskustvom zemalja članica EU, ribarske zadruge su bile te koje su imale najviše uvjeta da postanu OP zbog svoje sličnosti. Iz ovoga razloga, a da bi svojim položajem i opremljenošću ribarske zadruge pokušale zadovoljiti uvjete koje moraju ispunjavati OP i u 2012. godini financiralo se je iz državnog proračuna RH osnivanje i rad ribarskih zadruga (kupnja zemljišta, objekata, opreme…). </w:t>
      </w:r>
    </w:p>
    <w:p w:rsidR="00AC0832" w:rsidRDefault="00AC0832">
      <w:pPr>
        <w:pStyle w:val="Normal6"/>
      </w:pPr>
      <w:r>
        <w:t>Tijekom 2012. godine na ovoj stavci planirano je ukupno 6.000.000,00 kuna, dok je iskorišteno 5.343.600,78 kuna, odnosno izvršenje je 89,06%. Priznate ribarske zadruge javile su se na natječaj sukladno svojim mogućnostima i uvjetima natječaja, te je ukupni iznos izvršenja pokrio sve fnancijske zahtjeve ribarskih zadruga.</w:t>
      </w:r>
    </w:p>
    <w:p w:rsidR="00AC0832" w:rsidRDefault="00AC0832">
      <w:pPr>
        <w:pStyle w:val="Heading6"/>
      </w:pPr>
      <w:r>
        <w:t>A650134 INTERVENCIJE NA TRŽIŠTU PROIZVODA RIBARSTVA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A650134-INTERVENCIJE NA TRŽIŠTU PROIZVODA RIBARSTVA</w:t>
            </w:r>
          </w:p>
        </w:tc>
        <w:tc>
          <w:tcPr>
            <w:tcW w:w="2322" w:type="dxa"/>
          </w:tcPr>
          <w:p w:rsidR="00AC0832" w:rsidRDefault="00AC0832">
            <w:pPr>
              <w:pStyle w:val="CellColumn"/>
            </w:pPr>
            <w:r>
              <w:t>26.728.602</w:t>
            </w:r>
          </w:p>
        </w:tc>
        <w:tc>
          <w:tcPr>
            <w:tcW w:w="2322" w:type="dxa"/>
          </w:tcPr>
          <w:p w:rsidR="00AC0832" w:rsidRDefault="00AC0832">
            <w:pPr>
              <w:pStyle w:val="CellColumn"/>
            </w:pPr>
            <w:r>
              <w:t>26.703.215</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Ova potpora obuhvaća financiranje mjera koje su nastale zbog nenadanih situacija na tržištu proizvoda ribarstva. Kako plavi diesel učestvuje u ulovnom segmentu sa 40-60% u ukupnim troškovima tako svako povećanje cijene ovog energenta može ozbiljno naštetiti opstojnosti ribara. Ova potpora u direktnoj je povezanosti sa mjerama strukturne politike u segmentu ribolova, ali i održivosti ove djelatnosti kroz utjecaj na ribolovne resurse. </w:t>
      </w:r>
    </w:p>
    <w:p w:rsidR="00AC0832" w:rsidRDefault="00AC0832">
      <w:pPr>
        <w:pStyle w:val="Normal6"/>
      </w:pPr>
      <w:r>
        <w:t>Tijekom 2012. godine na ovoj stavci planirano je ukupno 26.728.602,00 kuna, dok je iskorišteno 26.703.215,44 kuna što je izvršenje od gotovo 1002%. Ova aktivnost je izdvojena kako bi se ukazalo na njenu važnost, ne samo u količini financijskih izdataka.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62"/>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korisnika interventnih mjera</w:t>
            </w:r>
          </w:p>
        </w:tc>
        <w:tc>
          <w:tcPr>
            <w:tcW w:w="1300" w:type="dxa"/>
          </w:tcPr>
          <w:p w:rsidR="00AC0832" w:rsidRDefault="00AC0832">
            <w:pPr>
              <w:pStyle w:val="CellColumn"/>
            </w:pPr>
            <w:r>
              <w:t>Povećanje broja korisnika interventnih mjera</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120</w:t>
            </w:r>
          </w:p>
        </w:tc>
        <w:tc>
          <w:tcPr>
            <w:tcW w:w="1300" w:type="dxa"/>
          </w:tcPr>
          <w:p w:rsidR="00AC0832" w:rsidRDefault="00AC0832">
            <w:pPr>
              <w:pStyle w:val="CellColumn"/>
            </w:pPr>
            <w:r>
              <w:t>145</w:t>
            </w:r>
          </w:p>
        </w:tc>
      </w:tr>
    </w:tbl>
    <w:p w:rsidR="00AC0832" w:rsidRDefault="00AC0832">
      <w:pPr>
        <w:jc w:val="left"/>
      </w:pPr>
    </w:p>
    <w:p w:rsidR="00AC0832" w:rsidRDefault="00AC0832">
      <w:pPr>
        <w:pStyle w:val="Heading6"/>
      </w:pPr>
      <w:r>
        <w:t>K401095 SATELITSKI SUSTAV NADZORA PLOVILA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K401095-SATELITSKI SUSTAV NADZORA PLOVILA</w:t>
            </w:r>
          </w:p>
        </w:tc>
        <w:tc>
          <w:tcPr>
            <w:tcW w:w="2322" w:type="dxa"/>
          </w:tcPr>
          <w:p w:rsidR="00AC0832" w:rsidRDefault="00AC0832">
            <w:pPr>
              <w:pStyle w:val="CellColumn"/>
            </w:pPr>
            <w:r>
              <w:t>6.000.000</w:t>
            </w:r>
          </w:p>
        </w:tc>
        <w:tc>
          <w:tcPr>
            <w:tcW w:w="2322" w:type="dxa"/>
          </w:tcPr>
          <w:p w:rsidR="00AC0832" w:rsidRDefault="00AC0832">
            <w:pPr>
              <w:pStyle w:val="CellColumn"/>
            </w:pPr>
            <w:r>
              <w:t>2.445.142</w:t>
            </w:r>
          </w:p>
        </w:tc>
        <w:tc>
          <w:tcPr>
            <w:tcW w:w="2322" w:type="dxa"/>
          </w:tcPr>
          <w:p w:rsidR="00AC0832" w:rsidRDefault="00AC0832">
            <w:pPr>
              <w:pStyle w:val="CellColumn"/>
            </w:pPr>
            <w:r>
              <w:t>40,8</w:t>
            </w:r>
          </w:p>
        </w:tc>
      </w:tr>
    </w:tbl>
    <w:p w:rsidR="00AC0832" w:rsidRDefault="00AC0832">
      <w:pPr>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 xml:space="preserve">RH je u obvezi uspostavit satelitski sustav praćenja plovila za plovila iznad 15 metara. Kako je obavljena nabava 256 kutija, naredih godina potrebno je nabaviti ukupno 400 kutija i uređaje za elektronski prijenos podataka te uređaja za automatsku identifikaciju (AIS sustav). Uspostava satelitskog sustava nadzora plovila ispunjavaju se uvjeti postavljeni pravnom stečevinom EU. </w:t>
      </w:r>
    </w:p>
    <w:p w:rsidR="00AC0832" w:rsidRDefault="00AC0832">
      <w:pPr>
        <w:pStyle w:val="Normal6"/>
      </w:pPr>
      <w:r>
        <w:t>Tijekom 2012. godine na ovoj stavci planirano je ukupno 6.000.000,00 kuna, dok je iskorišteno 2.444.641,58 kuna što je izvršenje od 40,74%. Tijekom 2012. godine nastavljen je proces javne nabave VMS kutija i signala, no zbog problema nastalih u tome procesu, nije okončana kupnja navedenog, te je samim tim i izvršenje ove stavke malo.</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62"/>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plovila pokrivenih satelitskim sustavom nadzora plovila</w:t>
            </w:r>
          </w:p>
        </w:tc>
        <w:tc>
          <w:tcPr>
            <w:tcW w:w="1300" w:type="dxa"/>
          </w:tcPr>
          <w:p w:rsidR="00AC0832" w:rsidRDefault="00AC0832">
            <w:pPr>
              <w:pStyle w:val="CellColumn"/>
            </w:pPr>
            <w:r>
              <w:t>Povećanje broja plovila pokrivenih satelitskim sustavom nadzora plovila</w:t>
            </w:r>
          </w:p>
        </w:tc>
        <w:tc>
          <w:tcPr>
            <w:tcW w:w="1300" w:type="dxa"/>
          </w:tcPr>
          <w:p w:rsidR="00AC0832" w:rsidRDefault="00AC0832">
            <w:pPr>
              <w:pStyle w:val="CellColumn"/>
            </w:pPr>
            <w:r>
              <w:t>Broj</w:t>
            </w:r>
          </w:p>
        </w:tc>
        <w:tc>
          <w:tcPr>
            <w:tcW w:w="1300" w:type="dxa"/>
          </w:tcPr>
          <w:p w:rsidR="00AC0832" w:rsidRDefault="00AC0832">
            <w:pPr>
              <w:pStyle w:val="CellColumn"/>
            </w:pPr>
            <w:r>
              <w:t>256</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370</w:t>
            </w:r>
          </w:p>
        </w:tc>
        <w:tc>
          <w:tcPr>
            <w:tcW w:w="1300" w:type="dxa"/>
          </w:tcPr>
          <w:p w:rsidR="00AC0832" w:rsidRDefault="00AC0832">
            <w:pPr>
              <w:pStyle w:val="CellColumn"/>
            </w:pPr>
            <w:r>
              <w:t>264</w:t>
            </w:r>
          </w:p>
        </w:tc>
      </w:tr>
    </w:tbl>
    <w:p w:rsidR="00AC0832" w:rsidRDefault="00AC0832">
      <w:pPr>
        <w:jc w:val="left"/>
      </w:pPr>
    </w:p>
    <w:p w:rsidR="00AC0832" w:rsidRDefault="00AC0832">
      <w:pPr>
        <w:pStyle w:val="Heading5"/>
      </w:pPr>
      <w:r>
        <w:t>3006 GOSPODARENJE I ZAŠTITA ŠUMSKIH RESURSA, LOVIŠTA I DIVLJAČI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3006-GOSPODARENJE I ZAŠTITA ŠUMSKIH RESURSA, LOVIŠTA I DIVLJAČI</w:t>
            </w:r>
          </w:p>
        </w:tc>
        <w:tc>
          <w:tcPr>
            <w:tcW w:w="2322" w:type="dxa"/>
          </w:tcPr>
          <w:p w:rsidR="00AC0832" w:rsidRDefault="00AC0832">
            <w:pPr>
              <w:pStyle w:val="CellColumn"/>
            </w:pPr>
            <w:r>
              <w:t>7.400.000</w:t>
            </w:r>
          </w:p>
        </w:tc>
        <w:tc>
          <w:tcPr>
            <w:tcW w:w="2322" w:type="dxa"/>
          </w:tcPr>
          <w:p w:rsidR="00AC0832" w:rsidRDefault="00AC0832">
            <w:pPr>
              <w:pStyle w:val="CellColumn"/>
            </w:pPr>
            <w:r>
              <w:t>4.052.619</w:t>
            </w:r>
          </w:p>
        </w:tc>
        <w:tc>
          <w:tcPr>
            <w:tcW w:w="2322" w:type="dxa"/>
          </w:tcPr>
          <w:p w:rsidR="00AC0832" w:rsidRDefault="00AC0832">
            <w:pPr>
              <w:pStyle w:val="CellColumn"/>
            </w:pPr>
            <w:r>
              <w:t>54,8</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 gospodarenja lovištima i divljači obavlja upravne i stručne poslove u svezi provedbe propisa lovno-gospodarskih osnova, programa uzgoja i zaštite divljači. Navedenim se pridonosi održanju prirodnih odnosa između vrsta, očuvanju biološke raznolikosti te zaštiti divljači i njenih prirodnih staništa. Kroz zakupe i koncesije na lovištima usmjerava se razvoj gospodarstva i turističke ponude u sklopu lovno- turističkih aranžmana. Također se potiče napučivanje lovišta vrstama divljači zbog održanja bioraznolikosti u područjima gdje je došlo do narušavanja prirodnih odnosa između vrsta. Unaprjeđivanje postojeće baze podataka (Središnja lovna evidencija) predstavlja dio razvoja predmetnog gospodarstva, a ima za svrhu mogućnost uvida u postojeće stanje vezano uz brojnost divljači te stanje očuvanja staništa. </w:t>
      </w:r>
    </w:p>
    <w:p w:rsidR="00AC0832" w:rsidRDefault="00AC0832">
      <w:pPr>
        <w:pStyle w:val="Normal5"/>
      </w:pPr>
      <w:r>
        <w:t xml:space="preserve">Cilj programa gospodrenja šumama u Republici Hrvatskoj je održivo i skladno korištenje funkcija šuma i trajno poboljšanje njihova stanja. Stoga, gospodarenje šumama treba provoditi na način koji će osigurati održanje i unapređenje biološke i krajobrazne raznolikosti, uz trajnu skrb za zaštitu šumskih ekosustava, poštujući sve eurospke kriterije održivog gospodarenja šumama.  </w:t>
      </w:r>
    </w:p>
    <w:p w:rsidR="00AC0832" w:rsidRDefault="00AC0832">
      <w:pPr>
        <w:pStyle w:val="Normal5"/>
      </w:pPr>
      <w:r>
        <w:t xml:space="preserve">Stroge ekološke, socijalne i ekonomske standarde gospodarenja šumama u vlasništvu RH potrebno je zadržati na postojećoj razini s težnjom njihova unapređenja, dok je u šumama šumoposjednika potrebno poticati razvijanje odnosnih standarda i njihovu dugoročnu primjenu, sa svrhom ostvarivanja cilja održivog gospodarenja. </w:t>
      </w:r>
    </w:p>
    <w:p w:rsidR="00AC0832" w:rsidRDefault="00AC0832">
      <w:pPr>
        <w:pStyle w:val="Normal5"/>
      </w:pPr>
      <w:r>
        <w:t>Potpisivanjem i ratificiranjem međunarodnih sporazuma, te ispunjavanjem obveza, RH potvrđuje predanost vrednovanju svih funkcija šuma. Stoga je potrebno aktivno sudjelovanje RH na međunarodnim šumarskim forumima i stalna prisutnost pri kreiranju općih šumarskih politika i akcija, poglavito u dijelu održivog gospodarenja šumskim ekosustavima, očuvanja bioraznolikosti te zaštiti i očuvanju šumskih ekosustava i genetskih resursa.</w:t>
      </w:r>
    </w:p>
    <w:p w:rsidR="00AC0832" w:rsidRDefault="00AC0832">
      <w:pPr>
        <w:pStyle w:val="Heading6"/>
      </w:pPr>
      <w:r>
        <w:t>Zakonske i druge pravne osnove</w:t>
      </w:r>
    </w:p>
    <w:p w:rsidR="00AC0832" w:rsidRDefault="00AC0832">
      <w:pPr>
        <w:pStyle w:val="Normal5"/>
      </w:pPr>
      <w:r>
        <w:t xml:space="preserve">Zakonske i druge pravne osnove </w:t>
      </w:r>
    </w:p>
    <w:p w:rsidR="00AC0832" w:rsidRDefault="00AC0832">
      <w:pPr>
        <w:pStyle w:val="Normal5"/>
      </w:pPr>
      <w:r>
        <w:t xml:space="preserve">Zakon o lovstvu (NN 140/05 i 75/09) i Plan gospodarenja smeđim medvjedom. </w:t>
      </w:r>
    </w:p>
    <w:p w:rsidR="00AC0832" w:rsidRDefault="00AC0832">
      <w:pPr>
        <w:pStyle w:val="Normal5"/>
      </w:pPr>
      <w:r>
        <w:t xml:space="preserve">Zakon o šumama (NN 140/05, 82/06, 129/08, 80/10 i 124/10) </w:t>
      </w:r>
    </w:p>
    <w:p w:rsidR="00AC0832" w:rsidRDefault="00AC0832">
      <w:pPr>
        <w:pStyle w:val="Normal5"/>
      </w:pPr>
      <w:r>
        <w:t xml:space="preserve">Zakon o šumskom reprodukcijskom materijalu (NN 75/09 i 61/11) </w:t>
      </w:r>
    </w:p>
    <w:p w:rsidR="00AC0832" w:rsidRDefault="00AC0832">
      <w:pPr>
        <w:pStyle w:val="Normal5"/>
      </w:pPr>
      <w:r>
        <w:t xml:space="preserve">Zakon o priznavanju svojti šumskog drveća i grmlja (NN 113/03 i 33/05) </w:t>
      </w:r>
    </w:p>
    <w:p w:rsidR="00AC0832" w:rsidRDefault="00AC0832">
      <w:pPr>
        <w:pStyle w:val="Normal5"/>
      </w:pPr>
      <w:r>
        <w:t xml:space="preserve">Zakon o biljnom zdravstvu (NN 75/05 i 58/11) </w:t>
      </w:r>
    </w:p>
    <w:p w:rsidR="00AC0832" w:rsidRDefault="00AC0832">
      <w:pPr>
        <w:pStyle w:val="Normal5"/>
      </w:pPr>
      <w:r>
        <w:t xml:space="preserve">Pravilnik o načinu motrenja oštećenosti šumskih ekosustava (NN 67/10) </w:t>
      </w:r>
    </w:p>
    <w:p w:rsidR="00AC0832" w:rsidRDefault="00AC0832">
      <w:pPr>
        <w:pStyle w:val="Normal5"/>
      </w:pPr>
      <w:r>
        <w:t xml:space="preserve">Pravilnik  o načinu prikupljanja podataka, vođenju registra te uvjetima korištenja podataka o šumskim požarima (NN 126/06, 101/07, 74/08 i 10/09) </w:t>
      </w:r>
    </w:p>
    <w:p w:rsidR="00AC0832" w:rsidRDefault="00AC0832">
      <w:pPr>
        <w:pStyle w:val="Normal5"/>
      </w:pPr>
      <w:r>
        <w:t>Zaključak Vlade Republike Hrvatske (Klasa:910-04/07-01/11, Urbroj: 5030114-11-2 od 27.listopada 2011. god.) o sufinanciranju osnivanja Regionalnog ureda Europskog šumarskog instituta za jugoistočnu Europu (EFISEE)</w:t>
      </w:r>
    </w:p>
    <w:p w:rsidR="00AC0832" w:rsidRDefault="00AC0832">
      <w:pPr>
        <w:pStyle w:val="Heading7"/>
      </w:pPr>
      <w:r>
        <w:t>Cilj 1. Razvoj gospodarenja lovištima i divljači</w:t>
      </w:r>
    </w:p>
    <w:p w:rsidR="00AC0832" w:rsidRDefault="00AC0832">
      <w:pPr>
        <w:pStyle w:val="Heading8"/>
        <w:jc w:val="left"/>
      </w:pPr>
      <w:r>
        <w:t>Opis provedbe cilja programa</w:t>
      </w:r>
    </w:p>
    <w:p w:rsidR="00AC0832" w:rsidRDefault="00AC0832">
      <w:pPr>
        <w:pStyle w:val="Normal6"/>
      </w:pPr>
      <w:r>
        <w:t>Unapređenje lovstva s ciljem poboljšanja gospodarenja lovištima i divljači, povećanja brojnog stanja divljači čije je brojno stanje ispod propisanoga, te njihovo praćenje.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0"/>
        <w:gridCol w:w="1310"/>
        <w:gridCol w:w="1300"/>
        <w:gridCol w:w="1300"/>
        <w:gridCol w:w="1362"/>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w:t>
            </w:r>
            <w:r>
              <w:tab/>
              <w:t xml:space="preserve"> </w:t>
            </w:r>
          </w:p>
          <w:p w:rsidR="00AC0832" w:rsidRDefault="00AC0832">
            <w:pPr>
              <w:pStyle w:val="CellColumn"/>
            </w:pPr>
            <w:r>
              <w:t>održavanje</w:t>
            </w:r>
            <w:r>
              <w:tab/>
              <w:t xml:space="preserve"> </w:t>
            </w:r>
          </w:p>
          <w:p w:rsidR="00AC0832" w:rsidRDefault="00AC0832">
            <w:pPr>
              <w:pStyle w:val="CellColumn"/>
            </w:pPr>
            <w:r>
              <w:t>deficitarne</w:t>
            </w:r>
            <w:r>
              <w:tab/>
              <w:t xml:space="preserve">divljači  </w:t>
            </w:r>
          </w:p>
          <w:p w:rsidR="00AC0832" w:rsidRDefault="00AC0832">
            <w:pPr>
              <w:pStyle w:val="CellColumn"/>
            </w:pPr>
            <w:r>
              <w:t>u RH</w:t>
            </w:r>
          </w:p>
        </w:tc>
        <w:tc>
          <w:tcPr>
            <w:tcW w:w="1300" w:type="dxa"/>
          </w:tcPr>
          <w:p w:rsidR="00AC0832" w:rsidRDefault="00AC0832">
            <w:pPr>
              <w:pStyle w:val="CellColumn"/>
            </w:pPr>
            <w:r>
              <w:t>Povećanje</w:t>
            </w:r>
            <w:r>
              <w:tab/>
              <w:t xml:space="preserve"> </w:t>
            </w:r>
          </w:p>
          <w:p w:rsidR="00AC0832" w:rsidRDefault="00AC0832">
            <w:pPr>
              <w:pStyle w:val="CellColumn"/>
            </w:pPr>
            <w:r>
              <w:t>održavanje</w:t>
            </w:r>
            <w:r>
              <w:tab/>
              <w:t xml:space="preserve"> </w:t>
            </w:r>
          </w:p>
          <w:p w:rsidR="00AC0832" w:rsidRDefault="00AC0832">
            <w:pPr>
              <w:pStyle w:val="CellColumn"/>
            </w:pPr>
            <w:r>
              <w:t>deficitarne</w:t>
            </w:r>
            <w:r>
              <w:tab/>
              <w:t xml:space="preserve">divljači  </w:t>
            </w:r>
          </w:p>
          <w:p w:rsidR="00AC0832" w:rsidRDefault="00AC0832">
            <w:pPr>
              <w:pStyle w:val="CellColumn"/>
            </w:pPr>
            <w:r>
              <w:t>u RH</w:t>
            </w:r>
          </w:p>
        </w:tc>
        <w:tc>
          <w:tcPr>
            <w:tcW w:w="1300" w:type="dxa"/>
          </w:tcPr>
          <w:p w:rsidR="00AC0832" w:rsidRDefault="00AC0832">
            <w:pPr>
              <w:pStyle w:val="CellColumn"/>
            </w:pPr>
            <w:r>
              <w:t>grlo/broj</w:t>
            </w:r>
          </w:p>
        </w:tc>
        <w:tc>
          <w:tcPr>
            <w:tcW w:w="1300" w:type="dxa"/>
          </w:tcPr>
          <w:p w:rsidR="00AC0832" w:rsidRDefault="00AC0832">
            <w:pPr>
              <w:pStyle w:val="CellColumn"/>
            </w:pPr>
            <w:r>
              <w:t>80.590</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81.500</w:t>
            </w:r>
          </w:p>
        </w:tc>
        <w:tc>
          <w:tcPr>
            <w:tcW w:w="1300" w:type="dxa"/>
          </w:tcPr>
          <w:p w:rsidR="00AC0832" w:rsidRDefault="00AC0832">
            <w:pPr>
              <w:pStyle w:val="CellColumn"/>
            </w:pPr>
            <w:r>
              <w:t>Nemamo potrebne podatke trenutno jer ćemo dobiti podatke 01.05.2013</w:t>
            </w:r>
          </w:p>
        </w:tc>
      </w:tr>
    </w:tbl>
    <w:p w:rsidR="00AC0832" w:rsidRDefault="00AC0832">
      <w:pPr>
        <w:jc w:val="left"/>
      </w:pPr>
    </w:p>
    <w:p w:rsidR="00AC0832" w:rsidRDefault="00AC0832">
      <w:pPr>
        <w:pStyle w:val="Heading7"/>
      </w:pPr>
      <w:r>
        <w:t>Cilj 2. Održivi razvoj šuma i šumskog zemljišta</w:t>
      </w:r>
    </w:p>
    <w:p w:rsidR="00AC0832" w:rsidRDefault="00AC0832">
      <w:pPr>
        <w:pStyle w:val="Heading8"/>
        <w:jc w:val="left"/>
      </w:pPr>
      <w:r>
        <w:t>Opis provedbe cilja programa</w:t>
      </w:r>
    </w:p>
    <w:p w:rsidR="00AC0832" w:rsidRDefault="00AC0832">
      <w:pPr>
        <w:pStyle w:val="Normal6"/>
      </w:pPr>
      <w:r>
        <w:t>Cilj gospodarenja šumama u Republici Hrvatskoj je održivo i skladno korištenje funkcija šuma i trajno poboljšavanje njihova stanja. Stoga, gospodarenje šumskim resursima treba provoditi na način koji će osigurati održanje i unapređenje biološke i krajobrazne raznolikosti, uz trajnu skrb za zaštitu šumskih ekosustava, poštujući sveeuropske kriterije održivog gospodarenja šumama.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0"/>
        <w:gridCol w:w="1310"/>
        <w:gridCol w:w="1300"/>
        <w:gridCol w:w="1300"/>
        <w:gridCol w:w="1362"/>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w:t>
            </w:r>
            <w:r>
              <w:tab/>
              <w:t xml:space="preserve"> </w:t>
            </w:r>
          </w:p>
          <w:p w:rsidR="00AC0832" w:rsidRDefault="00AC0832">
            <w:pPr>
              <w:pStyle w:val="CellColumn"/>
            </w:pPr>
            <w:r>
              <w:t>održavanje</w:t>
            </w:r>
            <w:r>
              <w:tab/>
              <w:t xml:space="preserve">ukupne </w:t>
            </w:r>
          </w:p>
          <w:p w:rsidR="00AC0832" w:rsidRDefault="00AC0832">
            <w:pPr>
              <w:pStyle w:val="CellColumn"/>
            </w:pPr>
            <w:r>
              <w:t>šumske površine u RH</w:t>
            </w:r>
          </w:p>
        </w:tc>
        <w:tc>
          <w:tcPr>
            <w:tcW w:w="1300" w:type="dxa"/>
          </w:tcPr>
          <w:p w:rsidR="00AC0832" w:rsidRDefault="00AC0832">
            <w:pPr>
              <w:pStyle w:val="CellColumn"/>
            </w:pPr>
            <w:r>
              <w:t>Povećanje</w:t>
            </w:r>
            <w:r>
              <w:tab/>
              <w:t xml:space="preserve"> </w:t>
            </w:r>
          </w:p>
          <w:p w:rsidR="00AC0832" w:rsidRDefault="00AC0832">
            <w:pPr>
              <w:pStyle w:val="CellColumn"/>
            </w:pPr>
            <w:r>
              <w:t>održavanje</w:t>
            </w:r>
            <w:r>
              <w:tab/>
              <w:t xml:space="preserve">ukupne </w:t>
            </w:r>
          </w:p>
          <w:p w:rsidR="00AC0832" w:rsidRDefault="00AC0832">
            <w:pPr>
              <w:pStyle w:val="CellColumn"/>
            </w:pPr>
            <w:r>
              <w:t>šumske površine u RH</w:t>
            </w:r>
          </w:p>
        </w:tc>
        <w:tc>
          <w:tcPr>
            <w:tcW w:w="1300" w:type="dxa"/>
          </w:tcPr>
          <w:p w:rsidR="00AC0832" w:rsidRDefault="00AC0832">
            <w:pPr>
              <w:pStyle w:val="CellColumn"/>
            </w:pPr>
            <w:r>
              <w:t>ha</w:t>
            </w:r>
          </w:p>
        </w:tc>
        <w:tc>
          <w:tcPr>
            <w:tcW w:w="1300" w:type="dxa"/>
          </w:tcPr>
          <w:p w:rsidR="00AC0832" w:rsidRDefault="00AC0832">
            <w:pPr>
              <w:pStyle w:val="CellColumn"/>
            </w:pPr>
            <w:r>
              <w:t>2.688.687</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2.688.687</w:t>
            </w:r>
          </w:p>
        </w:tc>
        <w:tc>
          <w:tcPr>
            <w:tcW w:w="1300" w:type="dxa"/>
          </w:tcPr>
          <w:p w:rsidR="00AC0832" w:rsidRDefault="00AC0832">
            <w:pPr>
              <w:pStyle w:val="CellColumn"/>
            </w:pPr>
            <w:r>
              <w:t>2.688.687</w:t>
            </w:r>
          </w:p>
        </w:tc>
      </w:tr>
    </w:tbl>
    <w:p w:rsidR="00AC0832" w:rsidRDefault="00AC0832">
      <w:pPr>
        <w:jc w:val="left"/>
      </w:pPr>
    </w:p>
    <w:p w:rsidR="00AC0832" w:rsidRDefault="00AC0832">
      <w:pPr>
        <w:pStyle w:val="Heading7"/>
      </w:pPr>
      <w:r>
        <w:t>Cilj 3. Zaštita šuma i međunarodna suradnja</w:t>
      </w:r>
    </w:p>
    <w:p w:rsidR="00AC0832" w:rsidRDefault="00AC0832">
      <w:pPr>
        <w:pStyle w:val="Heading8"/>
        <w:jc w:val="left"/>
      </w:pPr>
      <w:r>
        <w:t>Opis provedbe cilja programa</w:t>
      </w:r>
    </w:p>
    <w:p w:rsidR="00AC0832" w:rsidRDefault="00AC0832">
      <w:pPr>
        <w:pStyle w:val="Normal6"/>
      </w:pPr>
      <w:r>
        <w:t xml:space="preserve">Zaštitu šuma od abiotskih i biotskih čimbenika potrebno je provoditi na ekološko prihvatljiv način s ciljem očuvanja biološke raznolikosti, stabilnosti i općekorisnih funkcija šumskih ekosustava te njihove socijalne, ekonomske i ekološke uloge. Primjenom održivog gospodarenja šumama omogućava se njihovo obnavljanje u skladu s načelima zaštite šumskih genetskih izvora.  </w:t>
      </w:r>
    </w:p>
    <w:p w:rsidR="00AC0832" w:rsidRDefault="00AC0832">
      <w:pPr>
        <w:pStyle w:val="Normal6"/>
      </w:pPr>
      <w:r>
        <w:t>Cilj međunarodne suradnje RH u sektoru šumarstva je daljnje aktivno sudjelovanje na međunarodnoj šumarskoj sceni (UN, EU, paneuropske integracije), koja uključuje i  ispunjavanje preuzetih obveza međunarodnih sporazuma, te nastavak aktivnosti u sferi kreiranja općih šumarskih politika i akcija.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0"/>
        <w:gridCol w:w="1310"/>
        <w:gridCol w:w="1300"/>
        <w:gridCol w:w="1300"/>
        <w:gridCol w:w="1362"/>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w:t>
            </w:r>
            <w:r>
              <w:tab/>
              <w:t xml:space="preserve"> </w:t>
            </w:r>
          </w:p>
          <w:p w:rsidR="00AC0832" w:rsidRDefault="00AC0832">
            <w:pPr>
              <w:pStyle w:val="CellColumn"/>
            </w:pPr>
            <w:r>
              <w:t>održavanje</w:t>
            </w:r>
            <w:r>
              <w:tab/>
              <w:t xml:space="preserve">ukupne </w:t>
            </w:r>
          </w:p>
          <w:p w:rsidR="00AC0832" w:rsidRDefault="00AC0832">
            <w:pPr>
              <w:pStyle w:val="CellColumn"/>
            </w:pPr>
            <w:r>
              <w:t>šumske površine u RH</w:t>
            </w:r>
          </w:p>
        </w:tc>
        <w:tc>
          <w:tcPr>
            <w:tcW w:w="1300" w:type="dxa"/>
          </w:tcPr>
          <w:p w:rsidR="00AC0832" w:rsidRDefault="00AC0832">
            <w:pPr>
              <w:pStyle w:val="CellColumn"/>
            </w:pPr>
            <w:r>
              <w:t>Povećanje</w:t>
            </w:r>
            <w:r>
              <w:tab/>
              <w:t xml:space="preserve"> </w:t>
            </w:r>
          </w:p>
          <w:p w:rsidR="00AC0832" w:rsidRDefault="00AC0832">
            <w:pPr>
              <w:pStyle w:val="CellColumn"/>
            </w:pPr>
            <w:r>
              <w:t>održavanje</w:t>
            </w:r>
            <w:r>
              <w:tab/>
              <w:t xml:space="preserve">ukupne </w:t>
            </w:r>
          </w:p>
          <w:p w:rsidR="00AC0832" w:rsidRDefault="00AC0832">
            <w:pPr>
              <w:pStyle w:val="CellColumn"/>
            </w:pPr>
            <w:r>
              <w:t>šumske površine u RH</w:t>
            </w:r>
          </w:p>
        </w:tc>
        <w:tc>
          <w:tcPr>
            <w:tcW w:w="1300" w:type="dxa"/>
          </w:tcPr>
          <w:p w:rsidR="00AC0832" w:rsidRDefault="00AC0832">
            <w:pPr>
              <w:pStyle w:val="CellColumn"/>
            </w:pPr>
            <w:r>
              <w:t>ha</w:t>
            </w:r>
          </w:p>
        </w:tc>
        <w:tc>
          <w:tcPr>
            <w:tcW w:w="1300" w:type="dxa"/>
          </w:tcPr>
          <w:p w:rsidR="00AC0832" w:rsidRDefault="00AC0832">
            <w:pPr>
              <w:pStyle w:val="CellColumn"/>
            </w:pPr>
            <w:r>
              <w:t>2.688.687</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2.688.687</w:t>
            </w:r>
          </w:p>
        </w:tc>
        <w:tc>
          <w:tcPr>
            <w:tcW w:w="1300" w:type="dxa"/>
          </w:tcPr>
          <w:p w:rsidR="00AC0832" w:rsidRDefault="00AC0832">
            <w:pPr>
              <w:pStyle w:val="CellColumn"/>
            </w:pPr>
            <w:r>
              <w:t>2.688.687</w:t>
            </w:r>
          </w:p>
        </w:tc>
      </w:tr>
    </w:tbl>
    <w:p w:rsidR="00AC0832" w:rsidRDefault="00AC0832">
      <w:pPr>
        <w:jc w:val="left"/>
      </w:pPr>
    </w:p>
    <w:p w:rsidR="00AC0832" w:rsidRDefault="00AC0832">
      <w:pPr>
        <w:pStyle w:val="Heading6"/>
      </w:pPr>
      <w:r>
        <w:t>A568060 UNAPREĐENJE LOVSTVA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A568060-UNAPREĐENJE LOVSTVA</w:t>
            </w:r>
          </w:p>
        </w:tc>
        <w:tc>
          <w:tcPr>
            <w:tcW w:w="2322" w:type="dxa"/>
          </w:tcPr>
          <w:p w:rsidR="00AC0832" w:rsidRDefault="00AC0832">
            <w:pPr>
              <w:pStyle w:val="CellColumn"/>
            </w:pPr>
            <w:r>
              <w:t>2.970.000</w:t>
            </w:r>
          </w:p>
        </w:tc>
        <w:tc>
          <w:tcPr>
            <w:tcW w:w="2322" w:type="dxa"/>
          </w:tcPr>
          <w:p w:rsidR="00AC0832" w:rsidRDefault="00AC0832">
            <w:pPr>
              <w:pStyle w:val="CellColumn"/>
            </w:pPr>
            <w:r>
              <w:t>1.183.139</w:t>
            </w:r>
          </w:p>
        </w:tc>
        <w:tc>
          <w:tcPr>
            <w:tcW w:w="2322" w:type="dxa"/>
          </w:tcPr>
          <w:p w:rsidR="00AC0832" w:rsidRDefault="00AC0832">
            <w:pPr>
              <w:pStyle w:val="CellColumn"/>
            </w:pPr>
            <w:r>
              <w:t>39,8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Sredstva su se utrošila na održavanje Informacijskog sustava središnje lovne evidencije, kompenzaciju za prijevremeni otkaz ugovor, tisak evidencijskih markica te sufinanciranje promidžbe i informiranja.</w:t>
      </w:r>
    </w:p>
    <w:p w:rsidR="00AC0832" w:rsidRDefault="00AC0832">
      <w:pPr>
        <w:pStyle w:val="Heading6"/>
      </w:pPr>
      <w:r>
        <w:t>A820038 UNAPREĐENJE ŠUMARSTVA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A820038-UNAPREĐENJE ŠUMARSTVA</w:t>
            </w:r>
          </w:p>
        </w:tc>
        <w:tc>
          <w:tcPr>
            <w:tcW w:w="2322" w:type="dxa"/>
          </w:tcPr>
          <w:p w:rsidR="00AC0832" w:rsidRDefault="00AC0832">
            <w:pPr>
              <w:pStyle w:val="CellColumn"/>
            </w:pPr>
            <w:r>
              <w:t>1.350.000</w:t>
            </w:r>
          </w:p>
        </w:tc>
        <w:tc>
          <w:tcPr>
            <w:tcW w:w="2322" w:type="dxa"/>
          </w:tcPr>
          <w:p w:rsidR="00AC0832" w:rsidRDefault="00AC0832">
            <w:pPr>
              <w:pStyle w:val="CellColumn"/>
            </w:pPr>
            <w:r>
              <w:t>304.542</w:t>
            </w:r>
          </w:p>
        </w:tc>
        <w:tc>
          <w:tcPr>
            <w:tcW w:w="2322" w:type="dxa"/>
          </w:tcPr>
          <w:p w:rsidR="00AC0832" w:rsidRDefault="00AC0832">
            <w:pPr>
              <w:pStyle w:val="CellColumn"/>
            </w:pPr>
            <w:r>
              <w:t>22,6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 ciljem ostvarivanja održivog gospodarenja šumama u Republici Hrvatskoj, te skladnog korištenja funkcija šuma i trajnog poboljšanja njihova stanja, Uprava šumarstva obavila je čitav niz upravnih, stručnih i inspekcijskih poslova, poglavito u dijelu provedbe propisa šumskogospodarskih planova, te u dijelu šumarske ekologije, imovinsko-pravnog stanja šuma i šumskog zemljišta, kao i općekorisnih funkcija šuma. Kroz obavljene upravno-stručne i inspekcijske poslove osigurava se održanje i unapređenje biološke i krajobrazne raznolikosti, uz trajnu skrb za zaštitu šumskih ekosustava, poštujući sve europske kriterije održivog gospodarenja šumama, ali i postojeći zakonodavni okvir.Obzirom da nije donesen zakonodavni okvir za provođenje određenih aktivnosti indeks izvršenja je bio samo 22,6, pa je veliki dio planiranih aktivnosti prebačen u 2013. godinu.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9"/>
        <w:gridCol w:w="1429"/>
        <w:gridCol w:w="1248"/>
        <w:gridCol w:w="1272"/>
        <w:gridCol w:w="1362"/>
        <w:gridCol w:w="1272"/>
        <w:gridCol w:w="127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površine šuma za koju su odobreni programi gospodarenja</w:t>
            </w:r>
          </w:p>
        </w:tc>
        <w:tc>
          <w:tcPr>
            <w:tcW w:w="1300" w:type="dxa"/>
          </w:tcPr>
          <w:p w:rsidR="00AC0832" w:rsidRDefault="00AC0832">
            <w:pPr>
              <w:pStyle w:val="CellColumn"/>
            </w:pPr>
            <w:r>
              <w:t>Povećanje površine šuma za koju su odobreni programi gospodarenja</w:t>
            </w:r>
          </w:p>
        </w:tc>
        <w:tc>
          <w:tcPr>
            <w:tcW w:w="1300" w:type="dxa"/>
          </w:tcPr>
          <w:p w:rsidR="00AC0832" w:rsidRDefault="00AC0832">
            <w:pPr>
              <w:pStyle w:val="CellColumn"/>
            </w:pPr>
            <w:r>
              <w:t>ha</w:t>
            </w:r>
          </w:p>
        </w:tc>
        <w:tc>
          <w:tcPr>
            <w:tcW w:w="1300" w:type="dxa"/>
          </w:tcPr>
          <w:p w:rsidR="00AC0832" w:rsidRDefault="00AC0832">
            <w:pPr>
              <w:pStyle w:val="CellColumn"/>
            </w:pPr>
            <w:r>
              <w:t>2.079.987</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2.200.000</w:t>
            </w:r>
          </w:p>
        </w:tc>
        <w:tc>
          <w:tcPr>
            <w:tcW w:w="1300" w:type="dxa"/>
          </w:tcPr>
          <w:p w:rsidR="00AC0832" w:rsidRDefault="00AC0832">
            <w:pPr>
              <w:pStyle w:val="CellColumn"/>
            </w:pPr>
            <w:r>
              <w:t>2.186.457</w:t>
            </w:r>
          </w:p>
        </w:tc>
      </w:tr>
    </w:tbl>
    <w:p w:rsidR="00AC0832" w:rsidRDefault="00AC0832">
      <w:pPr>
        <w:jc w:val="left"/>
      </w:pPr>
    </w:p>
    <w:p w:rsidR="00AC0832" w:rsidRDefault="00AC0832">
      <w:pPr>
        <w:pStyle w:val="Heading6"/>
      </w:pPr>
    </w:p>
    <w:p w:rsidR="00AC0832" w:rsidRDefault="00AC0832">
      <w:pPr>
        <w:pStyle w:val="Heading6"/>
      </w:pPr>
    </w:p>
    <w:p w:rsidR="00AC0832" w:rsidRDefault="00AC0832">
      <w:pPr>
        <w:pStyle w:val="Heading6"/>
      </w:pPr>
      <w:r>
        <w:t>K821018 PROVEDBA MEĐUNARODNIH OBVEZA U ŠUMARSTVU</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66"/>
        <w:gridCol w:w="2160"/>
        <w:gridCol w:w="1576"/>
        <w:gridCol w:w="2322"/>
      </w:tblGrid>
      <w:tr w:rsidR="00AC0832" w:rsidTr="00DF0D8F">
        <w:trPr>
          <w:jc w:val="center"/>
        </w:trPr>
        <w:tc>
          <w:tcPr>
            <w:tcW w:w="3466" w:type="dxa"/>
            <w:shd w:val="clear" w:color="auto" w:fill="B5C0D8"/>
          </w:tcPr>
          <w:p w:rsidR="00AC0832" w:rsidRDefault="00AC0832">
            <w:pPr>
              <w:pStyle w:val="CellHeader"/>
            </w:pPr>
            <w:r>
              <w:t>Naziv aktivnosti</w:t>
            </w:r>
          </w:p>
        </w:tc>
        <w:tc>
          <w:tcPr>
            <w:tcW w:w="2160" w:type="dxa"/>
            <w:shd w:val="clear" w:color="auto" w:fill="B5C0D8"/>
          </w:tcPr>
          <w:p w:rsidR="00AC0832" w:rsidRDefault="00AC0832">
            <w:pPr>
              <w:pStyle w:val="CellHeader"/>
            </w:pPr>
            <w:r>
              <w:t>Plan 2012. (kn)</w:t>
            </w:r>
          </w:p>
        </w:tc>
        <w:tc>
          <w:tcPr>
            <w:tcW w:w="1576"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DF0D8F">
        <w:trPr>
          <w:jc w:val="center"/>
        </w:trPr>
        <w:tc>
          <w:tcPr>
            <w:tcW w:w="3466" w:type="dxa"/>
          </w:tcPr>
          <w:p w:rsidR="00AC0832" w:rsidRDefault="00AC0832">
            <w:pPr>
              <w:pStyle w:val="CellColumn"/>
            </w:pPr>
            <w:r>
              <w:t>K821018-PROVEDBA MEĐUNARODNIH OBVEZA U ŠUMARSTVU</w:t>
            </w:r>
          </w:p>
        </w:tc>
        <w:tc>
          <w:tcPr>
            <w:tcW w:w="2160" w:type="dxa"/>
          </w:tcPr>
          <w:p w:rsidR="00AC0832" w:rsidRDefault="00AC0832">
            <w:pPr>
              <w:pStyle w:val="CellColumn"/>
            </w:pPr>
            <w:r>
              <w:t>650.000</w:t>
            </w:r>
          </w:p>
        </w:tc>
        <w:tc>
          <w:tcPr>
            <w:tcW w:w="1576" w:type="dxa"/>
          </w:tcPr>
          <w:p w:rsidR="00AC0832" w:rsidRDefault="00AC0832">
            <w:pPr>
              <w:pStyle w:val="CellColumn"/>
            </w:pPr>
            <w:r>
              <w:t>378.179</w:t>
            </w:r>
          </w:p>
        </w:tc>
        <w:tc>
          <w:tcPr>
            <w:tcW w:w="2322" w:type="dxa"/>
          </w:tcPr>
          <w:p w:rsidR="00AC0832" w:rsidRDefault="00AC0832">
            <w:pPr>
              <w:pStyle w:val="CellColumn"/>
            </w:pPr>
            <w:r>
              <w:t>58,2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Vezano uz osnivanje Regionalnog ureda Europskog šumarskog instituta za jugoistočnu Europu sa sjedištem u Varaždinu, a sukladno Zaključku Vlade Republike Hrvatske, s Hrvatskim šumarskim institutom potpisan je sporazum temeljem kojeg su financirane aktivnosti ustrojavanja i rada Zavoda za znanstvenu suradnju na području jugoistočne Europe – EFISEE.</w:t>
      </w:r>
    </w:p>
    <w:p w:rsidR="00AC0832" w:rsidRDefault="00AC0832">
      <w:pPr>
        <w:pStyle w:val="Heading6"/>
      </w:pPr>
      <w:r>
        <w:t>K828037 MJERE OČUVANJA ŠUMSKIH GENETSKIH RESURSA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K828037-MJERE OČUVANJA ŠUMSKIH GENETSKIH RESURSA</w:t>
            </w:r>
          </w:p>
        </w:tc>
        <w:tc>
          <w:tcPr>
            <w:tcW w:w="2322" w:type="dxa"/>
          </w:tcPr>
          <w:p w:rsidR="00AC0832" w:rsidRDefault="00AC0832">
            <w:pPr>
              <w:pStyle w:val="CellColumn"/>
            </w:pPr>
            <w:r>
              <w:t>1.200.000</w:t>
            </w:r>
          </w:p>
        </w:tc>
        <w:tc>
          <w:tcPr>
            <w:tcW w:w="2322" w:type="dxa"/>
          </w:tcPr>
          <w:p w:rsidR="00AC0832" w:rsidRDefault="00AC0832">
            <w:pPr>
              <w:pStyle w:val="CellColumn"/>
            </w:pPr>
            <w:r>
              <w:t>1.187.414</w:t>
            </w:r>
          </w:p>
        </w:tc>
        <w:tc>
          <w:tcPr>
            <w:tcW w:w="2322" w:type="dxa"/>
          </w:tcPr>
          <w:p w:rsidR="00AC0832" w:rsidRDefault="00AC0832">
            <w:pPr>
              <w:pStyle w:val="CellColumn"/>
            </w:pPr>
            <w:r>
              <w:t>99,0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dijelu programa koji se odnosi na zaštitu šumskih genetskih resursa, a vezano uz ustrojavanje genetske banke Hrvatski šumarski institut je, kao imenovano Službeno tijelo temeljem Zakona o šumskom reprodukcijskom materijalu: </w:t>
      </w:r>
    </w:p>
    <w:p w:rsidR="00AC0832" w:rsidRDefault="00AC0832">
      <w:pPr>
        <w:pStyle w:val="Normal6"/>
      </w:pPr>
      <w:r>
        <w:t xml:space="preserve"> </w:t>
      </w:r>
    </w:p>
    <w:p w:rsidR="00AC0832" w:rsidRDefault="00AC0832">
      <w:pPr>
        <w:pStyle w:val="Normal6"/>
      </w:pPr>
      <w:r>
        <w:t xml:space="preserve">• proveo terenski obilazak dijela potencijalnih šumskih sjemenskih objekata koji će se uvrstiti u Genetsku banku, te izradio elaborat o njihovu stanju, </w:t>
      </w:r>
    </w:p>
    <w:p w:rsidR="00AC0832" w:rsidRDefault="00AC0832">
      <w:pPr>
        <w:pStyle w:val="Normal6"/>
      </w:pPr>
      <w:r>
        <w:t xml:space="preserve"> </w:t>
      </w:r>
    </w:p>
    <w:p w:rsidR="00AC0832" w:rsidRDefault="00AC0832">
      <w:pPr>
        <w:pStyle w:val="Normal6"/>
      </w:pPr>
      <w:r>
        <w:t>• dovršio izgradnju objekta, te uredio prostor u kojemu će se uspostaviti sjemenska štedionica. Također je nabavio i dio potrebne opreme za laboratorij za ispitivanje kvalitete sjemenskog materijala šumskih svojti.</w:t>
      </w:r>
    </w:p>
    <w:p w:rsidR="00AC0832" w:rsidRDefault="00AC0832">
      <w:pPr>
        <w:pStyle w:val="Heading6"/>
      </w:pPr>
      <w:r>
        <w:t>K828038 MJERE ZAŠTITE ŠUMA OD BIOTSKIH I ABIOTSKIH ČIMBENIKA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K828038-MJERE ZAŠTITE ŠUMA OD BIOTSKIH I ABIOTSKIH ČIMBENIKA</w:t>
            </w:r>
          </w:p>
        </w:tc>
        <w:tc>
          <w:tcPr>
            <w:tcW w:w="2322" w:type="dxa"/>
          </w:tcPr>
          <w:p w:rsidR="00AC0832" w:rsidRDefault="00AC0832">
            <w:pPr>
              <w:pStyle w:val="CellColumn"/>
            </w:pPr>
            <w:r>
              <w:t>1.100.000</w:t>
            </w:r>
          </w:p>
        </w:tc>
        <w:tc>
          <w:tcPr>
            <w:tcW w:w="2322" w:type="dxa"/>
          </w:tcPr>
          <w:p w:rsidR="00AC0832" w:rsidRDefault="00AC0832">
            <w:pPr>
              <w:pStyle w:val="CellColumn"/>
            </w:pPr>
            <w:r>
              <w:t>998.565</w:t>
            </w:r>
          </w:p>
        </w:tc>
        <w:tc>
          <w:tcPr>
            <w:tcW w:w="2322" w:type="dxa"/>
          </w:tcPr>
          <w:p w:rsidR="00AC0832" w:rsidRDefault="00AC0832">
            <w:pPr>
              <w:pStyle w:val="CellColumn"/>
            </w:pPr>
            <w:r>
              <w:t>90,8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Temeljem dodijeljenih javnih ovlasti Hrvatski šumarski institut u cijelosti je proveo planirane aktivnosti: </w:t>
      </w:r>
    </w:p>
    <w:p w:rsidR="00AC0832" w:rsidRDefault="00AC0832">
      <w:pPr>
        <w:pStyle w:val="Normal6"/>
      </w:pPr>
      <w:r>
        <w:t xml:space="preserve"> </w:t>
      </w:r>
    </w:p>
    <w:p w:rsidR="00AC0832" w:rsidRDefault="00AC0832">
      <w:pPr>
        <w:pStyle w:val="Normal6"/>
      </w:pPr>
      <w:r>
        <w:t xml:space="preserve">• izvještajno prognoznih poslova u šumarstvu, koje su obuhvaćale prikupljanje, obradu i analizu podataka o šumskim štetnim organizmima, prognozu njihova mogućeg napada, kao i nadopunu portala o štetnim organizmima u šumarstvu, s recentnim prikazom trenutačnog stanja u Republici Hrvatskoj. U okviru provedbe izvještajno – prognoznih poslova u šumarstvu, a vezano uz stvaranje preduvjeta za implementaciju dijela javnih ovlasti dodijeljenih temeljem Zakona o biljnom zdravstvu (Poglavlje 12.), izvršeni su radovi obnove fitopatološkog laboratorijskog prostora, kao i nabavka laboratorijske opreme, te je unaprijeđen web portal o štetnim organizmima u šumama Republike Hrvatske </w:t>
      </w:r>
    </w:p>
    <w:p w:rsidR="00AC0832" w:rsidRDefault="00AC0832">
      <w:pPr>
        <w:pStyle w:val="Normal6"/>
      </w:pPr>
      <w:r>
        <w:t xml:space="preserve"> </w:t>
      </w:r>
    </w:p>
    <w:p w:rsidR="00AC0832" w:rsidRDefault="00AC0832">
      <w:pPr>
        <w:pStyle w:val="Normal6"/>
      </w:pPr>
      <w:r>
        <w:t>• prikupljanja podataka o oštećenosti šumskih ekosustava, te uspostave informacijskog sustava Registra oštećenosti šumskih ekosustava. U cilju podizanja kvalitete i kvantitete podataka o oštećenosti šumskih ekosustava izvršeni su radovi na obnovi laboratorijskog prostora, te je nabavljen dio potrebne laboratorijske opreme.</w:t>
      </w:r>
    </w:p>
    <w:p w:rsidR="00AC0832" w:rsidRDefault="00AC0832">
      <w:pPr>
        <w:pStyle w:val="Heading5"/>
      </w:pPr>
      <w:r>
        <w:t>3007 SUSTAV NAVODNJAVANJA I ZAŠTITE OD ŠTETNOG DJELOVANJA VODA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3007-SUSTAV NAVODNJAVANJA I ZAŠTITE OD ŠTETNOG DJELOVANJA VODA</w:t>
            </w:r>
          </w:p>
        </w:tc>
        <w:tc>
          <w:tcPr>
            <w:tcW w:w="2322" w:type="dxa"/>
          </w:tcPr>
          <w:p w:rsidR="00AC0832" w:rsidRDefault="00AC0832">
            <w:pPr>
              <w:pStyle w:val="CellColumn"/>
            </w:pPr>
            <w:r>
              <w:t>37.919.627</w:t>
            </w:r>
          </w:p>
        </w:tc>
        <w:tc>
          <w:tcPr>
            <w:tcW w:w="2322" w:type="dxa"/>
          </w:tcPr>
          <w:p w:rsidR="00AC0832" w:rsidRDefault="00AC0832">
            <w:pPr>
              <w:pStyle w:val="CellColumn"/>
            </w:pPr>
            <w:r>
              <w:t>37.452.573</w:t>
            </w:r>
          </w:p>
        </w:tc>
        <w:tc>
          <w:tcPr>
            <w:tcW w:w="2322" w:type="dxa"/>
          </w:tcPr>
          <w:p w:rsidR="00AC0832" w:rsidRDefault="00AC0832">
            <w:pPr>
              <w:pStyle w:val="CellColumn"/>
            </w:pPr>
            <w:r>
              <w:t>98,8</w:t>
            </w:r>
          </w:p>
        </w:tc>
      </w:tr>
    </w:tbl>
    <w:p w:rsidR="00AC0832" w:rsidRDefault="00AC0832">
      <w:pPr>
        <w:jc w:val="left"/>
      </w:pPr>
    </w:p>
    <w:p w:rsidR="00AC0832" w:rsidRDefault="00AC0832">
      <w:pPr>
        <w:pStyle w:val="Heading6"/>
      </w:pPr>
      <w:r>
        <w:t>Opis programa</w:t>
      </w:r>
    </w:p>
    <w:p w:rsidR="00AC0832" w:rsidRDefault="00AC0832">
      <w:pPr>
        <w:pStyle w:val="Normal5"/>
      </w:pPr>
      <w:r>
        <w:t xml:space="preserve">Navodnjavanje i zaštita poljoprivrednih površina od štetnog djelovanja voda od presudne su važnosti u razvoju, stabilnosti i gospodarskoj isplativosti svake cjelovite poljoprivredne proizvodnje. Sve češća pojava ekstrema u okviru godišnjeg vremenskog ciklusa (intenzivne poplave koje se izmjenjuju sa dugim sušnim periodima) potvrđuje sve veći utjecaj globalnih klimatskih promjena na području Republike Hrvatske. Kao direktna posljedica takvih promjena javljaju se veliki gubici u okviru poljoprivredne proizvodnje, odnosno nesigurnost i nestabilnost proizvodnje važnih poljoprivrednih proizvoda (dio ratarske proizvodnje, povrćarstvo, trajni nasadi….), kao i ukupna nekonkurentnost poljoprivredne proizvodnje u Republici Hrvatskoj u uvjetima takve proizvodnje. </w:t>
      </w:r>
    </w:p>
    <w:p w:rsidR="00AC0832" w:rsidRDefault="00AC0832">
      <w:pPr>
        <w:pStyle w:val="Normal5"/>
      </w:pPr>
      <w:r>
        <w:t xml:space="preserve">Uzimajući u obzir zapuštenost postojećih hidromelioracijskih sustava za odvodnju i navodnjavanje, nedefinirane planove razvoja, nedefiniranu zakonsku osnovu te prava i obveze sudionika i korisnika sustava navodnjavanja, usitnjenost poljoprivrednih površina, neorganiziranost poljoprivrednih proizvođača, tranziciju poljoprivredne proizvodnje, a s obzirom na značajan utjecaj globalnih klimatskih promjena na cjelokupno vodno gospodarstvo pa tako i na potrebu za hidrotehničkim melioracijama, Vlada Republike Hrvatske je još 2004. godine započela aktivnosti za izradu strateškog plana unapređenja poljoprivrede primjenom navodnjavanja s ciljem osiguranja uvjeta za optimalno korištenje prirodnih resursa tala i voda. Slijedom navedenog, a na prijedlog tima stručnjaka, 2005. godine izrađena je i usvojena strategija pod nazivom Nacionalni projekt navodnjavanja i gospodarenja poljoprivrednim zemljištem i vodama u Republici Hrvatskoj (NAPNAV). Provedbom NAPNAV-a ostvaruju se uvjeti za izgradnju vodnih građevina za navodnjavanje odnosno sustava javnog navodnjavanja čime se direktno utječe na povećanje poljoprivrednih površina pod navodnjavanjem odnosno na bolje gospodarenjem poljoprivrednim zemljištem i vodama u uvjetima navodnjavanja. </w:t>
      </w:r>
    </w:p>
    <w:p w:rsidR="00AC0832" w:rsidRDefault="00AC0832">
      <w:pPr>
        <w:pStyle w:val="Normal5"/>
      </w:pPr>
      <w:r>
        <w:t>Održiva zaštita od poplava i drugih oblika štetnoga djelovanja voda podrazumijeva postizanje gospodarski opravdanih stupnjeva zaštite stanovništva, materijalnih dobara i ostalih ugroženih vrijednosti (gospodarski objekti, prometnice, infrastrukturni sustavi, poljoprivredne površine, kulturno-povijesna baština i ostalo), uz poticanje očuvanja i unapređivanja ekološkog stanja voda i poplavnih površina, radi stvaranja preduvjeta za daljnji održivi gospodarski razvoj.</w:t>
      </w:r>
    </w:p>
    <w:p w:rsidR="00AC0832" w:rsidRDefault="00AC0832">
      <w:pPr>
        <w:pStyle w:val="Heading6"/>
      </w:pPr>
      <w:r>
        <w:t>Zakonske i druge pravne osnove</w:t>
      </w:r>
    </w:p>
    <w:p w:rsidR="00AC0832" w:rsidRDefault="00AC0832">
      <w:pPr>
        <w:pStyle w:val="Normal5"/>
      </w:pPr>
      <w:r>
        <w:t>Strategija upravljanja vodama („Narodne novine“, broj 91/08), Zakon o vodama („Narodne novine“, broj 153/09 i 130/11), Zakon o financiranju vodnoga gospodarstva („Narodne novine“, broj 153/09), Nacionalni projekt navodnjavanja i gospodarenja poljoprivrednim zemljištem i vodama u RH (NAPNAV), Županijski Planovi navodnjavanja, sporazumi o sufinanciranju izgradnje sustava navodnjavanja, ugovori o sufinanciranju izrade projektne dokumentacije za sustave navodnjavanja, ugovori o sanaciji/rekonstrukciji sustava za navodnjavanje.</w:t>
      </w:r>
    </w:p>
    <w:p w:rsidR="00AC0832" w:rsidRDefault="00AC0832">
      <w:pPr>
        <w:pStyle w:val="Heading7"/>
      </w:pPr>
      <w:r>
        <w:t>Cilj 1. Izgradnja sustava navodnjavanja i sustava zaštite od štetnog djelovanja voda</w:t>
      </w:r>
    </w:p>
    <w:p w:rsidR="00AC0832" w:rsidRDefault="00AC0832">
      <w:pPr>
        <w:pStyle w:val="Heading8"/>
        <w:jc w:val="left"/>
      </w:pPr>
      <w:r>
        <w:t>Opis provedbe cilja programa</w:t>
      </w:r>
    </w:p>
    <w:p w:rsidR="00AC0832" w:rsidRDefault="00AC0832">
      <w:pPr>
        <w:pStyle w:val="Normal6"/>
      </w:pPr>
      <w:r>
        <w:t>Realizacijom NAPNAV-a povećat će se broj poljoprivrednih površina pod navodnjavanjem u svrhu boljeg gospodarenja poljoprivrednim zemljištem i vodama u uvjetima navodnjavanja. Povećanjem funkcionalnosti sustava zaštite od štetnog djelovanja voda smanjuje se mogućnost nastanka šteta izazvanih štetnim djelovanjem voda.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3"/>
        <w:gridCol w:w="1673"/>
        <w:gridCol w:w="1132"/>
        <w:gridCol w:w="1190"/>
        <w:gridCol w:w="1207"/>
        <w:gridCol w:w="1190"/>
        <w:gridCol w:w="122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površina pod navodnjavanjem što rezultira kvalitetnijom, i povećanom poljoprivrednom proizvodnjom</w:t>
            </w:r>
          </w:p>
        </w:tc>
        <w:tc>
          <w:tcPr>
            <w:tcW w:w="1300" w:type="dxa"/>
          </w:tcPr>
          <w:p w:rsidR="00AC0832" w:rsidRDefault="00AC0832">
            <w:pPr>
              <w:pStyle w:val="CellColumn"/>
            </w:pPr>
            <w:r>
              <w:t>Površine pod navodnjavanjem</w:t>
            </w:r>
          </w:p>
        </w:tc>
        <w:tc>
          <w:tcPr>
            <w:tcW w:w="1300" w:type="dxa"/>
          </w:tcPr>
          <w:p w:rsidR="00AC0832" w:rsidRDefault="00AC0832">
            <w:pPr>
              <w:pStyle w:val="CellColumn"/>
            </w:pPr>
            <w:r>
              <w:t>ha</w:t>
            </w:r>
          </w:p>
        </w:tc>
        <w:tc>
          <w:tcPr>
            <w:tcW w:w="1300" w:type="dxa"/>
          </w:tcPr>
          <w:p w:rsidR="00AC0832" w:rsidRDefault="00AC0832">
            <w:pPr>
              <w:pStyle w:val="CellColumn"/>
            </w:pPr>
            <w:r>
              <w:t>15.380</w:t>
            </w:r>
          </w:p>
        </w:tc>
        <w:tc>
          <w:tcPr>
            <w:tcW w:w="1300" w:type="dxa"/>
          </w:tcPr>
          <w:p w:rsidR="00AC0832" w:rsidRDefault="00AC0832">
            <w:pPr>
              <w:pStyle w:val="CellColumn"/>
            </w:pPr>
            <w:r>
              <w:t>Hrvatske vode - Izvještaj o provedbi  NAPNAV-a 2004. - 2012</w:t>
            </w:r>
          </w:p>
        </w:tc>
        <w:tc>
          <w:tcPr>
            <w:tcW w:w="1300" w:type="dxa"/>
          </w:tcPr>
          <w:p w:rsidR="00AC0832" w:rsidRDefault="00AC0832">
            <w:pPr>
              <w:pStyle w:val="CellColumn"/>
            </w:pPr>
            <w:r>
              <w:t>15.540</w:t>
            </w:r>
          </w:p>
        </w:tc>
        <w:tc>
          <w:tcPr>
            <w:tcW w:w="1300" w:type="dxa"/>
          </w:tcPr>
          <w:p w:rsidR="00AC0832" w:rsidRDefault="00AC0832">
            <w:pPr>
              <w:pStyle w:val="CellColumn"/>
            </w:pPr>
            <w:r>
              <w:t>15.540</w:t>
            </w:r>
          </w:p>
        </w:tc>
      </w:tr>
      <w:tr w:rsidR="00AC0832" w:rsidTr="00BE20ED">
        <w:trPr>
          <w:jc w:val="center"/>
        </w:trPr>
        <w:tc>
          <w:tcPr>
            <w:tcW w:w="1300" w:type="dxa"/>
          </w:tcPr>
          <w:p w:rsidR="00AC0832" w:rsidRDefault="00AC0832">
            <w:pPr>
              <w:pStyle w:val="CellColumn"/>
            </w:pPr>
            <w:r>
              <w:t>Povećanje postotka funkcionalnosti sustava zaštite od štetnog djelovanja voda</w:t>
            </w:r>
          </w:p>
        </w:tc>
        <w:tc>
          <w:tcPr>
            <w:tcW w:w="1300" w:type="dxa"/>
          </w:tcPr>
          <w:p w:rsidR="00AC0832" w:rsidRDefault="00AC0832">
            <w:pPr>
              <w:pStyle w:val="CellColumn"/>
            </w:pPr>
            <w:r>
              <w:t>Broj izgrađenih vodnih građevina na sustavima zaštite od štetnog djelovanja voda, osim kanalske mreže</w:t>
            </w:r>
          </w:p>
        </w:tc>
        <w:tc>
          <w:tcPr>
            <w:tcW w:w="1300" w:type="dxa"/>
          </w:tcPr>
          <w:p w:rsidR="00AC0832" w:rsidRDefault="00AC0832">
            <w:pPr>
              <w:pStyle w:val="CellColumn"/>
            </w:pPr>
            <w:r>
              <w:t>%</w:t>
            </w:r>
          </w:p>
        </w:tc>
        <w:tc>
          <w:tcPr>
            <w:tcW w:w="1300" w:type="dxa"/>
          </w:tcPr>
          <w:p w:rsidR="00AC0832" w:rsidRDefault="00AC0832">
            <w:pPr>
              <w:pStyle w:val="CellColumn"/>
            </w:pPr>
            <w:r>
              <w:t>75</w:t>
            </w:r>
          </w:p>
        </w:tc>
        <w:tc>
          <w:tcPr>
            <w:tcW w:w="1300" w:type="dxa"/>
          </w:tcPr>
          <w:p w:rsidR="00AC0832" w:rsidRDefault="00AC0832">
            <w:pPr>
              <w:pStyle w:val="CellColumn"/>
            </w:pPr>
            <w:r>
              <w:t>Hrvatske vode</w:t>
            </w:r>
          </w:p>
        </w:tc>
        <w:tc>
          <w:tcPr>
            <w:tcW w:w="1300" w:type="dxa"/>
          </w:tcPr>
          <w:p w:rsidR="00AC0832" w:rsidRDefault="00AC0832">
            <w:pPr>
              <w:pStyle w:val="CellColumn"/>
            </w:pPr>
            <w:r>
              <w:t>76</w:t>
            </w:r>
          </w:p>
        </w:tc>
        <w:tc>
          <w:tcPr>
            <w:tcW w:w="1300" w:type="dxa"/>
          </w:tcPr>
          <w:p w:rsidR="00AC0832" w:rsidRDefault="00AC0832">
            <w:pPr>
              <w:pStyle w:val="CellColumn"/>
            </w:pPr>
            <w:r>
              <w:t>76</w:t>
            </w:r>
          </w:p>
        </w:tc>
      </w:tr>
    </w:tbl>
    <w:p w:rsidR="00AC0832" w:rsidRDefault="00AC0832">
      <w:pPr>
        <w:jc w:val="left"/>
      </w:pPr>
    </w:p>
    <w:p w:rsidR="00AC0832" w:rsidRDefault="00AC0832">
      <w:pPr>
        <w:pStyle w:val="Heading6"/>
      </w:pPr>
      <w:r>
        <w:t>K650048 NAVODNJAVANJE BIĐ - BOSUTSKOG POLJA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K650048-NAVODNJAVANJE BIĐ - BOSUTSKOG POLJA</w:t>
            </w:r>
          </w:p>
        </w:tc>
        <w:tc>
          <w:tcPr>
            <w:tcW w:w="2322" w:type="dxa"/>
          </w:tcPr>
          <w:p w:rsidR="00AC0832" w:rsidRDefault="00AC0832">
            <w:pPr>
              <w:pStyle w:val="CellColumn"/>
            </w:pPr>
            <w:r>
              <w:t>4.775.492</w:t>
            </w:r>
          </w:p>
        </w:tc>
        <w:tc>
          <w:tcPr>
            <w:tcW w:w="2322" w:type="dxa"/>
          </w:tcPr>
          <w:p w:rsidR="00AC0832" w:rsidRDefault="00AC0832">
            <w:pPr>
              <w:pStyle w:val="CellColumn"/>
            </w:pPr>
            <w:r>
              <w:t>4.775.491</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Aktivnost obuhvaća realizaciju pilot projekta navodnjavanja Biđ-bosutskog polja koja obuhvaća izgradnju dovodnog melioracijskog kanala duljine cca 14,7 km.</w:t>
      </w:r>
    </w:p>
    <w:p w:rsidR="00AC0832" w:rsidRDefault="00AC0832">
      <w:pPr>
        <w:pStyle w:val="Heading6"/>
      </w:pPr>
      <w:r>
        <w:t>K828016 PILOT PROJEKT NAVODNJAVANJA DONJA NERETVA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K828016-PILOT PROJEKT NAVODNJAVANJA DONJA NERETVA</w:t>
            </w:r>
          </w:p>
        </w:tc>
        <w:tc>
          <w:tcPr>
            <w:tcW w:w="2322" w:type="dxa"/>
          </w:tcPr>
          <w:p w:rsidR="00AC0832" w:rsidRDefault="00AC0832">
            <w:pPr>
              <w:pStyle w:val="CellColumn"/>
            </w:pPr>
            <w:r>
              <w:t>361.225</w:t>
            </w:r>
          </w:p>
        </w:tc>
        <w:tc>
          <w:tcPr>
            <w:tcW w:w="2322" w:type="dxa"/>
          </w:tcPr>
          <w:p w:rsidR="00AC0832" w:rsidRDefault="00AC0832">
            <w:pPr>
              <w:pStyle w:val="CellColumn"/>
            </w:pPr>
            <w:r>
              <w:t>361.225</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Aktivnost obuhvaća realizaciju pilot projekta navodnjavanja Donja Neretva odnosno izradu studijske dokumentacije za potrebe sustava navodnjavanja kao i monitoring zaslanjivanja tala i vode u Dolini Neretve.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3"/>
        <w:gridCol w:w="1506"/>
        <w:gridCol w:w="1220"/>
        <w:gridCol w:w="1248"/>
        <w:gridCol w:w="1240"/>
        <w:gridCol w:w="1248"/>
        <w:gridCol w:w="126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w:t>
            </w:r>
            <w:r>
              <w:tab/>
            </w:r>
            <w:r>
              <w:tab/>
              <w:t>broja izgrađenih</w:t>
            </w:r>
            <w:r>
              <w:tab/>
              <w:t>vodnih građevina</w:t>
            </w:r>
            <w:r>
              <w:tab/>
            </w:r>
            <w:r>
              <w:tab/>
            </w:r>
            <w:r>
              <w:tab/>
              <w:t>na sustavima navodnjavanja,</w:t>
            </w:r>
            <w:r>
              <w:tab/>
            </w:r>
            <w:r>
              <w:tab/>
              <w:t xml:space="preserve"> osim kanalske mreže</w:t>
            </w:r>
          </w:p>
        </w:tc>
        <w:tc>
          <w:tcPr>
            <w:tcW w:w="1300" w:type="dxa"/>
          </w:tcPr>
          <w:p w:rsidR="00AC0832" w:rsidRDefault="00AC0832">
            <w:pPr>
              <w:pStyle w:val="CellColumn"/>
            </w:pPr>
            <w:r>
              <w:t>Broj izgrađenih vodnih građevina na sustavima navodnjavanja</w:t>
            </w:r>
          </w:p>
        </w:tc>
        <w:tc>
          <w:tcPr>
            <w:tcW w:w="1300" w:type="dxa"/>
          </w:tcPr>
          <w:p w:rsidR="00AC0832" w:rsidRDefault="00AC0832">
            <w:pPr>
              <w:pStyle w:val="CellColumn"/>
            </w:pPr>
            <w:r>
              <w:t>broj</w:t>
            </w:r>
          </w:p>
        </w:tc>
        <w:tc>
          <w:tcPr>
            <w:tcW w:w="1300" w:type="dxa"/>
          </w:tcPr>
          <w:p w:rsidR="00AC0832" w:rsidRDefault="00AC0832">
            <w:pPr>
              <w:pStyle w:val="CellColumn"/>
            </w:pPr>
            <w:r>
              <w:t>11</w:t>
            </w:r>
          </w:p>
        </w:tc>
        <w:tc>
          <w:tcPr>
            <w:tcW w:w="1300" w:type="dxa"/>
          </w:tcPr>
          <w:p w:rsidR="00AC0832" w:rsidRDefault="00AC0832">
            <w:pPr>
              <w:pStyle w:val="CellColumn"/>
            </w:pPr>
            <w:r>
              <w:t>Hrvatske vode</w:t>
            </w:r>
          </w:p>
        </w:tc>
        <w:tc>
          <w:tcPr>
            <w:tcW w:w="1300" w:type="dxa"/>
          </w:tcPr>
          <w:p w:rsidR="00AC0832" w:rsidRDefault="00AC0832">
            <w:pPr>
              <w:pStyle w:val="CellColumn"/>
            </w:pPr>
            <w:r>
              <w:t>13</w:t>
            </w:r>
          </w:p>
        </w:tc>
        <w:tc>
          <w:tcPr>
            <w:tcW w:w="1300" w:type="dxa"/>
          </w:tcPr>
          <w:p w:rsidR="00AC0832" w:rsidRDefault="00AC0832">
            <w:pPr>
              <w:pStyle w:val="CellColumn"/>
            </w:pPr>
            <w:r>
              <w:t>13</w:t>
            </w:r>
          </w:p>
        </w:tc>
      </w:tr>
    </w:tbl>
    <w:p w:rsidR="00AC0832" w:rsidRDefault="00AC0832">
      <w:pPr>
        <w:jc w:val="left"/>
      </w:pPr>
    </w:p>
    <w:p w:rsidR="00AC0832" w:rsidRDefault="00AC0832">
      <w:pPr>
        <w:jc w:val="left"/>
      </w:pPr>
    </w:p>
    <w:p w:rsidR="00AC0832" w:rsidRDefault="00AC0832">
      <w:pPr>
        <w:jc w:val="left"/>
      </w:pPr>
    </w:p>
    <w:p w:rsidR="00AC0832" w:rsidRDefault="00AC0832">
      <w:pPr>
        <w:pStyle w:val="Heading6"/>
      </w:pPr>
      <w:r>
        <w:t>T568108 SUSTAV ZA NAVODNJAVANJE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T568108-SUSTAV ZA NAVODNJAVANJE</w:t>
            </w:r>
          </w:p>
        </w:tc>
        <w:tc>
          <w:tcPr>
            <w:tcW w:w="2322" w:type="dxa"/>
          </w:tcPr>
          <w:p w:rsidR="00AC0832" w:rsidRDefault="00AC0832">
            <w:pPr>
              <w:pStyle w:val="CellColumn"/>
            </w:pPr>
            <w:r>
              <w:t>2.696.686</w:t>
            </w:r>
          </w:p>
        </w:tc>
        <w:tc>
          <w:tcPr>
            <w:tcW w:w="2322" w:type="dxa"/>
          </w:tcPr>
          <w:p w:rsidR="00AC0832" w:rsidRDefault="00AC0832">
            <w:pPr>
              <w:pStyle w:val="CellColumn"/>
            </w:pPr>
            <w:r>
              <w:t>2.666.686</w:t>
            </w:r>
          </w:p>
        </w:tc>
        <w:tc>
          <w:tcPr>
            <w:tcW w:w="2322" w:type="dxa"/>
          </w:tcPr>
          <w:p w:rsidR="00AC0832" w:rsidRDefault="00AC0832">
            <w:pPr>
              <w:pStyle w:val="CellColumn"/>
            </w:pPr>
            <w:r>
              <w:t>98,9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Aktivnost obuhvaća izradu projektne dokumentacije te sanaciju/rekonstrukciju postojećih sustava navodnjavanja u Republici Hrvatskoj sukladno NAPNAV-u. </w:t>
      </w:r>
    </w:p>
    <w:p w:rsidR="00AC0832" w:rsidRDefault="00AC0832">
      <w:pPr>
        <w:pStyle w:val="Normal6"/>
      </w:pPr>
      <w:r>
        <w:t>U 2012. godini provodile se su se aktivnosti izrade ili nastavka izrade studijske i/ili projektne dokumentacije različite razine za oko 45 sustava javnog navodnjavanja na području 16 županija. od kojih su značajnija 3 velika sustava navodnjavanja i to: Sustav navodnjavanja Karašica - podsustavi Kitišanci, Miholjac-Viljevo i Kitišanci (cca 4000 ha) u Osječko baranjskoj županiji, Sustav navodnjavanja Vransko polje  (cca 4.200 ha) u Zadarskoj županiji te Sustav navodnjavanja Prelog – Donji Kraljevec (cca 2000 ha) u Međimurskoj županiji.</w:t>
      </w:r>
    </w:p>
    <w:p w:rsidR="00AC0832" w:rsidRDefault="00AC0832">
      <w:pPr>
        <w:pStyle w:val="Heading5"/>
      </w:pPr>
      <w:r>
        <w:t>3207 POTICANJE RAZVOJA INDUSTRIJSKE PRERADE DRVA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3207-POTICANJE RAZVOJA INDUSTRIJSKE PRERADE DRVA</w:t>
            </w:r>
          </w:p>
        </w:tc>
        <w:tc>
          <w:tcPr>
            <w:tcW w:w="2322" w:type="dxa"/>
          </w:tcPr>
          <w:p w:rsidR="00AC0832" w:rsidRDefault="00AC0832">
            <w:pPr>
              <w:pStyle w:val="CellColumn"/>
            </w:pPr>
            <w:r>
              <w:t>62.175.000</w:t>
            </w:r>
          </w:p>
        </w:tc>
        <w:tc>
          <w:tcPr>
            <w:tcW w:w="2322" w:type="dxa"/>
          </w:tcPr>
          <w:p w:rsidR="00AC0832" w:rsidRDefault="00AC0832">
            <w:pPr>
              <w:pStyle w:val="CellColumn"/>
            </w:pPr>
            <w:r>
              <w:t>60.244.095</w:t>
            </w:r>
          </w:p>
        </w:tc>
        <w:tc>
          <w:tcPr>
            <w:tcW w:w="2322" w:type="dxa"/>
          </w:tcPr>
          <w:p w:rsidR="00AC0832" w:rsidRDefault="00AC0832">
            <w:pPr>
              <w:pStyle w:val="CellColumn"/>
            </w:pPr>
            <w:r>
              <w:t>96,9</w:t>
            </w:r>
          </w:p>
        </w:tc>
      </w:tr>
    </w:tbl>
    <w:p w:rsidR="00AC0832" w:rsidRDefault="00AC0832">
      <w:pPr>
        <w:jc w:val="left"/>
      </w:pPr>
    </w:p>
    <w:p w:rsidR="00AC0832" w:rsidRDefault="00AC0832">
      <w:pPr>
        <w:pStyle w:val="Heading6"/>
      </w:pPr>
      <w:r>
        <w:t>Opis programa</w:t>
      </w:r>
    </w:p>
    <w:p w:rsidR="00AC0832" w:rsidRDefault="00AC0832">
      <w:pPr>
        <w:pStyle w:val="Normal5"/>
      </w:pPr>
      <w:r>
        <w:t>Ovaj program usmjeren je na poticanje unapređenja prerade drva, proizvodnje namještaja i proizvodnje celuloze i papira, u funkciji održivog razvoja istih. Svrha programa je proizvodnja proizvoda veće dodane vrijednosti i prilagođavanje tržišnim uvjetima Europske unije. Program će se realizirati ulaganjem u poboljšanje postojećih i razvoj novih finalnih proizvoda, uvođenjem sustava upravljanja kvalitetom proizvodnje, zajedničkim nastupom hrvatskih proizvođača finalnih proizvoda na domaćim i međunarodnim specijaliziranim sajmovima, investicijskim ulaganjem u prijenos suvremenih tehnologija i znanja te ulaganjem u viši stupanj zaštite okoliša i energetsku učinkovitost.</w:t>
      </w:r>
    </w:p>
    <w:p w:rsidR="00AC0832" w:rsidRDefault="00AC0832">
      <w:pPr>
        <w:pStyle w:val="Heading6"/>
      </w:pPr>
      <w:r>
        <w:t>Zakonske i druge pravne osnove</w:t>
      </w:r>
    </w:p>
    <w:p w:rsidR="00AC0832" w:rsidRDefault="00AC0832">
      <w:pPr>
        <w:pStyle w:val="Normal5"/>
      </w:pPr>
      <w:r>
        <w:t>Operativni program razvoja prerade drva i proizvodnje namještaja 2011.- 2014. i Izmjene i dopune Operativnog programa razvoja prerade drva i proizvodnje namještaja 2011.- 2014; Strategija razvoja dizajna namještaja 2010. - 2012.; Pravilnik o tehničkim zahtjevima za drvne ploče; Pravilnik o tehničkim zahtjevima za namještaj i dijelove namještaja (donijeti će se do kraja 2013. godine); Zakon o preradi i uporabi drva i proizvoda od drva (planirano za 2013. godinu).</w:t>
      </w:r>
    </w:p>
    <w:p w:rsidR="00AC0832" w:rsidRDefault="00AC0832">
      <w:pPr>
        <w:pStyle w:val="Normal5"/>
      </w:pPr>
    </w:p>
    <w:p w:rsidR="00AC0832" w:rsidRDefault="00AC0832">
      <w:pPr>
        <w:pStyle w:val="Normal5"/>
      </w:pPr>
    </w:p>
    <w:p w:rsidR="00AC0832" w:rsidRDefault="00AC0832">
      <w:pPr>
        <w:pStyle w:val="Normal5"/>
      </w:pPr>
    </w:p>
    <w:p w:rsidR="00AC0832" w:rsidRDefault="00AC0832">
      <w:pPr>
        <w:pStyle w:val="Normal5"/>
      </w:pPr>
    </w:p>
    <w:p w:rsidR="00AC0832" w:rsidRDefault="00AC0832">
      <w:pPr>
        <w:pStyle w:val="Heading7"/>
      </w:pPr>
      <w:r>
        <w:t>Cilj 1. Postići razvijenu i konkurentnu drvnu industriju</w:t>
      </w:r>
    </w:p>
    <w:p w:rsidR="00AC0832" w:rsidRDefault="00AC0832">
      <w:pPr>
        <w:pStyle w:val="Heading8"/>
        <w:jc w:val="left"/>
      </w:pPr>
      <w:r>
        <w:t>Opis provedbe cilja programa</w:t>
      </w:r>
    </w:p>
    <w:p w:rsidR="00AC0832" w:rsidRDefault="00AC0832">
      <w:pPr>
        <w:pStyle w:val="Normal6"/>
      </w:pPr>
      <w:r>
        <w:t>Cilj je usmjeren na razvoj drvne industrije prema održivosti i konkurentnosti, sinergijom svih zainteresiranih strana. U svrhu ostvarenja postavljenog cilja izrađeni su provedbeni propisi kojim su definirane razvojne mjere i aktivnosti.</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62"/>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Postotno povećanje izvoza i indeksa pokrivenosti uvoza izvozom drva, proizvoda od drva i namještaja</w:t>
            </w:r>
          </w:p>
        </w:tc>
        <w:tc>
          <w:tcPr>
            <w:tcW w:w="1300" w:type="dxa"/>
          </w:tcPr>
          <w:p w:rsidR="00AC0832" w:rsidRDefault="00AC0832">
            <w:pPr>
              <w:pStyle w:val="CellColumn"/>
            </w:pPr>
            <w:r>
              <w:t>Postotno povećanje izvoza i indeksa pokrivenosti uvoza izvozom drva, proizvoda od drva i namještaja</w:t>
            </w:r>
          </w:p>
        </w:tc>
        <w:tc>
          <w:tcPr>
            <w:tcW w:w="1300" w:type="dxa"/>
          </w:tcPr>
          <w:p w:rsidR="00AC0832" w:rsidRDefault="00AC0832">
            <w:pPr>
              <w:pStyle w:val="CellColumn"/>
            </w:pPr>
            <w:r>
              <w:t>broj</w:t>
            </w:r>
          </w:p>
        </w:tc>
        <w:tc>
          <w:tcPr>
            <w:tcW w:w="1300" w:type="dxa"/>
          </w:tcPr>
          <w:p w:rsidR="00AC0832" w:rsidRDefault="00AC0832">
            <w:pPr>
              <w:pStyle w:val="CellColumn"/>
            </w:pPr>
            <w:r>
              <w:t>110</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115</w:t>
            </w:r>
          </w:p>
        </w:tc>
        <w:tc>
          <w:tcPr>
            <w:tcW w:w="1300" w:type="dxa"/>
          </w:tcPr>
          <w:p w:rsidR="00AC0832" w:rsidRDefault="00AC0832">
            <w:pPr>
              <w:pStyle w:val="CellColumn"/>
            </w:pPr>
            <w:r>
              <w:t>115</w:t>
            </w:r>
          </w:p>
        </w:tc>
      </w:tr>
    </w:tbl>
    <w:p w:rsidR="00AC0832" w:rsidRDefault="00AC0832">
      <w:pPr>
        <w:jc w:val="left"/>
      </w:pPr>
    </w:p>
    <w:p w:rsidR="00AC0832" w:rsidRDefault="00AC0832">
      <w:pPr>
        <w:pStyle w:val="Heading6"/>
      </w:pPr>
      <w:r>
        <w:t>A819039 AKTIVNOSTI ZA ODRŽIVI RAZVOJ DRVNE INDUSTRIJE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A819039-AKTIVNOSTI ZA ODRŽIVI RAZVOJ DRVNE INDUSTRIJE</w:t>
            </w:r>
          </w:p>
        </w:tc>
        <w:tc>
          <w:tcPr>
            <w:tcW w:w="2322" w:type="dxa"/>
          </w:tcPr>
          <w:p w:rsidR="00AC0832" w:rsidRDefault="00AC0832">
            <w:pPr>
              <w:pStyle w:val="CellColumn"/>
            </w:pPr>
            <w:r>
              <w:t>75.000</w:t>
            </w:r>
          </w:p>
        </w:tc>
        <w:tc>
          <w:tcPr>
            <w:tcW w:w="2322" w:type="dxa"/>
          </w:tcPr>
          <w:p w:rsidR="00AC0832" w:rsidRDefault="00AC0832">
            <w:pPr>
              <w:pStyle w:val="CellColumn"/>
            </w:pPr>
            <w:r>
              <w:t>30.000</w:t>
            </w:r>
          </w:p>
        </w:tc>
        <w:tc>
          <w:tcPr>
            <w:tcW w:w="2322" w:type="dxa"/>
          </w:tcPr>
          <w:p w:rsidR="00AC0832" w:rsidRDefault="00AC0832">
            <w:pPr>
              <w:pStyle w:val="CellColumn"/>
            </w:pPr>
            <w:r>
              <w:t>40,0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Ovom aktivnosti financirati će se donošenje i provedba Zakona o preradi i uporabi drva i proizvoda od drva i podzakonskih akata koji će se temeljem istoga donijeti. Ustrojiti će se Drvoprerađivačka inspekcija, uspostaviti tržište drvom i proizvodima primarne prerade drva ( Burza drva ) i pomoći otvaranju Odjela za izvrsnost u polju drvne tehnologije radi jačanja kapaciteta za istraživanje drva i razvoj proizvoda od drva, novih materijala i tehnologija.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62"/>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Indeks povećanja prodaje finalnih proizvoda od drva i namještaja na domaćem i inozemnim tržištima</w:t>
            </w:r>
          </w:p>
        </w:tc>
        <w:tc>
          <w:tcPr>
            <w:tcW w:w="1300" w:type="dxa"/>
          </w:tcPr>
          <w:p w:rsidR="00AC0832" w:rsidRDefault="00AC0832">
            <w:pPr>
              <w:pStyle w:val="CellColumn"/>
            </w:pPr>
            <w:r>
              <w:t>Indeks povećanja prodaje finalnih proizvoda od drva i namještaja na domaćem i inozemnim tržištima</w:t>
            </w:r>
          </w:p>
        </w:tc>
        <w:tc>
          <w:tcPr>
            <w:tcW w:w="1300" w:type="dxa"/>
          </w:tcPr>
          <w:p w:rsidR="00AC0832" w:rsidRDefault="00AC0832">
            <w:pPr>
              <w:pStyle w:val="CellColumn"/>
            </w:pPr>
            <w:r>
              <w:t>broj</w:t>
            </w:r>
          </w:p>
        </w:tc>
        <w:tc>
          <w:tcPr>
            <w:tcW w:w="1300" w:type="dxa"/>
          </w:tcPr>
          <w:p w:rsidR="00AC0832" w:rsidRDefault="00AC0832">
            <w:pPr>
              <w:pStyle w:val="CellColumn"/>
            </w:pPr>
            <w:r>
              <w:t>110</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115</w:t>
            </w:r>
          </w:p>
        </w:tc>
        <w:tc>
          <w:tcPr>
            <w:tcW w:w="1300" w:type="dxa"/>
          </w:tcPr>
          <w:p w:rsidR="00AC0832" w:rsidRDefault="00AC0832">
            <w:pPr>
              <w:pStyle w:val="CellColumn"/>
            </w:pPr>
            <w:r>
              <w:t>115</w:t>
            </w:r>
          </w:p>
        </w:tc>
      </w:tr>
      <w:tr w:rsidR="00AC0832" w:rsidTr="00BE20ED">
        <w:trPr>
          <w:jc w:val="center"/>
        </w:trPr>
        <w:tc>
          <w:tcPr>
            <w:tcW w:w="1300" w:type="dxa"/>
          </w:tcPr>
          <w:p w:rsidR="00AC0832" w:rsidRDefault="00AC0832">
            <w:pPr>
              <w:pStyle w:val="CellColumn"/>
            </w:pPr>
            <w:r>
              <w:t xml:space="preserve">Povećanje </w:t>
            </w:r>
            <w:r>
              <w:tab/>
              <w:t>broja instaliranih suvremenih proizvodnih linija za obradu drva i proizvodnju namještaja</w:t>
            </w:r>
          </w:p>
        </w:tc>
        <w:tc>
          <w:tcPr>
            <w:tcW w:w="1300" w:type="dxa"/>
          </w:tcPr>
          <w:p w:rsidR="00AC0832" w:rsidRDefault="00AC0832">
            <w:pPr>
              <w:pStyle w:val="CellColumn"/>
            </w:pPr>
            <w:r>
              <w:t xml:space="preserve">Povećanje </w:t>
            </w:r>
            <w:r>
              <w:tab/>
              <w:t>broja instaliranih suvremenih proizvodnih linija za obradu drva i proizvodnju namještaja</w:t>
            </w:r>
          </w:p>
        </w:tc>
        <w:tc>
          <w:tcPr>
            <w:tcW w:w="1300" w:type="dxa"/>
          </w:tcPr>
          <w:p w:rsidR="00AC0832" w:rsidRDefault="00AC0832">
            <w:pPr>
              <w:pStyle w:val="CellColumn"/>
            </w:pPr>
            <w:r>
              <w:t>broj</w:t>
            </w:r>
          </w:p>
        </w:tc>
        <w:tc>
          <w:tcPr>
            <w:tcW w:w="1300" w:type="dxa"/>
          </w:tcPr>
          <w:p w:rsidR="00AC0832" w:rsidRDefault="00AC0832">
            <w:pPr>
              <w:pStyle w:val="CellColumn"/>
            </w:pPr>
            <w:r>
              <w:t>210</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280</w:t>
            </w:r>
          </w:p>
        </w:tc>
        <w:tc>
          <w:tcPr>
            <w:tcW w:w="1300" w:type="dxa"/>
          </w:tcPr>
          <w:p w:rsidR="00AC0832" w:rsidRDefault="00AC0832">
            <w:pPr>
              <w:pStyle w:val="CellColumn"/>
            </w:pPr>
            <w:r>
              <w:t>280</w:t>
            </w:r>
          </w:p>
        </w:tc>
      </w:tr>
      <w:tr w:rsidR="00AC0832" w:rsidTr="00BE20ED">
        <w:trPr>
          <w:jc w:val="center"/>
        </w:trPr>
        <w:tc>
          <w:tcPr>
            <w:tcW w:w="1300" w:type="dxa"/>
          </w:tcPr>
          <w:p w:rsidR="00AC0832" w:rsidRDefault="00AC0832">
            <w:pPr>
              <w:pStyle w:val="CellColumn"/>
            </w:pPr>
            <w:r>
              <w:t>Povećanje broja uvedenih sustava upravljanja kvalitetom, dobivenih  CE znakova, FSC i ISO certifikata</w:t>
            </w:r>
          </w:p>
        </w:tc>
        <w:tc>
          <w:tcPr>
            <w:tcW w:w="1300" w:type="dxa"/>
          </w:tcPr>
          <w:p w:rsidR="00AC0832" w:rsidRDefault="00AC0832">
            <w:pPr>
              <w:pStyle w:val="CellColumn"/>
            </w:pPr>
            <w:r>
              <w:t>Povećanje broja uvedenih sustava upravljanja kvalitetom, dobivenih  CE znakova, FSC i ISO certifikata</w:t>
            </w:r>
          </w:p>
        </w:tc>
        <w:tc>
          <w:tcPr>
            <w:tcW w:w="1300" w:type="dxa"/>
          </w:tcPr>
          <w:p w:rsidR="00AC0832" w:rsidRDefault="00AC0832">
            <w:pPr>
              <w:pStyle w:val="CellColumn"/>
            </w:pPr>
            <w:r>
              <w:t>broj</w:t>
            </w:r>
          </w:p>
        </w:tc>
        <w:tc>
          <w:tcPr>
            <w:tcW w:w="1300" w:type="dxa"/>
          </w:tcPr>
          <w:p w:rsidR="00AC0832" w:rsidRDefault="00AC0832">
            <w:pPr>
              <w:pStyle w:val="CellColumn"/>
            </w:pPr>
            <w:r>
              <w:t>38</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110</w:t>
            </w:r>
          </w:p>
        </w:tc>
        <w:tc>
          <w:tcPr>
            <w:tcW w:w="1300" w:type="dxa"/>
          </w:tcPr>
          <w:p w:rsidR="00AC0832" w:rsidRDefault="00AC0832">
            <w:pPr>
              <w:pStyle w:val="CellColumn"/>
            </w:pPr>
            <w:r>
              <w:t>110</w:t>
            </w:r>
          </w:p>
        </w:tc>
      </w:tr>
    </w:tbl>
    <w:p w:rsidR="00AC0832" w:rsidRDefault="00AC0832">
      <w:pPr>
        <w:jc w:val="left"/>
      </w:pPr>
    </w:p>
    <w:p w:rsidR="00AC0832" w:rsidRDefault="00AC0832">
      <w:pPr>
        <w:pStyle w:val="Heading6"/>
      </w:pPr>
      <w:r>
        <w:t>K828006 MJERE RAZVOJA KONKURENTNOSTI DRVNOG SEKTORA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K828006-MJERE RAZVOJA KONKURENTNOSTI DRVNOG SEKTORA</w:t>
            </w:r>
          </w:p>
        </w:tc>
        <w:tc>
          <w:tcPr>
            <w:tcW w:w="2322" w:type="dxa"/>
          </w:tcPr>
          <w:p w:rsidR="00AC0832" w:rsidRDefault="00AC0832">
            <w:pPr>
              <w:pStyle w:val="CellColumn"/>
            </w:pPr>
            <w:r>
              <w:t>62.100.000</w:t>
            </w:r>
          </w:p>
        </w:tc>
        <w:tc>
          <w:tcPr>
            <w:tcW w:w="2322" w:type="dxa"/>
          </w:tcPr>
          <w:p w:rsidR="00AC0832" w:rsidRDefault="00AC0832">
            <w:pPr>
              <w:pStyle w:val="CellColumn"/>
            </w:pPr>
            <w:r>
              <w:t>60.214.095</w:t>
            </w:r>
          </w:p>
        </w:tc>
        <w:tc>
          <w:tcPr>
            <w:tcW w:w="2322" w:type="dxa"/>
          </w:tcPr>
          <w:p w:rsidR="00AC0832" w:rsidRDefault="00AC0832">
            <w:pPr>
              <w:pStyle w:val="CellColumn"/>
            </w:pPr>
            <w:r>
              <w:t>97,0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Podizanje vrijednosti ljudskog kapitala, stjecanje znanja, vještina, stavova i vrijednost. Obrazovanje i usavršavanje povećava konkurentnost osiguranjem potrebne kvalitete ljudskih resursa. Primjena novih tehnologija i tehnoloških procesa, odnosno sustavno ulaganje u tehnološki razvitak. </w:t>
      </w:r>
    </w:p>
    <w:p w:rsidR="00AC0832" w:rsidRDefault="00AC0832">
      <w:pPr>
        <w:pStyle w:val="Normal6"/>
      </w:pPr>
      <w:r>
        <w:t>Povećanje energetske učinkovitosti i zaštite okoliša te promjena poslovne politike drvoprerađivača s tim u skladu, jer ukupna potrošnja energije gotovo uvijek raste s ekonomskim napretkom, a kako bi se podržalo povećanje energetske učinkovitosti, nužne su nove tehnologije i inovacije koje dovode do promjena u energetski intenzivnoj drvnoj industriji. Marketing i promidžba finalnih proizvoda od drva zauzimaju prioritetno mjesta u svijesti potrošača, te sustavnim podizanjem kvalitete proizvoda i primjenom dizajna, posljedično pozitivno utječe na prepoznatljivost industrije. Marketinške i promotivne aktivnosti pomažu prodaji proizvoda, čime se generiraju novčana sredstva koja se koriste za razvoj novih proizvoda.</w:t>
      </w: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562"/>
        <w:gridCol w:w="1278"/>
        <w:gridCol w:w="1285"/>
        <w:gridCol w:w="1289"/>
        <w:gridCol w:w="1285"/>
        <w:gridCol w:w="129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Stečena stručna znanja i vještine, specifične kvalifikacije, te upravljačke vještine</w:t>
            </w:r>
          </w:p>
        </w:tc>
        <w:tc>
          <w:tcPr>
            <w:tcW w:w="1300" w:type="dxa"/>
          </w:tcPr>
          <w:p w:rsidR="00AC0832" w:rsidRDefault="00AC0832">
            <w:pPr>
              <w:pStyle w:val="CellColumn"/>
            </w:pPr>
            <w:r>
              <w:t>Sustavno ulaganje u stručno usavršavanje i obrazovanje postojećih kadrova</w:t>
            </w:r>
          </w:p>
        </w:tc>
        <w:tc>
          <w:tcPr>
            <w:tcW w:w="1300" w:type="dxa"/>
          </w:tcPr>
          <w:p w:rsidR="00AC0832" w:rsidRDefault="00AC0832">
            <w:pPr>
              <w:pStyle w:val="CellColumn"/>
            </w:pPr>
            <w:r>
              <w:t>broj</w:t>
            </w:r>
          </w:p>
        </w:tc>
        <w:tc>
          <w:tcPr>
            <w:tcW w:w="1300" w:type="dxa"/>
          </w:tcPr>
          <w:p w:rsidR="00AC0832" w:rsidRDefault="00AC0832">
            <w:pPr>
              <w:pStyle w:val="CellColumn"/>
            </w:pPr>
            <w:r>
              <w:t>39</w:t>
            </w:r>
          </w:p>
        </w:tc>
        <w:tc>
          <w:tcPr>
            <w:tcW w:w="1300" w:type="dxa"/>
          </w:tcPr>
          <w:p w:rsidR="00AC0832" w:rsidRDefault="00AC0832">
            <w:pPr>
              <w:pStyle w:val="CellColumn"/>
            </w:pPr>
            <w:r>
              <w:t>Evidencija Sektora drvne industrije</w:t>
            </w:r>
          </w:p>
        </w:tc>
        <w:tc>
          <w:tcPr>
            <w:tcW w:w="1300" w:type="dxa"/>
          </w:tcPr>
          <w:p w:rsidR="00AC0832" w:rsidRDefault="00AC0832">
            <w:pPr>
              <w:pStyle w:val="CellColumn"/>
            </w:pPr>
            <w:r>
              <w:t>60</w:t>
            </w:r>
          </w:p>
        </w:tc>
        <w:tc>
          <w:tcPr>
            <w:tcW w:w="1300" w:type="dxa"/>
          </w:tcPr>
          <w:p w:rsidR="00AC0832" w:rsidRDefault="00AC0832">
            <w:pPr>
              <w:pStyle w:val="CellColumn"/>
            </w:pPr>
            <w:r>
              <w:t>39</w:t>
            </w:r>
          </w:p>
        </w:tc>
      </w:tr>
      <w:tr w:rsidR="00AC0832" w:rsidTr="00BE20ED">
        <w:trPr>
          <w:jc w:val="center"/>
        </w:trPr>
        <w:tc>
          <w:tcPr>
            <w:tcW w:w="1300" w:type="dxa"/>
          </w:tcPr>
          <w:p w:rsidR="00AC0832" w:rsidRDefault="00AC0832">
            <w:pPr>
              <w:pStyle w:val="CellColumn"/>
            </w:pPr>
            <w:r>
              <w:t>Povećanje  broja instalirane suvremene tehnologije i tehnoloških procesa za obradu drva i proizvodnju namještaja</w:t>
            </w:r>
          </w:p>
        </w:tc>
        <w:tc>
          <w:tcPr>
            <w:tcW w:w="1300" w:type="dxa"/>
          </w:tcPr>
          <w:p w:rsidR="00AC0832" w:rsidRDefault="00AC0832">
            <w:pPr>
              <w:pStyle w:val="CellColumn"/>
            </w:pPr>
            <w:r>
              <w:t>Ulaganje u nabavku i uporabu najsuvremenije tehnologije za obradu drva te proizvodnju proizvoda od drva i namještaja radi povećanja produktivnosti te racionalnog korištenja drvne sirovine</w:t>
            </w:r>
          </w:p>
        </w:tc>
        <w:tc>
          <w:tcPr>
            <w:tcW w:w="1300" w:type="dxa"/>
          </w:tcPr>
          <w:p w:rsidR="00AC0832" w:rsidRDefault="00AC0832">
            <w:pPr>
              <w:pStyle w:val="CellColumn"/>
            </w:pPr>
            <w:r>
              <w:t>broj</w:t>
            </w:r>
          </w:p>
        </w:tc>
        <w:tc>
          <w:tcPr>
            <w:tcW w:w="1300" w:type="dxa"/>
          </w:tcPr>
          <w:p w:rsidR="00AC0832" w:rsidRDefault="00AC0832">
            <w:pPr>
              <w:pStyle w:val="CellColumn"/>
            </w:pPr>
            <w:r>
              <w:t>240</w:t>
            </w:r>
          </w:p>
        </w:tc>
        <w:tc>
          <w:tcPr>
            <w:tcW w:w="1300" w:type="dxa"/>
          </w:tcPr>
          <w:p w:rsidR="00AC0832" w:rsidRDefault="00AC0832">
            <w:pPr>
              <w:pStyle w:val="CellColumn"/>
            </w:pPr>
            <w:r>
              <w:t>Evidencija Sektora drvne industrije</w:t>
            </w:r>
          </w:p>
        </w:tc>
        <w:tc>
          <w:tcPr>
            <w:tcW w:w="1300" w:type="dxa"/>
          </w:tcPr>
          <w:p w:rsidR="00AC0832" w:rsidRDefault="00AC0832">
            <w:pPr>
              <w:pStyle w:val="CellColumn"/>
            </w:pPr>
            <w:r>
              <w:t>270</w:t>
            </w:r>
          </w:p>
        </w:tc>
        <w:tc>
          <w:tcPr>
            <w:tcW w:w="1300" w:type="dxa"/>
          </w:tcPr>
          <w:p w:rsidR="00AC0832" w:rsidRDefault="00AC0832">
            <w:pPr>
              <w:pStyle w:val="CellColumn"/>
            </w:pPr>
            <w:r>
              <w:t>240</w:t>
            </w:r>
          </w:p>
        </w:tc>
      </w:tr>
    </w:tbl>
    <w:p w:rsidR="00AC0832" w:rsidRDefault="00AC0832">
      <w:pPr>
        <w:jc w:val="left"/>
      </w:pPr>
    </w:p>
    <w:p w:rsidR="00AC0832" w:rsidRDefault="00AC0832">
      <w:pPr>
        <w:pStyle w:val="Heading5"/>
      </w:pPr>
      <w:r>
        <w:t>3406 RAZVOJ SUSTAVA JAVNE ODVODNJE I ZAŠTITE VODA I MORA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3406-RAZVOJ SUSTAVA JAVNE ODVODNJE I ZAŠTITE VODA I MORA</w:t>
            </w:r>
          </w:p>
        </w:tc>
        <w:tc>
          <w:tcPr>
            <w:tcW w:w="2322" w:type="dxa"/>
          </w:tcPr>
          <w:p w:rsidR="00AC0832" w:rsidRDefault="00AC0832">
            <w:pPr>
              <w:pStyle w:val="CellColumn"/>
            </w:pPr>
            <w:r>
              <w:t>542.925.688</w:t>
            </w:r>
          </w:p>
        </w:tc>
        <w:tc>
          <w:tcPr>
            <w:tcW w:w="2322" w:type="dxa"/>
          </w:tcPr>
          <w:p w:rsidR="00AC0832" w:rsidRDefault="00AC0832">
            <w:pPr>
              <w:pStyle w:val="CellColumn"/>
            </w:pPr>
            <w:r>
              <w:t>434.858.945</w:t>
            </w:r>
          </w:p>
        </w:tc>
        <w:tc>
          <w:tcPr>
            <w:tcW w:w="2322" w:type="dxa"/>
          </w:tcPr>
          <w:p w:rsidR="00AC0832" w:rsidRDefault="00AC0832">
            <w:pPr>
              <w:pStyle w:val="CellColumn"/>
            </w:pPr>
            <w:r>
              <w:t>80,1</w:t>
            </w:r>
          </w:p>
        </w:tc>
      </w:tr>
    </w:tbl>
    <w:p w:rsidR="00AC0832" w:rsidRDefault="00AC0832">
      <w:pPr>
        <w:jc w:val="left"/>
      </w:pPr>
    </w:p>
    <w:p w:rsidR="00AC0832" w:rsidRDefault="00AC0832">
      <w:pPr>
        <w:pStyle w:val="Heading6"/>
      </w:pPr>
      <w:r>
        <w:t>Opis programa</w:t>
      </w:r>
    </w:p>
    <w:p w:rsidR="00AC0832" w:rsidRDefault="00AC0832">
      <w:pPr>
        <w:pStyle w:val="Normal5"/>
      </w:pPr>
      <w:r>
        <w:t>Program  se  odnosi na  ulaganje  u  rekonstrukciju  i  gradnju  sustava  javne odvodnje uključujući  i  pročišćavanje  otpadnih  voda,  ulaganje  u  rekonstrukciju  i gradnju vodnih građevina za odvodnju otpadnih voda (osim mreže), uključujući uređaje za pročišćavanje i za zbrinjavanje mulja,   te pripremu projektne i studijske dokumentacije sukladno EU regulativi te apliciranjem projekata za EU fondove.</w:t>
      </w:r>
    </w:p>
    <w:p w:rsidR="00AC0832" w:rsidRDefault="00AC0832">
      <w:pPr>
        <w:pStyle w:val="Heading6"/>
      </w:pPr>
      <w:r>
        <w:t>Zakonske i druge pravne osnove</w:t>
      </w:r>
    </w:p>
    <w:p w:rsidR="00AC0832" w:rsidRDefault="00AC0832">
      <w:pPr>
        <w:pStyle w:val="Normal5"/>
      </w:pPr>
      <w:r>
        <w:t>Zakon o vodama („Narodne novine“, br.153/2009 i 130/2011); Strategija upravljanja vodama („Narodne novine“, br. 91/2008); Zakon o financiranju vodnoga gospodarstva („Narodne novine“, br.153/2009,); Godišnji ugovori o sufinanciranju kapitalnih vodnogospodarskih projekata, Bilateralni sporazum usuglašen između Europske komisije i Vlade Republike Hrvatske o sufinanciranju velikog projekta „Sustav vodoopskrbe i odvodnje s uređajem za pročišćavanje otpadnih voda grada Slavonskog Broda“, Bilateralni sporazum usuglašen između Europske komisije i Vlade Republike Hrvatske o sufinanciranju velikog projekta „Sustav vodoopskrbe i odvodnje s uređajem za pročišćavanje otpadnih voda grada Knina“, Odluka o odobrenju operacije za projekt „Sustav vodoopskrbe i odvodnje s uređajem za pročišćavanje otpadnih voda Grada Drniša“, Bilateralni sporazum usuglašen između Europske komisije i Vlade Republike Hrvatske o sufinanciranju velikog projekta „Sustav vodoopskrbe i odvodnje s uređajem za pročišćavanje otpadnih voda grada Siska“.</w:t>
      </w:r>
    </w:p>
    <w:p w:rsidR="00AC0832" w:rsidRDefault="00AC0832">
      <w:pPr>
        <w:pStyle w:val="Heading7"/>
      </w:pPr>
      <w:r>
        <w:t xml:space="preserve">Cilj 1. Zaštita  vode  i  more  od  onečišćenja </w:t>
      </w:r>
    </w:p>
    <w:p w:rsidR="00AC0832" w:rsidRDefault="00AC0832">
      <w:pPr>
        <w:pStyle w:val="Heading8"/>
        <w:jc w:val="left"/>
      </w:pPr>
      <w:r>
        <w:t>Opis provedbe cilja programa</w:t>
      </w:r>
    </w:p>
    <w:p w:rsidR="00AC0832" w:rsidRDefault="00AC0832">
      <w:pPr>
        <w:pStyle w:val="Normal6"/>
      </w:pPr>
      <w:r>
        <w:t>Cilj podrazumijeva postizanje i očuvanje dobroga stanja voda, sprečavanje onečišćenja voda, sprečavanje promjena hidromorfoloških karakteristika voda koje su pod takvim rizicima i sanaciju stanja voda gdje je ono narušeno u svrhu očuvanja zdravlja ljudi i okoliša.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6"/>
        <w:gridCol w:w="1562"/>
        <w:gridCol w:w="1280"/>
        <w:gridCol w:w="1287"/>
        <w:gridCol w:w="1285"/>
        <w:gridCol w:w="1287"/>
        <w:gridCol w:w="1291"/>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 xml:space="preserve">Povećanje postotka mogućnosti </w:t>
            </w:r>
          </w:p>
          <w:p w:rsidR="00AC0832" w:rsidRDefault="00AC0832">
            <w:pPr>
              <w:pStyle w:val="CellColumn"/>
            </w:pPr>
            <w:r>
              <w:t>priključenja na sustave javne odvodnje</w:t>
            </w:r>
          </w:p>
        </w:tc>
        <w:tc>
          <w:tcPr>
            <w:tcW w:w="1300" w:type="dxa"/>
          </w:tcPr>
          <w:p w:rsidR="00AC0832" w:rsidRDefault="00AC0832">
            <w:pPr>
              <w:pStyle w:val="CellColumn"/>
            </w:pPr>
            <w:r>
              <w:t>Rekonstrukcija  i  gradnja  sustava  javne odvodnje uključujući  i  pročišćavanje  otpadnih  voda,  ulaganje  u  rekonstrukciju  i gradnju vodnih građevina za odvodnju otpadnih voda (osim mreže), uključujući uređaje za pročišćavanje, te pripremu projektne i studijske dokumentacije.</w:t>
            </w:r>
          </w:p>
        </w:tc>
        <w:tc>
          <w:tcPr>
            <w:tcW w:w="1300" w:type="dxa"/>
          </w:tcPr>
          <w:p w:rsidR="00AC0832" w:rsidRDefault="00AC0832">
            <w:pPr>
              <w:pStyle w:val="CellColumn"/>
            </w:pPr>
            <w:r>
              <w:t>%</w:t>
            </w:r>
          </w:p>
        </w:tc>
        <w:tc>
          <w:tcPr>
            <w:tcW w:w="1300" w:type="dxa"/>
          </w:tcPr>
          <w:p w:rsidR="00AC0832" w:rsidRDefault="00AC0832">
            <w:pPr>
              <w:pStyle w:val="CellColumn"/>
            </w:pPr>
            <w:r>
              <w:t>43</w:t>
            </w:r>
          </w:p>
        </w:tc>
        <w:tc>
          <w:tcPr>
            <w:tcW w:w="1300" w:type="dxa"/>
          </w:tcPr>
          <w:p w:rsidR="00AC0832" w:rsidRDefault="00AC0832">
            <w:pPr>
              <w:pStyle w:val="CellColumn"/>
            </w:pPr>
            <w:r>
              <w:t>Hrvatske vode</w:t>
            </w:r>
          </w:p>
        </w:tc>
        <w:tc>
          <w:tcPr>
            <w:tcW w:w="1300" w:type="dxa"/>
          </w:tcPr>
          <w:p w:rsidR="00AC0832" w:rsidRDefault="00AC0832">
            <w:pPr>
              <w:pStyle w:val="CellColumn"/>
            </w:pPr>
            <w:r>
              <w:t>48</w:t>
            </w:r>
          </w:p>
        </w:tc>
        <w:tc>
          <w:tcPr>
            <w:tcW w:w="1300" w:type="dxa"/>
          </w:tcPr>
          <w:p w:rsidR="00AC0832" w:rsidRDefault="00AC0832">
            <w:pPr>
              <w:pStyle w:val="CellColumn"/>
            </w:pPr>
            <w:r>
              <w:t>46</w:t>
            </w:r>
          </w:p>
        </w:tc>
      </w:tr>
    </w:tbl>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pStyle w:val="Heading6"/>
      </w:pPr>
      <w:r>
        <w:t>K828032 IPA III B - SLAVONSKI BROD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K828032-IPA III B - SLAVONSKI BROD</w:t>
            </w:r>
          </w:p>
        </w:tc>
        <w:tc>
          <w:tcPr>
            <w:tcW w:w="2322" w:type="dxa"/>
          </w:tcPr>
          <w:p w:rsidR="00AC0832" w:rsidRDefault="00AC0832">
            <w:pPr>
              <w:pStyle w:val="CellColumn"/>
            </w:pPr>
            <w:r>
              <w:t>52.868.000</w:t>
            </w:r>
          </w:p>
        </w:tc>
        <w:tc>
          <w:tcPr>
            <w:tcW w:w="2322" w:type="dxa"/>
          </w:tcPr>
          <w:p w:rsidR="00AC0832" w:rsidRDefault="00AC0832">
            <w:pPr>
              <w:pStyle w:val="CellColumn"/>
            </w:pPr>
            <w:r>
              <w:t>53.270.251</w:t>
            </w:r>
          </w:p>
        </w:tc>
        <w:tc>
          <w:tcPr>
            <w:tcW w:w="2322" w:type="dxa"/>
          </w:tcPr>
          <w:p w:rsidR="00AC0832" w:rsidRDefault="00AC0832">
            <w:pPr>
              <w:pStyle w:val="CellColumn"/>
            </w:pPr>
            <w:r>
              <w:t>100,8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Aktivnost se odnosi na radnje potrebne za priključenje stanovništva na vodoopskrbnu mrežu  radi  poboljšanja  opskrbe  stanovništva  pitkom  vodom,  izgradnju  i rekonstrukciju kanalizacijske mreže u svrhu boljeg priključenja stanovništva i gospodarskih subjekata na sustav odvodnje. Također se odnosi i na izgradnju uređaja za pročišćavanje otpadnih voda u svrhu zaštite voda i očuvanja vodnih resursa u Republici Hrvatskoj što će rezultirati zaštitom i očuvanjem okoliša u cjelini. </w:t>
      </w:r>
    </w:p>
    <w:p w:rsidR="00AC0832" w:rsidRDefault="00AC0832">
      <w:pPr>
        <w:pStyle w:val="Normal6"/>
      </w:pPr>
      <w:r>
        <w:t xml:space="preserve"> </w:t>
      </w:r>
    </w:p>
    <w:p w:rsidR="00AC0832" w:rsidRDefault="00AC0832">
      <w:pPr>
        <w:pStyle w:val="Normal6"/>
      </w:pPr>
      <w:r>
        <w:t>Kako je krajem 2012. godine dosegnuto N+3 pravilo za Projekt Slavonski Brod pristiglo je više plaćanja nego što je planirano Proračunom te se zbog toga u izvršenju Proračuna vidi da je izvršenje prešlo ukupni iznos planiranog odnosno 100%.</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7"/>
        <w:gridCol w:w="1517"/>
        <w:gridCol w:w="1239"/>
        <w:gridCol w:w="1252"/>
        <w:gridCol w:w="1245"/>
        <w:gridCol w:w="1252"/>
        <w:gridCol w:w="126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dužine vodoopskrbne mreže (dogradnja, zamjena i rekonstrukcija)</w:t>
            </w:r>
          </w:p>
        </w:tc>
        <w:tc>
          <w:tcPr>
            <w:tcW w:w="1300" w:type="dxa"/>
          </w:tcPr>
          <w:p w:rsidR="00AC0832" w:rsidRDefault="00AC0832">
            <w:pPr>
              <w:pStyle w:val="CellColumn"/>
            </w:pPr>
            <w:r>
              <w:t>Povećanje dužine vodoopskrbne mreže (dogradnja, zamjena i rekonstrukcija)</w:t>
            </w:r>
          </w:p>
        </w:tc>
        <w:tc>
          <w:tcPr>
            <w:tcW w:w="1300" w:type="dxa"/>
          </w:tcPr>
          <w:p w:rsidR="00AC0832" w:rsidRDefault="00AC0832">
            <w:pPr>
              <w:pStyle w:val="CellColumn"/>
            </w:pPr>
            <w:r>
              <w:t>km</w:t>
            </w:r>
          </w:p>
        </w:tc>
        <w:tc>
          <w:tcPr>
            <w:tcW w:w="1300" w:type="dxa"/>
          </w:tcPr>
          <w:p w:rsidR="00AC0832" w:rsidRDefault="00AC0832">
            <w:pPr>
              <w:pStyle w:val="CellColumn"/>
            </w:pPr>
            <w:r>
              <w:t>0</w:t>
            </w:r>
          </w:p>
        </w:tc>
        <w:tc>
          <w:tcPr>
            <w:tcW w:w="1300" w:type="dxa"/>
          </w:tcPr>
          <w:p w:rsidR="00AC0832" w:rsidRDefault="00AC0832">
            <w:pPr>
              <w:pStyle w:val="CellColumn"/>
            </w:pPr>
            <w:r>
              <w:t>Hrvatske vode</w:t>
            </w:r>
          </w:p>
        </w:tc>
        <w:tc>
          <w:tcPr>
            <w:tcW w:w="1300" w:type="dxa"/>
          </w:tcPr>
          <w:p w:rsidR="00AC0832" w:rsidRDefault="00AC0832">
            <w:pPr>
              <w:pStyle w:val="CellColumn"/>
            </w:pPr>
            <w:r>
              <w:t>4</w:t>
            </w:r>
          </w:p>
        </w:tc>
        <w:tc>
          <w:tcPr>
            <w:tcW w:w="1300" w:type="dxa"/>
          </w:tcPr>
          <w:p w:rsidR="00AC0832" w:rsidRDefault="00AC0832">
            <w:pPr>
              <w:pStyle w:val="CellColumn"/>
            </w:pPr>
            <w:r>
              <w:t>4</w:t>
            </w:r>
          </w:p>
        </w:tc>
      </w:tr>
      <w:tr w:rsidR="00AC0832" w:rsidTr="00BE20ED">
        <w:trPr>
          <w:jc w:val="center"/>
        </w:trPr>
        <w:tc>
          <w:tcPr>
            <w:tcW w:w="1300" w:type="dxa"/>
          </w:tcPr>
          <w:p w:rsidR="00AC0832" w:rsidRDefault="00AC0832">
            <w:pPr>
              <w:pStyle w:val="CellColumn"/>
            </w:pPr>
            <w:r>
              <w:t>Povećanje dužine kanalizacijske mreže (izgradnja, dogradnja, zamjena i rekonstrukcija)</w:t>
            </w:r>
          </w:p>
        </w:tc>
        <w:tc>
          <w:tcPr>
            <w:tcW w:w="1300" w:type="dxa"/>
          </w:tcPr>
          <w:p w:rsidR="00AC0832" w:rsidRDefault="00AC0832">
            <w:pPr>
              <w:pStyle w:val="CellColumn"/>
            </w:pPr>
            <w:r>
              <w:t>Povećanje dužine kanalizacijske mreže (izgradnja, dogradnja, zamjena i rekonstrukcija)</w:t>
            </w:r>
          </w:p>
        </w:tc>
        <w:tc>
          <w:tcPr>
            <w:tcW w:w="1300" w:type="dxa"/>
          </w:tcPr>
          <w:p w:rsidR="00AC0832" w:rsidRDefault="00AC0832">
            <w:pPr>
              <w:pStyle w:val="CellColumn"/>
            </w:pPr>
            <w:r>
              <w:t>km</w:t>
            </w:r>
          </w:p>
        </w:tc>
        <w:tc>
          <w:tcPr>
            <w:tcW w:w="1300" w:type="dxa"/>
          </w:tcPr>
          <w:p w:rsidR="00AC0832" w:rsidRDefault="00AC0832">
            <w:pPr>
              <w:pStyle w:val="CellColumn"/>
            </w:pPr>
            <w:r>
              <w:t>0</w:t>
            </w:r>
          </w:p>
        </w:tc>
        <w:tc>
          <w:tcPr>
            <w:tcW w:w="1300" w:type="dxa"/>
          </w:tcPr>
          <w:p w:rsidR="00AC0832" w:rsidRDefault="00AC0832">
            <w:pPr>
              <w:pStyle w:val="CellColumn"/>
            </w:pPr>
            <w:r>
              <w:t>Hrvatske vode</w:t>
            </w:r>
          </w:p>
        </w:tc>
        <w:tc>
          <w:tcPr>
            <w:tcW w:w="1300" w:type="dxa"/>
          </w:tcPr>
          <w:p w:rsidR="00AC0832" w:rsidRDefault="00AC0832">
            <w:pPr>
              <w:pStyle w:val="CellColumn"/>
            </w:pPr>
            <w:r>
              <w:t>10,8</w:t>
            </w:r>
          </w:p>
        </w:tc>
        <w:tc>
          <w:tcPr>
            <w:tcW w:w="1300" w:type="dxa"/>
          </w:tcPr>
          <w:p w:rsidR="00AC0832" w:rsidRDefault="00AC0832">
            <w:pPr>
              <w:pStyle w:val="CellColumn"/>
            </w:pPr>
            <w:r>
              <w:t>10,8</w:t>
            </w:r>
          </w:p>
        </w:tc>
      </w:tr>
      <w:tr w:rsidR="00AC0832" w:rsidTr="00BE20ED">
        <w:trPr>
          <w:jc w:val="center"/>
        </w:trPr>
        <w:tc>
          <w:tcPr>
            <w:tcW w:w="1300" w:type="dxa"/>
          </w:tcPr>
          <w:p w:rsidR="00AC0832" w:rsidRDefault="00AC0832">
            <w:pPr>
              <w:pStyle w:val="CellColumn"/>
            </w:pPr>
            <w:r>
              <w:t xml:space="preserve">Izgradnja  uređaja  za pročišćavanje </w:t>
            </w:r>
          </w:p>
          <w:p w:rsidR="00AC0832" w:rsidRDefault="00AC0832">
            <w:pPr>
              <w:pStyle w:val="CellColumn"/>
            </w:pPr>
            <w:r>
              <w:t>otpadnih voda</w:t>
            </w:r>
          </w:p>
        </w:tc>
        <w:tc>
          <w:tcPr>
            <w:tcW w:w="1300" w:type="dxa"/>
          </w:tcPr>
          <w:p w:rsidR="00AC0832" w:rsidRDefault="00AC0832">
            <w:pPr>
              <w:pStyle w:val="CellColumn"/>
            </w:pPr>
            <w:r>
              <w:t xml:space="preserve">Izgradnja  uređaja  za pročišćavanje </w:t>
            </w:r>
          </w:p>
          <w:p w:rsidR="00AC0832" w:rsidRDefault="00AC0832">
            <w:pPr>
              <w:pStyle w:val="CellColumn"/>
            </w:pPr>
            <w:r>
              <w:t>otpadnih voda</w:t>
            </w:r>
          </w:p>
        </w:tc>
        <w:tc>
          <w:tcPr>
            <w:tcW w:w="1300" w:type="dxa"/>
          </w:tcPr>
          <w:p w:rsidR="00AC0832" w:rsidRDefault="00AC0832">
            <w:pPr>
              <w:pStyle w:val="CellColumn"/>
            </w:pPr>
            <w:r>
              <w:t>kapacitet uređaja</w:t>
            </w:r>
          </w:p>
        </w:tc>
        <w:tc>
          <w:tcPr>
            <w:tcW w:w="1300" w:type="dxa"/>
          </w:tcPr>
          <w:p w:rsidR="00AC0832" w:rsidRDefault="00AC0832">
            <w:pPr>
              <w:pStyle w:val="CellColumn"/>
            </w:pPr>
            <w:r>
              <w:t>0</w:t>
            </w:r>
          </w:p>
        </w:tc>
        <w:tc>
          <w:tcPr>
            <w:tcW w:w="1300" w:type="dxa"/>
          </w:tcPr>
          <w:p w:rsidR="00AC0832" w:rsidRDefault="00AC0832">
            <w:pPr>
              <w:pStyle w:val="CellColumn"/>
            </w:pPr>
            <w:r>
              <w:t>Hrvatske vode</w:t>
            </w:r>
          </w:p>
        </w:tc>
        <w:tc>
          <w:tcPr>
            <w:tcW w:w="1300" w:type="dxa"/>
          </w:tcPr>
          <w:p w:rsidR="00AC0832" w:rsidRDefault="00AC0832">
            <w:pPr>
              <w:pStyle w:val="CellColumn"/>
            </w:pPr>
            <w:r>
              <w:t>0</w:t>
            </w:r>
          </w:p>
        </w:tc>
        <w:tc>
          <w:tcPr>
            <w:tcW w:w="1300" w:type="dxa"/>
          </w:tcPr>
          <w:p w:rsidR="00AC0832" w:rsidRDefault="00AC0832">
            <w:pPr>
              <w:pStyle w:val="CellColumn"/>
            </w:pPr>
            <w:r>
              <w:t>0</w:t>
            </w:r>
          </w:p>
        </w:tc>
      </w:tr>
    </w:tbl>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pStyle w:val="Heading6"/>
      </w:pPr>
      <w:r>
        <w:t>K828033 IPA III B - DRNIŠ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K828033-IPA III B - DRNIŠ</w:t>
            </w:r>
          </w:p>
        </w:tc>
        <w:tc>
          <w:tcPr>
            <w:tcW w:w="2322" w:type="dxa"/>
          </w:tcPr>
          <w:p w:rsidR="00AC0832" w:rsidRDefault="00AC0832">
            <w:pPr>
              <w:pStyle w:val="CellColumn"/>
            </w:pPr>
            <w:r>
              <w:t>16.564.000</w:t>
            </w:r>
          </w:p>
        </w:tc>
        <w:tc>
          <w:tcPr>
            <w:tcW w:w="2322" w:type="dxa"/>
          </w:tcPr>
          <w:p w:rsidR="00AC0832" w:rsidRDefault="00AC0832">
            <w:pPr>
              <w:pStyle w:val="CellColumn"/>
            </w:pPr>
            <w:r>
              <w:t>15.239.954</w:t>
            </w:r>
          </w:p>
        </w:tc>
        <w:tc>
          <w:tcPr>
            <w:tcW w:w="2322" w:type="dxa"/>
          </w:tcPr>
          <w:p w:rsidR="00AC0832" w:rsidRDefault="00AC0832">
            <w:pPr>
              <w:pStyle w:val="CellColumn"/>
            </w:pPr>
            <w:r>
              <w:t>92,0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Aktivnost se odnosi na radnje potrebne za priključenje stanovništva na vodoopskrbnu mrežu  radi  poboljšanja  opskrbe  stanovništva  pitkom  vodom,  izgradnju  i rekonstrukciju kanalizacijske mreže u svrhu boljeg priključenja stanovništva i gospodarskih subjekata na sustav odvodnje. Također se odnosi i na izgradnju uređaja za pročišćavanje otpadnih voda u svrhu zaštite voda i očuvanja vodnih resursa u Republici Hrvatskoj što će rezultirati zaštitom i očuvanjem okoliša u cjelini.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7"/>
        <w:gridCol w:w="1517"/>
        <w:gridCol w:w="1239"/>
        <w:gridCol w:w="1252"/>
        <w:gridCol w:w="1245"/>
        <w:gridCol w:w="1252"/>
        <w:gridCol w:w="126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dužine vodoopskrbne mreže (dogradnja, zamjena i rekonstrukcija)</w:t>
            </w:r>
          </w:p>
        </w:tc>
        <w:tc>
          <w:tcPr>
            <w:tcW w:w="1300" w:type="dxa"/>
          </w:tcPr>
          <w:p w:rsidR="00AC0832" w:rsidRDefault="00AC0832">
            <w:pPr>
              <w:pStyle w:val="CellColumn"/>
            </w:pPr>
            <w:r>
              <w:t>Povećanje dužine vodoopskrbne mreže (dogradnja, zamjena i rekonstrukcija)</w:t>
            </w:r>
          </w:p>
        </w:tc>
        <w:tc>
          <w:tcPr>
            <w:tcW w:w="1300" w:type="dxa"/>
          </w:tcPr>
          <w:p w:rsidR="00AC0832" w:rsidRDefault="00AC0832">
            <w:pPr>
              <w:pStyle w:val="CellColumn"/>
            </w:pPr>
            <w:r>
              <w:t>km</w:t>
            </w:r>
          </w:p>
        </w:tc>
        <w:tc>
          <w:tcPr>
            <w:tcW w:w="1300" w:type="dxa"/>
          </w:tcPr>
          <w:p w:rsidR="00AC0832" w:rsidRDefault="00AC0832">
            <w:pPr>
              <w:pStyle w:val="CellColumn"/>
            </w:pPr>
            <w:r>
              <w:t>0</w:t>
            </w:r>
          </w:p>
        </w:tc>
        <w:tc>
          <w:tcPr>
            <w:tcW w:w="1300" w:type="dxa"/>
          </w:tcPr>
          <w:p w:rsidR="00AC0832" w:rsidRDefault="00AC0832">
            <w:pPr>
              <w:pStyle w:val="CellColumn"/>
            </w:pPr>
            <w:r>
              <w:t>Hrvatske vode</w:t>
            </w:r>
          </w:p>
        </w:tc>
        <w:tc>
          <w:tcPr>
            <w:tcW w:w="1300" w:type="dxa"/>
          </w:tcPr>
          <w:p w:rsidR="00AC0832" w:rsidRDefault="00AC0832">
            <w:pPr>
              <w:pStyle w:val="CellColumn"/>
            </w:pPr>
            <w:r>
              <w:t>1,5</w:t>
            </w:r>
          </w:p>
        </w:tc>
        <w:tc>
          <w:tcPr>
            <w:tcW w:w="1300" w:type="dxa"/>
          </w:tcPr>
          <w:p w:rsidR="00AC0832" w:rsidRDefault="00AC0832">
            <w:pPr>
              <w:pStyle w:val="CellColumn"/>
            </w:pPr>
            <w:r>
              <w:t>1,5</w:t>
            </w:r>
          </w:p>
        </w:tc>
      </w:tr>
      <w:tr w:rsidR="00AC0832" w:rsidTr="00BE20ED">
        <w:trPr>
          <w:jc w:val="center"/>
        </w:trPr>
        <w:tc>
          <w:tcPr>
            <w:tcW w:w="1300" w:type="dxa"/>
          </w:tcPr>
          <w:p w:rsidR="00AC0832" w:rsidRDefault="00AC0832">
            <w:pPr>
              <w:pStyle w:val="CellColumn"/>
            </w:pPr>
            <w:r>
              <w:t>Povećanje dužine kanalizacijske mreže (izgradnja, dogradnja, zamjena i rekonstrukcija)</w:t>
            </w:r>
          </w:p>
        </w:tc>
        <w:tc>
          <w:tcPr>
            <w:tcW w:w="1300" w:type="dxa"/>
          </w:tcPr>
          <w:p w:rsidR="00AC0832" w:rsidRDefault="00AC0832">
            <w:pPr>
              <w:pStyle w:val="CellColumn"/>
            </w:pPr>
            <w:r>
              <w:t>Povećanje dužine kanalizacijske mreže (izgradnja, dogradnja, zamjena i rekonstrukcija)</w:t>
            </w:r>
          </w:p>
        </w:tc>
        <w:tc>
          <w:tcPr>
            <w:tcW w:w="1300" w:type="dxa"/>
          </w:tcPr>
          <w:p w:rsidR="00AC0832" w:rsidRDefault="00AC0832">
            <w:pPr>
              <w:pStyle w:val="CellColumn"/>
            </w:pPr>
            <w:r>
              <w:t>km</w:t>
            </w:r>
          </w:p>
        </w:tc>
        <w:tc>
          <w:tcPr>
            <w:tcW w:w="1300" w:type="dxa"/>
          </w:tcPr>
          <w:p w:rsidR="00AC0832" w:rsidRDefault="00AC0832">
            <w:pPr>
              <w:pStyle w:val="CellColumn"/>
            </w:pPr>
            <w:r>
              <w:t>0</w:t>
            </w:r>
          </w:p>
        </w:tc>
        <w:tc>
          <w:tcPr>
            <w:tcW w:w="1300" w:type="dxa"/>
          </w:tcPr>
          <w:p w:rsidR="00AC0832" w:rsidRDefault="00AC0832">
            <w:pPr>
              <w:pStyle w:val="CellColumn"/>
            </w:pPr>
            <w:r>
              <w:t>Hrvatske vode</w:t>
            </w:r>
          </w:p>
        </w:tc>
        <w:tc>
          <w:tcPr>
            <w:tcW w:w="1300" w:type="dxa"/>
          </w:tcPr>
          <w:p w:rsidR="00AC0832" w:rsidRDefault="00AC0832">
            <w:pPr>
              <w:pStyle w:val="CellColumn"/>
            </w:pPr>
            <w:r>
              <w:t>2,9</w:t>
            </w:r>
          </w:p>
        </w:tc>
        <w:tc>
          <w:tcPr>
            <w:tcW w:w="1300" w:type="dxa"/>
          </w:tcPr>
          <w:p w:rsidR="00AC0832" w:rsidRDefault="00AC0832">
            <w:pPr>
              <w:pStyle w:val="CellColumn"/>
            </w:pPr>
            <w:r>
              <w:t>2,9</w:t>
            </w:r>
          </w:p>
        </w:tc>
      </w:tr>
      <w:tr w:rsidR="00AC0832" w:rsidTr="00BE20ED">
        <w:trPr>
          <w:jc w:val="center"/>
        </w:trPr>
        <w:tc>
          <w:tcPr>
            <w:tcW w:w="1300" w:type="dxa"/>
          </w:tcPr>
          <w:p w:rsidR="00AC0832" w:rsidRDefault="00AC0832">
            <w:pPr>
              <w:pStyle w:val="CellColumn"/>
            </w:pPr>
            <w:r>
              <w:t xml:space="preserve">Izgradnja  uređaja  za pročišćavanje </w:t>
            </w:r>
          </w:p>
          <w:p w:rsidR="00AC0832" w:rsidRDefault="00AC0832">
            <w:pPr>
              <w:pStyle w:val="CellColumn"/>
            </w:pPr>
            <w:r>
              <w:t>otpadnih voda</w:t>
            </w:r>
          </w:p>
        </w:tc>
        <w:tc>
          <w:tcPr>
            <w:tcW w:w="1300" w:type="dxa"/>
          </w:tcPr>
          <w:p w:rsidR="00AC0832" w:rsidRDefault="00AC0832">
            <w:pPr>
              <w:pStyle w:val="CellColumn"/>
            </w:pPr>
            <w:r>
              <w:t xml:space="preserve">Izgradnja  uređaja  za pročišćavanje </w:t>
            </w:r>
          </w:p>
          <w:p w:rsidR="00AC0832" w:rsidRDefault="00AC0832">
            <w:pPr>
              <w:pStyle w:val="CellColumn"/>
            </w:pPr>
            <w:r>
              <w:t>otpadnih voda</w:t>
            </w:r>
          </w:p>
        </w:tc>
        <w:tc>
          <w:tcPr>
            <w:tcW w:w="1300" w:type="dxa"/>
          </w:tcPr>
          <w:p w:rsidR="00AC0832" w:rsidRDefault="00AC0832">
            <w:pPr>
              <w:pStyle w:val="CellColumn"/>
            </w:pPr>
            <w:r>
              <w:t>kapacitet uređaja</w:t>
            </w:r>
          </w:p>
        </w:tc>
        <w:tc>
          <w:tcPr>
            <w:tcW w:w="1300" w:type="dxa"/>
          </w:tcPr>
          <w:p w:rsidR="00AC0832" w:rsidRDefault="00AC0832">
            <w:pPr>
              <w:pStyle w:val="CellColumn"/>
            </w:pPr>
            <w:r>
              <w:t>0</w:t>
            </w:r>
          </w:p>
        </w:tc>
        <w:tc>
          <w:tcPr>
            <w:tcW w:w="1300" w:type="dxa"/>
          </w:tcPr>
          <w:p w:rsidR="00AC0832" w:rsidRDefault="00AC0832">
            <w:pPr>
              <w:pStyle w:val="CellColumn"/>
            </w:pPr>
            <w:r>
              <w:t>Hrvatske vode</w:t>
            </w:r>
          </w:p>
        </w:tc>
        <w:tc>
          <w:tcPr>
            <w:tcW w:w="1300" w:type="dxa"/>
          </w:tcPr>
          <w:p w:rsidR="00AC0832" w:rsidRDefault="00AC0832">
            <w:pPr>
              <w:pStyle w:val="CellColumn"/>
            </w:pPr>
            <w:r>
              <w:t>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K828035 IPA III B - KNIN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K828035-IPA III B - KNIN</w:t>
            </w:r>
          </w:p>
        </w:tc>
        <w:tc>
          <w:tcPr>
            <w:tcW w:w="2322" w:type="dxa"/>
          </w:tcPr>
          <w:p w:rsidR="00AC0832" w:rsidRDefault="00AC0832">
            <w:pPr>
              <w:pStyle w:val="CellColumn"/>
            </w:pPr>
            <w:r>
              <w:t>24.900.000</w:t>
            </w:r>
          </w:p>
        </w:tc>
        <w:tc>
          <w:tcPr>
            <w:tcW w:w="2322" w:type="dxa"/>
          </w:tcPr>
          <w:p w:rsidR="00AC0832" w:rsidRDefault="00AC0832">
            <w:pPr>
              <w:pStyle w:val="CellColumn"/>
            </w:pPr>
            <w:r>
              <w:t>22.653.667</w:t>
            </w:r>
          </w:p>
        </w:tc>
        <w:tc>
          <w:tcPr>
            <w:tcW w:w="2322" w:type="dxa"/>
          </w:tcPr>
          <w:p w:rsidR="00AC0832" w:rsidRDefault="00AC0832">
            <w:pPr>
              <w:pStyle w:val="CellColumn"/>
            </w:pPr>
            <w:r>
              <w:t>91,0</w:t>
            </w:r>
          </w:p>
        </w:tc>
      </w:tr>
    </w:tbl>
    <w:p w:rsidR="00AC0832" w:rsidRDefault="00AC0832">
      <w:pPr>
        <w:jc w:val="left"/>
      </w:pPr>
    </w:p>
    <w:p w:rsidR="00AC0832" w:rsidRDefault="00AC0832">
      <w:pPr>
        <w:jc w:val="left"/>
      </w:pPr>
    </w:p>
    <w:p w:rsidR="00AC0832" w:rsidRDefault="00AC0832">
      <w:pPr>
        <w:jc w:val="left"/>
      </w:pPr>
    </w:p>
    <w:p w:rsidR="00AC0832" w:rsidRDefault="00AC0832">
      <w:pPr>
        <w:pStyle w:val="Heading8"/>
        <w:jc w:val="left"/>
      </w:pPr>
      <w:r>
        <w:t>Opis provedbe aktivnosti / projekta</w:t>
      </w:r>
    </w:p>
    <w:p w:rsidR="00AC0832" w:rsidRDefault="00AC0832">
      <w:pPr>
        <w:pStyle w:val="Normal6"/>
      </w:pPr>
      <w:r>
        <w:t>Aktivnost se odnosi na radnje potrebne za priključenje stanovništva na vodoopskrbnu mrežu  radi  poboljšanja  opskrbe  stanovništva  pitkom  vodom,  izgradnju  i rekonstrukciju kanalizacijske mreže u svrhu boljeg priključenja stanovništva i gospodarskih subjekata na sustav odvodnje. Također se odnosi i na izgradnju uređaja za pročišćavanje otpadnih voda u svrhu zaštite voda i očuvanja vodnih resursa u Republici Hrvatskoj što će rezultirati zaštitom i očuvanjem okoliša u cjelini.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7"/>
        <w:gridCol w:w="1517"/>
        <w:gridCol w:w="1239"/>
        <w:gridCol w:w="1252"/>
        <w:gridCol w:w="1245"/>
        <w:gridCol w:w="1252"/>
        <w:gridCol w:w="126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dužine vodoopskrbne mreže (dogradnja, zamjena i rekonstrukcija)</w:t>
            </w:r>
          </w:p>
        </w:tc>
        <w:tc>
          <w:tcPr>
            <w:tcW w:w="1300" w:type="dxa"/>
          </w:tcPr>
          <w:p w:rsidR="00AC0832" w:rsidRDefault="00AC0832">
            <w:pPr>
              <w:pStyle w:val="CellColumn"/>
            </w:pPr>
            <w:r>
              <w:t>Povećanje dužine vodoopskrbne mreže (dogradnja, zamjena i rekonstrukcija)</w:t>
            </w:r>
          </w:p>
        </w:tc>
        <w:tc>
          <w:tcPr>
            <w:tcW w:w="1300" w:type="dxa"/>
          </w:tcPr>
          <w:p w:rsidR="00AC0832" w:rsidRDefault="00AC0832">
            <w:pPr>
              <w:pStyle w:val="CellColumn"/>
            </w:pPr>
            <w:r>
              <w:t>km</w:t>
            </w:r>
          </w:p>
        </w:tc>
        <w:tc>
          <w:tcPr>
            <w:tcW w:w="1300" w:type="dxa"/>
          </w:tcPr>
          <w:p w:rsidR="00AC0832" w:rsidRDefault="00AC0832">
            <w:pPr>
              <w:pStyle w:val="CellColumn"/>
            </w:pPr>
            <w:r>
              <w:t>0</w:t>
            </w:r>
          </w:p>
        </w:tc>
        <w:tc>
          <w:tcPr>
            <w:tcW w:w="1300" w:type="dxa"/>
          </w:tcPr>
          <w:p w:rsidR="00AC0832" w:rsidRDefault="00AC0832">
            <w:pPr>
              <w:pStyle w:val="CellColumn"/>
            </w:pPr>
            <w:r>
              <w:t>Hrvatske vode</w:t>
            </w:r>
          </w:p>
        </w:tc>
        <w:tc>
          <w:tcPr>
            <w:tcW w:w="1300" w:type="dxa"/>
          </w:tcPr>
          <w:p w:rsidR="00AC0832" w:rsidRDefault="00AC0832">
            <w:pPr>
              <w:pStyle w:val="CellColumn"/>
            </w:pPr>
            <w:r>
              <w:t>4</w:t>
            </w:r>
          </w:p>
        </w:tc>
        <w:tc>
          <w:tcPr>
            <w:tcW w:w="1300" w:type="dxa"/>
          </w:tcPr>
          <w:p w:rsidR="00AC0832" w:rsidRDefault="00AC0832">
            <w:pPr>
              <w:pStyle w:val="CellColumn"/>
            </w:pPr>
            <w:r>
              <w:t>2</w:t>
            </w:r>
          </w:p>
        </w:tc>
      </w:tr>
      <w:tr w:rsidR="00AC0832" w:rsidTr="00BE20ED">
        <w:trPr>
          <w:jc w:val="center"/>
        </w:trPr>
        <w:tc>
          <w:tcPr>
            <w:tcW w:w="1300" w:type="dxa"/>
          </w:tcPr>
          <w:p w:rsidR="00AC0832" w:rsidRDefault="00AC0832">
            <w:pPr>
              <w:pStyle w:val="CellColumn"/>
            </w:pPr>
            <w:r>
              <w:t>Povećanje dužine kanalizacijske mreže (izgradnja, dogradnja, zamjena i rekonstrukcija)</w:t>
            </w:r>
          </w:p>
        </w:tc>
        <w:tc>
          <w:tcPr>
            <w:tcW w:w="1300" w:type="dxa"/>
          </w:tcPr>
          <w:p w:rsidR="00AC0832" w:rsidRDefault="00AC0832">
            <w:pPr>
              <w:pStyle w:val="CellColumn"/>
            </w:pPr>
            <w:r>
              <w:t>Povećanje dužine kanalizacijske mreže (izgradnja, dogradnja, zamjena i rekonstrukcija)</w:t>
            </w:r>
          </w:p>
        </w:tc>
        <w:tc>
          <w:tcPr>
            <w:tcW w:w="1300" w:type="dxa"/>
          </w:tcPr>
          <w:p w:rsidR="00AC0832" w:rsidRDefault="00AC0832">
            <w:pPr>
              <w:pStyle w:val="CellColumn"/>
            </w:pPr>
            <w:r>
              <w:t>km</w:t>
            </w:r>
          </w:p>
        </w:tc>
        <w:tc>
          <w:tcPr>
            <w:tcW w:w="1300" w:type="dxa"/>
          </w:tcPr>
          <w:p w:rsidR="00AC0832" w:rsidRDefault="00AC0832">
            <w:pPr>
              <w:pStyle w:val="CellColumn"/>
            </w:pPr>
            <w:r>
              <w:t>0</w:t>
            </w:r>
          </w:p>
        </w:tc>
        <w:tc>
          <w:tcPr>
            <w:tcW w:w="1300" w:type="dxa"/>
          </w:tcPr>
          <w:p w:rsidR="00AC0832" w:rsidRDefault="00AC0832">
            <w:pPr>
              <w:pStyle w:val="CellColumn"/>
            </w:pPr>
            <w:r>
              <w:t>Hrvatske vode</w:t>
            </w:r>
          </w:p>
        </w:tc>
        <w:tc>
          <w:tcPr>
            <w:tcW w:w="1300" w:type="dxa"/>
          </w:tcPr>
          <w:p w:rsidR="00AC0832" w:rsidRDefault="00AC0832">
            <w:pPr>
              <w:pStyle w:val="CellColumn"/>
            </w:pPr>
            <w:r>
              <w:t>6</w:t>
            </w:r>
          </w:p>
        </w:tc>
        <w:tc>
          <w:tcPr>
            <w:tcW w:w="1300" w:type="dxa"/>
          </w:tcPr>
          <w:p w:rsidR="00AC0832" w:rsidRDefault="00AC0832">
            <w:pPr>
              <w:pStyle w:val="CellColumn"/>
            </w:pPr>
            <w:r>
              <w:t>4</w:t>
            </w:r>
          </w:p>
        </w:tc>
      </w:tr>
      <w:tr w:rsidR="00AC0832" w:rsidTr="00BE20ED">
        <w:trPr>
          <w:jc w:val="center"/>
        </w:trPr>
        <w:tc>
          <w:tcPr>
            <w:tcW w:w="1300" w:type="dxa"/>
          </w:tcPr>
          <w:p w:rsidR="00AC0832" w:rsidRDefault="00AC0832">
            <w:pPr>
              <w:pStyle w:val="CellColumn"/>
            </w:pPr>
            <w:r>
              <w:t xml:space="preserve">Izgradnja  uređaja  za pročišćavanje </w:t>
            </w:r>
          </w:p>
          <w:p w:rsidR="00AC0832" w:rsidRDefault="00AC0832">
            <w:pPr>
              <w:pStyle w:val="CellColumn"/>
            </w:pPr>
            <w:r>
              <w:t>otpadnih voda</w:t>
            </w:r>
          </w:p>
        </w:tc>
        <w:tc>
          <w:tcPr>
            <w:tcW w:w="1300" w:type="dxa"/>
          </w:tcPr>
          <w:p w:rsidR="00AC0832" w:rsidRDefault="00AC0832">
            <w:pPr>
              <w:pStyle w:val="CellColumn"/>
            </w:pPr>
            <w:r>
              <w:t xml:space="preserve">Izgradnja  uređaja  za pročišćavanje </w:t>
            </w:r>
          </w:p>
          <w:p w:rsidR="00AC0832" w:rsidRDefault="00AC0832">
            <w:pPr>
              <w:pStyle w:val="CellColumn"/>
            </w:pPr>
            <w:r>
              <w:t>otpadnih voda</w:t>
            </w:r>
          </w:p>
        </w:tc>
        <w:tc>
          <w:tcPr>
            <w:tcW w:w="1300" w:type="dxa"/>
          </w:tcPr>
          <w:p w:rsidR="00AC0832" w:rsidRDefault="00AC0832">
            <w:pPr>
              <w:pStyle w:val="CellColumn"/>
            </w:pPr>
            <w:r>
              <w:t>kapacitet uređaja</w:t>
            </w:r>
          </w:p>
        </w:tc>
        <w:tc>
          <w:tcPr>
            <w:tcW w:w="1300" w:type="dxa"/>
          </w:tcPr>
          <w:p w:rsidR="00AC0832" w:rsidRDefault="00AC0832">
            <w:pPr>
              <w:pStyle w:val="CellColumn"/>
            </w:pPr>
            <w:r>
              <w:t>0</w:t>
            </w:r>
          </w:p>
        </w:tc>
        <w:tc>
          <w:tcPr>
            <w:tcW w:w="1300" w:type="dxa"/>
          </w:tcPr>
          <w:p w:rsidR="00AC0832" w:rsidRDefault="00AC0832">
            <w:pPr>
              <w:pStyle w:val="CellColumn"/>
            </w:pPr>
            <w:r>
              <w:t>Hrvatske vode</w:t>
            </w:r>
          </w:p>
        </w:tc>
        <w:tc>
          <w:tcPr>
            <w:tcW w:w="1300" w:type="dxa"/>
          </w:tcPr>
          <w:p w:rsidR="00AC0832" w:rsidRDefault="00AC0832">
            <w:pPr>
              <w:pStyle w:val="CellColumn"/>
            </w:pPr>
            <w:r>
              <w:t>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5"/>
      </w:pPr>
      <w:r>
        <w:t>3508 RAZVOJ I UPRAVLJANJE VODOOPSKRBNIM SUSTAVOM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3508-RAZVOJ I UPRAVLJANJE VODOOPSKRBNIM SUSTAVOM</w:t>
            </w:r>
          </w:p>
        </w:tc>
        <w:tc>
          <w:tcPr>
            <w:tcW w:w="2322" w:type="dxa"/>
          </w:tcPr>
          <w:p w:rsidR="00AC0832" w:rsidRDefault="00AC0832">
            <w:pPr>
              <w:pStyle w:val="CellColumn"/>
            </w:pPr>
            <w:r>
              <w:t>28.287.357</w:t>
            </w:r>
          </w:p>
        </w:tc>
        <w:tc>
          <w:tcPr>
            <w:tcW w:w="2322" w:type="dxa"/>
          </w:tcPr>
          <w:p w:rsidR="00AC0832" w:rsidRDefault="00AC0832">
            <w:pPr>
              <w:pStyle w:val="CellColumn"/>
            </w:pPr>
            <w:r>
              <w:t>22.642.860</w:t>
            </w:r>
          </w:p>
        </w:tc>
        <w:tc>
          <w:tcPr>
            <w:tcW w:w="2322" w:type="dxa"/>
          </w:tcPr>
          <w:p w:rsidR="00AC0832" w:rsidRDefault="00AC0832">
            <w:pPr>
              <w:pStyle w:val="CellColumn"/>
            </w:pPr>
            <w:r>
              <w:t>80,0</w:t>
            </w:r>
          </w:p>
        </w:tc>
      </w:tr>
    </w:tbl>
    <w:p w:rsidR="00AC0832" w:rsidRDefault="00AC0832">
      <w:pPr>
        <w:jc w:val="left"/>
      </w:pPr>
    </w:p>
    <w:p w:rsidR="00AC0832" w:rsidRDefault="00AC0832">
      <w:pPr>
        <w:pStyle w:val="Heading6"/>
      </w:pPr>
      <w:r>
        <w:t>Opis programa</w:t>
      </w:r>
    </w:p>
    <w:p w:rsidR="00AC0832" w:rsidRDefault="00AC0832">
      <w:pPr>
        <w:pStyle w:val="Normal5"/>
      </w:pPr>
      <w:r>
        <w:t>Ovim programom unaprijedit će se upravljanje, povećati stupanj korištenja te smanjiti gubitak vode iz vodoopskrbne mreže kroz ulaganja u razvojne programe vodoopskrbe. Za svaki od usvojenih programa potpisan je Sporazum o sufinanciranju te je započeto s realizacijom istih. Ministarstvo poljoprivrede zaduženo je za nadzor provedbe navedenih sporazuma. Ostvarenje  razvojnih ciljeva vodnog gospodarstva ubrzava se korištenjem sredstava iz fondova Europske unije, i to najprije iz predpristupnih, a nakon ulaska u Europsku uniju iz kohezijskog i strukturnih fondova na način da se ulaže u rekonstrukciju i gradnju   magistralne i sekundarne vodoopskrbne mreže, u gradnju vodnih građevina (osim mreže) uključujući i uređaje za kondicioniranje vode, te smanjenje gubitaka u vodoopskrbnoj mreži.</w:t>
      </w:r>
    </w:p>
    <w:p w:rsidR="00AC0832" w:rsidRDefault="00AC0832">
      <w:pPr>
        <w:pStyle w:val="Heading6"/>
      </w:pPr>
      <w:r>
        <w:t>Zakonske i druge pravne osnove</w:t>
      </w:r>
    </w:p>
    <w:p w:rsidR="00AC0832" w:rsidRDefault="00AC0832">
      <w:pPr>
        <w:pStyle w:val="Normal5"/>
      </w:pPr>
      <w:r>
        <w:t>Zakon o vodama; Strategija upravljanja vodama (NN 91/08); Zakon o financiranju vodnoga gospodarstva (NN 153/09); Sporazumi o sufinanciranju regionalnih vodoopskrbnih sustava, godišnji sporazumi o financiranju kapitalnih vodnogospodarskih projekata.</w:t>
      </w:r>
    </w:p>
    <w:p w:rsidR="00AC0832" w:rsidRDefault="00AC0832">
      <w:pPr>
        <w:pStyle w:val="Heading7"/>
      </w:pPr>
      <w:r>
        <w:t xml:space="preserve">Cilj 1. Osiguranje  dovoljnih  količina  voda  zadovoljavajuće  kakvoće </w:t>
      </w:r>
    </w:p>
    <w:p w:rsidR="00AC0832" w:rsidRDefault="00AC0832">
      <w:pPr>
        <w:pStyle w:val="Heading8"/>
        <w:jc w:val="left"/>
      </w:pPr>
      <w:r>
        <w:t>Opis provedbe cilja programa</w:t>
      </w:r>
    </w:p>
    <w:p w:rsidR="00AC0832" w:rsidRDefault="00AC0832">
      <w:pPr>
        <w:pStyle w:val="Normal6"/>
      </w:pPr>
      <w:r>
        <w:t xml:space="preserve">Cilj je usmjeren na osiguranje dovoljnih količina voda zadovoljavajuće kakvoće za postojeće i razvojne potrebe svih korisnika iz postojećih ili novih izvora vodeći računa o prirodnim mogućnostima obnovljivosti resursa, postizanju odgovarajućeg standarda i razini sigurnosti opskrbe vodom za sve korisnike. </w:t>
      </w:r>
    </w:p>
    <w:p w:rsidR="00AC0832" w:rsidRDefault="00AC0832">
      <w:pPr>
        <w:pStyle w:val="Normal6"/>
      </w:pPr>
      <w:r>
        <w:t xml:space="preserve"> </w:t>
      </w:r>
    </w:p>
    <w:p w:rsidR="00AC0832" w:rsidRDefault="00AC0832">
      <w:pPr>
        <w:pStyle w:val="Normal6"/>
      </w:pPr>
      <w:r>
        <w:t>Ostvarenje ovoga cilja uključuje povećanje stupnja opskrbljenosti stanovništva iz javnih vodoopskrbnih sustava u skladu s higijensko-sanitarnim standardima te zadovoljavanje potreba gospodarstva.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5"/>
        <w:gridCol w:w="1455"/>
        <w:gridCol w:w="1233"/>
        <w:gridCol w:w="1257"/>
        <w:gridCol w:w="1362"/>
        <w:gridCol w:w="1257"/>
        <w:gridCol w:w="126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w:t>
            </w:r>
            <w:r>
              <w:tab/>
              <w:t xml:space="preserve">postotka mogućnosti </w:t>
            </w:r>
          </w:p>
          <w:p w:rsidR="00AC0832" w:rsidRDefault="00AC0832">
            <w:pPr>
              <w:pStyle w:val="CellColumn"/>
            </w:pPr>
            <w:r>
              <w:t>priključenja  na  sustav javne vodoopskrbe</w:t>
            </w:r>
          </w:p>
        </w:tc>
        <w:tc>
          <w:tcPr>
            <w:tcW w:w="1300" w:type="dxa"/>
          </w:tcPr>
          <w:p w:rsidR="00AC0832" w:rsidRDefault="00AC0832">
            <w:pPr>
              <w:pStyle w:val="CellColumn"/>
            </w:pPr>
            <w:r>
              <w:t>Povećanje</w:t>
            </w:r>
            <w:r>
              <w:tab/>
              <w:t xml:space="preserve">postotka mogućnosti </w:t>
            </w:r>
          </w:p>
          <w:p w:rsidR="00AC0832" w:rsidRDefault="00AC0832">
            <w:pPr>
              <w:pStyle w:val="CellColumn"/>
            </w:pPr>
            <w:r>
              <w:t>priključenja  na  sustav javne vodoopskrbe</w:t>
            </w:r>
          </w:p>
        </w:tc>
        <w:tc>
          <w:tcPr>
            <w:tcW w:w="1300" w:type="dxa"/>
          </w:tcPr>
          <w:p w:rsidR="00AC0832" w:rsidRDefault="00AC0832">
            <w:pPr>
              <w:pStyle w:val="CellColumn"/>
            </w:pPr>
            <w:r>
              <w:t>%</w:t>
            </w:r>
          </w:p>
        </w:tc>
        <w:tc>
          <w:tcPr>
            <w:tcW w:w="1300" w:type="dxa"/>
          </w:tcPr>
          <w:p w:rsidR="00AC0832" w:rsidRDefault="00AC0832">
            <w:pPr>
              <w:pStyle w:val="CellColumn"/>
            </w:pPr>
            <w:r>
              <w:t>85,2</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85,3</w:t>
            </w:r>
          </w:p>
        </w:tc>
        <w:tc>
          <w:tcPr>
            <w:tcW w:w="1300" w:type="dxa"/>
          </w:tcPr>
          <w:p w:rsidR="00AC0832" w:rsidRDefault="00AC0832">
            <w:pPr>
              <w:pStyle w:val="CellColumn"/>
            </w:pPr>
            <w:r>
              <w:t>85,4</w:t>
            </w:r>
          </w:p>
        </w:tc>
      </w:tr>
    </w:tbl>
    <w:p w:rsidR="00AC0832" w:rsidRDefault="00AC0832">
      <w:pPr>
        <w:jc w:val="left"/>
      </w:pPr>
    </w:p>
    <w:p w:rsidR="00AC0832" w:rsidRDefault="00AC0832">
      <w:pPr>
        <w:pStyle w:val="Heading6"/>
      </w:pPr>
      <w:r>
        <w:t>K568132 VODOOPSKRBA - REGIONALNI VODOVOD (ISTOČNA SLAVONIJA)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K568132-VODOOPSKRBA - REGIONALNI VODOVOD (ISTOČNA SLAVONIJA)</w:t>
            </w:r>
          </w:p>
        </w:tc>
        <w:tc>
          <w:tcPr>
            <w:tcW w:w="2322" w:type="dxa"/>
          </w:tcPr>
          <w:p w:rsidR="00AC0832" w:rsidRDefault="00AC0832">
            <w:pPr>
              <w:pStyle w:val="CellColumn"/>
            </w:pPr>
            <w:r>
              <w:t>1.802.026</w:t>
            </w:r>
          </w:p>
        </w:tc>
        <w:tc>
          <w:tcPr>
            <w:tcW w:w="2322" w:type="dxa"/>
          </w:tcPr>
          <w:p w:rsidR="00AC0832" w:rsidRDefault="00AC0832">
            <w:pPr>
              <w:pStyle w:val="CellColumn"/>
            </w:pPr>
            <w:r>
              <w:t>1.802.026</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 temelju ove aktivnosti provela su se ulaganja u izgradnju regionalnog vodoopskrbnog sustava Istočne Slavonije. S ciljem razvoja navedenog sustava, sklopljen je Sporazum o sufinanciranju regionalnog vodoopskrbnog sustava Istočne Slavonije I. etapa iz 2005. godine između Ministarstva mora, turizma, prometa i razvitka, Ministarstva poljoprivrede, šumarstva i vodnoga gospodarstva, Fonda za regionalni razvoj, Hrvatskih voda, Vukovarsko-srijemske županije i Brodsko-posavske županije na ukupni iznos Sporazuma 397 mil. kuna. Iako je navedeni Sporazum istekao i u manjem opsegu realiziran,  na tom području se nastavlja ulagati u razvoj predmetnog sustava sukladno mogućnostima odnosno osiguranim sredstvima u Državnom proračunu.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1551"/>
        <w:gridCol w:w="1195"/>
        <w:gridCol w:w="1232"/>
        <w:gridCol w:w="1275"/>
        <w:gridCol w:w="1232"/>
        <w:gridCol w:w="125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dužine izgrađene magistralne ili               sekundarne vodopskrbe mreže izražene u km</w:t>
            </w:r>
          </w:p>
        </w:tc>
        <w:tc>
          <w:tcPr>
            <w:tcW w:w="1300" w:type="dxa"/>
          </w:tcPr>
          <w:p w:rsidR="00AC0832" w:rsidRDefault="00AC0832">
            <w:pPr>
              <w:pStyle w:val="CellColumn"/>
            </w:pPr>
            <w:r>
              <w:t>Povećanje dužine izgrađene magistralne ili               sekundarne vodopskrbe mreže izražene u km</w:t>
            </w:r>
          </w:p>
        </w:tc>
        <w:tc>
          <w:tcPr>
            <w:tcW w:w="1300" w:type="dxa"/>
          </w:tcPr>
          <w:p w:rsidR="00AC0832" w:rsidRDefault="00AC0832">
            <w:pPr>
              <w:pStyle w:val="CellColumn"/>
            </w:pPr>
            <w:r>
              <w:t>km</w:t>
            </w:r>
          </w:p>
        </w:tc>
        <w:tc>
          <w:tcPr>
            <w:tcW w:w="1300" w:type="dxa"/>
          </w:tcPr>
          <w:p w:rsidR="00AC0832" w:rsidRDefault="00AC0832">
            <w:pPr>
              <w:pStyle w:val="CellColumn"/>
            </w:pPr>
            <w:r>
              <w:t>22.750</w:t>
            </w:r>
          </w:p>
        </w:tc>
        <w:tc>
          <w:tcPr>
            <w:tcW w:w="1300" w:type="dxa"/>
          </w:tcPr>
          <w:p w:rsidR="00AC0832" w:rsidRDefault="00AC0832">
            <w:pPr>
              <w:pStyle w:val="CellColumn"/>
            </w:pPr>
            <w:r>
              <w:t>Hrvatske vode</w:t>
            </w:r>
          </w:p>
        </w:tc>
        <w:tc>
          <w:tcPr>
            <w:tcW w:w="1300" w:type="dxa"/>
          </w:tcPr>
          <w:p w:rsidR="00AC0832" w:rsidRDefault="00AC0832">
            <w:pPr>
              <w:pStyle w:val="CellColumn"/>
            </w:pPr>
            <w:r>
              <w:t>22.850</w:t>
            </w:r>
          </w:p>
        </w:tc>
        <w:tc>
          <w:tcPr>
            <w:tcW w:w="1300" w:type="dxa"/>
          </w:tcPr>
          <w:p w:rsidR="00AC0832" w:rsidRDefault="00AC0832">
            <w:pPr>
              <w:pStyle w:val="CellColumn"/>
            </w:pPr>
            <w:r>
              <w:t>22.955</w:t>
            </w:r>
          </w:p>
        </w:tc>
      </w:tr>
      <w:tr w:rsidR="00AC0832" w:rsidTr="00BE20ED">
        <w:trPr>
          <w:jc w:val="center"/>
        </w:trPr>
        <w:tc>
          <w:tcPr>
            <w:tcW w:w="1300" w:type="dxa"/>
          </w:tcPr>
          <w:p w:rsidR="00AC0832" w:rsidRDefault="00AC0832">
            <w:pPr>
              <w:pStyle w:val="CellColumn"/>
            </w:pPr>
            <w:r>
              <w:t>Povećanje broja izgrađenih vodnih građevina  (osim mreže) uključujući i uređaje za pročišćavanje i za kondicioniranje vode</w:t>
            </w:r>
          </w:p>
        </w:tc>
        <w:tc>
          <w:tcPr>
            <w:tcW w:w="1300" w:type="dxa"/>
          </w:tcPr>
          <w:p w:rsidR="00AC0832" w:rsidRDefault="00AC0832">
            <w:pPr>
              <w:pStyle w:val="CellColumn"/>
            </w:pPr>
            <w:r>
              <w:t>Povećanje broja izgrađenih vodnih građevina  (osim mreže) uključujući i uređaje za pročišćavanje i za kondicioniranje vode</w:t>
            </w:r>
          </w:p>
        </w:tc>
        <w:tc>
          <w:tcPr>
            <w:tcW w:w="1300" w:type="dxa"/>
          </w:tcPr>
          <w:p w:rsidR="00AC0832" w:rsidRDefault="00AC0832">
            <w:pPr>
              <w:pStyle w:val="CellColumn"/>
            </w:pPr>
            <w:r>
              <w:t>broj</w:t>
            </w:r>
          </w:p>
        </w:tc>
        <w:tc>
          <w:tcPr>
            <w:tcW w:w="1300" w:type="dxa"/>
          </w:tcPr>
          <w:p w:rsidR="00AC0832" w:rsidRDefault="00AC0832">
            <w:pPr>
              <w:pStyle w:val="CellColumn"/>
            </w:pPr>
            <w:r>
              <w:t>2.500</w:t>
            </w:r>
          </w:p>
        </w:tc>
        <w:tc>
          <w:tcPr>
            <w:tcW w:w="1300" w:type="dxa"/>
          </w:tcPr>
          <w:p w:rsidR="00AC0832" w:rsidRDefault="00AC0832">
            <w:pPr>
              <w:pStyle w:val="CellColumn"/>
            </w:pPr>
            <w:r>
              <w:t>Hrvatske vode</w:t>
            </w:r>
          </w:p>
        </w:tc>
        <w:tc>
          <w:tcPr>
            <w:tcW w:w="1300" w:type="dxa"/>
          </w:tcPr>
          <w:p w:rsidR="00AC0832" w:rsidRDefault="00AC0832">
            <w:pPr>
              <w:pStyle w:val="CellColumn"/>
            </w:pPr>
            <w:r>
              <w:t>2.560</w:t>
            </w:r>
          </w:p>
        </w:tc>
        <w:tc>
          <w:tcPr>
            <w:tcW w:w="1300" w:type="dxa"/>
          </w:tcPr>
          <w:p w:rsidR="00AC0832" w:rsidRDefault="00AC0832">
            <w:pPr>
              <w:pStyle w:val="CellColumn"/>
            </w:pPr>
            <w:r>
              <w:t>2.580</w:t>
            </w:r>
          </w:p>
        </w:tc>
      </w:tr>
      <w:tr w:rsidR="00AC0832" w:rsidTr="00BE20ED">
        <w:trPr>
          <w:jc w:val="center"/>
        </w:trPr>
        <w:tc>
          <w:tcPr>
            <w:tcW w:w="1300" w:type="dxa"/>
          </w:tcPr>
          <w:p w:rsidR="00AC0832" w:rsidRDefault="00AC0832">
            <w:pPr>
              <w:pStyle w:val="CellColumn"/>
            </w:pPr>
            <w:r>
              <w:t>Postotak smanjenja gubitaka u vodoopskrbnoj mreži</w:t>
            </w:r>
          </w:p>
        </w:tc>
        <w:tc>
          <w:tcPr>
            <w:tcW w:w="1300" w:type="dxa"/>
          </w:tcPr>
          <w:p w:rsidR="00AC0832" w:rsidRDefault="00AC0832">
            <w:pPr>
              <w:pStyle w:val="CellColumn"/>
            </w:pPr>
            <w:r>
              <w:t>Postotak smanjenja gubitaka u vodoopskrbnoj mreži</w:t>
            </w:r>
          </w:p>
        </w:tc>
        <w:tc>
          <w:tcPr>
            <w:tcW w:w="1300" w:type="dxa"/>
          </w:tcPr>
          <w:p w:rsidR="00AC0832" w:rsidRDefault="00AC0832">
            <w:pPr>
              <w:pStyle w:val="CellColumn"/>
            </w:pPr>
            <w:r>
              <w:t>%</w:t>
            </w:r>
          </w:p>
        </w:tc>
        <w:tc>
          <w:tcPr>
            <w:tcW w:w="1300" w:type="dxa"/>
          </w:tcPr>
          <w:p w:rsidR="00AC0832" w:rsidRDefault="00AC0832">
            <w:pPr>
              <w:pStyle w:val="CellColumn"/>
            </w:pPr>
            <w:r>
              <w:t>43</w:t>
            </w:r>
          </w:p>
        </w:tc>
        <w:tc>
          <w:tcPr>
            <w:tcW w:w="1300" w:type="dxa"/>
          </w:tcPr>
          <w:p w:rsidR="00AC0832" w:rsidRDefault="00AC0832">
            <w:pPr>
              <w:pStyle w:val="CellColumn"/>
            </w:pPr>
            <w:r>
              <w:t>Isporučitelji vodnih usluga</w:t>
            </w:r>
          </w:p>
        </w:tc>
        <w:tc>
          <w:tcPr>
            <w:tcW w:w="1300" w:type="dxa"/>
          </w:tcPr>
          <w:p w:rsidR="00AC0832" w:rsidRDefault="00AC0832">
            <w:pPr>
              <w:pStyle w:val="CellColumn"/>
            </w:pPr>
            <w:r>
              <w:t>40</w:t>
            </w:r>
          </w:p>
        </w:tc>
        <w:tc>
          <w:tcPr>
            <w:tcW w:w="1300" w:type="dxa"/>
          </w:tcPr>
          <w:p w:rsidR="00AC0832" w:rsidRDefault="00AC0832">
            <w:pPr>
              <w:pStyle w:val="CellColumn"/>
            </w:pPr>
            <w:r>
              <w:t>43</w:t>
            </w:r>
          </w:p>
        </w:tc>
      </w:tr>
    </w:tbl>
    <w:p w:rsidR="00AC0832" w:rsidRDefault="00AC0832">
      <w:pPr>
        <w:jc w:val="left"/>
      </w:pPr>
    </w:p>
    <w:p w:rsidR="00AC0832" w:rsidRDefault="00AC0832">
      <w:pPr>
        <w:pStyle w:val="Heading6"/>
      </w:pPr>
      <w:r>
        <w:t>K650036 VODOOPSKRBA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K650036-VODOOPSKRBA</w:t>
            </w:r>
          </w:p>
        </w:tc>
        <w:tc>
          <w:tcPr>
            <w:tcW w:w="2322" w:type="dxa"/>
          </w:tcPr>
          <w:p w:rsidR="00AC0832" w:rsidRDefault="00AC0832">
            <w:pPr>
              <w:pStyle w:val="CellColumn"/>
            </w:pPr>
            <w:r>
              <w:t>6.000.000</w:t>
            </w:r>
          </w:p>
        </w:tc>
        <w:tc>
          <w:tcPr>
            <w:tcW w:w="2322" w:type="dxa"/>
          </w:tcPr>
          <w:p w:rsidR="00AC0832" w:rsidRDefault="00AC0832">
            <w:pPr>
              <w:pStyle w:val="CellColumn"/>
            </w:pPr>
            <w:r>
              <w:t>3.648.295</w:t>
            </w:r>
          </w:p>
        </w:tc>
        <w:tc>
          <w:tcPr>
            <w:tcW w:w="2322" w:type="dxa"/>
          </w:tcPr>
          <w:p w:rsidR="00AC0832" w:rsidRDefault="00AC0832">
            <w:pPr>
              <w:pStyle w:val="CellColumn"/>
            </w:pPr>
            <w:r>
              <w:t>60,8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Aktivnost  se  odnosi  na  upravljanje  vodoopskrbnim  sustavom  radi  osiguranja dovoljnih količina voda zadovoljavajuće kakvoće za postojeće i razvojne potrebe svih korisnika iz postojećih ili novih izvora vodeći računa o prirodnim mogućnostima obnovljivosti resursa, postizanju odgovarajućeg standarda i razini sigurnosti opskrbe vodom za sve korisnike. Sklapanjem ugovora o sufinanciranju gradnje komunalnih vodnih građevina za javnu vodoopskrbu s isporučiteljima vodnih usluga – komunalnim društvima direktno se utječe na razvoj sustava javne vodoopskrbe na području Republike Hrvatske.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1551"/>
        <w:gridCol w:w="1195"/>
        <w:gridCol w:w="1232"/>
        <w:gridCol w:w="1275"/>
        <w:gridCol w:w="1232"/>
        <w:gridCol w:w="125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smanjenja gubitaka u vodoopskrbnoj mreži</w:t>
            </w:r>
          </w:p>
        </w:tc>
        <w:tc>
          <w:tcPr>
            <w:tcW w:w="1300" w:type="dxa"/>
          </w:tcPr>
          <w:p w:rsidR="00AC0832" w:rsidRDefault="00AC0832">
            <w:pPr>
              <w:pStyle w:val="CellColumn"/>
            </w:pPr>
            <w:r>
              <w:t>Postotak smanjenja gubitaka u vodoopskrbnoj mreži</w:t>
            </w:r>
          </w:p>
        </w:tc>
        <w:tc>
          <w:tcPr>
            <w:tcW w:w="1300" w:type="dxa"/>
          </w:tcPr>
          <w:p w:rsidR="00AC0832" w:rsidRDefault="00AC0832">
            <w:pPr>
              <w:pStyle w:val="CellColumn"/>
            </w:pPr>
            <w:r>
              <w:t>%</w:t>
            </w:r>
          </w:p>
        </w:tc>
        <w:tc>
          <w:tcPr>
            <w:tcW w:w="1300" w:type="dxa"/>
          </w:tcPr>
          <w:p w:rsidR="00AC0832" w:rsidRDefault="00AC0832">
            <w:pPr>
              <w:pStyle w:val="CellColumn"/>
            </w:pPr>
            <w:r>
              <w:t>43</w:t>
            </w:r>
          </w:p>
        </w:tc>
        <w:tc>
          <w:tcPr>
            <w:tcW w:w="1300" w:type="dxa"/>
          </w:tcPr>
          <w:p w:rsidR="00AC0832" w:rsidRDefault="00AC0832">
            <w:pPr>
              <w:pStyle w:val="CellColumn"/>
            </w:pPr>
            <w:r>
              <w:t>Isporučitelji vodnih usluga</w:t>
            </w:r>
          </w:p>
        </w:tc>
        <w:tc>
          <w:tcPr>
            <w:tcW w:w="1300" w:type="dxa"/>
          </w:tcPr>
          <w:p w:rsidR="00AC0832" w:rsidRDefault="00AC0832">
            <w:pPr>
              <w:pStyle w:val="CellColumn"/>
            </w:pPr>
            <w:r>
              <w:t>40</w:t>
            </w:r>
          </w:p>
        </w:tc>
        <w:tc>
          <w:tcPr>
            <w:tcW w:w="1300" w:type="dxa"/>
          </w:tcPr>
          <w:p w:rsidR="00AC0832" w:rsidRDefault="00AC0832">
            <w:pPr>
              <w:pStyle w:val="CellColumn"/>
            </w:pPr>
            <w:r>
              <w:t>43</w:t>
            </w:r>
          </w:p>
        </w:tc>
      </w:tr>
      <w:tr w:rsidR="00AC0832" w:rsidTr="00BE20ED">
        <w:trPr>
          <w:jc w:val="center"/>
        </w:trPr>
        <w:tc>
          <w:tcPr>
            <w:tcW w:w="1300" w:type="dxa"/>
          </w:tcPr>
          <w:p w:rsidR="00AC0832" w:rsidRDefault="00AC0832">
            <w:pPr>
              <w:pStyle w:val="CellColumn"/>
            </w:pPr>
            <w:r>
              <w:t>Dužina izgrađene magistralne ili sekundarne vodoopskrbne mreže izražene u km</w:t>
            </w:r>
          </w:p>
        </w:tc>
        <w:tc>
          <w:tcPr>
            <w:tcW w:w="1300" w:type="dxa"/>
          </w:tcPr>
          <w:p w:rsidR="00AC0832" w:rsidRDefault="00AC0832">
            <w:pPr>
              <w:pStyle w:val="CellColumn"/>
            </w:pPr>
            <w:r>
              <w:t>Dužina izgrađene magistralne ili sekundarne vodoopskrbne mreže izražene u km</w:t>
            </w:r>
          </w:p>
        </w:tc>
        <w:tc>
          <w:tcPr>
            <w:tcW w:w="1300" w:type="dxa"/>
          </w:tcPr>
          <w:p w:rsidR="00AC0832" w:rsidRDefault="00AC0832">
            <w:pPr>
              <w:pStyle w:val="CellColumn"/>
            </w:pPr>
            <w:r>
              <w:t>km</w:t>
            </w:r>
          </w:p>
        </w:tc>
        <w:tc>
          <w:tcPr>
            <w:tcW w:w="1300" w:type="dxa"/>
          </w:tcPr>
          <w:p w:rsidR="00AC0832" w:rsidRDefault="00AC0832">
            <w:pPr>
              <w:pStyle w:val="CellColumn"/>
            </w:pPr>
            <w:r>
              <w:t>22.750</w:t>
            </w:r>
          </w:p>
        </w:tc>
        <w:tc>
          <w:tcPr>
            <w:tcW w:w="1300" w:type="dxa"/>
          </w:tcPr>
          <w:p w:rsidR="00AC0832" w:rsidRDefault="00AC0832">
            <w:pPr>
              <w:pStyle w:val="CellColumn"/>
            </w:pPr>
            <w:r>
              <w:t>Hrvatske vode</w:t>
            </w:r>
          </w:p>
        </w:tc>
        <w:tc>
          <w:tcPr>
            <w:tcW w:w="1300" w:type="dxa"/>
          </w:tcPr>
          <w:p w:rsidR="00AC0832" w:rsidRDefault="00AC0832">
            <w:pPr>
              <w:pStyle w:val="CellColumn"/>
            </w:pPr>
            <w:r>
              <w:t>22.995</w:t>
            </w:r>
          </w:p>
        </w:tc>
        <w:tc>
          <w:tcPr>
            <w:tcW w:w="1300" w:type="dxa"/>
          </w:tcPr>
          <w:p w:rsidR="00AC0832" w:rsidRDefault="00AC0832">
            <w:pPr>
              <w:pStyle w:val="CellColumn"/>
            </w:pPr>
            <w:r>
              <w:t>22.955</w:t>
            </w:r>
          </w:p>
        </w:tc>
      </w:tr>
      <w:tr w:rsidR="00AC0832" w:rsidTr="00BE20ED">
        <w:trPr>
          <w:jc w:val="center"/>
        </w:trPr>
        <w:tc>
          <w:tcPr>
            <w:tcW w:w="1300" w:type="dxa"/>
          </w:tcPr>
          <w:p w:rsidR="00AC0832" w:rsidRDefault="00AC0832">
            <w:pPr>
              <w:pStyle w:val="CellColumn"/>
            </w:pPr>
            <w:r>
              <w:t>Broj izgrađenih vodnih građevina (osim mreže) uključujući i uređaje za pročišćavanje i kondicioniranje vode</w:t>
            </w:r>
          </w:p>
        </w:tc>
        <w:tc>
          <w:tcPr>
            <w:tcW w:w="1300" w:type="dxa"/>
          </w:tcPr>
          <w:p w:rsidR="00AC0832" w:rsidRDefault="00AC0832">
            <w:pPr>
              <w:pStyle w:val="CellColumn"/>
            </w:pPr>
            <w:r>
              <w:t>Broj izgrađenih vodnih građevina (osim mreže) uključujući i uređaje za pročišćavanje i kondicioniranje vode</w:t>
            </w:r>
          </w:p>
        </w:tc>
        <w:tc>
          <w:tcPr>
            <w:tcW w:w="1300" w:type="dxa"/>
          </w:tcPr>
          <w:p w:rsidR="00AC0832" w:rsidRDefault="00AC0832">
            <w:pPr>
              <w:pStyle w:val="CellColumn"/>
            </w:pPr>
            <w:r>
              <w:t>broj</w:t>
            </w:r>
          </w:p>
        </w:tc>
        <w:tc>
          <w:tcPr>
            <w:tcW w:w="1300" w:type="dxa"/>
          </w:tcPr>
          <w:p w:rsidR="00AC0832" w:rsidRDefault="00AC0832">
            <w:pPr>
              <w:pStyle w:val="CellColumn"/>
            </w:pPr>
            <w:r>
              <w:t>2.560</w:t>
            </w:r>
          </w:p>
        </w:tc>
        <w:tc>
          <w:tcPr>
            <w:tcW w:w="1300" w:type="dxa"/>
          </w:tcPr>
          <w:p w:rsidR="00AC0832" w:rsidRDefault="00AC0832">
            <w:pPr>
              <w:pStyle w:val="CellColumn"/>
            </w:pPr>
            <w:r>
              <w:t>Hrvatske vode</w:t>
            </w:r>
          </w:p>
        </w:tc>
        <w:tc>
          <w:tcPr>
            <w:tcW w:w="1300" w:type="dxa"/>
          </w:tcPr>
          <w:p w:rsidR="00AC0832" w:rsidRDefault="00AC0832">
            <w:pPr>
              <w:pStyle w:val="CellColumn"/>
            </w:pPr>
            <w:r>
              <w:t>2.580</w:t>
            </w:r>
          </w:p>
        </w:tc>
        <w:tc>
          <w:tcPr>
            <w:tcW w:w="1300" w:type="dxa"/>
          </w:tcPr>
          <w:p w:rsidR="00AC0832" w:rsidRDefault="00AC0832">
            <w:pPr>
              <w:pStyle w:val="CellColumn"/>
            </w:pPr>
            <w:r>
              <w:t>2.580</w:t>
            </w:r>
          </w:p>
        </w:tc>
      </w:tr>
    </w:tbl>
    <w:p w:rsidR="00AC0832" w:rsidRDefault="00AC0832">
      <w:pPr>
        <w:jc w:val="left"/>
      </w:pPr>
    </w:p>
    <w:p w:rsidR="00AC0832" w:rsidRDefault="00AC0832">
      <w:pPr>
        <w:pStyle w:val="Heading2"/>
      </w:pPr>
      <w:r>
        <w:t>06025 Hrvatska agencija za hranu</w:t>
      </w:r>
    </w:p>
    <w:p w:rsidR="00AC0832" w:rsidRDefault="00AC0832">
      <w:pPr>
        <w:pStyle w:val="Heading4"/>
      </w:pPr>
      <w:r>
        <w:t>Uvod</w:t>
      </w:r>
    </w:p>
    <w:p w:rsidR="00AC0832" w:rsidRDefault="00AC0832">
      <w:pPr>
        <w:pStyle w:val="Normal3"/>
      </w:pPr>
      <w:r>
        <w:t xml:space="preserve">Hrvatska agencija za hranu (HAH) teži da se pozicionira kao prepoznatljiva i relevantna institucija koja svoj rad bazira na znanstvenom i stručnom pristupu procjeni rizika glede zdravstvene ispravnosti hrane i hrane za životinje i na obavještavanju o rezultatima procjene rizika, a koja u svome radu teži izvrsnosti i liderstvu u regiji. </w:t>
      </w:r>
    </w:p>
    <w:p w:rsidR="00AC0832" w:rsidRDefault="00AC0832">
      <w:pPr>
        <w:pStyle w:val="Normal3"/>
      </w:pPr>
      <w:r>
        <w:t xml:space="preserve">Vjerujemo kako jedino osiguranjem kvalitete svojih izlaznih dokumenata i usluga, možemo odgovoriti na sve veće potrebe i očekivanja svih dionika u području sigurnosti hrane, u okviru svojih nadležnosti definiranih Zakonom o hrani (NN br.46/07, 55/11). </w:t>
      </w:r>
    </w:p>
    <w:p w:rsidR="00AC0832" w:rsidRDefault="00AC0832">
      <w:pPr>
        <w:pStyle w:val="Normal3"/>
      </w:pPr>
      <w:r>
        <w:t xml:space="preserve">HAH je usredotočena na temeljne vrijednosti znanstvene izvrsnosti, samostalnosti, otvorenosti i transparentnosti. </w:t>
      </w:r>
    </w:p>
    <w:p w:rsidR="00AC0832" w:rsidRDefault="00AC0832">
      <w:pPr>
        <w:pStyle w:val="Normal3"/>
      </w:pPr>
      <w:r>
        <w:t>Krajnji cilj je stručna i znanstvena potpora u području zaštite javnog zdravlja potrošača i jačanja povjerenja potrošača u sigurnost hrane te opskrbu hranom.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06025-Hrvatska agencija za hranu</w:t>
            </w:r>
          </w:p>
        </w:tc>
        <w:tc>
          <w:tcPr>
            <w:tcW w:w="2322" w:type="dxa"/>
          </w:tcPr>
          <w:p w:rsidR="00AC0832" w:rsidRDefault="00AC0832">
            <w:pPr>
              <w:pStyle w:val="CellColumn"/>
            </w:pPr>
            <w:r>
              <w:t>5.000.000</w:t>
            </w:r>
          </w:p>
        </w:tc>
        <w:tc>
          <w:tcPr>
            <w:tcW w:w="2322" w:type="dxa"/>
          </w:tcPr>
          <w:p w:rsidR="00AC0832" w:rsidRDefault="00AC0832">
            <w:pPr>
              <w:pStyle w:val="CellColumn"/>
            </w:pPr>
            <w:r>
              <w:t>4.950.808</w:t>
            </w:r>
          </w:p>
        </w:tc>
        <w:tc>
          <w:tcPr>
            <w:tcW w:w="2322" w:type="dxa"/>
          </w:tcPr>
          <w:p w:rsidR="00AC0832" w:rsidRDefault="00AC0832">
            <w:pPr>
              <w:pStyle w:val="CellColumn"/>
            </w:pPr>
            <w:r>
              <w:t>99,0</w:t>
            </w:r>
          </w:p>
        </w:tc>
      </w:tr>
      <w:tr w:rsidR="00AC0832" w:rsidTr="00BE20ED">
        <w:trPr>
          <w:jc w:val="center"/>
        </w:trPr>
        <w:tc>
          <w:tcPr>
            <w:tcW w:w="2322" w:type="dxa"/>
          </w:tcPr>
          <w:p w:rsidR="00AC0832" w:rsidRDefault="00AC0832">
            <w:pPr>
              <w:pStyle w:val="CellColumnSmall"/>
            </w:pPr>
            <w:r>
              <w:t>3001-UPRAVLJANJE POLJOPRIVREDOM, RIBARSTVOM I RURALNIM RAZVOJEM</w:t>
            </w:r>
          </w:p>
        </w:tc>
        <w:tc>
          <w:tcPr>
            <w:tcW w:w="2322" w:type="dxa"/>
          </w:tcPr>
          <w:p w:rsidR="00AC0832" w:rsidRDefault="00AC0832">
            <w:pPr>
              <w:pStyle w:val="CellColumnSmall"/>
            </w:pPr>
            <w:r>
              <w:t>5.000.000</w:t>
            </w:r>
          </w:p>
        </w:tc>
        <w:tc>
          <w:tcPr>
            <w:tcW w:w="2322" w:type="dxa"/>
          </w:tcPr>
          <w:p w:rsidR="00AC0832" w:rsidRDefault="00AC0832">
            <w:pPr>
              <w:pStyle w:val="CellColumnSmall"/>
            </w:pPr>
            <w:r>
              <w:t>4.950.808</w:t>
            </w:r>
          </w:p>
        </w:tc>
        <w:tc>
          <w:tcPr>
            <w:tcW w:w="2322" w:type="dxa"/>
          </w:tcPr>
          <w:p w:rsidR="00AC0832" w:rsidRDefault="00AC0832">
            <w:pPr>
              <w:pStyle w:val="CellColumnSmall"/>
            </w:pPr>
            <w:r>
              <w:t>99,0</w:t>
            </w:r>
          </w:p>
        </w:tc>
      </w:tr>
    </w:tbl>
    <w:p w:rsidR="00AC0832" w:rsidRDefault="00AC0832">
      <w:pPr>
        <w:jc w:val="left"/>
      </w:pPr>
    </w:p>
    <w:p w:rsidR="00AC0832" w:rsidRDefault="00AC0832">
      <w:pPr>
        <w:pStyle w:val="Heading4"/>
      </w:pPr>
      <w:r>
        <w:t>OBRAZLOŽENJE PROGRAMA</w:t>
      </w:r>
    </w:p>
    <w:p w:rsidR="00AC0832" w:rsidRDefault="00AC0832">
      <w:pPr>
        <w:pStyle w:val="Heading5"/>
      </w:pPr>
      <w:r>
        <w:t>3001 UPRAVLJANJE POLJOPRIVREDOM, RIBARSTVOM I RURALNIM RAZVOJEM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3001-UPRAVLJANJE POLJOPRIVREDOM, RIBARSTVOM I RURALNIM RAZVOJEM</w:t>
            </w:r>
          </w:p>
        </w:tc>
        <w:tc>
          <w:tcPr>
            <w:tcW w:w="2322" w:type="dxa"/>
          </w:tcPr>
          <w:p w:rsidR="00AC0832" w:rsidRDefault="00AC0832">
            <w:pPr>
              <w:pStyle w:val="CellColumn"/>
            </w:pPr>
            <w:r>
              <w:t>5.000.000</w:t>
            </w:r>
          </w:p>
        </w:tc>
        <w:tc>
          <w:tcPr>
            <w:tcW w:w="2322" w:type="dxa"/>
          </w:tcPr>
          <w:p w:rsidR="00AC0832" w:rsidRDefault="00AC0832">
            <w:pPr>
              <w:pStyle w:val="CellColumn"/>
            </w:pPr>
            <w:r>
              <w:t>4.950.808</w:t>
            </w:r>
          </w:p>
        </w:tc>
        <w:tc>
          <w:tcPr>
            <w:tcW w:w="2322" w:type="dxa"/>
          </w:tcPr>
          <w:p w:rsidR="00AC0832" w:rsidRDefault="00AC0832">
            <w:pPr>
              <w:pStyle w:val="CellColumn"/>
            </w:pPr>
            <w:r>
              <w:t>99,0</w:t>
            </w:r>
          </w:p>
        </w:tc>
      </w:tr>
    </w:tbl>
    <w:p w:rsidR="00AC0832" w:rsidRDefault="00AC0832">
      <w:pPr>
        <w:jc w:val="left"/>
      </w:pPr>
    </w:p>
    <w:p w:rsidR="00AC0832" w:rsidRDefault="00AC0832">
      <w:pPr>
        <w:pStyle w:val="Heading6"/>
      </w:pPr>
      <w:r>
        <w:t>Opis programa</w:t>
      </w:r>
    </w:p>
    <w:p w:rsidR="00AC0832" w:rsidRDefault="00AC0832">
      <w:pPr>
        <w:pStyle w:val="Normal5"/>
      </w:pPr>
      <w:r>
        <w:t xml:space="preserve">Hrvatska agencija za hranu (HAH) osnovana je temeljem Zakona o hrani (NN 46/07, 55/11). HAH obavlja znanstvene i stručne poslove procjene rizika i obavještavanja o rezultatima procjene rizika, vezano uz zdravstvenu ispravnost i higijenu hrane i hrane za životinje. U okviru svoje djelatnosti HAH pruža stručna i znanstvena mišljenja Ministarstvu poljoprivrede i Ministarstvu zdravlja, znanstvene savjete, te znanstvenu i tehničku potporu u pitanjima prehrane ljudi te obavještava o rezultatima procjene rizika vezano uz zdravstvenu ispravnost hrane i hrane za životinje. Također, obavještava potrošače i druge pravne osobe o rizicima vezanim uz hranu i hranu za životinje. HAH također sudjeluje u sustavu brzog uzbunjivanja za hranu i hranu za životinje (RASFF) i u tu svrhu prima i prosljeđuje informacije u svezi s opasnostima u hrani te vrši procjenu rizika. Jedna od bitnih zadaća je također i informiranje javnosti. </w:t>
      </w:r>
    </w:p>
    <w:p w:rsidR="00AC0832" w:rsidRDefault="00AC0832">
      <w:pPr>
        <w:pStyle w:val="Normal5"/>
      </w:pPr>
      <w:r>
        <w:t>Ovim Programom  obuhvaćene su aktivnosti poput financiranja redovnog rada HAH-a    te izrade znanstvenih projekata i znanstvenih studija koji su neophodni za pružanje transparentnih i neovisnih znanstvenih savjeta i mišljenja u svrhu znanstvene i stručne potpore povezane s rizicima hrane u RH.</w:t>
      </w:r>
    </w:p>
    <w:p w:rsidR="00AC0832" w:rsidRDefault="00AC0832">
      <w:pPr>
        <w:pStyle w:val="Heading6"/>
      </w:pPr>
      <w:r>
        <w:t>Zakonske i druge pravne osnove</w:t>
      </w:r>
    </w:p>
    <w:p w:rsidR="00AC0832" w:rsidRDefault="00AC0832">
      <w:pPr>
        <w:pStyle w:val="Normal5"/>
      </w:pPr>
      <w:r>
        <w:t>Zakon o hrani (NN 46/07,55/11)</w:t>
      </w:r>
    </w:p>
    <w:p w:rsidR="00AC0832" w:rsidRDefault="00AC0832">
      <w:pPr>
        <w:pStyle w:val="Heading7"/>
      </w:pPr>
      <w:r>
        <w:t>Cilj 1. Uspostavljanje nacionalne baze podataka o prehrambenim navikama i sustavu  hrane koja se konzumira u RH</w:t>
      </w:r>
    </w:p>
    <w:p w:rsidR="00AC0832" w:rsidRDefault="00AC0832">
      <w:pPr>
        <w:pStyle w:val="Heading8"/>
        <w:jc w:val="left"/>
      </w:pPr>
      <w:r>
        <w:t>Opis provedbe cilja programa</w:t>
      </w:r>
    </w:p>
    <w:p w:rsidR="00AC0832" w:rsidRDefault="00AC0832">
      <w:pPr>
        <w:pStyle w:val="Normal6"/>
      </w:pPr>
      <w:r>
        <w:t xml:space="preserve">Sukladno metodologiji preporučenoj u EFSA-nom vodiču „General principles for the collection of national food consumption data in the view of a pan-European dietary survey“  (2009; 7(12):1435) proveden je još jedan val istraživanja o prehrambenim navikama u RH, na terenu, u ljeto 2012.godine.  </w:t>
      </w:r>
    </w:p>
    <w:p w:rsidR="00AC0832" w:rsidRDefault="00AC0832">
      <w:pPr>
        <w:pStyle w:val="Normal6"/>
      </w:pPr>
      <w:r>
        <w:t>Formirane su dvije baze podataka (jesen 2011. i ljeto 2012.), koje će biti spojene u jedinstvenu bazu nakon što budemo u mogućnosti nabaviti informatički sustav za pohranjivanje ovakvih podataka, koji će nam također i omogućiti lakšu manipulaciju istih.</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5"/>
        <w:gridCol w:w="1506"/>
        <w:gridCol w:w="1242"/>
        <w:gridCol w:w="1262"/>
        <w:gridCol w:w="1257"/>
        <w:gridCol w:w="1262"/>
        <w:gridCol w:w="127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uspostavljanje nacionalne baze podataka prehrambenih navika</w:t>
            </w:r>
          </w:p>
        </w:tc>
        <w:tc>
          <w:tcPr>
            <w:tcW w:w="1300" w:type="dxa"/>
          </w:tcPr>
          <w:p w:rsidR="00AC0832" w:rsidRDefault="00AC0832">
            <w:pPr>
              <w:pStyle w:val="CellColumn"/>
            </w:pPr>
            <w:r>
              <w:t>povećanje broja podataka o prehrambenim navikama vezano uz procjenu izloženosti koje je potrebno za kvalitetnu procjenu rizika</w:t>
            </w:r>
          </w:p>
        </w:tc>
        <w:tc>
          <w:tcPr>
            <w:tcW w:w="1300" w:type="dxa"/>
          </w:tcPr>
          <w:p w:rsidR="00AC0832" w:rsidRDefault="00AC0832">
            <w:pPr>
              <w:pStyle w:val="CellColumn"/>
            </w:pPr>
            <w:r>
              <w:t>Broj</w:t>
            </w:r>
          </w:p>
        </w:tc>
        <w:tc>
          <w:tcPr>
            <w:tcW w:w="1300" w:type="dxa"/>
          </w:tcPr>
          <w:p w:rsidR="00AC0832" w:rsidRDefault="00AC0832">
            <w:pPr>
              <w:pStyle w:val="CellColumn"/>
            </w:pPr>
            <w:r>
              <w:t>1</w:t>
            </w:r>
          </w:p>
        </w:tc>
        <w:tc>
          <w:tcPr>
            <w:tcW w:w="1300" w:type="dxa"/>
          </w:tcPr>
          <w:p w:rsidR="00AC0832" w:rsidRDefault="00AC0832">
            <w:pPr>
              <w:pStyle w:val="CellColumn"/>
            </w:pPr>
            <w:r>
              <w:t>HAH</w:t>
            </w:r>
          </w:p>
        </w:tc>
        <w:tc>
          <w:tcPr>
            <w:tcW w:w="1300" w:type="dxa"/>
          </w:tcPr>
          <w:p w:rsidR="00AC0832" w:rsidRDefault="00AC0832">
            <w:pPr>
              <w:pStyle w:val="CellColumn"/>
            </w:pPr>
            <w:r>
              <w:t>2</w:t>
            </w:r>
          </w:p>
        </w:tc>
        <w:tc>
          <w:tcPr>
            <w:tcW w:w="1300" w:type="dxa"/>
          </w:tcPr>
          <w:p w:rsidR="00AC0832" w:rsidRDefault="00AC0832">
            <w:pPr>
              <w:pStyle w:val="CellColumn"/>
            </w:pPr>
            <w:r>
              <w:t>2</w:t>
            </w:r>
          </w:p>
        </w:tc>
      </w:tr>
    </w:tbl>
    <w:p w:rsidR="00AC0832" w:rsidRDefault="00AC0832">
      <w:pPr>
        <w:jc w:val="left"/>
      </w:pPr>
    </w:p>
    <w:p w:rsidR="00AC0832" w:rsidRDefault="00AC0832">
      <w:pPr>
        <w:pStyle w:val="Heading7"/>
      </w:pPr>
      <w:r>
        <w:t>Cilj 2. Utvrđivanje štetnih tvari u hrani i hrani za životinje</w:t>
      </w:r>
    </w:p>
    <w:p w:rsidR="00AC0832" w:rsidRDefault="00AC0832">
      <w:pPr>
        <w:pStyle w:val="Heading8"/>
        <w:jc w:val="left"/>
      </w:pPr>
      <w:r>
        <w:t>Opis provedbe cilja programa</w:t>
      </w:r>
    </w:p>
    <w:p w:rsidR="00AC0832" w:rsidRDefault="00AC0832">
      <w:pPr>
        <w:pStyle w:val="Normal6"/>
      </w:pPr>
      <w:r>
        <w:t xml:space="preserve">Kako bi HAH mogla predstavljati neovisno tijelo za znanstvenu procjenu rizika u hrani i neovisan izvor savjeta, nužno je omogućiti rezultate službenih kontrola te rezultate monitoringa, kao i znanstvenih studija realiziranih kroz mrežu institucija definiranu Pravilnikom o pravilima uspostave nacionalne mreže institucija u području sigurnosti hrane i hrane za životinje (NN 43/2010) te Pravilnikom o izdavanju znanstvenog mišljenja i pružanju znanstvene i tehničke potpore (NN 130/2009). </w:t>
      </w:r>
    </w:p>
    <w:p w:rsidR="00AC0832" w:rsidRDefault="00AC0832">
      <w:pPr>
        <w:pStyle w:val="Normal6"/>
      </w:pPr>
      <w:r>
        <w:t xml:space="preserve">U okviru toga, tijekom 2012. godine pokrenuto je i realizirano nekoliko znanstvenih studija: </w:t>
      </w:r>
    </w:p>
    <w:p w:rsidR="00AC0832" w:rsidRDefault="00AC0832">
      <w:pPr>
        <w:pStyle w:val="Normal6"/>
      </w:pPr>
      <w:r>
        <w:t xml:space="preserve">1. Uspostavljanje nacionalne baze podataka o prehrambenim navikama </w:t>
      </w:r>
    </w:p>
    <w:p w:rsidR="00AC0832" w:rsidRDefault="00AC0832">
      <w:pPr>
        <w:pStyle w:val="Normal6"/>
      </w:pPr>
      <w:r>
        <w:t xml:space="preserve">2. Izloženosti populacije RH esencijalnim i ne-esencijalnim elementima primjenom studije ukupne prehrane </w:t>
      </w:r>
    </w:p>
    <w:p w:rsidR="00AC0832" w:rsidRDefault="00AC0832">
      <w:pPr>
        <w:pStyle w:val="Normal6"/>
      </w:pPr>
      <w:r>
        <w:t xml:space="preserve">3. Studija o smrznutom mesu svinja </w:t>
      </w:r>
    </w:p>
    <w:p w:rsidR="00AC0832" w:rsidRDefault="00AC0832">
      <w:pPr>
        <w:pStyle w:val="Normal6"/>
      </w:pPr>
      <w:r>
        <w:t xml:space="preserve">4. Studija o utjecaju dodataka prehrani na neke mikrobiološke parametre higijene mesa peradi </w:t>
      </w:r>
    </w:p>
    <w:p w:rsidR="00AC0832" w:rsidRDefault="00AC0832">
      <w:pPr>
        <w:pStyle w:val="Normal6"/>
      </w:pPr>
      <w:r>
        <w:t xml:space="preserve">5. Istraživanje prisutnosti nitrata u zelenom povrću </w:t>
      </w:r>
    </w:p>
    <w:p w:rsidR="00AC0832" w:rsidRDefault="00AC0832">
      <w:pPr>
        <w:pStyle w:val="Normal6"/>
      </w:pPr>
      <w:r>
        <w:t xml:space="preserve">6. Istraživanje prisutnosti ftalata u hrani </w:t>
      </w:r>
    </w:p>
    <w:p w:rsidR="00AC0832" w:rsidRDefault="00AC0832">
      <w:pPr>
        <w:pStyle w:val="Normal6"/>
      </w:pPr>
      <w:r>
        <w:t xml:space="preserve">7. Ispitivanje kontaminacije teškim metalima domaće i uvozne ribe i proizvoda od ribe </w:t>
      </w:r>
    </w:p>
    <w:p w:rsidR="00AC0832" w:rsidRDefault="00AC0832">
      <w:pPr>
        <w:pStyle w:val="Normal6"/>
      </w:pPr>
      <w:r>
        <w:t xml:space="preserve">8. Prehrambene navike i metabolički sindrom kod adolescenata </w:t>
      </w:r>
    </w:p>
    <w:p w:rsidR="00AC0832" w:rsidRDefault="00AC0832">
      <w:pPr>
        <w:pStyle w:val="Normal6"/>
      </w:pPr>
      <w:r>
        <w:t xml:space="preserve">9. Praćenje pojavnosti citrinina i okratoksina A u mesnim proizvodima na području Republike Hrvatske </w:t>
      </w:r>
    </w:p>
    <w:p w:rsidR="00AC0832" w:rsidRDefault="00AC0832">
      <w:pPr>
        <w:pStyle w:val="Normal6"/>
      </w:pPr>
      <w:r>
        <w:t xml:space="preserve">10. Listeria monocytogenes i drugi kontaminanti u svježem siru i vrhnju domaće proizvodnje s područja Republike Hrvatske </w:t>
      </w:r>
    </w:p>
    <w:p w:rsidR="00AC0832" w:rsidRDefault="00AC0832">
      <w:pPr>
        <w:pStyle w:val="Normal6"/>
      </w:pPr>
      <w:r>
        <w:t>11. Određivanje mikotoksina i metabolita u urinu trudnica</w:t>
      </w: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utvrđivanje štetnih tvari u hrani i hrani za životinje</w:t>
            </w:r>
          </w:p>
        </w:tc>
        <w:tc>
          <w:tcPr>
            <w:tcW w:w="1300" w:type="dxa"/>
          </w:tcPr>
          <w:p w:rsidR="00AC0832" w:rsidRDefault="00AC0832">
            <w:pPr>
              <w:pStyle w:val="CellColumn"/>
            </w:pPr>
            <w:r>
              <w:t>prikupljanje rezultata službenih kontrola i monitoringa te realizacija znanstveno stručnih istraživanja kroz mrežu institucija</w:t>
            </w:r>
          </w:p>
        </w:tc>
        <w:tc>
          <w:tcPr>
            <w:tcW w:w="1300" w:type="dxa"/>
          </w:tcPr>
          <w:p w:rsidR="00AC0832" w:rsidRDefault="00AC0832">
            <w:pPr>
              <w:pStyle w:val="CellColumn"/>
            </w:pPr>
            <w:r>
              <w:t>Broj</w:t>
            </w:r>
          </w:p>
        </w:tc>
        <w:tc>
          <w:tcPr>
            <w:tcW w:w="1300" w:type="dxa"/>
          </w:tcPr>
          <w:p w:rsidR="00AC0832" w:rsidRDefault="00AC0832">
            <w:pPr>
              <w:pStyle w:val="CellColumn"/>
            </w:pPr>
            <w:r>
              <w:t>6</w:t>
            </w:r>
          </w:p>
        </w:tc>
        <w:tc>
          <w:tcPr>
            <w:tcW w:w="1300" w:type="dxa"/>
          </w:tcPr>
          <w:p w:rsidR="00AC0832" w:rsidRDefault="00AC0832">
            <w:pPr>
              <w:pStyle w:val="CellColumn"/>
            </w:pPr>
            <w:r>
              <w:t>HAH</w:t>
            </w:r>
          </w:p>
        </w:tc>
        <w:tc>
          <w:tcPr>
            <w:tcW w:w="1300" w:type="dxa"/>
          </w:tcPr>
          <w:p w:rsidR="00AC0832" w:rsidRDefault="00AC0832">
            <w:pPr>
              <w:pStyle w:val="CellColumn"/>
            </w:pPr>
            <w:r>
              <w:t>17</w:t>
            </w:r>
          </w:p>
        </w:tc>
        <w:tc>
          <w:tcPr>
            <w:tcW w:w="1300" w:type="dxa"/>
          </w:tcPr>
          <w:p w:rsidR="00AC0832" w:rsidRDefault="00AC0832">
            <w:pPr>
              <w:pStyle w:val="CellColumn"/>
            </w:pPr>
            <w:r>
              <w:t>17</w:t>
            </w:r>
          </w:p>
        </w:tc>
      </w:tr>
    </w:tbl>
    <w:p w:rsidR="00AC0832" w:rsidRDefault="00AC0832">
      <w:pPr>
        <w:jc w:val="left"/>
      </w:pPr>
    </w:p>
    <w:p w:rsidR="00AC0832" w:rsidRDefault="00AC0832">
      <w:pPr>
        <w:pStyle w:val="Heading7"/>
      </w:pPr>
      <w:r>
        <w:t>Cilj 3. Jačanje komunikacije i dijaloga</w:t>
      </w:r>
    </w:p>
    <w:p w:rsidR="00AC0832" w:rsidRDefault="00AC0832">
      <w:pPr>
        <w:pStyle w:val="Heading8"/>
        <w:jc w:val="left"/>
      </w:pPr>
      <w:r>
        <w:t>Opis provedbe cilja programa</w:t>
      </w:r>
    </w:p>
    <w:p w:rsidR="00AC0832" w:rsidRDefault="00AC0832">
      <w:pPr>
        <w:pStyle w:val="Normal6"/>
      </w:pPr>
      <w:r>
        <w:t xml:space="preserve">Hrvatska se sa svojim sustavom sigurnosti hrane i postojanjem odvojenog tijela za procjenu rizika nametnula kao primjer zemljama u regiji. </w:t>
      </w:r>
    </w:p>
    <w:p w:rsidR="00AC0832" w:rsidRDefault="00AC0832">
      <w:pPr>
        <w:pStyle w:val="Normal6"/>
      </w:pPr>
      <w:r>
        <w:t xml:space="preserve"> </w:t>
      </w:r>
    </w:p>
    <w:p w:rsidR="00AC0832" w:rsidRDefault="00AC0832">
      <w:pPr>
        <w:pStyle w:val="Normal6"/>
      </w:pPr>
      <w:r>
        <w:t xml:space="preserve">Radilo se i na daljnjem jačanju prepoznatljivosti u aktivnom sudjelovanju djelatnika HAH-a i ostalih uključenih institucija u radnim grupama EFSA-e te poticanje značajnijeg uključivanja hrvatskih znanstvenika i stručnjaka u EFSA Expert Database. </w:t>
      </w:r>
    </w:p>
    <w:p w:rsidR="00AC0832" w:rsidRDefault="00AC0832">
      <w:pPr>
        <w:pStyle w:val="Normal6"/>
      </w:pPr>
      <w:r>
        <w:t xml:space="preserve"> </w:t>
      </w:r>
    </w:p>
    <w:p w:rsidR="00AC0832" w:rsidRDefault="00AC0832">
      <w:pPr>
        <w:pStyle w:val="Normal6"/>
      </w:pPr>
      <w:r>
        <w:t xml:space="preserve">HAH je tijekom 2012. godine obilježila: </w:t>
      </w:r>
    </w:p>
    <w:p w:rsidR="00AC0832" w:rsidRDefault="00AC0832">
      <w:pPr>
        <w:pStyle w:val="Normal6"/>
      </w:pPr>
      <w:r>
        <w:t xml:space="preserve">1.  Svjetski dan zdravlja  </w:t>
      </w:r>
    </w:p>
    <w:p w:rsidR="00AC0832" w:rsidRDefault="00AC0832">
      <w:pPr>
        <w:pStyle w:val="Normal6"/>
      </w:pPr>
      <w:r>
        <w:t xml:space="preserve"> 2. Svjetski dan hrane  </w:t>
      </w:r>
    </w:p>
    <w:p w:rsidR="00AC0832" w:rsidRDefault="00AC0832">
      <w:pPr>
        <w:pStyle w:val="Normal6"/>
      </w:pPr>
      <w:r>
        <w:t xml:space="preserve"> </w:t>
      </w:r>
    </w:p>
    <w:p w:rsidR="00AC0832" w:rsidRDefault="00AC0832">
      <w:pPr>
        <w:pStyle w:val="Normal6"/>
      </w:pPr>
      <w:r>
        <w:t xml:space="preserve"> U svrhu usklađivanja terminologije te pružanja stručne i tehničke pomoći stručnjacima i djelatnicima koji su uključeni u izradu znanstvenih izlaznih dokumenata načinjen je </w:t>
      </w:r>
    </w:p>
    <w:p w:rsidR="00AC0832" w:rsidRDefault="00AC0832">
      <w:pPr>
        <w:pStyle w:val="Normal6"/>
      </w:pPr>
      <w:r>
        <w:t xml:space="preserve"> • Vodič za izradu znanstvenog mišljenja – materijal koji daje osnovne smjernice i opise za izradu znanstvenog mišljenja te ostalih znanstvenih dokumenata Odjela te ima popis najvažnijih stručnih dokumenata/vodiča vezanih za procjenu rizika za različita područja.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3"/>
        <w:gridCol w:w="1417"/>
        <w:gridCol w:w="1298"/>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jačanje komunikacije i dijaloga</w:t>
            </w:r>
          </w:p>
        </w:tc>
        <w:tc>
          <w:tcPr>
            <w:tcW w:w="1300" w:type="dxa"/>
          </w:tcPr>
          <w:p w:rsidR="00AC0832" w:rsidRDefault="00AC0832">
            <w:pPr>
              <w:pStyle w:val="CellColumn"/>
            </w:pPr>
            <w:r>
              <w:t>povećanje stupnja informiranosti potrošača i proizvođača vezano uz rizike porijeklom iz hrane</w:t>
            </w:r>
          </w:p>
        </w:tc>
        <w:tc>
          <w:tcPr>
            <w:tcW w:w="1300" w:type="dxa"/>
          </w:tcPr>
          <w:p w:rsidR="00AC0832" w:rsidRDefault="00AC0832">
            <w:pPr>
              <w:pStyle w:val="CellColumn"/>
            </w:pPr>
            <w:r>
              <w:t>Broj</w:t>
            </w:r>
          </w:p>
        </w:tc>
        <w:tc>
          <w:tcPr>
            <w:tcW w:w="1300" w:type="dxa"/>
          </w:tcPr>
          <w:p w:rsidR="00AC0832" w:rsidRDefault="00AC0832">
            <w:pPr>
              <w:pStyle w:val="CellColumn"/>
            </w:pPr>
            <w:r>
              <w:t>12</w:t>
            </w:r>
          </w:p>
        </w:tc>
        <w:tc>
          <w:tcPr>
            <w:tcW w:w="1300" w:type="dxa"/>
          </w:tcPr>
          <w:p w:rsidR="00AC0832" w:rsidRDefault="00AC0832">
            <w:pPr>
              <w:pStyle w:val="CellColumn"/>
            </w:pPr>
            <w:r>
              <w:t>HAH</w:t>
            </w:r>
          </w:p>
        </w:tc>
        <w:tc>
          <w:tcPr>
            <w:tcW w:w="1300" w:type="dxa"/>
          </w:tcPr>
          <w:p w:rsidR="00AC0832" w:rsidRDefault="00AC0832">
            <w:pPr>
              <w:pStyle w:val="CellColumn"/>
            </w:pPr>
            <w:r>
              <w:t>15</w:t>
            </w:r>
          </w:p>
        </w:tc>
        <w:tc>
          <w:tcPr>
            <w:tcW w:w="1300" w:type="dxa"/>
          </w:tcPr>
          <w:p w:rsidR="00AC0832" w:rsidRDefault="00AC0832">
            <w:pPr>
              <w:pStyle w:val="CellColumn"/>
            </w:pPr>
            <w:r>
              <w:t>15</w:t>
            </w:r>
          </w:p>
        </w:tc>
      </w:tr>
    </w:tbl>
    <w:p w:rsidR="00AC0832" w:rsidRDefault="00AC0832">
      <w:pPr>
        <w:jc w:val="left"/>
      </w:pPr>
    </w:p>
    <w:p w:rsidR="00AC0832" w:rsidRDefault="00AC0832">
      <w:pPr>
        <w:pStyle w:val="Heading7"/>
      </w:pPr>
      <w:r>
        <w:t>Cilj 4. Unaprjeđenje procesa pružanja znanstvene i tehničke potpore za pripremu i usvajanje mjera RH u području sigurnosti hrane i prehrane ljudi</w:t>
      </w:r>
    </w:p>
    <w:p w:rsidR="00AC0832" w:rsidRDefault="00AC0832">
      <w:pPr>
        <w:pStyle w:val="Heading8"/>
        <w:jc w:val="left"/>
      </w:pPr>
      <w:r>
        <w:t>Opis provedbe cilja programa</w:t>
      </w:r>
    </w:p>
    <w:p w:rsidR="00AC0832" w:rsidRDefault="00AC0832">
      <w:pPr>
        <w:pStyle w:val="Normal6"/>
      </w:pPr>
      <w:r>
        <w:t xml:space="preserve">Uzimajući u obzir Pravilnik o izdavanju znanstvenog mišljenja i pružanju znanstvene i tehničke potpore, HAH ima zadatak donositi znanstvene dokumente na zahtjev nadležnog tijela, ali i na vlastitu inicijativu. U okviru toga, a u ovisnosti o rezultatima istraživanja vezano uz štetne tvari u hrani i hrani za životinje, rezultati istraživanja prehrambenih navika i sastava hrane, rezultati službenih kontrola i monitoringa, HAH je u mogućnosti dati potpunija znanstvena mišljenja te znanstvene i tehničke potpore nadležnom tijelu. </w:t>
      </w:r>
    </w:p>
    <w:p w:rsidR="00AC0832" w:rsidRDefault="00AC0832">
      <w:pPr>
        <w:pStyle w:val="Normal6"/>
      </w:pPr>
      <w:r>
        <w:t>U okviru zadataka predviđenih Akcijskim planom za hranu i prehranu bilo je predviđeno intenziviranje aktivnosti u suradnji sa Ministarstvom zdravlja, Hrvatskim zavodom za javno zdravstvo te ostalim dionicima sustava sigurnosti hrane.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6"/>
        <w:gridCol w:w="1539"/>
        <w:gridCol w:w="1255"/>
        <w:gridCol w:w="1271"/>
        <w:gridCol w:w="1267"/>
        <w:gridCol w:w="1271"/>
        <w:gridCol w:w="127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Unaprjeđenje procesa pružanja znanstvene i tehničke potpore za pripremu i usvajanje mjera RH u području sigurnosti hrane i hrane za životinje te prehrane ljudi</w:t>
            </w:r>
          </w:p>
        </w:tc>
        <w:tc>
          <w:tcPr>
            <w:tcW w:w="1300" w:type="dxa"/>
          </w:tcPr>
          <w:p w:rsidR="00AC0832" w:rsidRDefault="00AC0832">
            <w:pPr>
              <w:pStyle w:val="CellColumn"/>
            </w:pPr>
            <w:r>
              <w:t>Osnaživanje suradnje prilikom donošenja mjera u svrhu minimaliziranja rizika porijeklom od hrane i hrane za životinje</w:t>
            </w:r>
          </w:p>
        </w:tc>
        <w:tc>
          <w:tcPr>
            <w:tcW w:w="1300" w:type="dxa"/>
          </w:tcPr>
          <w:p w:rsidR="00AC0832" w:rsidRDefault="00AC0832">
            <w:pPr>
              <w:pStyle w:val="CellColumn"/>
            </w:pPr>
            <w:r>
              <w:t>Broj</w:t>
            </w:r>
          </w:p>
        </w:tc>
        <w:tc>
          <w:tcPr>
            <w:tcW w:w="1300" w:type="dxa"/>
          </w:tcPr>
          <w:p w:rsidR="00AC0832" w:rsidRDefault="00AC0832">
            <w:pPr>
              <w:pStyle w:val="CellColumn"/>
            </w:pPr>
            <w:r>
              <w:t>34</w:t>
            </w:r>
          </w:p>
        </w:tc>
        <w:tc>
          <w:tcPr>
            <w:tcW w:w="1300" w:type="dxa"/>
          </w:tcPr>
          <w:p w:rsidR="00AC0832" w:rsidRDefault="00AC0832">
            <w:pPr>
              <w:pStyle w:val="CellColumn"/>
            </w:pPr>
            <w:r>
              <w:t>HAH, MINPO, MZSS</w:t>
            </w:r>
          </w:p>
        </w:tc>
        <w:tc>
          <w:tcPr>
            <w:tcW w:w="1300" w:type="dxa"/>
          </w:tcPr>
          <w:p w:rsidR="00AC0832" w:rsidRDefault="00AC0832">
            <w:pPr>
              <w:pStyle w:val="CellColumn"/>
            </w:pPr>
            <w:r>
              <w:t>36</w:t>
            </w:r>
          </w:p>
        </w:tc>
        <w:tc>
          <w:tcPr>
            <w:tcW w:w="1300" w:type="dxa"/>
          </w:tcPr>
          <w:p w:rsidR="00AC0832" w:rsidRDefault="00AC0832">
            <w:pPr>
              <w:pStyle w:val="CellColumn"/>
            </w:pPr>
            <w:r>
              <w:t>31</w:t>
            </w:r>
          </w:p>
        </w:tc>
      </w:tr>
    </w:tbl>
    <w:p w:rsidR="00AC0832" w:rsidRDefault="00AC0832">
      <w:pPr>
        <w:jc w:val="left"/>
      </w:pPr>
    </w:p>
    <w:p w:rsidR="00AC0832" w:rsidRDefault="00AC0832">
      <w:pPr>
        <w:pStyle w:val="Heading6"/>
      </w:pPr>
      <w:r>
        <w:t>A815001 ADMINISTRACIJA I UPRAVLJANJE HRVATSKE AGENCIJE ZA HRANU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A815001-ADMINISTRACIJA I UPRAVLJANJE HRVATSKE AGENCIJE ZA HRANU</w:t>
            </w:r>
          </w:p>
        </w:tc>
        <w:tc>
          <w:tcPr>
            <w:tcW w:w="2322" w:type="dxa"/>
          </w:tcPr>
          <w:p w:rsidR="00AC0832" w:rsidRDefault="00AC0832">
            <w:pPr>
              <w:pStyle w:val="CellColumn"/>
            </w:pPr>
            <w:r>
              <w:t>4.790.702</w:t>
            </w:r>
          </w:p>
        </w:tc>
        <w:tc>
          <w:tcPr>
            <w:tcW w:w="2322" w:type="dxa"/>
          </w:tcPr>
          <w:p w:rsidR="00AC0832" w:rsidRDefault="00AC0832">
            <w:pPr>
              <w:pStyle w:val="CellColumn"/>
            </w:pPr>
            <w:r>
              <w:t>4.699.068</w:t>
            </w:r>
          </w:p>
        </w:tc>
        <w:tc>
          <w:tcPr>
            <w:tcW w:w="2322" w:type="dxa"/>
          </w:tcPr>
          <w:p w:rsidR="00AC0832" w:rsidRDefault="00AC0832">
            <w:pPr>
              <w:pStyle w:val="CellColumn"/>
            </w:pPr>
            <w:r>
              <w:t>98,1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Program Administracija i upravljanje  odnosi se na plaće, sva prava i stručno usavršavanje službenika HAH-a, troškove redovnog uredskog poslovanja, naknade za rad predstavničkih tijela, te ostale nespomenute rashode poslovanja. Djelatnici su u 2012.g. usavršavani kroz razne poslijediplomske studije, kao i kroz suradnju s međunarodnim organizacijama, s ciljem razmjene znanja i stalnog usavršavanja. U 2012.g. 4 zaposlenika steklo je titulu doktora znanosti. HAH je sudjelovala u organizaciji stručnih skupova, a u svrhu bolje informiranosti potrošača o rizicima porijeklom iz hrane i hrane za životinje.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1"/>
        <w:gridCol w:w="1395"/>
        <w:gridCol w:w="1112"/>
        <w:gridCol w:w="1178"/>
        <w:gridCol w:w="1160"/>
        <w:gridCol w:w="1178"/>
        <w:gridCol w:w="121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zaposlenika;redovno uredsko poslovanje;rad predstavničkih tijela</w:t>
            </w:r>
          </w:p>
        </w:tc>
        <w:tc>
          <w:tcPr>
            <w:tcW w:w="1300" w:type="dxa"/>
          </w:tcPr>
          <w:p w:rsidR="00AC0832" w:rsidRDefault="00AC0832">
            <w:pPr>
              <w:pStyle w:val="CellColumn"/>
            </w:pPr>
            <w:r>
              <w:t>Povećanje broja zaposlenika uz pripadajuće plaće i sredstva za stručno usavršavanje u svrhu realizacije posebnog cilja</w:t>
            </w:r>
          </w:p>
        </w:tc>
        <w:tc>
          <w:tcPr>
            <w:tcW w:w="1300" w:type="dxa"/>
          </w:tcPr>
          <w:p w:rsidR="00AC0832" w:rsidRDefault="00AC0832">
            <w:pPr>
              <w:pStyle w:val="CellColumn"/>
            </w:pPr>
            <w:r>
              <w:t>Broj</w:t>
            </w:r>
          </w:p>
        </w:tc>
        <w:tc>
          <w:tcPr>
            <w:tcW w:w="1300" w:type="dxa"/>
          </w:tcPr>
          <w:p w:rsidR="00AC0832" w:rsidRDefault="00AC0832">
            <w:pPr>
              <w:pStyle w:val="CellColumn"/>
            </w:pPr>
            <w:r>
              <w:t>21</w:t>
            </w:r>
          </w:p>
        </w:tc>
        <w:tc>
          <w:tcPr>
            <w:tcW w:w="1300" w:type="dxa"/>
          </w:tcPr>
          <w:p w:rsidR="00AC0832" w:rsidRDefault="00AC0832">
            <w:pPr>
              <w:pStyle w:val="CellColumn"/>
            </w:pPr>
            <w:r>
              <w:t>HAH</w:t>
            </w:r>
          </w:p>
        </w:tc>
        <w:tc>
          <w:tcPr>
            <w:tcW w:w="1300" w:type="dxa"/>
          </w:tcPr>
          <w:p w:rsidR="00AC0832" w:rsidRDefault="00AC0832">
            <w:pPr>
              <w:pStyle w:val="CellColumn"/>
            </w:pPr>
            <w:r>
              <w:t>23</w:t>
            </w:r>
          </w:p>
        </w:tc>
        <w:tc>
          <w:tcPr>
            <w:tcW w:w="1300" w:type="dxa"/>
          </w:tcPr>
          <w:p w:rsidR="00AC0832" w:rsidRDefault="00AC0832">
            <w:pPr>
              <w:pStyle w:val="CellColumn"/>
            </w:pPr>
            <w:r>
              <w:t>20</w:t>
            </w:r>
          </w:p>
        </w:tc>
      </w:tr>
    </w:tbl>
    <w:p w:rsidR="00AC0832" w:rsidRDefault="00AC0832">
      <w:pPr>
        <w:jc w:val="left"/>
      </w:pPr>
    </w:p>
    <w:p w:rsidR="00AC0832" w:rsidRDefault="00AC0832">
      <w:pPr>
        <w:pStyle w:val="Heading6"/>
      </w:pPr>
      <w:r>
        <w:t>K815000 OPREMANJE HRVATSKE AGENCIJE ZA HRANU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K815000-OPREMANJE HRVATSKE AGENCIJE ZA HRANU</w:t>
            </w:r>
          </w:p>
        </w:tc>
        <w:tc>
          <w:tcPr>
            <w:tcW w:w="2322" w:type="dxa"/>
          </w:tcPr>
          <w:p w:rsidR="00AC0832" w:rsidRDefault="00AC0832">
            <w:pPr>
              <w:pStyle w:val="CellColumn"/>
            </w:pPr>
            <w:r>
              <w:t>209.298</w:t>
            </w:r>
          </w:p>
        </w:tc>
        <w:tc>
          <w:tcPr>
            <w:tcW w:w="2322" w:type="dxa"/>
          </w:tcPr>
          <w:p w:rsidR="00AC0832" w:rsidRDefault="00AC0832">
            <w:pPr>
              <w:pStyle w:val="CellColumn"/>
            </w:pPr>
            <w:r>
              <w:t>192.641</w:t>
            </w:r>
          </w:p>
        </w:tc>
        <w:tc>
          <w:tcPr>
            <w:tcW w:w="2322" w:type="dxa"/>
          </w:tcPr>
          <w:p w:rsidR="00AC0832" w:rsidRDefault="00AC0832">
            <w:pPr>
              <w:pStyle w:val="CellColumn"/>
            </w:pPr>
            <w:r>
              <w:t>92,0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2012.g planirana je završna otplata leasinga za nabavku poslovnog prostora, te potrebne dugotrajne imovine, što je i ostvareno. Također je u svrhu ostvarenja posebnog cilja HAH-a bila planirana nabava IT aplikacija «Baza eksperata» i program «Extranet» koje će zajednički nabavljati i koristiti sa Upravom za sigurnost i kakvoću hrane Ministarstva poljoprivrede, ribarstva i ruralnog razvoja.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Opremanje Hrvatske agencije za hranu</w:t>
            </w:r>
          </w:p>
        </w:tc>
        <w:tc>
          <w:tcPr>
            <w:tcW w:w="1300" w:type="dxa"/>
          </w:tcPr>
          <w:p w:rsidR="00AC0832" w:rsidRDefault="00AC0832">
            <w:pPr>
              <w:pStyle w:val="CellColumn"/>
            </w:pPr>
            <w:r>
              <w:t>Povećanje broja tehničke opreme i prostora koji prate povećanje broja zaposlenij</w:t>
            </w:r>
          </w:p>
        </w:tc>
        <w:tc>
          <w:tcPr>
            <w:tcW w:w="1300" w:type="dxa"/>
          </w:tcPr>
          <w:p w:rsidR="00AC0832" w:rsidRDefault="00AC0832">
            <w:pPr>
              <w:pStyle w:val="CellColumn"/>
            </w:pPr>
            <w:r>
              <w:t>Broj</w:t>
            </w:r>
          </w:p>
        </w:tc>
        <w:tc>
          <w:tcPr>
            <w:tcW w:w="1300" w:type="dxa"/>
          </w:tcPr>
          <w:p w:rsidR="00AC0832" w:rsidRDefault="00AC0832">
            <w:pPr>
              <w:pStyle w:val="CellColumn"/>
            </w:pPr>
            <w:r>
              <w:t>21</w:t>
            </w:r>
          </w:p>
        </w:tc>
        <w:tc>
          <w:tcPr>
            <w:tcW w:w="1300" w:type="dxa"/>
          </w:tcPr>
          <w:p w:rsidR="00AC0832" w:rsidRDefault="00AC0832">
            <w:pPr>
              <w:pStyle w:val="CellColumn"/>
            </w:pPr>
            <w:r>
              <w:t>HAH</w:t>
            </w:r>
          </w:p>
        </w:tc>
        <w:tc>
          <w:tcPr>
            <w:tcW w:w="1300" w:type="dxa"/>
          </w:tcPr>
          <w:p w:rsidR="00AC0832" w:rsidRDefault="00AC0832">
            <w:pPr>
              <w:pStyle w:val="CellColumn"/>
            </w:pPr>
            <w:r>
              <w:t>23</w:t>
            </w:r>
          </w:p>
        </w:tc>
        <w:tc>
          <w:tcPr>
            <w:tcW w:w="1300" w:type="dxa"/>
          </w:tcPr>
          <w:p w:rsidR="00AC0832" w:rsidRDefault="00AC0832">
            <w:pPr>
              <w:pStyle w:val="CellColumn"/>
            </w:pPr>
            <w:r>
              <w:t>21</w:t>
            </w:r>
          </w:p>
        </w:tc>
      </w:tr>
    </w:tbl>
    <w:p w:rsidR="00AC0832" w:rsidRDefault="00AC0832">
      <w:pPr>
        <w:jc w:val="left"/>
      </w:pPr>
    </w:p>
    <w:p w:rsidR="00AC0832" w:rsidRDefault="00AC0832">
      <w:pPr>
        <w:pStyle w:val="Heading6"/>
      </w:pPr>
      <w:r>
        <w:t>K815006 UKUPNA PREHRAMBENA STUDIJA - FP7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K815006-UKUPNA PREHRAMBENA STUDIJA - FP7</w:t>
            </w:r>
          </w:p>
        </w:tc>
        <w:tc>
          <w:tcPr>
            <w:tcW w:w="2322" w:type="dxa"/>
          </w:tcPr>
          <w:p w:rsidR="00AC0832" w:rsidRDefault="00AC0832">
            <w:pPr>
              <w:pStyle w:val="CellColumn"/>
            </w:pPr>
            <w:r>
              <w:t>00</w:t>
            </w:r>
          </w:p>
        </w:tc>
        <w:tc>
          <w:tcPr>
            <w:tcW w:w="2322" w:type="dxa"/>
          </w:tcPr>
          <w:p w:rsidR="00AC0832" w:rsidRDefault="00AC0832">
            <w:pPr>
              <w:pStyle w:val="CellColumn"/>
            </w:pPr>
            <w:r>
              <w:t>59.099</w:t>
            </w:r>
          </w:p>
        </w:tc>
        <w:tc>
          <w:tcPr>
            <w:tcW w:w="2322" w:type="dxa"/>
          </w:tcPr>
          <w:p w:rsidR="00AC0832" w:rsidRDefault="00AC0832">
            <w:pPr>
              <w:pStyle w:val="CellColumn"/>
            </w:pPr>
            <w:r>
              <w:t>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Početkom 2011. godine HAH se na poziv Francuske agencije ANSES uključio u prijavu znanstvenog projekta FP7 Total Diet Study (TDS) Exposure. Projekt je iz područja 2.2.4. Kvaliteta i sigurnost hrane, te uključuje 26 institucija iz 19 zemalja. Projekt je započeo u veljači 2012. </w:t>
      </w:r>
    </w:p>
    <w:p w:rsidR="00AC0832" w:rsidRDefault="00AC0832">
      <w:pPr>
        <w:pStyle w:val="Normal6"/>
      </w:pPr>
      <w:r>
        <w:t xml:space="preserve">U prvoj godini projekta ostvareno je sve što je planirano. </w:t>
      </w:r>
    </w:p>
    <w:p w:rsidR="00AC0832" w:rsidRDefault="00AC0832">
      <w:pPr>
        <w:pStyle w:val="Normal6"/>
      </w:pPr>
      <w:r>
        <w:t xml:space="preserve">U okviru WP-ova u čiji rad smo uključeni, pripremljeni su izlazni dokumenti: </w:t>
      </w:r>
    </w:p>
    <w:p w:rsidR="00AC0832" w:rsidRDefault="00AC0832">
      <w:pPr>
        <w:pStyle w:val="Normal6"/>
      </w:pPr>
      <w:r>
        <w:t xml:space="preserve">WP2 – list of criteria for TDS </w:t>
      </w:r>
    </w:p>
    <w:p w:rsidR="00AC0832" w:rsidRDefault="00AC0832">
      <w:pPr>
        <w:pStyle w:val="Normal6"/>
      </w:pPr>
      <w:r>
        <w:t xml:space="preserve">WP2 D2.1 population of interest </w:t>
      </w:r>
    </w:p>
    <w:p w:rsidR="00AC0832" w:rsidRDefault="00AC0832">
      <w:pPr>
        <w:pStyle w:val="Normal6"/>
      </w:pPr>
      <w:r>
        <w:t xml:space="preserve">WP3 D3.1 literature review (analysing food consumption datasets) </w:t>
      </w:r>
    </w:p>
    <w:p w:rsidR="00AC0832" w:rsidRDefault="00AC0832">
      <w:pPr>
        <w:pStyle w:val="Normal6"/>
      </w:pPr>
      <w:r>
        <w:t xml:space="preserve">WP3 D3.2 protocol development </w:t>
      </w:r>
    </w:p>
    <w:p w:rsidR="00AC0832" w:rsidRDefault="00AC0832">
      <w:pPr>
        <w:pStyle w:val="Normal6"/>
      </w:pPr>
      <w:r>
        <w:t xml:space="preserve">WP3 D3.3 food shoping list </w:t>
      </w:r>
    </w:p>
    <w:p w:rsidR="00AC0832" w:rsidRDefault="00AC0832">
      <w:pPr>
        <w:pStyle w:val="Normal6"/>
      </w:pPr>
      <w:r>
        <w:t>WP5 D5.1 TDS Vocabulary</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6"/>
        <w:gridCol w:w="1406"/>
        <w:gridCol w:w="1292"/>
        <w:gridCol w:w="1296"/>
        <w:gridCol w:w="1295"/>
        <w:gridCol w:w="1296"/>
        <w:gridCol w:w="129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Ukupna prehrambena studija-FP7-Hrvatske agencije za hranu</w:t>
            </w:r>
          </w:p>
        </w:tc>
        <w:tc>
          <w:tcPr>
            <w:tcW w:w="1300" w:type="dxa"/>
          </w:tcPr>
          <w:p w:rsidR="00AC0832" w:rsidRDefault="00AC0832">
            <w:pPr>
              <w:pStyle w:val="CellColumn"/>
            </w:pPr>
            <w:r>
              <w:t>Dobivanje ujednačene metodologije za izradu ukupne prehrambene studije na razini EU</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HAH</w:t>
            </w:r>
          </w:p>
        </w:tc>
        <w:tc>
          <w:tcPr>
            <w:tcW w:w="1300" w:type="dxa"/>
          </w:tcPr>
          <w:p w:rsidR="00AC0832" w:rsidRDefault="00AC0832">
            <w:pPr>
              <w:pStyle w:val="CellColumn"/>
            </w:pPr>
            <w:r>
              <w:t>4</w:t>
            </w:r>
          </w:p>
        </w:tc>
        <w:tc>
          <w:tcPr>
            <w:tcW w:w="1300" w:type="dxa"/>
          </w:tcPr>
          <w:p w:rsidR="00AC0832" w:rsidRDefault="00AC0832">
            <w:pPr>
              <w:pStyle w:val="CellColumn"/>
            </w:pPr>
            <w:r>
              <w:t>4</w:t>
            </w:r>
          </w:p>
        </w:tc>
      </w:tr>
    </w:tbl>
    <w:p w:rsidR="00AC0832" w:rsidRDefault="00AC0832">
      <w:pPr>
        <w:jc w:val="left"/>
      </w:pPr>
    </w:p>
    <w:p w:rsidR="00AC0832" w:rsidRDefault="00AC0832">
      <w:pPr>
        <w:pStyle w:val="Heading2"/>
      </w:pPr>
      <w:r>
        <w:t>06030 Agencija za plaćanja u poljoprivredi, ribarstvu i ruralnom razvoju</w:t>
      </w:r>
    </w:p>
    <w:p w:rsidR="00AC0832" w:rsidRDefault="00AC0832">
      <w:pPr>
        <w:pStyle w:val="Heading4"/>
      </w:pPr>
      <w:r>
        <w:t>Uvod</w:t>
      </w:r>
    </w:p>
    <w:p w:rsidR="00AC0832" w:rsidRDefault="00AC0832">
      <w:pPr>
        <w:pStyle w:val="Normal3"/>
      </w:pPr>
      <w:r>
        <w:t xml:space="preserve">U 2012. godini Agencija za plaćanja u poljoprivredi, ribarstvu i ruralnom razvoju je bila u procesu akreditacije (prva faza) za horizontalna pitanja i EAGF-izravna plaćanja. Proces akreditacije je započeo samoprocjenom uspostavljenog kontrolnog sustava, a nastavio se pred-akreditacijskom revizijom koju je provelo vanjsko revizorsko tijelo. Na osnovi revizorskog izvješća o procjeni sustava unutarnjih kontrola i usklađenosti Agencije za plaćanja s akreditacijskim kriterijima, Ministarstvo poljoprivrede, kao tijelo nadležno za akreditaciju, je izdalo 27.12.2012. godine Odluku o privremenoj akreditaciji Agenciji za plaćanja u poljoprivredi, ribarstvu i ruralnom razvoju za korištenje sredstava Europskog poljoprivrednog jamstvenog fonda (EAGF) vezano uz provedbu izravnih plaćanja. Dobivanje akreditacije znači da će Agencija za plaćanja započeti s provedbom  EAGF-izravnih plaćanja po EU pravilima i prije samog pristupanja EU odnosno od 01. ožujka 2013. godine.  U drugoj polovici godine započela je i druga faza akreditacije provedbom samoprocjene uspostavljenog kontrolnog sustava Agencije za plaćanja za mjere Zajedničke organizacije tržišta. </w:t>
      </w:r>
    </w:p>
    <w:p w:rsidR="00AC0832" w:rsidRDefault="00AC0832">
      <w:pPr>
        <w:pStyle w:val="Normal3"/>
      </w:pPr>
      <w:r>
        <w:t xml:space="preserve"> </w:t>
      </w:r>
    </w:p>
    <w:p w:rsidR="00AC0832" w:rsidRDefault="00AC0832">
      <w:pPr>
        <w:pStyle w:val="Normal3"/>
      </w:pPr>
      <w:r>
        <w:t xml:space="preserve">Pored navedenih aktivnosti tijekom 2012. godine Agencija za plaćanja je provodila plaćanja nacionalnih potpora (izravna plaćanja, mjere ruralnog razvoja, tržišne mjere i mjere u ribarstvu) kao i EU pretpristupni IPARD program. Nadalje, provodile su se aktivnosti vezane za održavanje i ažuriranje registara u nadležnosti Agencije za plaćanja s posebnim naglaskom na osiguranje kvalitete podataka u registrima. </w:t>
      </w:r>
    </w:p>
    <w:p w:rsidR="00AC0832" w:rsidRDefault="00AC0832">
      <w:pPr>
        <w:pStyle w:val="Normal3"/>
      </w:pPr>
      <w:r>
        <w:t xml:space="preserve"> </w:t>
      </w:r>
    </w:p>
    <w:p w:rsidR="00AC0832" w:rsidRDefault="00AC0832">
      <w:pPr>
        <w:pStyle w:val="Normal3"/>
      </w:pPr>
      <w:r>
        <w:t xml:space="preserve">Radi kvalitetne i pravovremene provedbe zadaća i aktivnosti Agencije za plaćanja, u odnosu na prethodnu godinu, povećan je broj zaposlenika, a s istim ciljem u listopadu je donesen novi Pravilnik o unutarnjem ustroju i sistematizaciji radnih mjesta u skladu s analizama obima posla u 2012. i 2013. godini.  </w:t>
      </w:r>
    </w:p>
    <w:p w:rsidR="00AC0832" w:rsidRDefault="00AC0832">
      <w:pPr>
        <w:pStyle w:val="Normal3"/>
      </w:pPr>
      <w:r>
        <w:t xml:space="preserve"> </w:t>
      </w:r>
    </w:p>
    <w:p w:rsidR="00AC0832" w:rsidRDefault="00AC0832">
      <w:pPr>
        <w:pStyle w:val="Normal3"/>
      </w:pPr>
      <w:r>
        <w:t>U listopadu je započeo proces konsolidacije i integracije regionalnih ureda Agencije za plaćanja te je do konca godine preseljeno 14 regionalnih ureda (od ukupno 21) dok je 29 ispostava pripojeno regionalnim uredima (od ukupno 57), a završetak procesa se očekuje u prvom kvartalu 2013. godine.</w:t>
      </w:r>
    </w:p>
    <w:p w:rsidR="00AC0832" w:rsidRDefault="00AC0832">
      <w:pPr>
        <w:pStyle w:val="Normal3"/>
      </w:pPr>
    </w:p>
    <w:p w:rsidR="00AC0832" w:rsidRDefault="00AC0832">
      <w:pPr>
        <w:pStyle w:val="Normal3"/>
      </w:pPr>
    </w:p>
    <w:p w:rsidR="00AC0832" w:rsidRDefault="00AC0832">
      <w:pPr>
        <w:pStyle w:val="Normal3"/>
      </w:pPr>
    </w:p>
    <w:p w:rsidR="00AC0832" w:rsidRDefault="00AC0832">
      <w:pPr>
        <w:pStyle w:val="Normal3"/>
      </w:pPr>
    </w:p>
    <w:p w:rsidR="00AC0832" w:rsidRDefault="00AC0832">
      <w:pPr>
        <w:pStyle w:val="Normal3"/>
      </w:pPr>
    </w:p>
    <w:p w:rsidR="00AC0832" w:rsidRDefault="00AC0832">
      <w:pPr>
        <w:pStyle w:val="Normal3"/>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06030-Agencija za plaćanja u poljoprivredi, ribarstvu i ruralnom razvoju</w:t>
            </w:r>
          </w:p>
        </w:tc>
        <w:tc>
          <w:tcPr>
            <w:tcW w:w="2322" w:type="dxa"/>
          </w:tcPr>
          <w:p w:rsidR="00AC0832" w:rsidRDefault="00AC0832">
            <w:pPr>
              <w:pStyle w:val="CellColumn"/>
            </w:pPr>
            <w:r>
              <w:t>127.071.185</w:t>
            </w:r>
          </w:p>
        </w:tc>
        <w:tc>
          <w:tcPr>
            <w:tcW w:w="2322" w:type="dxa"/>
          </w:tcPr>
          <w:p w:rsidR="00AC0832" w:rsidRDefault="00AC0832">
            <w:pPr>
              <w:pStyle w:val="CellColumn"/>
            </w:pPr>
            <w:r>
              <w:t>118.569.207</w:t>
            </w:r>
          </w:p>
        </w:tc>
        <w:tc>
          <w:tcPr>
            <w:tcW w:w="2322" w:type="dxa"/>
          </w:tcPr>
          <w:p w:rsidR="00AC0832" w:rsidRDefault="00AC0832">
            <w:pPr>
              <w:pStyle w:val="CellColumn"/>
            </w:pPr>
            <w:r>
              <w:t>93,3</w:t>
            </w:r>
          </w:p>
        </w:tc>
      </w:tr>
      <w:tr w:rsidR="00AC0832" w:rsidTr="00BE20ED">
        <w:trPr>
          <w:jc w:val="center"/>
        </w:trPr>
        <w:tc>
          <w:tcPr>
            <w:tcW w:w="2322" w:type="dxa"/>
          </w:tcPr>
          <w:p w:rsidR="00AC0832" w:rsidRDefault="00AC0832">
            <w:pPr>
              <w:pStyle w:val="CellColumnSmall"/>
            </w:pPr>
            <w:r>
              <w:t>3001-UPRAVLJANJE POLJOPRIVREDOM, RIBARSTVOM I RURALNIM RAZVOJEM</w:t>
            </w:r>
          </w:p>
        </w:tc>
        <w:tc>
          <w:tcPr>
            <w:tcW w:w="2322" w:type="dxa"/>
          </w:tcPr>
          <w:p w:rsidR="00AC0832" w:rsidRDefault="00AC0832">
            <w:pPr>
              <w:pStyle w:val="CellColumnSmall"/>
            </w:pPr>
            <w:r>
              <w:t>121.471.185</w:t>
            </w:r>
          </w:p>
        </w:tc>
        <w:tc>
          <w:tcPr>
            <w:tcW w:w="2322" w:type="dxa"/>
          </w:tcPr>
          <w:p w:rsidR="00AC0832" w:rsidRDefault="00AC0832">
            <w:pPr>
              <w:pStyle w:val="CellColumnSmall"/>
            </w:pPr>
            <w:r>
              <w:t>115.520.270</w:t>
            </w:r>
          </w:p>
        </w:tc>
        <w:tc>
          <w:tcPr>
            <w:tcW w:w="2322" w:type="dxa"/>
          </w:tcPr>
          <w:p w:rsidR="00AC0832" w:rsidRDefault="00AC0832">
            <w:pPr>
              <w:pStyle w:val="CellColumnSmall"/>
            </w:pPr>
            <w:r>
              <w:t>95,1</w:t>
            </w:r>
          </w:p>
        </w:tc>
      </w:tr>
      <w:tr w:rsidR="00AC0832" w:rsidTr="00BE20ED">
        <w:trPr>
          <w:jc w:val="center"/>
        </w:trPr>
        <w:tc>
          <w:tcPr>
            <w:tcW w:w="2322" w:type="dxa"/>
          </w:tcPr>
          <w:p w:rsidR="00AC0832" w:rsidRDefault="00AC0832">
            <w:pPr>
              <w:pStyle w:val="CellColumnSmall"/>
            </w:pPr>
            <w:r>
              <w:t>3002-POLJOPRIVREDA</w:t>
            </w:r>
          </w:p>
        </w:tc>
        <w:tc>
          <w:tcPr>
            <w:tcW w:w="2322" w:type="dxa"/>
          </w:tcPr>
          <w:p w:rsidR="00AC0832" w:rsidRDefault="00AC0832">
            <w:pPr>
              <w:pStyle w:val="CellColumnSmall"/>
            </w:pPr>
            <w:r>
              <w:t>5.600.000</w:t>
            </w:r>
          </w:p>
        </w:tc>
        <w:tc>
          <w:tcPr>
            <w:tcW w:w="2322" w:type="dxa"/>
          </w:tcPr>
          <w:p w:rsidR="00AC0832" w:rsidRDefault="00AC0832">
            <w:pPr>
              <w:pStyle w:val="CellColumnSmall"/>
            </w:pPr>
            <w:r>
              <w:t>3.048.937</w:t>
            </w:r>
          </w:p>
        </w:tc>
        <w:tc>
          <w:tcPr>
            <w:tcW w:w="2322" w:type="dxa"/>
          </w:tcPr>
          <w:p w:rsidR="00AC0832" w:rsidRDefault="00AC0832">
            <w:pPr>
              <w:pStyle w:val="CellColumnSmall"/>
            </w:pPr>
            <w:r>
              <w:t>54,4</w:t>
            </w:r>
          </w:p>
        </w:tc>
      </w:tr>
    </w:tbl>
    <w:p w:rsidR="00AC0832" w:rsidRDefault="00AC0832">
      <w:pPr>
        <w:jc w:val="left"/>
      </w:pPr>
    </w:p>
    <w:p w:rsidR="00AC0832" w:rsidRDefault="00AC0832">
      <w:pPr>
        <w:pStyle w:val="Heading4"/>
      </w:pPr>
      <w:r>
        <w:t>OBRAZLOŽENJE PROGRAMA</w:t>
      </w:r>
    </w:p>
    <w:p w:rsidR="00AC0832" w:rsidRDefault="00AC0832">
      <w:pPr>
        <w:pStyle w:val="Heading5"/>
      </w:pPr>
      <w:r>
        <w:t>3001 UPRAVLJANJE POLJOPRIVREDOM, RIBARSTVOM I RURALNIM RAZVOJEM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3001-UPRAVLJANJE POLJOPRIVREDOM, RIBARSTVOM I RURALNIM RAZVOJEM</w:t>
            </w:r>
          </w:p>
        </w:tc>
        <w:tc>
          <w:tcPr>
            <w:tcW w:w="2322" w:type="dxa"/>
          </w:tcPr>
          <w:p w:rsidR="00AC0832" w:rsidRDefault="00AC0832">
            <w:pPr>
              <w:pStyle w:val="CellColumn"/>
            </w:pPr>
            <w:r>
              <w:t>121.471.185</w:t>
            </w:r>
          </w:p>
        </w:tc>
        <w:tc>
          <w:tcPr>
            <w:tcW w:w="2322" w:type="dxa"/>
          </w:tcPr>
          <w:p w:rsidR="00AC0832" w:rsidRDefault="00AC0832">
            <w:pPr>
              <w:pStyle w:val="CellColumn"/>
            </w:pPr>
            <w:r>
              <w:t>115.520.270</w:t>
            </w:r>
          </w:p>
        </w:tc>
        <w:tc>
          <w:tcPr>
            <w:tcW w:w="2322" w:type="dxa"/>
          </w:tcPr>
          <w:p w:rsidR="00AC0832" w:rsidRDefault="00AC0832">
            <w:pPr>
              <w:pStyle w:val="CellColumn"/>
            </w:pPr>
            <w:r>
              <w:t>95,1</w:t>
            </w:r>
          </w:p>
        </w:tc>
      </w:tr>
    </w:tbl>
    <w:p w:rsidR="00AC0832" w:rsidRDefault="00AC0832">
      <w:pPr>
        <w:jc w:val="left"/>
      </w:pPr>
    </w:p>
    <w:p w:rsidR="00AC0832" w:rsidRDefault="00AC0832">
      <w:pPr>
        <w:pStyle w:val="Heading6"/>
      </w:pPr>
      <w:r>
        <w:t>Opis programa</w:t>
      </w:r>
    </w:p>
    <w:p w:rsidR="00AC0832" w:rsidRDefault="00AC0832">
      <w:pPr>
        <w:pStyle w:val="Normal5"/>
      </w:pPr>
      <w:r>
        <w:t xml:space="preserve">U okviru ovog programa, Agencija za plaćanja u poljoprivredi, ribarstvu i ruralnom razvoju zadužena je za slijedeća područja: </w:t>
      </w:r>
    </w:p>
    <w:p w:rsidR="00AC0832" w:rsidRDefault="00AC0832">
      <w:pPr>
        <w:pStyle w:val="Normal5"/>
      </w:pPr>
      <w:r>
        <w:t xml:space="preserve">1. REGISTRI </w:t>
      </w:r>
    </w:p>
    <w:p w:rsidR="00AC0832" w:rsidRDefault="00AC0832">
      <w:pPr>
        <w:pStyle w:val="Normal5"/>
      </w:pPr>
      <w:r>
        <w:t xml:space="preserve">2. IZRAVNA PLAĆANJA </w:t>
      </w:r>
    </w:p>
    <w:p w:rsidR="00AC0832" w:rsidRDefault="00AC0832">
      <w:pPr>
        <w:pStyle w:val="Normal5"/>
      </w:pPr>
      <w:r>
        <w:t xml:space="preserve">2.1. Izravna plaćanja i IAKS mjere ruralnog razvoja za 2011. i 2012. g </w:t>
      </w:r>
    </w:p>
    <w:p w:rsidR="00AC0832" w:rsidRDefault="00AC0832">
      <w:pPr>
        <w:pStyle w:val="Normal5"/>
      </w:pPr>
      <w:r>
        <w:t xml:space="preserve">U okviru izravnih plaćanja za 2012. godinu Agencija za plaćanja je obavljala poslove: </w:t>
      </w:r>
    </w:p>
    <w:p w:rsidR="00AC0832" w:rsidRDefault="00AC0832">
      <w:pPr>
        <w:pStyle w:val="Normal5"/>
      </w:pPr>
      <w:r>
        <w:t xml:space="preserve">- pomoći kod popunjavanja zahtjeva i zaprimanja zahtjeva, </w:t>
      </w:r>
    </w:p>
    <w:p w:rsidR="00AC0832" w:rsidRDefault="00AC0832">
      <w:pPr>
        <w:pStyle w:val="Normal5"/>
      </w:pPr>
      <w:r>
        <w:t xml:space="preserve">- administrativne kontrole i  </w:t>
      </w:r>
    </w:p>
    <w:p w:rsidR="00AC0832" w:rsidRDefault="00AC0832">
      <w:pPr>
        <w:pStyle w:val="Normal5"/>
      </w:pPr>
      <w:r>
        <w:t xml:space="preserve">- kontrole na terenu   </w:t>
      </w:r>
    </w:p>
    <w:p w:rsidR="00AC0832" w:rsidRDefault="00AC0832">
      <w:pPr>
        <w:pStyle w:val="Normal5"/>
      </w:pPr>
      <w:r>
        <w:t xml:space="preserve">Navedeni poslovi su se provodili za sljedeće potpore: </w:t>
      </w:r>
    </w:p>
    <w:p w:rsidR="00AC0832" w:rsidRDefault="00AC0832">
      <w:pPr>
        <w:pStyle w:val="Normal5"/>
      </w:pPr>
      <w:r>
        <w:t xml:space="preserve">a) Prava na plaćanja  </w:t>
      </w:r>
    </w:p>
    <w:p w:rsidR="00AC0832" w:rsidRDefault="00AC0832">
      <w:pPr>
        <w:pStyle w:val="Normal5"/>
      </w:pPr>
      <w:r>
        <w:t xml:space="preserve">– pravo na regionalno plaćanje  </w:t>
      </w:r>
    </w:p>
    <w:p w:rsidR="00AC0832" w:rsidRDefault="00AC0832">
      <w:pPr>
        <w:pStyle w:val="Normal5"/>
      </w:pPr>
      <w:r>
        <w:t xml:space="preserve">– pravo na plaćanje iz Nacionalne rezerve </w:t>
      </w:r>
    </w:p>
    <w:p w:rsidR="00AC0832" w:rsidRDefault="00AC0832">
      <w:pPr>
        <w:pStyle w:val="Normal5"/>
      </w:pPr>
      <w:r>
        <w:t xml:space="preserve">b) Proizvodno vezana plaćanja  </w:t>
      </w:r>
    </w:p>
    <w:p w:rsidR="00AC0832" w:rsidRDefault="00AC0832">
      <w:pPr>
        <w:pStyle w:val="Normal5"/>
      </w:pPr>
      <w:r>
        <w:t xml:space="preserve">– premije za krave dojilje, ovce i koze (dalje u tekstu: Premije) </w:t>
      </w:r>
    </w:p>
    <w:p w:rsidR="00AC0832" w:rsidRDefault="00AC0832">
      <w:pPr>
        <w:pStyle w:val="Normal5"/>
      </w:pPr>
      <w:r>
        <w:t xml:space="preserve">c) Specifična plaćanja –(za tov goveda, mliječne krave i krave dojilje) </w:t>
      </w:r>
    </w:p>
    <w:p w:rsidR="00AC0832" w:rsidRDefault="00AC0832">
      <w:pPr>
        <w:pStyle w:val="Normal5"/>
      </w:pPr>
      <w:r>
        <w:t xml:space="preserve">d) Plaćanja u iznimno osjetljivim sektorima - za šećernu repu, ekstra djevičansko i djevičansko maslinovo ulje, duhan, mliječne krave i rasplodne krmače </w:t>
      </w:r>
    </w:p>
    <w:p w:rsidR="00AC0832" w:rsidRDefault="00AC0832">
      <w:pPr>
        <w:pStyle w:val="Normal5"/>
      </w:pPr>
      <w:r>
        <w:t xml:space="preserve">e) Potpore za IAKS mjere ruralnog razvoja  </w:t>
      </w:r>
    </w:p>
    <w:p w:rsidR="00AC0832" w:rsidRDefault="00AC0832">
      <w:pPr>
        <w:pStyle w:val="Normal5"/>
      </w:pPr>
      <w:r>
        <w:t xml:space="preserve">– potpora za očuvanje izvornih i zaštićenih pasmina domaćih životinja </w:t>
      </w:r>
    </w:p>
    <w:p w:rsidR="00AC0832" w:rsidRDefault="00AC0832">
      <w:pPr>
        <w:pStyle w:val="Normal5"/>
      </w:pPr>
      <w:r>
        <w:t xml:space="preserve">– potpora za ekološku poljoprivrednu proizvodnju </w:t>
      </w:r>
    </w:p>
    <w:p w:rsidR="00AC0832" w:rsidRDefault="00AC0832">
      <w:pPr>
        <w:pStyle w:val="Normal5"/>
      </w:pPr>
      <w:r>
        <w:t xml:space="preserve">– potpora za integriranu poljoprivrednu proizvodnju </w:t>
      </w:r>
    </w:p>
    <w:p w:rsidR="00AC0832" w:rsidRDefault="00AC0832">
      <w:pPr>
        <w:pStyle w:val="Normal5"/>
      </w:pPr>
      <w:r>
        <w:t xml:space="preserve">– potpora za područja s težim uvjetima gospodarenja u poljoprivredi </w:t>
      </w:r>
    </w:p>
    <w:p w:rsidR="00AC0832" w:rsidRDefault="00AC0832">
      <w:pPr>
        <w:pStyle w:val="Normal5"/>
      </w:pPr>
      <w:r>
        <w:t xml:space="preserve">Preduvjet za ostvarivanje navedenih prava je podnošenje Jedinstvenog zahtjeva kojeg korisnik popunjava isključivo elektronički, putem interneta, koristeći AGRONET sustav, nakon čega korisnik zahtjev treba ispisati, potpisati i poslati/dostaviti regionalnom uredu Agencije za plaćanja u kojem  je upisan u Upisnik poljoprivrednih gospodarstava. Zahtjev se podnosio u razdoblju od 1. ožujka do 15. svibnja 2012. godine. </w:t>
      </w:r>
    </w:p>
    <w:p w:rsidR="00AC0832" w:rsidRDefault="00AC0832">
      <w:pPr>
        <w:pStyle w:val="Normal5"/>
      </w:pPr>
      <w:r>
        <w:t xml:space="preserve">Pomoć pri popunjavanju zahtjeva putem AGRONET-a  pružali su djelatnici sljedećih institucija: </w:t>
      </w:r>
    </w:p>
    <w:p w:rsidR="00AC0832" w:rsidRDefault="00AC0832">
      <w:pPr>
        <w:pStyle w:val="Normal5"/>
      </w:pPr>
      <w:r>
        <w:t xml:space="preserve">- Agencija za plaćanja u poljoprivredi, ribarstvu i ruralnom razvoju </w:t>
      </w:r>
    </w:p>
    <w:p w:rsidR="00AC0832" w:rsidRDefault="00AC0832">
      <w:pPr>
        <w:pStyle w:val="Normal5"/>
      </w:pPr>
      <w:r>
        <w:t xml:space="preserve">- Poljoprivredna savjetodavna služba </w:t>
      </w:r>
    </w:p>
    <w:p w:rsidR="00AC0832" w:rsidRDefault="00AC0832">
      <w:pPr>
        <w:pStyle w:val="Normal5"/>
      </w:pPr>
      <w:r>
        <w:t xml:space="preserve">- Hrvatska poljoprivredna agencija. </w:t>
      </w:r>
    </w:p>
    <w:p w:rsidR="00AC0832" w:rsidRDefault="00AC0832">
      <w:pPr>
        <w:pStyle w:val="Normal5"/>
      </w:pPr>
      <w:r>
        <w:t xml:space="preserve"> Agencija za plaćanja provelaje administrativnu kontrolu zahtjeva za potpore, a kontrola obuhvaća kontrolu usklađenosti svih podnesenih zahtjeva s propisima kojima se uređuju izravna plaćanja i potpore IAKS mjera ruralnog razvoja, kontrolu prava na plaćanja te kontrolu prava na premije. U biljnoj proizvodnji obuhvaća i uključuje otkrivanje nedopuštene prijave referentnih parcela zemljišta, a u stočarstvu nedopuštene prijave stoke. </w:t>
      </w:r>
    </w:p>
    <w:p w:rsidR="00AC0832" w:rsidRDefault="00AC0832">
      <w:pPr>
        <w:pStyle w:val="Normal5"/>
      </w:pPr>
      <w:r>
        <w:t xml:space="preserve">Osim administrativne kontrole provedena je i kontrola na terenu koja se radi zbog kontrole prihvatljivosti zahtjeva za potpore s obzirom na uvjete pod kojima se potpore dodjeljuju, a provodi se prije isplate.  </w:t>
      </w:r>
    </w:p>
    <w:p w:rsidR="00AC0832" w:rsidRDefault="00AC0832">
      <w:pPr>
        <w:pStyle w:val="Normal5"/>
      </w:pPr>
      <w:r>
        <w:t xml:space="preserve">Tijekom 2012. godine APPRRR je organizirala kontrole na terenu mjera izravne potpore i IAKS mjera ruralnog razvoja. Sukladno odredbama Zakona o potpori poljoprivredi i ruralnom razvoju, APPRRR je dio provedbi kontrole na terenu povjerila drugim pravnim osobama. Procedure, metodologija, priručnici za rad, obrasci i softverska podrška razvijene radi provođenja kontrole na terenu u 2011. godini, usklađene su sa smjernicama JRC-a, zahtjevima EU regulativa i sa zahtjevima nacionalnog zakonodavstva u 2012. godini. Osigurana je sva potrebna informatička i  tehnička oprema.  </w:t>
      </w:r>
    </w:p>
    <w:p w:rsidR="00AC0832" w:rsidRDefault="00AC0832">
      <w:pPr>
        <w:pStyle w:val="Normal5"/>
      </w:pPr>
      <w:r>
        <w:t xml:space="preserve">Odabir gospodarstava radi kontrola na terenu prihvatljivosti zahtjeva u 2012. godini proveden  je u novo razvijenoj aplikaciji za odabir gospodarstava. Poljoprivredna gospodarstva su odabirana slučajnim odabirom i analizom rizika uz poštivanje elemenata reprezentativnosti utvrđenih od strane APPRRR-a. Kako bi se zajamčila reprezentativnost uzorka, 20% od ukupnog broja poljoprivrednih gospodarstava je odabrano slučajnim odabirom, dok je preostali dio uzorka odabran analizom rizika. Uzorku su dodana i gospodarstva odabrana radi kontrola po drugim osnovama npr. prijave. </w:t>
      </w:r>
    </w:p>
    <w:p w:rsidR="00AC0832" w:rsidRDefault="00AC0832">
      <w:pPr>
        <w:pStyle w:val="Normal5"/>
      </w:pPr>
      <w:r>
        <w:t xml:space="preserve"> </w:t>
      </w:r>
    </w:p>
    <w:p w:rsidR="00AC0832" w:rsidRDefault="00AC0832">
      <w:pPr>
        <w:pStyle w:val="Normal5"/>
      </w:pPr>
      <w:r>
        <w:t xml:space="preserve">2.2. Pripreme za provedbu EAGF-IAKS mjera  - 2013.g. </w:t>
      </w:r>
    </w:p>
    <w:p w:rsidR="00AC0832" w:rsidRDefault="00AC0832">
      <w:pPr>
        <w:pStyle w:val="Normal5"/>
      </w:pPr>
      <w:r>
        <w:t xml:space="preserve">Ulaskom u Europsku uniju u srpnju 2013. godine RH počinje koristiti poljoprivredne fondove iz proračuna Zajedničke poljoprivredne politike EU. Uvjet za korištenje tih fondova je akreditacija Agencije za plaćanja. S ciljem akreditacije, Agencija za plaćanja morala je izgraditi vrlo složenu informatičku infrastrukturu te uspostaviti Integrirani administrativni i kontrolni sustav (IAKS) koji obuhvaća niz standarda i procesa koji su definirani na razini EU, a kojih su se zemlje članice dužne pridržavati prilikom zaprimanja, obrade, kontrole i praćenja zahtjeva poljoprivrednika za izravnu potporu i mjera ruralnog razvoja vezanih uz površinu. </w:t>
      </w:r>
    </w:p>
    <w:p w:rsidR="00AC0832" w:rsidRDefault="00AC0832">
      <w:pPr>
        <w:pStyle w:val="Normal5"/>
      </w:pPr>
      <w:r>
        <w:t xml:space="preserve">Stoga su  uspostavljeni: Upisnik poljoprivrednih gospodarstava - registar svih poljoprivrednika u zemlji, ARKOD -  sustav identifikacije korištenja zemljišnih parcela i satelitski nadzor, Jedinstveni registar domaćih životinja, AGRONET -  internetska aplikacija za elektroničko popunjavanje zahtjeva za potporu, Sustav za evidenciju prava na plaćanja te ISAP – elektronska baza podataka zahtjeva za potporu.            </w:t>
      </w:r>
    </w:p>
    <w:p w:rsidR="00AC0832" w:rsidRDefault="00AC0832">
      <w:pPr>
        <w:pStyle w:val="Normal5"/>
      </w:pPr>
      <w:r>
        <w:t xml:space="preserve">Akreditacije mjera izravne potpore Agencije za plaćanja je započela još krajem 2011. postupkom samoprocjene koju je provodila unutarnja revizija Agencije za plaćanja, a nastavljena je u lipnju 2012. pred-akreditacijskom revizijom vanjske neovisne revizorske tvrtke.  Na osnovi revizorskog izvješća  Ministarstvo poljoprivrede je donijelo 27.12.2012. godine Odluku o dodijeli akreditacije  Agenciji za plaćanja za korištenje sredstava Europskog poljoprivrednog jamstvenog fonda (EAGF) vezano uz provedbu izravnih plaćanja. </w:t>
      </w:r>
    </w:p>
    <w:p w:rsidR="00AC0832" w:rsidRDefault="00AC0832">
      <w:pPr>
        <w:pStyle w:val="Normal5"/>
      </w:pPr>
      <w:r>
        <w:t xml:space="preserve"> </w:t>
      </w:r>
    </w:p>
    <w:p w:rsidR="00AC0832" w:rsidRDefault="00AC0832">
      <w:pPr>
        <w:pStyle w:val="Normal5"/>
      </w:pPr>
      <w:r>
        <w:t xml:space="preserve">2.3. Potpora za plavo gorivo </w:t>
      </w:r>
    </w:p>
    <w:p w:rsidR="00AC0832" w:rsidRDefault="00AC0832">
      <w:pPr>
        <w:pStyle w:val="Normal5"/>
      </w:pPr>
      <w:r>
        <w:t xml:space="preserve">Cijeli proces, od izračuna prava na potrošnju, dodjele prava do uručenja kartice goriva prati se kroz aplikaciju unutar ISAP sustava u modulu „Plavo gorivo“, a FINA dostavlja APPRRR-u  podatke o potrošnji za svakog pojedinog korisnika. </w:t>
      </w:r>
    </w:p>
    <w:p w:rsidR="00AC0832" w:rsidRDefault="00AC0832">
      <w:pPr>
        <w:pStyle w:val="Normal5"/>
      </w:pPr>
      <w:r>
        <w:t xml:space="preserve"> </w:t>
      </w:r>
    </w:p>
    <w:p w:rsidR="00AC0832" w:rsidRDefault="00AC0832">
      <w:pPr>
        <w:pStyle w:val="Normal5"/>
      </w:pPr>
      <w:r>
        <w:t xml:space="preserve">3. MJERE RURALNOG RAZVOJA u 2012.g. obuhvatile su </w:t>
      </w:r>
    </w:p>
    <w:p w:rsidR="00AC0832" w:rsidRDefault="00AC0832">
      <w:pPr>
        <w:pStyle w:val="Normal5"/>
      </w:pPr>
      <w:r>
        <w:t xml:space="preserve">- Potporu kapitalnim ulaganjima u poljoprivredi i ribarstvu </w:t>
      </w:r>
    </w:p>
    <w:p w:rsidR="00AC0832" w:rsidRDefault="00AC0832">
      <w:pPr>
        <w:pStyle w:val="Normal5"/>
      </w:pPr>
      <w:r>
        <w:t xml:space="preserve">- Potporu dohotku </w:t>
      </w:r>
    </w:p>
    <w:p w:rsidR="00AC0832" w:rsidRDefault="00AC0832">
      <w:pPr>
        <w:pStyle w:val="Normal5"/>
      </w:pPr>
      <w:r>
        <w:t xml:space="preserve">- Potporu osiguranju od mogućih šteta proizvodnji u poljoprivredi i ribarstvu </w:t>
      </w:r>
    </w:p>
    <w:p w:rsidR="00AC0832" w:rsidRDefault="00AC0832">
      <w:pPr>
        <w:pStyle w:val="Normal5"/>
      </w:pPr>
      <w:r>
        <w:t xml:space="preserve">- IPARD </w:t>
      </w:r>
    </w:p>
    <w:p w:rsidR="00AC0832" w:rsidRDefault="00AC0832">
      <w:pPr>
        <w:pStyle w:val="Normal5"/>
      </w:pPr>
      <w:r>
        <w:t xml:space="preserve"> </w:t>
      </w:r>
    </w:p>
    <w:p w:rsidR="00AC0832" w:rsidRDefault="00AC0832">
      <w:pPr>
        <w:pStyle w:val="Normal5"/>
      </w:pPr>
      <w:r>
        <w:t xml:space="preserve">4. POTPORE U RIBARSTVU </w:t>
      </w:r>
    </w:p>
    <w:p w:rsidR="00AC0832" w:rsidRDefault="00AC0832">
      <w:pPr>
        <w:pStyle w:val="Normal5"/>
      </w:pPr>
      <w:r>
        <w:t xml:space="preserve">Zahtjeve za poticaje u ribarstvu korisnik podnosi kvartalno Agenciji za plaćanja. Administrativnu kontrolu zahtjeva za model poticanja proizvodnje u ribarstvu provodi Agencija za plaćanja, a administrativna kontrola zahtjeva obuhvaća kontrolu usklađenosti svih podnesenih zahtjeva za potpore sa zakonskim i podzakonskim propisima. Za kontrolu na terenu zahtjeva za model poticanja proizvodnje u ribarstvu zadužena je Agencija za plaćanja, a temeljem Memoranduma o suradnji kontrola je delegirana Upravi ribarstva. </w:t>
      </w:r>
    </w:p>
    <w:p w:rsidR="00AC0832" w:rsidRDefault="00AC0832">
      <w:pPr>
        <w:pStyle w:val="Normal5"/>
      </w:pPr>
      <w:r>
        <w:t xml:space="preserve"> </w:t>
      </w:r>
    </w:p>
    <w:p w:rsidR="00AC0832" w:rsidRDefault="00AC0832">
      <w:pPr>
        <w:pStyle w:val="Normal5"/>
      </w:pPr>
      <w:r>
        <w:t xml:space="preserve">5. TRŽIŠNE MJERE obuhvaćaju: </w:t>
      </w:r>
    </w:p>
    <w:p w:rsidR="00AC0832" w:rsidRDefault="00AC0832">
      <w:pPr>
        <w:pStyle w:val="Normal5"/>
      </w:pPr>
      <w:r>
        <w:t xml:space="preserve">5.1. Uređenje unutarnjeg tržišta - intervencije na tržištu bilinogojstvo, intervencije na tržištu - stočarstvo  </w:t>
      </w:r>
    </w:p>
    <w:p w:rsidR="00AC0832" w:rsidRDefault="00AC0832">
      <w:pPr>
        <w:pStyle w:val="Normal5"/>
      </w:pPr>
      <w:r>
        <w:t xml:space="preserve">5.2. Trgovinski mehanizmi - raspodjela carinskih kvota za poljoprivredno prehrambene proizvode, izdavanje uvoznih i izvoznih dozvola  </w:t>
      </w:r>
    </w:p>
    <w:p w:rsidR="00AC0832" w:rsidRDefault="00AC0832">
      <w:pPr>
        <w:pStyle w:val="Normal5"/>
      </w:pPr>
      <w:r>
        <w:t>5.3. Pripreme za provedbu tržišnih mjera EAGF-a</w:t>
      </w:r>
    </w:p>
    <w:p w:rsidR="00AC0832" w:rsidRDefault="00AC0832">
      <w:pPr>
        <w:pStyle w:val="Heading6"/>
      </w:pPr>
      <w:r>
        <w:t>Zakonske i druge pravne osnove</w:t>
      </w:r>
    </w:p>
    <w:p w:rsidR="00AC0832" w:rsidRDefault="00AC0832">
      <w:pPr>
        <w:pStyle w:val="Normal5"/>
      </w:pPr>
      <w:r>
        <w:t xml:space="preserve">- Zakon o državnoj potpori poljoprivredi i ruralnom razvoju (NN 83/09,140/09,153/09,47/10, 60/10, 61/10, 92/10, 93/10,109/10,127/10, 46/11 i 103/11   124/11); </w:t>
      </w:r>
    </w:p>
    <w:p w:rsidR="00AC0832" w:rsidRDefault="00AC0832">
      <w:pPr>
        <w:pStyle w:val="Normal5"/>
      </w:pPr>
      <w:r>
        <w:t xml:space="preserve">- Pravilnik o provedbi izravnih plaćanja i pojedinih mjera ruralnog razvoja za 2012. godinu (NN 25/12, 51/12 i 121/12); </w:t>
      </w:r>
    </w:p>
    <w:p w:rsidR="00AC0832" w:rsidRDefault="00AC0832">
      <w:pPr>
        <w:pStyle w:val="Normal5"/>
      </w:pPr>
      <w:r>
        <w:t xml:space="preserve">- Zakon o trošarinama (NN 83/09 i 111/12); </w:t>
      </w:r>
    </w:p>
    <w:p w:rsidR="00AC0832" w:rsidRDefault="00AC0832">
      <w:pPr>
        <w:pStyle w:val="Normal5"/>
      </w:pPr>
      <w:r>
        <w:t xml:space="preserve">- Pravilnik o primjeni Zakona o trošarinama što se odnosi na plinsko ulje obojano plavom bojom za namjene u poljoprivredi, ribolovu i akvakulturi (NN 1/10, 44/10, 65/10, 78/10, 131/10 i 144/10, 4/11, 44/11 134/11 i 134/12); </w:t>
      </w:r>
    </w:p>
    <w:p w:rsidR="00AC0832" w:rsidRDefault="00AC0832">
      <w:pPr>
        <w:pStyle w:val="Normal5"/>
      </w:pPr>
      <w:r>
        <w:t xml:space="preserve">- Pravilnik o provedbi mjere potpore dohotku poljoprivrednih gospodarstava (NN 33/12); </w:t>
      </w:r>
    </w:p>
    <w:p w:rsidR="00AC0832" w:rsidRDefault="00AC0832">
      <w:pPr>
        <w:pStyle w:val="Normal5"/>
      </w:pPr>
      <w:r>
        <w:t xml:space="preserve">- Pravilnik o registraciji primarnih proizvođača hrane za životinje (NN 153/11); </w:t>
      </w:r>
    </w:p>
    <w:p w:rsidR="00AC0832" w:rsidRDefault="00AC0832">
      <w:pPr>
        <w:pStyle w:val="Normal5"/>
      </w:pPr>
      <w:r>
        <w:t xml:space="preserve">- Pravilnik o načinu i uvjetima provedbe modela poticanja proizvodnje u ribarstvu (NN 98/10; 34/11; 51/12 i 70/12);  </w:t>
      </w:r>
    </w:p>
    <w:p w:rsidR="00AC0832" w:rsidRDefault="00AC0832">
      <w:pPr>
        <w:pStyle w:val="Normal5"/>
      </w:pPr>
      <w:r>
        <w:t xml:space="preserve">- Zakon o strukturnoj potpori i uređenju tržišta u ribarstvu (NN 153/09, 127/10 i 50/12); </w:t>
      </w:r>
    </w:p>
    <w:p w:rsidR="00AC0832" w:rsidRDefault="00AC0832">
      <w:pPr>
        <w:pStyle w:val="Normal5"/>
      </w:pPr>
      <w:r>
        <w:t xml:space="preserve">- Pravilnik o potpori pri opskrbi redovnih polaznika odgojno-obrazovnih ustanova mlijekom i mliječnim proizvodima (NN 78/2011) </w:t>
      </w:r>
    </w:p>
    <w:p w:rsidR="00AC0832" w:rsidRDefault="00AC0832">
      <w:pPr>
        <w:pStyle w:val="Normal5"/>
      </w:pPr>
      <w:r>
        <w:t xml:space="preserve">- Pravilnik o sustavu proizvodnih ograničenja u sektoru mlijeka (NN 112/2010; 20/2012)  </w:t>
      </w:r>
    </w:p>
    <w:p w:rsidR="00AC0832" w:rsidRDefault="00AC0832">
      <w:pPr>
        <w:pStyle w:val="Normal5"/>
      </w:pPr>
      <w:r>
        <w:t>- Pravilnik o raspodjeli kvote za izvoz u Europsku uniju šećera i proizvoda od šećera podrijetlom iz Republike Hrvatske (NN 100/10).</w:t>
      </w:r>
    </w:p>
    <w:p w:rsidR="00AC0832" w:rsidRDefault="00AC0832">
      <w:pPr>
        <w:pStyle w:val="Heading7"/>
      </w:pPr>
      <w:r>
        <w:t>Cilj 1. Prilagodba sustava potpora poljoprivrednoj proizvodnji i ribarstva sustavu EU</w:t>
      </w:r>
    </w:p>
    <w:p w:rsidR="00AC0832" w:rsidRDefault="00AC0832">
      <w:pPr>
        <w:pStyle w:val="Heading8"/>
        <w:jc w:val="left"/>
      </w:pPr>
      <w:r>
        <w:t>Opis provedbe cilja programa</w:t>
      </w:r>
    </w:p>
    <w:p w:rsidR="00AC0832" w:rsidRDefault="00AC0832">
      <w:pPr>
        <w:pStyle w:val="Normal6"/>
      </w:pPr>
      <w:r>
        <w:t xml:space="preserve">Ulaskom u Europsku uniju u srpnju 2013. godine RH počinje koristiti poljoprivredne fondove iz proračuna Zajedničke poljoprivredne politike EU. Uvjet za korištenje tih fondova je akreditacija Agencije za plaćanja. S ciljem akreditacije, Agencija za plaćanja morala je izgraditi vrlo složenu informatičku infrastrukturu te uspostaviti Integrirani administrativni i kontrolni sustav (IAKS) koji obuhvaća niz standarda i procesa koji su definirani na razini EU, a kojih su se zemlje članice dužne pridržavati prilikom zaprimanja, obrade, kontrole i praćenja zahtjeva poljoprivrednika za izravnu potporu i mjera ruralnog razvoja vezanih uz površinu. </w:t>
      </w:r>
    </w:p>
    <w:p w:rsidR="00AC0832" w:rsidRDefault="00AC0832">
      <w:pPr>
        <w:pStyle w:val="Normal6"/>
      </w:pPr>
      <w:r>
        <w:t>Zbog toga su  uspostavljeni: Upisnik poljoprivrednih gospodarstava - registar svih poljoprivrednika u zemlji, ARKOD -  sustav identifikacije korištenja zemljišnih parcela i satelitski nadzor, Jedinstveni registar domaćih životinja, AGRONET - internetska aplikacija za elektroničko popunjavanje zahtjeva za potporu, Sustav za evidenciju prava na plaćanja te ISAP – elektronska baza podataka zahtjeva za potporu.</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7"/>
        <w:gridCol w:w="1673"/>
        <w:gridCol w:w="1184"/>
        <w:gridCol w:w="1225"/>
        <w:gridCol w:w="1217"/>
        <w:gridCol w:w="1225"/>
        <w:gridCol w:w="124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Provedba programa strukturne potpore prema modelu EU</w:t>
            </w:r>
          </w:p>
        </w:tc>
        <w:tc>
          <w:tcPr>
            <w:tcW w:w="1300" w:type="dxa"/>
          </w:tcPr>
          <w:p w:rsidR="00AC0832" w:rsidRDefault="00AC0832">
            <w:pPr>
              <w:pStyle w:val="CellColumn"/>
            </w:pPr>
            <w:r>
              <w:t>Kroz uvođenje mjera strukturne potpore korisnicima se približava sustav strukturnih potpora po uzoru na EU, i priprema ih se   za ukidanje sustava izravnih plaćanja (poticaja)</w:t>
            </w:r>
          </w:p>
        </w:tc>
        <w:tc>
          <w:tcPr>
            <w:tcW w:w="1300" w:type="dxa"/>
          </w:tcPr>
          <w:p w:rsidR="00AC0832" w:rsidRDefault="00AC0832">
            <w:pPr>
              <w:pStyle w:val="CellColumn"/>
            </w:pPr>
            <w:r>
              <w:t>%</w:t>
            </w:r>
          </w:p>
        </w:tc>
        <w:tc>
          <w:tcPr>
            <w:tcW w:w="1300" w:type="dxa"/>
          </w:tcPr>
          <w:p w:rsidR="00AC0832" w:rsidRDefault="00AC0832">
            <w:pPr>
              <w:pStyle w:val="CellColumn"/>
            </w:pPr>
            <w:r>
              <w:t>20</w:t>
            </w:r>
          </w:p>
        </w:tc>
        <w:tc>
          <w:tcPr>
            <w:tcW w:w="1300" w:type="dxa"/>
          </w:tcPr>
          <w:p w:rsidR="00AC0832" w:rsidRDefault="00AC0832">
            <w:pPr>
              <w:pStyle w:val="CellColumn"/>
            </w:pPr>
            <w:r>
              <w:t>APPRRR</w:t>
            </w:r>
          </w:p>
        </w:tc>
        <w:tc>
          <w:tcPr>
            <w:tcW w:w="1300" w:type="dxa"/>
          </w:tcPr>
          <w:p w:rsidR="00AC0832" w:rsidRDefault="00AC0832">
            <w:pPr>
              <w:pStyle w:val="CellColumn"/>
            </w:pPr>
            <w:r>
              <w:t>30</w:t>
            </w:r>
          </w:p>
        </w:tc>
        <w:tc>
          <w:tcPr>
            <w:tcW w:w="1300" w:type="dxa"/>
          </w:tcPr>
          <w:p w:rsidR="00AC0832" w:rsidRDefault="00AC0832">
            <w:pPr>
              <w:pStyle w:val="CellColumn"/>
            </w:pPr>
            <w:r>
              <w:t>30</w:t>
            </w:r>
          </w:p>
        </w:tc>
      </w:tr>
      <w:tr w:rsidR="00AC0832" w:rsidTr="00BE20ED">
        <w:trPr>
          <w:jc w:val="center"/>
        </w:trPr>
        <w:tc>
          <w:tcPr>
            <w:tcW w:w="1300" w:type="dxa"/>
          </w:tcPr>
          <w:p w:rsidR="00AC0832" w:rsidRDefault="00AC0832">
            <w:pPr>
              <w:pStyle w:val="CellColumn"/>
            </w:pPr>
            <w:r>
              <w:t>Povećanje prosječne veličine korištene poljoprivredne površine posjeda OPG</w:t>
            </w:r>
          </w:p>
        </w:tc>
        <w:tc>
          <w:tcPr>
            <w:tcW w:w="1300" w:type="dxa"/>
          </w:tcPr>
          <w:p w:rsidR="00AC0832" w:rsidRDefault="00AC0832">
            <w:pPr>
              <w:pStyle w:val="CellColumn"/>
            </w:pPr>
            <w:r>
              <w:t>Okrupnjeni posjed omogućuje racionalnije korištenje proizvodnih resursa.</w:t>
            </w:r>
          </w:p>
        </w:tc>
        <w:tc>
          <w:tcPr>
            <w:tcW w:w="1300" w:type="dxa"/>
          </w:tcPr>
          <w:p w:rsidR="00AC0832" w:rsidRDefault="00AC0832">
            <w:pPr>
              <w:pStyle w:val="CellColumn"/>
            </w:pPr>
            <w:r>
              <w:t>ha</w:t>
            </w:r>
          </w:p>
        </w:tc>
        <w:tc>
          <w:tcPr>
            <w:tcW w:w="1300" w:type="dxa"/>
          </w:tcPr>
          <w:p w:rsidR="00AC0832" w:rsidRDefault="00AC0832">
            <w:pPr>
              <w:pStyle w:val="CellColumn"/>
            </w:pPr>
            <w:r>
              <w:t>5,3</w:t>
            </w:r>
          </w:p>
        </w:tc>
        <w:tc>
          <w:tcPr>
            <w:tcW w:w="1300" w:type="dxa"/>
          </w:tcPr>
          <w:p w:rsidR="00AC0832" w:rsidRDefault="00AC0832">
            <w:pPr>
              <w:pStyle w:val="CellColumn"/>
            </w:pPr>
            <w:r>
              <w:t>MP</w:t>
            </w:r>
          </w:p>
        </w:tc>
        <w:tc>
          <w:tcPr>
            <w:tcW w:w="1300" w:type="dxa"/>
          </w:tcPr>
          <w:p w:rsidR="00AC0832" w:rsidRDefault="00AC0832">
            <w:pPr>
              <w:pStyle w:val="CellColumn"/>
            </w:pPr>
            <w:r>
              <w:t>15</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Podizanje svijesti  javnosti o dostupnim mogućnostima financiranja iz sredstava EU i nacionalnih sredstava.</w:t>
            </w:r>
          </w:p>
        </w:tc>
        <w:tc>
          <w:tcPr>
            <w:tcW w:w="1300" w:type="dxa"/>
          </w:tcPr>
          <w:p w:rsidR="00AC0832" w:rsidRDefault="00AC0832">
            <w:pPr>
              <w:pStyle w:val="CellColumn"/>
            </w:pPr>
            <w:r>
              <w:t>Obraćanje široj javnosti, s posebnim naglaskom na ciljanu skupinu koja se sastoji od poljoprivrednika, novinara (masovni mediji), institucija koje su vezane uz poljoprivredu i nevladinih organizacija</w:t>
            </w:r>
          </w:p>
        </w:tc>
        <w:tc>
          <w:tcPr>
            <w:tcW w:w="1300" w:type="dxa"/>
          </w:tcPr>
          <w:p w:rsidR="00AC0832" w:rsidRDefault="00AC0832">
            <w:pPr>
              <w:pStyle w:val="CellColumn"/>
            </w:pPr>
            <w:r>
              <w:t>index (bazna 2011.g)</w:t>
            </w:r>
          </w:p>
        </w:tc>
        <w:tc>
          <w:tcPr>
            <w:tcW w:w="1300" w:type="dxa"/>
          </w:tcPr>
          <w:p w:rsidR="00AC0832" w:rsidRDefault="00AC0832">
            <w:pPr>
              <w:pStyle w:val="CellColumn"/>
            </w:pPr>
            <w:r>
              <w:t>100</w:t>
            </w:r>
          </w:p>
        </w:tc>
        <w:tc>
          <w:tcPr>
            <w:tcW w:w="1300" w:type="dxa"/>
          </w:tcPr>
          <w:p w:rsidR="00AC0832" w:rsidRDefault="00AC0832">
            <w:pPr>
              <w:pStyle w:val="CellColumn"/>
            </w:pPr>
            <w:r>
              <w:t>APPRRR</w:t>
            </w:r>
          </w:p>
        </w:tc>
        <w:tc>
          <w:tcPr>
            <w:tcW w:w="1300" w:type="dxa"/>
          </w:tcPr>
          <w:p w:rsidR="00AC0832" w:rsidRDefault="00AC0832">
            <w:pPr>
              <w:pStyle w:val="CellColumn"/>
            </w:pPr>
            <w:r>
              <w:t>120</w:t>
            </w:r>
          </w:p>
        </w:tc>
        <w:tc>
          <w:tcPr>
            <w:tcW w:w="1300" w:type="dxa"/>
          </w:tcPr>
          <w:p w:rsidR="00AC0832" w:rsidRDefault="00AC0832">
            <w:pPr>
              <w:pStyle w:val="CellColumn"/>
            </w:pPr>
            <w:r>
              <w:t>110</w:t>
            </w:r>
          </w:p>
        </w:tc>
      </w:tr>
    </w:tbl>
    <w:p w:rsidR="00AC0832" w:rsidRDefault="00AC0832">
      <w:pPr>
        <w:jc w:val="left"/>
      </w:pPr>
    </w:p>
    <w:p w:rsidR="00AC0832" w:rsidRDefault="00AC0832">
      <w:pPr>
        <w:pStyle w:val="Heading6"/>
      </w:pPr>
      <w:r>
        <w:t>A841001 ADMINISTRACIJA I UPRAVLJANJE AGENCIJE ZA PLAĆANJA U POLJOPRIVREDI, RIBARSTVU I RURALNOM RAZVOJU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A841001-ADMINISTRACIJA I UPRAVLJANJE AGENCIJE ZA PLAĆANJA U POLJOPRIVREDI, RIBARSTVU I RURALNOM RAZVOJU</w:t>
            </w:r>
          </w:p>
        </w:tc>
        <w:tc>
          <w:tcPr>
            <w:tcW w:w="2322" w:type="dxa"/>
          </w:tcPr>
          <w:p w:rsidR="00AC0832" w:rsidRDefault="00AC0832">
            <w:pPr>
              <w:pStyle w:val="CellColumn"/>
            </w:pPr>
            <w:r>
              <w:t>102.625.000</w:t>
            </w:r>
          </w:p>
        </w:tc>
        <w:tc>
          <w:tcPr>
            <w:tcW w:w="2322" w:type="dxa"/>
          </w:tcPr>
          <w:p w:rsidR="00AC0832" w:rsidRDefault="00AC0832">
            <w:pPr>
              <w:pStyle w:val="CellColumn"/>
            </w:pPr>
            <w:r>
              <w:t>97.153.496</w:t>
            </w:r>
          </w:p>
        </w:tc>
        <w:tc>
          <w:tcPr>
            <w:tcW w:w="2322" w:type="dxa"/>
          </w:tcPr>
          <w:p w:rsidR="00AC0832" w:rsidRDefault="00AC0832">
            <w:pPr>
              <w:pStyle w:val="CellColumn"/>
            </w:pPr>
            <w:r>
              <w:t>94,7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Tijekom 2012.g. napravljena je analiza obima posla za 2012. i 2013.g., sukladno preporukama EK. U mjesecu listopadu 2012. godine na sjednici Upravnog vijeća APPRRR-a usvojen je Pravilnik o unutarnjem ustroju i sistematizaciji radnih mjesta kojim je sistematizirano ukupno 660 radnih mjesta, od čega 331 radno mjesto u središnjem uredu i 329 radnih mjesta u regionalnim uredima.Nakon usvajanja navedenog Pravilnika u Agenciju za plaćanja prešao je dio radnika iz HPA (48).  Također je na sjednici Upravnog vijeća APPRRR-a u mjesecu listopadu 2012. godine usvojen i Plan zapošljavanja za 2012. i 2013. godinu, sukladno kojem će se u Agenciji za plaćanja putem javnih natječaja popunjavati slobodna sistematizirana radna mjesta tijekom 2013. godine. Ljudi su zaposleni krajem godine, pa nije iskorišten u potpunosti iznos planiran za plaće (iskorišteni 97% na stavci rashodi za zaposlene). </w:t>
      </w:r>
    </w:p>
    <w:p w:rsidR="00AC0832" w:rsidRDefault="00AC0832">
      <w:pPr>
        <w:pStyle w:val="Normal6"/>
      </w:pPr>
      <w:r>
        <w:t xml:space="preserve">Na dan 31. prosinca 2012. godine u Agenciji za plaćanja zaposleno je ukupno 552 radnika, od toga 278 radnika u središnjem uredu i 274 radnika u regionalnim uredima. Od ukupnog broja zaposlenih 84% ima fakultetsko obrazovanje, većinom iz područja agronomije i ekonomije. Polovica radnika je mlađa od 40 godina, a 2/3 svih zaposlenih su žene.  </w:t>
      </w:r>
    </w:p>
    <w:p w:rsidR="00AC0832" w:rsidRDefault="00AC0832">
      <w:pPr>
        <w:pStyle w:val="Normal6"/>
      </w:pPr>
      <w:r>
        <w:t xml:space="preserve">Agencija za plaćanja je tijekom 2012.g. provodila edukacije vodeći brigu o tome da svi radnici budu educirani kako bi mogli kvalitetnije, efikasnije i učinkovitije obavljati zadane poslove. Osim edukacije vezane uz zakonske promjene, radnici prolaze i specifične edukacije. Specifična edukacija predstavlja ključan dio edukacije i usko je vezana uz module koju su planirani za svakog pojedinog radnika, ovisno o radnim dužnostima i budućim zadacima. Tako je tijekom 2012. godine odrađeno 113 specifičnih edukacija koje su uglavnom strukturirane u skladu sa shemama potpora. Najčešće pohađana edukacija u 2012. godini je „Proces podnošenja zahtjeva putem Agroneta – novo u kampanji 2012 / proces zaprimanja i obrade zahtjeva za 2012. godinu“ i pohađao ju je 271 zaposlenik (46.40%). Najmanje jednu edukaciju prošlo je 426 zaposlenika (72.95%) na razini čitave Agencije. </w:t>
      </w:r>
    </w:p>
    <w:p w:rsidR="00AC0832" w:rsidRDefault="00AC0832">
      <w:pPr>
        <w:pStyle w:val="Normal6"/>
      </w:pPr>
      <w:r>
        <w:t xml:space="preserve">Sukladno „Komunikacijskoj strategiji Agencije za plaćanja“,  tijekom 2012. nastavljene su promotivo-informativne aktivnosti s ciljem pravovremenog pružanja relevantnih informacija javnosti i posebno korisnicima, kao i radi daljnjeg jačanja povjerenja javnosti u aktivnosti APPRRR-a te vezanih institucija. Provedeno je i posebno medijsko informiranje o prednostima koje hrvatskim poljoprivrednicima donosi članstvo RH u EU i Zajednička poljoprivredna politika.  </w:t>
      </w:r>
    </w:p>
    <w:p w:rsidR="00AC0832" w:rsidRDefault="00AC0832">
      <w:pPr>
        <w:pStyle w:val="Normal6"/>
      </w:pPr>
      <w:r>
        <w:t xml:space="preserve">Internetska stranica APPRRR u 2012. godini zabilježila je 404 002 posjeta. Na prezentacijama koje su u županijama provodili djelatnici APPRRR-a bilo je ukupno preko 1000 sudionika - i to predstavnika poljoprivrednih gospodarstava, zadruga te predstavnika partnerskih institucija (Hrvatske poljoprivredne agencije i Poljoprivredne savjetodavne službe).  </w:t>
      </w:r>
    </w:p>
    <w:p w:rsidR="00AC0832" w:rsidRDefault="00AC0832">
      <w:pPr>
        <w:pStyle w:val="Normal6"/>
      </w:pPr>
      <w:r>
        <w:t>Za potrebe informiranja javnosti o IPARD programu, kao i za potrebe samih potencijalnih korisnika, Odjel za odnose s javnošću, u suradnji s ostalim sektorima i odjelima Agencije koji rade na provedbi IPARD programa, ažurirao je Vodiče za korisnike za mjeru 101 i za mjeru 103, te pripremio Vodič za korisnike za mjeru 302 i Vodič za korisnike za mjeru 202 IPARD programa. U sklopu EU projekta IPA 2007- komponente Tehničke pomoći financirana je priprema i provedba informativne kampanje kojoj je glavni cilj bio informiranje hrvatskih poljoprivrednika o Zajedničkoj poljoprivrednoj politici EU, odnosno o tome što hrvatski poljoprivrednik dobiva ulaskom u EU. Spotovi, dokumentarni film emitirani su na televiziji i radiju, a tiskane su i slijedeće brošure:</w:t>
      </w:r>
      <w:r>
        <w:tab/>
        <w:t>„Agencija za plaćanja u poljoprivredi, ribarstvu I ruralnom razvoju“   (4000 HR +1000 ENG primjeraka), „Vodič kroz Zajedničku poljoprivrednu politiku Europske unije“ (15 000 primjeraka),</w:t>
      </w:r>
      <w:r>
        <w:tab/>
        <w:t xml:space="preserve">„Vodič kroz sustav mliječnih kvota“ (30 000 primjeraka), „Priručnik za poljoprivredna gospodarstva- Kako ostvariti izravne potpore u 2012. godini“ (100 000 primjeraka) i  „Vodič kroz višestruku sukladnost“ (100 000 primjeraka).  </w:t>
      </w:r>
    </w:p>
    <w:p w:rsidR="00AC0832" w:rsidRDefault="00AC0832">
      <w:pPr>
        <w:pStyle w:val="Normal6"/>
      </w:pPr>
      <w:r>
        <w:t xml:space="preserve">Provedena su i isitraživanja vezana uz rezultate kampanje, a  ona se mogu ukratko sažeti: stupanj svijesti o promjenama koje očekuju poljoprivrednike pri pristupanju EU povećan je u odnosu na 2011. godinu (32.5%) – iznosio je 40.2%, tj. toliko od ispitanih poljoprivrednika smatra da su barem djelomično informirani o tim predstojećim promjenama.   </w:t>
      </w:r>
    </w:p>
    <w:p w:rsidR="00AC0832" w:rsidRDefault="00AC0832">
      <w:pPr>
        <w:pStyle w:val="Normal6"/>
      </w:pPr>
      <w:r>
        <w:t xml:space="preserve">U usporedbi s rezultatima početne ankete, postoje regionalne razlike u procjeni svijesti poljoprivrednika o ZPP-u: poljoprivrednici iz sjevernih krajeva RH i iz Slavonije bolje su informirani. </w:t>
      </w:r>
    </w:p>
    <w:p w:rsidR="00AC0832" w:rsidRDefault="00AC0832">
      <w:pPr>
        <w:pStyle w:val="Normal6"/>
      </w:pPr>
      <w:r>
        <w:t xml:space="preserve">Međunarodnu suradnju, posebice onu s institucijama i službama EU u Bruxelles-u te s institucijama zemalja članica Unije i zemljama kandidatkinjama za članstvo u EU, Agencija za plaćanja kontinuirano planira, organizirai  provodi. To uključuje rad na projektima, kontakte s relevantnim inozemnim institucijama radi uspostavljanja, održavanja i/ili širenja poslovne suradnje, organizacije i realizacije službenih posjeta te razmjene iskustava i organiziranja inozemnih edukacija djelatnika. Agencija za plaćanja u poljoprivredi, ribarstvu i ruralnom razvoju je, kao potvrdu predanosti suradnji s drugim agencijama i vezanim institucijama, tijekom 2012. godine potpisala 3 bilateralna i jedan trilateralni sporazum o suradnji. </w:t>
      </w:r>
    </w:p>
    <w:p w:rsidR="00AC0832" w:rsidRDefault="00AC0832">
      <w:pPr>
        <w:pStyle w:val="Normal6"/>
      </w:pPr>
      <w:r>
        <w:t xml:space="preserve">Tijekom godine odrađeni su poslovi koji se odnose na zaprimanja, dostave u rad, praćenje rješavanja i potpisivanja, otpreme, arhiviranja i izvješćivanja o evidentiranim unosima koji se obavljao  u regionalnim uredima i središnjem uredu Agencije.  </w:t>
      </w:r>
    </w:p>
    <w:p w:rsidR="00AC0832" w:rsidRDefault="00AC0832">
      <w:pPr>
        <w:pStyle w:val="Normal6"/>
      </w:pPr>
      <w:r>
        <w:t xml:space="preserve">Započet je rad na unosu podataka u ARHINET (digitalni oblik arhiviranih podataka) temeljem ugovora s Hrvatskim državnim arhivom. Donesen je Pravilnik o zaštiti arhivskog i registraturnog gradiva Agencije za plaćanja u poljoprivredi, ribarstvu i ruralnom razvoju i Posebni popis gradiva Agencije za plaćanja u poljoprivredi, ribarstvu i ruralnom razvoju s rokovima čuvanja. </w:t>
      </w:r>
    </w:p>
    <w:p w:rsidR="00AC0832" w:rsidRDefault="00AC0832">
      <w:pPr>
        <w:pStyle w:val="Normal6"/>
      </w:pPr>
      <w:r>
        <w:t xml:space="preserve">U listopadu je započeo proces konsolidacije i integracije regionalnih ureda Agencije za plaćanja te je do konca godine preseljeno 14 regionalnih ureda (od ukupno 21) dok je 29 ispostava pripojeno regionalnih uredima (od ukupno 57), a završetak procesa se očekuje u prvom kvartalu 2013. godine. Preseljenje u prostore FINE je zbog procedualnih razloga (pronalaženje prostora, ugovaranje i sl) započelo tek krajem godine, umjesto sredinom godine pa je iznos iskorištenih sredstva na zakupninama i najamninama (3235) iskorišten 86%. </w:t>
      </w:r>
    </w:p>
    <w:p w:rsidR="00AC0832" w:rsidRDefault="00AC0832">
      <w:pPr>
        <w:pStyle w:val="Normal6"/>
      </w:pPr>
      <w:r>
        <w:t xml:space="preserve">Sredstva predviđena za intelektualne i osobne usluge (3237) iskorištena su 73% od planiranih zbog nemogućnosti obrade svih pristiglih zahtjeva za mjeru 301, a samim time i nemogućnosti angažiranja građevinskih stručnjaka. Projekti su prebačeni za realizaciju u 2013.g. </w:t>
      </w:r>
    </w:p>
    <w:p w:rsidR="00AC0832" w:rsidRDefault="00AC0832">
      <w:pPr>
        <w:pStyle w:val="Normal6"/>
      </w:pPr>
      <w:r>
        <w:t xml:space="preserve">Do značajnijih odstupanja došlo je i kod komunikacijske opreme (4222), ugovor je potpisan u 2012.g., ali oprema je isporučena u 2013.g. </w:t>
      </w:r>
    </w:p>
    <w:p w:rsidR="00AC0832" w:rsidRDefault="00AC0832">
      <w:pPr>
        <w:pStyle w:val="Normal6"/>
      </w:pPr>
      <w:r>
        <w:t xml:space="preserve">Postupcima javne nabave osigurava se nesmetano izvršenje osnovnih funkcija Agencije za plaćanja (nabava uredskog materijala, naftnih derivata, čišćenje poslovnih prostora i sl.), vrše nabave usluga vezanih za razvoj i održavanje Informacijskog sustava Agencije i informatičke infrastrukture te nabave vezane za provedbu IAKS-a u RH.  </w:t>
      </w:r>
    </w:p>
    <w:p w:rsidR="00AC0832" w:rsidRDefault="00AC0832">
      <w:pPr>
        <w:pStyle w:val="Normal6"/>
      </w:pPr>
      <w:r>
        <w:t>Agencija za plaćanja je u 2012. godini na temelju provedenih postupaka javne nabave zaključila 13 ugovora.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2"/>
        <w:gridCol w:w="1451"/>
        <w:gridCol w:w="1264"/>
        <w:gridCol w:w="1276"/>
        <w:gridCol w:w="1286"/>
        <w:gridCol w:w="1276"/>
        <w:gridCol w:w="128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Zapošljavanje novih ljudi</w:t>
            </w:r>
          </w:p>
        </w:tc>
        <w:tc>
          <w:tcPr>
            <w:tcW w:w="1300" w:type="dxa"/>
          </w:tcPr>
          <w:p w:rsidR="00AC0832" w:rsidRDefault="00AC0832">
            <w:pPr>
              <w:pStyle w:val="CellColumn"/>
            </w:pPr>
            <w:r>
              <w:t>Zapošljavanje ljudi putem javnih natječaja</w:t>
            </w:r>
          </w:p>
        </w:tc>
        <w:tc>
          <w:tcPr>
            <w:tcW w:w="1300" w:type="dxa"/>
          </w:tcPr>
          <w:p w:rsidR="00AC0832" w:rsidRDefault="00AC0832">
            <w:pPr>
              <w:pStyle w:val="CellColumn"/>
            </w:pPr>
            <w:r>
              <w:t>Broj</w:t>
            </w:r>
          </w:p>
        </w:tc>
        <w:tc>
          <w:tcPr>
            <w:tcW w:w="1300" w:type="dxa"/>
          </w:tcPr>
          <w:p w:rsidR="00AC0832" w:rsidRDefault="00AC0832">
            <w:pPr>
              <w:pStyle w:val="CellColumn"/>
            </w:pPr>
            <w:r>
              <w:t>460</w:t>
            </w:r>
          </w:p>
        </w:tc>
        <w:tc>
          <w:tcPr>
            <w:tcW w:w="1300" w:type="dxa"/>
          </w:tcPr>
          <w:p w:rsidR="00AC0832" w:rsidRDefault="00AC0832">
            <w:pPr>
              <w:pStyle w:val="CellColumn"/>
            </w:pPr>
            <w:r>
              <w:t>Kadrovska evidencija APPRRR</w:t>
            </w:r>
          </w:p>
        </w:tc>
        <w:tc>
          <w:tcPr>
            <w:tcW w:w="1300" w:type="dxa"/>
          </w:tcPr>
          <w:p w:rsidR="00AC0832" w:rsidRDefault="00AC0832">
            <w:pPr>
              <w:pStyle w:val="CellColumn"/>
            </w:pPr>
            <w:r>
              <w:t>550</w:t>
            </w:r>
          </w:p>
        </w:tc>
        <w:tc>
          <w:tcPr>
            <w:tcW w:w="1300" w:type="dxa"/>
          </w:tcPr>
          <w:p w:rsidR="00AC0832" w:rsidRDefault="00AC0832">
            <w:pPr>
              <w:pStyle w:val="CellColumn"/>
            </w:pPr>
            <w:r>
              <w:t>552</w:t>
            </w:r>
          </w:p>
        </w:tc>
      </w:tr>
      <w:tr w:rsidR="00AC0832" w:rsidTr="00BE20ED">
        <w:trPr>
          <w:jc w:val="center"/>
        </w:trPr>
        <w:tc>
          <w:tcPr>
            <w:tcW w:w="1300" w:type="dxa"/>
          </w:tcPr>
          <w:p w:rsidR="00AC0832" w:rsidRDefault="00AC0832">
            <w:pPr>
              <w:pStyle w:val="CellColumn"/>
            </w:pPr>
            <w:r>
              <w:t>Edukacija</w:t>
            </w:r>
          </w:p>
        </w:tc>
        <w:tc>
          <w:tcPr>
            <w:tcW w:w="1300" w:type="dxa"/>
          </w:tcPr>
          <w:p w:rsidR="00AC0832" w:rsidRDefault="00AC0832">
            <w:pPr>
              <w:pStyle w:val="CellColumn"/>
            </w:pPr>
            <w:r>
              <w:t>Radnici prema Osobnom planu izobrazbe prolaze specifičnu edukaciju</w:t>
            </w:r>
          </w:p>
        </w:tc>
        <w:tc>
          <w:tcPr>
            <w:tcW w:w="1300" w:type="dxa"/>
          </w:tcPr>
          <w:p w:rsidR="00AC0832" w:rsidRDefault="00AC0832">
            <w:pPr>
              <w:pStyle w:val="CellColumn"/>
            </w:pPr>
            <w:r>
              <w:t>%</w:t>
            </w:r>
          </w:p>
        </w:tc>
        <w:tc>
          <w:tcPr>
            <w:tcW w:w="1300" w:type="dxa"/>
          </w:tcPr>
          <w:p w:rsidR="00AC0832" w:rsidRDefault="00AC0832">
            <w:pPr>
              <w:pStyle w:val="CellColumn"/>
            </w:pPr>
            <w:r>
              <w:t>62</w:t>
            </w:r>
          </w:p>
        </w:tc>
        <w:tc>
          <w:tcPr>
            <w:tcW w:w="1300" w:type="dxa"/>
          </w:tcPr>
          <w:p w:rsidR="00AC0832" w:rsidRDefault="00AC0832">
            <w:pPr>
              <w:pStyle w:val="CellColumn"/>
            </w:pPr>
            <w:r>
              <w:t>Evidencija APPRRR</w:t>
            </w:r>
          </w:p>
        </w:tc>
        <w:tc>
          <w:tcPr>
            <w:tcW w:w="1300" w:type="dxa"/>
          </w:tcPr>
          <w:p w:rsidR="00AC0832" w:rsidRDefault="00AC0832">
            <w:pPr>
              <w:pStyle w:val="CellColumn"/>
            </w:pPr>
            <w:r>
              <w:t>70</w:t>
            </w:r>
          </w:p>
        </w:tc>
        <w:tc>
          <w:tcPr>
            <w:tcW w:w="1300" w:type="dxa"/>
          </w:tcPr>
          <w:p w:rsidR="00AC0832" w:rsidRDefault="00AC0832">
            <w:pPr>
              <w:pStyle w:val="CellColumn"/>
            </w:pPr>
            <w:r>
              <w:t>72,95</w:t>
            </w:r>
          </w:p>
        </w:tc>
      </w:tr>
    </w:tbl>
    <w:p w:rsidR="00AC0832" w:rsidRDefault="00AC0832">
      <w:pPr>
        <w:jc w:val="left"/>
      </w:pPr>
    </w:p>
    <w:p w:rsidR="00AC0832" w:rsidRDefault="00AC0832">
      <w:pPr>
        <w:pStyle w:val="Heading6"/>
      </w:pPr>
      <w:r>
        <w:t>K841002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K841002-INFORMATIZACIJA</w:t>
            </w:r>
          </w:p>
        </w:tc>
        <w:tc>
          <w:tcPr>
            <w:tcW w:w="2322" w:type="dxa"/>
          </w:tcPr>
          <w:p w:rsidR="00AC0832" w:rsidRDefault="00AC0832">
            <w:pPr>
              <w:pStyle w:val="CellColumn"/>
            </w:pPr>
            <w:r>
              <w:t>18.726.185</w:t>
            </w:r>
          </w:p>
        </w:tc>
        <w:tc>
          <w:tcPr>
            <w:tcW w:w="2322" w:type="dxa"/>
          </w:tcPr>
          <w:p w:rsidR="00AC0832" w:rsidRDefault="00AC0832">
            <w:pPr>
              <w:pStyle w:val="CellColumn"/>
            </w:pPr>
            <w:r>
              <w:t>18.366.774</w:t>
            </w:r>
          </w:p>
        </w:tc>
        <w:tc>
          <w:tcPr>
            <w:tcW w:w="2322" w:type="dxa"/>
          </w:tcPr>
          <w:p w:rsidR="00AC0832" w:rsidRDefault="00AC0832">
            <w:pPr>
              <w:pStyle w:val="CellColumn"/>
            </w:pPr>
            <w:r>
              <w:t>98,1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2012. godini napravljena je migracija VMWare (ESX) virtualizacijske platforme na Microsoft Hyper-V. Uspostavljen je kontinuitet poslovanja BCP/DR na IT sustavu Agencije za plaćanja. Nabavljena je nova opreme i napravljene su aktivnosti unaprjeđenja IT sustava: </w:t>
      </w:r>
    </w:p>
    <w:p w:rsidR="00AC0832" w:rsidRDefault="00AC0832">
      <w:pPr>
        <w:pStyle w:val="Normal6"/>
      </w:pPr>
      <w:r>
        <w:t>• Izgrađen pričuvni sustav za oporavak</w:t>
      </w:r>
      <w:r>
        <w:tab/>
        <w:t xml:space="preserve"> </w:t>
      </w:r>
    </w:p>
    <w:p w:rsidR="00AC0832" w:rsidRDefault="00AC0832">
      <w:pPr>
        <w:pStyle w:val="Normal6"/>
      </w:pPr>
      <w:r>
        <w:t>• Uspostavljen kontinuitet poslovanja za sustav za razmjenu elektroničke pošte</w:t>
      </w:r>
      <w:r>
        <w:tab/>
        <w:t xml:space="preserve"> </w:t>
      </w:r>
    </w:p>
    <w:p w:rsidR="00AC0832" w:rsidRDefault="00AC0832">
      <w:pPr>
        <w:pStyle w:val="Normal6"/>
      </w:pPr>
      <w:r>
        <w:t>• Implementiran sustav za upravljanje i analizu sigurnosnih i sistemskih zapisa</w:t>
      </w:r>
      <w:r>
        <w:tab/>
        <w:t xml:space="preserve"> </w:t>
      </w:r>
    </w:p>
    <w:p w:rsidR="00AC0832" w:rsidRDefault="00AC0832">
      <w:pPr>
        <w:pStyle w:val="Normal6"/>
      </w:pPr>
      <w:r>
        <w:t>• Implementiran sustav za snimanje korisničkih aktivnosti na računalu</w:t>
      </w:r>
      <w:r>
        <w:tab/>
        <w:t xml:space="preserve"> </w:t>
      </w:r>
    </w:p>
    <w:p w:rsidR="00AC0832" w:rsidRDefault="00AC0832">
      <w:pPr>
        <w:pStyle w:val="Normal6"/>
      </w:pPr>
      <w:r>
        <w:t>• Implementiran sustav Microsoft TMG poslužitelja i zaštite HTTP prometa</w:t>
      </w:r>
      <w:r>
        <w:tab/>
        <w:t xml:space="preserve"> </w:t>
      </w:r>
    </w:p>
    <w:p w:rsidR="00AC0832" w:rsidRDefault="00AC0832">
      <w:pPr>
        <w:pStyle w:val="Normal6"/>
      </w:pPr>
      <w:r>
        <w:t>• Implementiran sustav imeničkog servisa u demilitariziranoj zoni</w:t>
      </w:r>
      <w:r>
        <w:tab/>
        <w:t xml:space="preserve"> </w:t>
      </w:r>
    </w:p>
    <w:p w:rsidR="00AC0832" w:rsidRDefault="00AC0832">
      <w:pPr>
        <w:pStyle w:val="Normal6"/>
      </w:pPr>
      <w:r>
        <w:t>• Implementiran sustav za nadzor rada poslužitelja i servisa</w:t>
      </w:r>
      <w:r>
        <w:tab/>
        <w:t xml:space="preserve"> </w:t>
      </w:r>
    </w:p>
    <w:p w:rsidR="00AC0832" w:rsidRDefault="00AC0832">
      <w:pPr>
        <w:pStyle w:val="Normal6"/>
      </w:pPr>
      <w:r>
        <w:t>• Implementiran sustav za upravljanje konfiguracijom računala</w:t>
      </w:r>
      <w:r>
        <w:tab/>
        <w:t xml:space="preserve"> </w:t>
      </w:r>
    </w:p>
    <w:p w:rsidR="00AC0832" w:rsidRDefault="00AC0832">
      <w:pPr>
        <w:pStyle w:val="Normal6"/>
      </w:pPr>
      <w:r>
        <w:t>• Implementiran sustav za upravljanje korisničkim zahtjevima</w:t>
      </w:r>
      <w:r>
        <w:tab/>
        <w:t xml:space="preserve"> </w:t>
      </w:r>
    </w:p>
    <w:p w:rsidR="00AC0832" w:rsidRDefault="00AC0832">
      <w:pPr>
        <w:pStyle w:val="Normal6"/>
      </w:pPr>
      <w:r>
        <w:t xml:space="preserve">• Implementiran sustav centraliziranog AAA nadzora mrežne opreme </w:t>
      </w:r>
    </w:p>
    <w:p w:rsidR="00AC0832" w:rsidRDefault="00AC0832">
      <w:pPr>
        <w:pStyle w:val="Normal6"/>
      </w:pPr>
      <w:r>
        <w:t>• Implementiran vatrozid u poslužiteljski segment</w:t>
      </w:r>
      <w:r>
        <w:tab/>
        <w:t xml:space="preserve"> </w:t>
      </w:r>
    </w:p>
    <w:p w:rsidR="00AC0832" w:rsidRDefault="00AC0832">
      <w:pPr>
        <w:pStyle w:val="Normal6"/>
      </w:pPr>
      <w:r>
        <w:t xml:space="preserve">• Nabavljen IPS sustav </w:t>
      </w:r>
    </w:p>
    <w:p w:rsidR="00AC0832" w:rsidRDefault="00AC0832">
      <w:pPr>
        <w:pStyle w:val="Normal6"/>
      </w:pPr>
      <w:r>
        <w:t xml:space="preserve"> </w:t>
      </w:r>
    </w:p>
    <w:p w:rsidR="00AC0832" w:rsidRDefault="00AC0832">
      <w:pPr>
        <w:pStyle w:val="Normal6"/>
      </w:pPr>
      <w:r>
        <w:t xml:space="preserve">Od informatičke opreme u 2012. godini nabavljeno je: </w:t>
      </w:r>
    </w:p>
    <w:p w:rsidR="00AC0832" w:rsidRDefault="00AC0832">
      <w:pPr>
        <w:pStyle w:val="Normal6"/>
      </w:pPr>
      <w:r>
        <w:t xml:space="preserve">• 80 stolnih računala </w:t>
      </w:r>
    </w:p>
    <w:p w:rsidR="00AC0832" w:rsidRDefault="00AC0832">
      <w:pPr>
        <w:pStyle w:val="Normal6"/>
      </w:pPr>
      <w:r>
        <w:t xml:space="preserve">• 35 prijenosnih računala </w:t>
      </w:r>
    </w:p>
    <w:p w:rsidR="00AC0832" w:rsidRDefault="00AC0832">
      <w:pPr>
        <w:pStyle w:val="Normal6"/>
      </w:pPr>
      <w:r>
        <w:t xml:space="preserve">• 17 pisača </w:t>
      </w:r>
    </w:p>
    <w:p w:rsidR="00AC0832" w:rsidRDefault="00AC0832">
      <w:pPr>
        <w:pStyle w:val="Normal6"/>
      </w:pPr>
      <w:r>
        <w:t xml:space="preserve">• kućište za plošne poslužitelje   </w:t>
      </w:r>
    </w:p>
    <w:p w:rsidR="00AC0832" w:rsidRDefault="00AC0832">
      <w:pPr>
        <w:pStyle w:val="Normal6"/>
      </w:pPr>
      <w:r>
        <w:t xml:space="preserve">• 6 plošnih poslužitelja   </w:t>
      </w:r>
    </w:p>
    <w:p w:rsidR="00AC0832" w:rsidRDefault="00AC0832">
      <w:pPr>
        <w:pStyle w:val="Normal6"/>
      </w:pPr>
      <w:r>
        <w:t xml:space="preserve">• Sustav za pohranu podataka </w:t>
      </w:r>
    </w:p>
    <w:p w:rsidR="00AC0832" w:rsidRDefault="00AC0832">
      <w:pPr>
        <w:pStyle w:val="Normal6"/>
      </w:pPr>
      <w:r>
        <w:t xml:space="preserve">• Proširenje postojećeg diskovnog sustava   </w:t>
      </w:r>
    </w:p>
    <w:p w:rsidR="00AC0832" w:rsidRDefault="00AC0832">
      <w:pPr>
        <w:pStyle w:val="Normal6"/>
      </w:pPr>
      <w:r>
        <w:t xml:space="preserve">• Uređaj za povezivanje udaljenih SAN mreža (2 uređaja) </w:t>
      </w:r>
    </w:p>
    <w:p w:rsidR="00AC0832" w:rsidRDefault="00AC0832">
      <w:pPr>
        <w:pStyle w:val="Normal6"/>
      </w:pPr>
      <w:r>
        <w:t xml:space="preserve">• FC preklopnici (2 uređaja) </w:t>
      </w:r>
    </w:p>
    <w:p w:rsidR="00AC0832" w:rsidRDefault="00AC0832">
      <w:pPr>
        <w:pStyle w:val="Normal6"/>
      </w:pPr>
      <w:r>
        <w:t xml:space="preserve">• Uređaj za smještaj sigurnosnih kopija podataka (2 uređaja) </w:t>
      </w:r>
    </w:p>
    <w:p w:rsidR="00AC0832" w:rsidRDefault="00AC0832">
      <w:pPr>
        <w:pStyle w:val="Normal6"/>
      </w:pPr>
      <w:r>
        <w:t xml:space="preserve">• Centralni preklopnik (2 uređaja) </w:t>
      </w:r>
    </w:p>
    <w:p w:rsidR="00AC0832" w:rsidRDefault="00AC0832">
      <w:pPr>
        <w:pStyle w:val="Normal6"/>
      </w:pPr>
      <w:r>
        <w:t xml:space="preserve">• Vatrozid za poslužiteljski segment </w:t>
      </w:r>
    </w:p>
    <w:p w:rsidR="00AC0832" w:rsidRDefault="00AC0832">
      <w:pPr>
        <w:pStyle w:val="Normal6"/>
      </w:pPr>
      <w:r>
        <w:t xml:space="preserve">• Centralni AAA sustav </w:t>
      </w:r>
    </w:p>
    <w:p w:rsidR="00AC0832" w:rsidRDefault="00AC0832">
      <w:pPr>
        <w:pStyle w:val="Normal6"/>
      </w:pPr>
      <w:r>
        <w:t xml:space="preserve">• Vatrozid za pričuvni sustav </w:t>
      </w:r>
    </w:p>
    <w:p w:rsidR="00AC0832" w:rsidRDefault="00AC0832">
      <w:pPr>
        <w:pStyle w:val="Normal6"/>
      </w:pPr>
      <w:r>
        <w:t xml:space="preserve">• IPS sustav </w:t>
      </w:r>
    </w:p>
    <w:p w:rsidR="00AC0832" w:rsidRDefault="00AC0832">
      <w:pPr>
        <w:pStyle w:val="Normal6"/>
      </w:pPr>
      <w:r>
        <w:t xml:space="preserve">• Oprema za video konferenciju </w:t>
      </w:r>
    </w:p>
    <w:p w:rsidR="00AC0832" w:rsidRDefault="00AC0832">
      <w:pPr>
        <w:pStyle w:val="Normal6"/>
      </w:pPr>
      <w:r>
        <w:t xml:space="preserve"> </w:t>
      </w:r>
    </w:p>
    <w:p w:rsidR="00AC0832" w:rsidRDefault="00AC0832">
      <w:pPr>
        <w:pStyle w:val="Normal6"/>
      </w:pPr>
      <w:r>
        <w:t xml:space="preserve">Tijekom 2012. godine nabavljene su sljedeće licence:  </w:t>
      </w:r>
    </w:p>
    <w:p w:rsidR="00AC0832" w:rsidRDefault="00AC0832">
      <w:pPr>
        <w:pStyle w:val="Normal6"/>
      </w:pPr>
      <w:r>
        <w:t xml:space="preserve">• Oracle licence </w:t>
      </w:r>
    </w:p>
    <w:p w:rsidR="00AC0832" w:rsidRDefault="00AC0832">
      <w:pPr>
        <w:pStyle w:val="Normal6"/>
      </w:pPr>
      <w:r>
        <w:t xml:space="preserve">• HR plus licence </w:t>
      </w:r>
    </w:p>
    <w:p w:rsidR="00AC0832" w:rsidRDefault="00AC0832">
      <w:pPr>
        <w:pStyle w:val="Normal6"/>
      </w:pPr>
      <w:r>
        <w:t xml:space="preserve">• HR portal licence </w:t>
      </w:r>
    </w:p>
    <w:p w:rsidR="00AC0832" w:rsidRDefault="00AC0832">
      <w:pPr>
        <w:pStyle w:val="Normal6"/>
      </w:pPr>
      <w:r>
        <w:t xml:space="preserve">• Aktivis licence </w:t>
      </w:r>
    </w:p>
    <w:p w:rsidR="00AC0832" w:rsidRDefault="00AC0832">
      <w:pPr>
        <w:pStyle w:val="Normal6"/>
      </w:pPr>
      <w:r>
        <w:t xml:space="preserve">• SAP licence </w:t>
      </w:r>
    </w:p>
    <w:p w:rsidR="00AC0832" w:rsidRDefault="00AC0832">
      <w:pPr>
        <w:pStyle w:val="Normal6"/>
      </w:pPr>
      <w:r>
        <w:t xml:space="preserve">• Sophos licence </w:t>
      </w:r>
    </w:p>
    <w:p w:rsidR="00AC0832" w:rsidRDefault="00AC0832">
      <w:pPr>
        <w:pStyle w:val="Normal6"/>
      </w:pPr>
      <w:r>
        <w:t xml:space="preserve">• Microsoft Lync server licence </w:t>
      </w:r>
    </w:p>
    <w:p w:rsidR="00AC0832" w:rsidRDefault="00AC0832">
      <w:pPr>
        <w:pStyle w:val="Normal6"/>
      </w:pPr>
      <w:r>
        <w:t xml:space="preserve">• Microsoft System Center 2012 licence </w:t>
      </w:r>
    </w:p>
    <w:p w:rsidR="00AC0832" w:rsidRDefault="00AC0832">
      <w:pPr>
        <w:pStyle w:val="Normal6"/>
      </w:pPr>
      <w:r>
        <w:t xml:space="preserve">• Microsoft Windows Server Standard  licence </w:t>
      </w:r>
    </w:p>
    <w:p w:rsidR="00AC0832" w:rsidRDefault="00AC0832">
      <w:pPr>
        <w:pStyle w:val="Normal6"/>
      </w:pPr>
      <w:r>
        <w:t xml:space="preserve">• Microsoft remote desktop service licence </w:t>
      </w:r>
    </w:p>
    <w:p w:rsidR="00AC0832" w:rsidRDefault="00AC0832">
      <w:pPr>
        <w:pStyle w:val="Normal6"/>
      </w:pPr>
      <w:r>
        <w:t xml:space="preserve"> </w:t>
      </w:r>
    </w:p>
    <w:p w:rsidR="00AC0832" w:rsidRDefault="00AC0832">
      <w:pPr>
        <w:pStyle w:val="Normal6"/>
      </w:pPr>
      <w:r>
        <w:t xml:space="preserve">Cjelokupni planovi nadogradnje i održavanja informacijskog sustava APPRRR-a, sukladno potpisanim ugovorima, su realizirani u 2012. godini.  </w:t>
      </w:r>
    </w:p>
    <w:p w:rsidR="00AC0832" w:rsidRDefault="00AC0832">
      <w:pPr>
        <w:pStyle w:val="Normal6"/>
      </w:pPr>
      <w:r>
        <w:t xml:space="preserve">Potpisani ugovori u 2012. godini su:  </w:t>
      </w:r>
    </w:p>
    <w:p w:rsidR="00AC0832" w:rsidRDefault="00AC0832">
      <w:pPr>
        <w:pStyle w:val="Normal6"/>
      </w:pPr>
      <w:r>
        <w:t xml:space="preserve">• Ugovor za nabavu usluge korisničke podrške održavanja Integriranog sustava administriranja potpora (ISAP) u Agenciji za plaćanja u poljoprivredi, ribarstvu i ruralnom razvoju </w:t>
      </w:r>
    </w:p>
    <w:p w:rsidR="00AC0832" w:rsidRDefault="00AC0832">
      <w:pPr>
        <w:pStyle w:val="Normal6"/>
      </w:pPr>
      <w:r>
        <w:t xml:space="preserve">• Ugovor za nabavu usluge korisničke podrške održavanja Integriranog sustava administriranja potpora (ISAP) u Agenciji za plaćanja u poljoprivredi, ribarstvu i ruralnom razvoju   </w:t>
      </w:r>
    </w:p>
    <w:p w:rsidR="00AC0832" w:rsidRDefault="00AC0832">
      <w:pPr>
        <w:pStyle w:val="Normal6"/>
      </w:pPr>
      <w:r>
        <w:t xml:space="preserve">• Ugovor za nabavu usluge nadogradnje Informacijskog sustava Agencije (ISA)  </w:t>
      </w:r>
    </w:p>
    <w:p w:rsidR="00AC0832" w:rsidRDefault="00AC0832">
      <w:pPr>
        <w:pStyle w:val="Normal6"/>
      </w:pPr>
      <w:r>
        <w:t xml:space="preserve">Izrađeni su korisnički zahtjeva za nadogradnjom softvera u 2013. godini, temeljem istih je  određen opseg radova te izvršene pripreme za javni natječaj.  </w:t>
      </w:r>
    </w:p>
    <w:p w:rsidR="00AC0832" w:rsidRDefault="00AC0832">
      <w:pPr>
        <w:pStyle w:val="Normal6"/>
      </w:pPr>
      <w:r>
        <w:t xml:space="preserve">Informacijski sustav Agencije za plaćanja je i dalje koncipiran na način da postoje 3 glavna modula (ISAP – izravna plaćanja, ISUT – trgovinske mjere, ISSP – ruralni razvoj) i prateći horizontalni procesi koji omogućavaju izvršavanje poslova APPRRR-a.  </w:t>
      </w:r>
    </w:p>
    <w:p w:rsidR="00AC0832" w:rsidRDefault="00AC0832">
      <w:pPr>
        <w:pStyle w:val="Normal6"/>
      </w:pPr>
      <w:r>
        <w:t xml:space="preserve">Uz aplikacije za obavljanje osnovne djelatnosti postoje i horizontalne aplikacije koji su ključne za povezivanje rada i funkcioniranje Agencije za plaćanja, a interno služe kao infrastrukturna podloga za navedene glavne module. Horizontalni procesi Agencije za plaćanja sastoje se od sustava za upravljanjem dokumentacijom, općih i pravnih poslova, računovodstva i financija te sustava za poslovno izvještavanje koji će biti integriran zajedno sa sustavom poslovnog upravljanja u odjelu za izvještavanje.  </w:t>
      </w:r>
    </w:p>
    <w:p w:rsidR="00AC0832" w:rsidRDefault="00AC0832">
      <w:pPr>
        <w:pStyle w:val="Normal6"/>
      </w:pPr>
      <w:r>
        <w:t xml:space="preserve">Uz postojeće sustave dizajniran je i funkcionalan zasebni sustav – Agronet, koji je razvijen s ciljem povezivanja s vanjskim korisnicima i ubrzavanja procesa uvida u podatke korisnika, popunjavanja/podnošenja zahtjeva za potpore, izdavanja uvozno/izvoznih dozvola i drugo.   </w:t>
      </w:r>
    </w:p>
    <w:p w:rsidR="00AC0832" w:rsidRDefault="00AC0832">
      <w:pPr>
        <w:pStyle w:val="Normal6"/>
      </w:pPr>
      <w:r>
        <w:t>Preseljenje djelatnika regionalnih ureda u nove prostore je zahtijevalo nadogradnju mreže i kvalitetnije praćenje rada mreže, stoga je uveden centralni AAA sustav nadzor mrežne infrastrukture. U 2012. godini realizirani su projekti i aktivnosti kojima je cilj podizanje sigurnosti informacijskog sustava, te su implementirane razne mjere koje se odnose na fizičku sigurnost Agencije za plaćanja.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5"/>
        <w:gridCol w:w="1540"/>
        <w:gridCol w:w="1229"/>
        <w:gridCol w:w="1254"/>
        <w:gridCol w:w="1249"/>
        <w:gridCol w:w="1254"/>
        <w:gridCol w:w="126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Izgrađenost informacijskog sustava Agencije</w:t>
            </w:r>
          </w:p>
        </w:tc>
        <w:tc>
          <w:tcPr>
            <w:tcW w:w="1300" w:type="dxa"/>
          </w:tcPr>
          <w:p w:rsidR="00AC0832" w:rsidRDefault="00AC0832">
            <w:pPr>
              <w:pStyle w:val="CellColumn"/>
            </w:pPr>
            <w:r>
              <w:t>Nadogradnjom sustava osigurati zadovoljavanje svih parametara propisanih regulativama EK</w:t>
            </w:r>
          </w:p>
        </w:tc>
        <w:tc>
          <w:tcPr>
            <w:tcW w:w="1300" w:type="dxa"/>
          </w:tcPr>
          <w:p w:rsidR="00AC0832" w:rsidRDefault="00AC0832">
            <w:pPr>
              <w:pStyle w:val="CellColumn"/>
            </w:pPr>
            <w:r>
              <w:t>%</w:t>
            </w:r>
          </w:p>
        </w:tc>
        <w:tc>
          <w:tcPr>
            <w:tcW w:w="1300" w:type="dxa"/>
          </w:tcPr>
          <w:p w:rsidR="00AC0832" w:rsidRDefault="00AC0832">
            <w:pPr>
              <w:pStyle w:val="CellColumn"/>
            </w:pPr>
            <w:r>
              <w:t>10</w:t>
            </w:r>
          </w:p>
        </w:tc>
        <w:tc>
          <w:tcPr>
            <w:tcW w:w="1300" w:type="dxa"/>
          </w:tcPr>
          <w:p w:rsidR="00AC0832" w:rsidRDefault="00AC0832">
            <w:pPr>
              <w:pStyle w:val="CellColumn"/>
            </w:pPr>
            <w:r>
              <w:t>APPRRR</w:t>
            </w:r>
          </w:p>
        </w:tc>
        <w:tc>
          <w:tcPr>
            <w:tcW w:w="1300" w:type="dxa"/>
          </w:tcPr>
          <w:p w:rsidR="00AC0832" w:rsidRDefault="00AC0832">
            <w:pPr>
              <w:pStyle w:val="CellColumn"/>
            </w:pPr>
            <w:r>
              <w:t>90</w:t>
            </w:r>
          </w:p>
        </w:tc>
        <w:tc>
          <w:tcPr>
            <w:tcW w:w="1300" w:type="dxa"/>
          </w:tcPr>
          <w:p w:rsidR="00AC0832" w:rsidRDefault="00AC0832">
            <w:pPr>
              <w:pStyle w:val="CellColumn"/>
            </w:pPr>
            <w:r>
              <w:t>90</w:t>
            </w:r>
          </w:p>
        </w:tc>
      </w:tr>
      <w:tr w:rsidR="00AC0832" w:rsidTr="00BE20ED">
        <w:trPr>
          <w:jc w:val="center"/>
        </w:trPr>
        <w:tc>
          <w:tcPr>
            <w:tcW w:w="1300" w:type="dxa"/>
          </w:tcPr>
          <w:p w:rsidR="00AC0832" w:rsidRDefault="00AC0832">
            <w:pPr>
              <w:pStyle w:val="CellColumn"/>
            </w:pPr>
            <w:r>
              <w:t xml:space="preserve">"Uspostava sustava za unaprjeđenje kontinuiteta poslovanja  </w:t>
            </w:r>
          </w:p>
          <w:p w:rsidR="00AC0832" w:rsidRDefault="00AC0832">
            <w:pPr>
              <w:pStyle w:val="CellColumn"/>
            </w:pPr>
            <w:r>
              <w:t>"</w:t>
            </w:r>
          </w:p>
        </w:tc>
        <w:tc>
          <w:tcPr>
            <w:tcW w:w="1300" w:type="dxa"/>
          </w:tcPr>
          <w:p w:rsidR="00AC0832" w:rsidRDefault="00AC0832">
            <w:pPr>
              <w:pStyle w:val="CellColumn"/>
            </w:pPr>
            <w:r>
              <w:t xml:space="preserve">izgradnja podatkovnog centra kao sekundarne lokacije i  </w:t>
            </w:r>
          </w:p>
          <w:p w:rsidR="00AC0832" w:rsidRDefault="00AC0832">
            <w:pPr>
              <w:pStyle w:val="CellColumn"/>
            </w:pPr>
            <w:r>
              <w:t>optimizacija cjelokupne uspostavljene infrastrukture u skladu sa ISO/IEC 27002</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APPRRR</w:t>
            </w:r>
          </w:p>
        </w:tc>
        <w:tc>
          <w:tcPr>
            <w:tcW w:w="1300" w:type="dxa"/>
          </w:tcPr>
          <w:p w:rsidR="00AC0832" w:rsidRDefault="00AC0832">
            <w:pPr>
              <w:pStyle w:val="CellColumn"/>
            </w:pPr>
            <w:r>
              <w:t>50</w:t>
            </w:r>
          </w:p>
        </w:tc>
        <w:tc>
          <w:tcPr>
            <w:tcW w:w="1300" w:type="dxa"/>
          </w:tcPr>
          <w:p w:rsidR="00AC0832" w:rsidRDefault="00AC0832">
            <w:pPr>
              <w:pStyle w:val="CellColumn"/>
            </w:pPr>
            <w:r>
              <w:t>60</w:t>
            </w:r>
          </w:p>
        </w:tc>
      </w:tr>
    </w:tbl>
    <w:p w:rsidR="00AC0832" w:rsidRDefault="00AC0832">
      <w:pPr>
        <w:jc w:val="left"/>
      </w:pPr>
    </w:p>
    <w:p w:rsidR="00AC0832" w:rsidRDefault="00AC0832">
      <w:pPr>
        <w:pStyle w:val="Heading6"/>
      </w:pPr>
      <w:r>
        <w:t>K841004 KUPOVINA POSLOVNE ZGRADE-WMD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K841004-KUPOVINA POSLOVNE ZGRADE-WMD</w:t>
            </w:r>
          </w:p>
        </w:tc>
        <w:tc>
          <w:tcPr>
            <w:tcW w:w="2322" w:type="dxa"/>
          </w:tcPr>
          <w:p w:rsidR="00AC0832" w:rsidRDefault="00AC0832">
            <w:pPr>
              <w:pStyle w:val="CellColumn"/>
            </w:pPr>
            <w:r>
              <w:t>120.000</w:t>
            </w:r>
          </w:p>
        </w:tc>
        <w:tc>
          <w:tcPr>
            <w:tcW w:w="2322" w:type="dxa"/>
          </w:tcPr>
          <w:p w:rsidR="00AC0832" w:rsidRDefault="00AC0832">
            <w:pPr>
              <w:pStyle w:val="CellColumn"/>
            </w:pPr>
            <w:r>
              <w:t>00</w:t>
            </w:r>
          </w:p>
        </w:tc>
        <w:tc>
          <w:tcPr>
            <w:tcW w:w="2322" w:type="dxa"/>
          </w:tcPr>
          <w:p w:rsidR="00AC0832" w:rsidRDefault="00AC0832">
            <w:pPr>
              <w:pStyle w:val="CellColumn"/>
            </w:pPr>
            <w:r>
              <w:t>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Agencija za plaćanja u poljoprivredi, ribarstvu i ruralnom razvoju, Ulica grada Vukovara 269D, smještena je zakupljenim prostorima trgovačkog društva VMD promet d.o.o. </w:t>
      </w:r>
    </w:p>
    <w:p w:rsidR="00AC0832" w:rsidRDefault="00AC0832">
      <w:pPr>
        <w:pStyle w:val="Normal6"/>
      </w:pPr>
      <w:r>
        <w:t xml:space="preserve">Agencija za plaćanja u poljoprivredi, ribarstvu i ruralnom razvoju (korisnik), Republika Hrvatska, Agencija za upravljanje državnom imovinom (Podzakupnik) i VMD promet d.o.o. (Podzakupodavac) potpisali su ugovor o najmu 3.432 m² poslovnog prostora,143 m² skladišnog prostora i 34 garažna mjesta. Ugovor je zaključen na određeno vrijeme i traje do 31. prosinca 2012.g. </w:t>
      </w:r>
    </w:p>
    <w:p w:rsidR="00AC0832" w:rsidRDefault="00AC0832">
      <w:pPr>
        <w:pStyle w:val="Normal6"/>
      </w:pPr>
      <w:r>
        <w:t xml:space="preserve">Upravno vijeće Agencija za plaćanja u poljoprivredi, ribarstvu i ruralnom razvoju,  razmatra mogućnost kupovine navedenog prostora.Krajem 2012.g. obavljen je postupak vještačenja prostora zbog procjene vrijednosti nekretnine i izrade kalkulacije. </w:t>
      </w:r>
    </w:p>
    <w:p w:rsidR="00AC0832" w:rsidRDefault="00AC0832">
      <w:pPr>
        <w:pStyle w:val="Normal6"/>
      </w:pPr>
      <w:r>
        <w:t>Suglasnost Upravnog vijeća za pokretanje postupka kupovine zgrade Agencija je dobila tek u krajem studenog 2012. godine, stoga aktivnost nije realizirana.</w:t>
      </w:r>
    </w:p>
    <w:p w:rsidR="00AC0832" w:rsidRDefault="00AC0832">
      <w:pPr>
        <w:pStyle w:val="Heading5"/>
      </w:pPr>
      <w:r>
        <w:t>3002 POLJOPRIVREDA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3002-POLJOPRIVREDA</w:t>
            </w:r>
          </w:p>
        </w:tc>
        <w:tc>
          <w:tcPr>
            <w:tcW w:w="2322" w:type="dxa"/>
          </w:tcPr>
          <w:p w:rsidR="00AC0832" w:rsidRDefault="00AC0832">
            <w:pPr>
              <w:pStyle w:val="CellColumn"/>
            </w:pPr>
            <w:r>
              <w:t>5.600.000</w:t>
            </w:r>
          </w:p>
        </w:tc>
        <w:tc>
          <w:tcPr>
            <w:tcW w:w="2322" w:type="dxa"/>
          </w:tcPr>
          <w:p w:rsidR="00AC0832" w:rsidRDefault="00AC0832">
            <w:pPr>
              <w:pStyle w:val="CellColumn"/>
            </w:pPr>
            <w:r>
              <w:t>3.048.937</w:t>
            </w:r>
          </w:p>
        </w:tc>
        <w:tc>
          <w:tcPr>
            <w:tcW w:w="2322" w:type="dxa"/>
          </w:tcPr>
          <w:p w:rsidR="00AC0832" w:rsidRDefault="00AC0832">
            <w:pPr>
              <w:pStyle w:val="CellColumn"/>
            </w:pPr>
            <w:r>
              <w:t>54,4</w:t>
            </w:r>
          </w:p>
        </w:tc>
      </w:tr>
    </w:tbl>
    <w:p w:rsidR="00AC0832" w:rsidRDefault="00AC0832">
      <w:pPr>
        <w:jc w:val="left"/>
      </w:pPr>
    </w:p>
    <w:p w:rsidR="00AC0832" w:rsidRDefault="00AC0832">
      <w:pPr>
        <w:pStyle w:val="Heading6"/>
      </w:pPr>
      <w:r>
        <w:t>Opis programa</w:t>
      </w:r>
    </w:p>
    <w:p w:rsidR="00AC0832" w:rsidRDefault="00AC0832">
      <w:pPr>
        <w:pStyle w:val="Normal5"/>
      </w:pPr>
      <w:r>
        <w:t xml:space="preserve">Cilj programa je uspostava LPIS-a u sklopu IAKS-a, koji će služiti kao podrška u upravljanju potporama u poljoprivredi. </w:t>
      </w:r>
    </w:p>
    <w:p w:rsidR="00AC0832" w:rsidRDefault="00AC0832">
      <w:pPr>
        <w:pStyle w:val="Normal5"/>
      </w:pPr>
      <w:r>
        <w:t xml:space="preserve">Ispunjenje cilja sagleda se kroz nekoliko specifičnih ciljeva, kao što su uspostava administrativne strukture za inicijalnu uspostavu, te kasniji razvoj i održavanje sustava, uspostava informacijsko-komunikacijske infrastrukture kao podrške uvođenju sustava, raspoloživost prostornih podloga potrebnih za uspostavu LPIS-a (DOF, DKP, DMR, SRPJ). </w:t>
      </w:r>
    </w:p>
    <w:p w:rsidR="00AC0832" w:rsidRDefault="00AC0832">
      <w:pPr>
        <w:pStyle w:val="Normal5"/>
      </w:pPr>
      <w:r>
        <w:t>Realizacija programa doprinijeti će ostvarenju ciljeva utvrđenih Strategijom Vladinih programa za razdoblje 2011. – 2013., i to posebnog cilja 8.1.( Prilagodbi sustava potpora poljoprivrednoj proizvodnji i ribarstvu sustavu Europske unije) i 8.2. (Poboljšanje tržišnih mehanizama za prodaju poljoprivredno prehrambenih i ribarskih proizvoda).</w:t>
      </w:r>
    </w:p>
    <w:p w:rsidR="00AC0832" w:rsidRDefault="00AC0832">
      <w:pPr>
        <w:pStyle w:val="Heading6"/>
      </w:pPr>
      <w:r>
        <w:t>Zakonske i druge pravne osnove</w:t>
      </w:r>
    </w:p>
    <w:p w:rsidR="00AC0832" w:rsidRDefault="00AC0832">
      <w:pPr>
        <w:pStyle w:val="Normal5"/>
      </w:pPr>
      <w:r>
        <w:t xml:space="preserve">-  Zakon o potpori poljoprivredi i ruralnom razvoju (NN 120/12, 136/12) </w:t>
      </w:r>
    </w:p>
    <w:p w:rsidR="00AC0832" w:rsidRDefault="00AC0832">
      <w:pPr>
        <w:pStyle w:val="Normal5"/>
      </w:pPr>
      <w:r>
        <w:t>-  Pravilnik o provedbi izravnih plaćanja i IAKS mjera ruralnog razvoja (NN 149/12)</w:t>
      </w:r>
    </w:p>
    <w:p w:rsidR="00AC0832" w:rsidRDefault="00AC0832">
      <w:pPr>
        <w:pStyle w:val="Heading7"/>
      </w:pPr>
      <w:r>
        <w:t xml:space="preserve">Cilj 1. </w:t>
      </w:r>
      <w:r>
        <w:tab/>
        <w:t>Uspostava IAKS-a (Integrirani administrativni i kontrolni sustav)</w:t>
      </w:r>
    </w:p>
    <w:p w:rsidR="00AC0832" w:rsidRDefault="00AC0832">
      <w:pPr>
        <w:pStyle w:val="Heading8"/>
        <w:jc w:val="left"/>
      </w:pPr>
      <w:r>
        <w:t>Opis provedbe cilja programa</w:t>
      </w:r>
    </w:p>
    <w:p w:rsidR="00AC0832" w:rsidRDefault="00AC0832">
      <w:pPr>
        <w:pStyle w:val="Normal6"/>
      </w:pPr>
      <w:r>
        <w:t>Sve EU zemlje dužne su uspostaviti IAKS, kojim zemlje članice dodjeljuju, prate i kontroliraju izravna plaćanja poljoprivrednicima. Osnovni elementi navedenog sustava su: kompjuterizirana baza podataka, sustav identifikacije zemljišnih čestica, sustav za identifikaciju i registraciju prava na potporu, sustav za zaprimanje i obradu zahtjeva za potporu, integrirani sustav kontrole, sustav za identifikaciju poljoprivrednika koji podnose zahtjev za potporu, sustav za identifikaciju i registraciju životinja. Navedenim sustavom definirane su procedure zaprimanja zahtjeva, administrativne i inspekcijske kontrole, obrade zahtjeva i plaćanja, a ustrojavanje istog treba osigurati učinkovitiju isplatu izravnih plaćanja, te bolji nadzor i sprečavanje nepravilnosti.</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Uspostava IAKS-a</w:t>
            </w:r>
          </w:p>
        </w:tc>
        <w:tc>
          <w:tcPr>
            <w:tcW w:w="1300" w:type="dxa"/>
          </w:tcPr>
          <w:p w:rsidR="00AC0832" w:rsidRDefault="00AC0832">
            <w:pPr>
              <w:pStyle w:val="CellColumn"/>
            </w:pPr>
            <w:r>
              <w:t>Sustav evidencije zemljišnih parcela koje se utvrđuje na temelju digitalnih ortofoto karata</w:t>
            </w:r>
          </w:p>
        </w:tc>
        <w:tc>
          <w:tcPr>
            <w:tcW w:w="1300" w:type="dxa"/>
          </w:tcPr>
          <w:p w:rsidR="00AC0832" w:rsidRDefault="00AC0832">
            <w:pPr>
              <w:pStyle w:val="CellColumn"/>
            </w:pPr>
            <w:r>
              <w:t>%</w:t>
            </w:r>
          </w:p>
        </w:tc>
        <w:tc>
          <w:tcPr>
            <w:tcW w:w="1300" w:type="dxa"/>
          </w:tcPr>
          <w:p w:rsidR="00AC0832" w:rsidRDefault="00AC0832">
            <w:pPr>
              <w:pStyle w:val="CellColumn"/>
            </w:pPr>
            <w:r>
              <w:t>90</w:t>
            </w:r>
          </w:p>
        </w:tc>
        <w:tc>
          <w:tcPr>
            <w:tcW w:w="1300" w:type="dxa"/>
          </w:tcPr>
          <w:p w:rsidR="00AC0832" w:rsidRDefault="00AC0832">
            <w:pPr>
              <w:pStyle w:val="CellColumn"/>
            </w:pPr>
            <w:r>
              <w:t>APPRRR</w:t>
            </w:r>
          </w:p>
        </w:tc>
        <w:tc>
          <w:tcPr>
            <w:tcW w:w="1300" w:type="dxa"/>
          </w:tcPr>
          <w:p w:rsidR="00AC0832" w:rsidRDefault="00AC0832">
            <w:pPr>
              <w:pStyle w:val="CellColumn"/>
            </w:pPr>
            <w:r>
              <w:t>100</w:t>
            </w:r>
          </w:p>
        </w:tc>
        <w:tc>
          <w:tcPr>
            <w:tcW w:w="1300" w:type="dxa"/>
          </w:tcPr>
          <w:p w:rsidR="00AC0832" w:rsidRDefault="00AC0832">
            <w:pPr>
              <w:pStyle w:val="CellColumn"/>
            </w:pPr>
            <w:r>
              <w:t>100</w:t>
            </w:r>
          </w:p>
        </w:tc>
      </w:tr>
    </w:tbl>
    <w:p w:rsidR="00AC0832" w:rsidRDefault="00AC0832">
      <w:pPr>
        <w:jc w:val="left"/>
      </w:pPr>
    </w:p>
    <w:p w:rsidR="00AC0832" w:rsidRDefault="00AC0832">
      <w:pPr>
        <w:pStyle w:val="Heading6"/>
      </w:pPr>
      <w:r>
        <w:t>K650068 USPOSTAVA INTERGRIRANOG ADMINISTRATIVNOG  KONTROLNOG SUSTAVA - LPIS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K650068-USPOSTAVA INTERGRIRANOG ADMINISTRATIVNOG  KONTROLNOG SUSTAVA - LPIS</w:t>
            </w:r>
          </w:p>
        </w:tc>
        <w:tc>
          <w:tcPr>
            <w:tcW w:w="2322" w:type="dxa"/>
          </w:tcPr>
          <w:p w:rsidR="00AC0832" w:rsidRDefault="00AC0832">
            <w:pPr>
              <w:pStyle w:val="CellColumn"/>
            </w:pPr>
            <w:r>
              <w:t>5.600.000</w:t>
            </w:r>
          </w:p>
        </w:tc>
        <w:tc>
          <w:tcPr>
            <w:tcW w:w="2322" w:type="dxa"/>
          </w:tcPr>
          <w:p w:rsidR="00AC0832" w:rsidRDefault="00AC0832">
            <w:pPr>
              <w:pStyle w:val="CellColumn"/>
            </w:pPr>
            <w:r>
              <w:t>3.048.937</w:t>
            </w:r>
          </w:p>
        </w:tc>
        <w:tc>
          <w:tcPr>
            <w:tcW w:w="2322" w:type="dxa"/>
          </w:tcPr>
          <w:p w:rsidR="00AC0832" w:rsidRDefault="00AC0832">
            <w:pPr>
              <w:pStyle w:val="CellColumn"/>
            </w:pPr>
            <w:r>
              <w:t>54,4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Poljoprivredno gospodarstvo za ostvarenje proizvodno nevezanih plaćanja mora imati odgovarajući broj dodijeljenih prava na plaćanja i u skladu s tim u Agenciji za plaćanja je uspostavljen Registar prava na plaćanja. Navedeni sustav obavezni je element IACS sustava, a uspostavlja se s ciljem obavljanja provjera prava na plaćanje i unakrsnih provjera sa zahtjevima za potporu i LPIS sustavom, kako bi hrvatski poljoprivrednici u prvoj godini ulaska u EU mogli dobiti i aktivirati odgovarajući broj prava na plaćanja. Uvjet za ostvarenje prava na izravna plaćanja je poštivanje pravila višestruke sukladnosti koja se odnose na primjernu dobrobiti životinja. Sustav za identifikaciju zemljišnih parcela - ARKOD, predstavlja bazu prostornih podataka svih poljoprivrednih površina i služi za administraciju, praćenje i kontrolu korištenja potpora vezanih uz površinu. On je sastavni dio Integriranog administrativnog i kontrolnog sustava (IACS). Uspostavljen je temeljem orto-foto karata, koje se periodički obnavljaju, a na kojima se evidentiraju sve promjene korištenja poljoprivrednog zemljišta. Inicijalni upis poljoprivrednih gospodarstava u ARKOD sustav završen je do kraja prosinca 2010. godine, a od 2011. koristi se kao službeni referentni sustav za potpore u poljoprivredi. U okviru održavnja i vođenja ARKOD sustava u 2012. godini provedene su sljedeće aktivnosti: </w:t>
      </w:r>
    </w:p>
    <w:p w:rsidR="00AC0832" w:rsidRDefault="00AC0832">
      <w:pPr>
        <w:pStyle w:val="Normal6"/>
      </w:pPr>
      <w:r>
        <w:t xml:space="preserve">- Ažuriranje ARKOD podataka temeljem novih DOF karata za 52% teritorija RH. Proces je završen do mjeseca ožujka, odnosno početka Kampanje podnošenja Jedinstvenog zahtjeva za potporu u 2012. godini; </w:t>
      </w:r>
    </w:p>
    <w:p w:rsidR="00AC0832" w:rsidRDefault="00AC0832">
      <w:pPr>
        <w:pStyle w:val="Normal6"/>
      </w:pPr>
      <w:r>
        <w:t xml:space="preserve">- Ažuriranje ARKOD podataka temeljem rezultata kontrole na terenu - tijekom ožujka je provedeno ažuriranje ARKOD parcela temeljem navedene kontrole za 1819 PG-a; </w:t>
      </w:r>
    </w:p>
    <w:p w:rsidR="00AC0832" w:rsidRDefault="00AC0832">
      <w:pPr>
        <w:pStyle w:val="Normal6"/>
      </w:pPr>
      <w:r>
        <w:t xml:space="preserve">- Tehnička podrška korisnicima ARKOD sustava koja uključuje help-desk, online edukacije, priprema edukacijskih materijala, praćenje rada djelatnika regionalnih ureda, dodjeljivanje prava pristupa sustavu; </w:t>
      </w:r>
    </w:p>
    <w:p w:rsidR="00AC0832" w:rsidRDefault="00AC0832">
      <w:pPr>
        <w:pStyle w:val="Normal6"/>
      </w:pPr>
      <w:r>
        <w:t xml:space="preserve">- Nabavka novih DOF karata za 34 % teritorija RH (u svibnju 2012. godine potpisan je ugovor s izvođačem te su u prosincu 2012. godine isporučene DOF karte; </w:t>
      </w:r>
    </w:p>
    <w:p w:rsidR="00AC0832" w:rsidRDefault="00AC0832">
      <w:pPr>
        <w:pStyle w:val="Normal6"/>
      </w:pPr>
      <w:r>
        <w:t xml:space="preserve">- Vizualna i automatska kontrola DOF/DMR prostornih podataka u ARKOD sustavu, sukladno metodologiji razvijenoj u okviru projekata Kontrole kvalitete; </w:t>
      </w:r>
    </w:p>
    <w:p w:rsidR="00AC0832" w:rsidRDefault="00AC0832">
      <w:pPr>
        <w:pStyle w:val="Normal6"/>
      </w:pPr>
      <w:r>
        <w:t xml:space="preserve">- Provedba geometrijske kontrole DOF/DMR za prostorne podatke iz 2011. godine (52%); </w:t>
      </w:r>
    </w:p>
    <w:p w:rsidR="00AC0832" w:rsidRDefault="00AC0832">
      <w:pPr>
        <w:pStyle w:val="Normal6"/>
      </w:pPr>
      <w:r>
        <w:t xml:space="preserve">- Priprema prostornih DOF/DMR podataka za provedbu kontrole daljinskim istraživanjima. Priprema 6 zona za navedenu kontrolu te nabava satelitske snimke preko JRC-a za jednu zonu i 5 preostalih u vidu DOF snimaka preko vanjskog izvođača; </w:t>
      </w:r>
    </w:p>
    <w:p w:rsidR="00AC0832" w:rsidRDefault="00AC0832">
      <w:pPr>
        <w:pStyle w:val="Normal6"/>
      </w:pPr>
      <w:r>
        <w:t xml:space="preserve">- Provedba ocjenjivanja i kvalitete kroz ETS i ATS testove - provedeno je testiranje podataka u vidu ETS testova na 260 parcela i testiranje baze u vidu ATS testova; </w:t>
      </w:r>
    </w:p>
    <w:p w:rsidR="00AC0832" w:rsidRDefault="00AC0832">
      <w:pPr>
        <w:pStyle w:val="Normal6"/>
      </w:pPr>
      <w:r>
        <w:t xml:space="preserve">- Priprema za implementaciju novih slojeva i funkcionalnosti unutar ARKOD sustava kao što su: Natura 2000,Obilježja krajobraza i Tampon zona uz vodotoke sukladno provedbi Višestruke sukladnosti,odnosno sukladno Pravilniku o dobrim poljoprivrednim i okolišnim uvjetima. Slijedom navedenog započela je suradnja s drugim institucijama kao pružateljima potrebnih podataka (Hrvatske vode, Državni zavod za zaštitu prirode, Ministarstvo zaštite okoliša i prirode) te priprema budućih Sporazuma i Protokola o razmjeni podataka s navedenim institucijama; </w:t>
      </w:r>
    </w:p>
    <w:p w:rsidR="00AC0832" w:rsidRDefault="00AC0832">
      <w:pPr>
        <w:pStyle w:val="Normal6"/>
      </w:pPr>
      <w:r>
        <w:t xml:space="preserve">- Evidentiranje krških pašnjaka u ARKOD sustavu temeljem Pravilnika o evidenciji uporabe poljoprivrednog zemljišta -tijekom listopada provedena je transformacija pašnjaka u krške pašnjake s pripadajućim koeficijentima prihvatljivosti na području 8 županija RH; </w:t>
      </w:r>
    </w:p>
    <w:p w:rsidR="00AC0832" w:rsidRDefault="00AC0832">
      <w:pPr>
        <w:pStyle w:val="Normal6"/>
      </w:pPr>
      <w:r>
        <w:t xml:space="preserve">- Uspostava vektorizacije Obilježja krajobraza u ARKOD sustavu sukladno Pravilniku o evidenciji uporabe poljoprivrednog zemljišta - provedba javnog natječaja za odabir izvođača navedene vektorizacije. </w:t>
      </w:r>
    </w:p>
    <w:p w:rsidR="00AC0832" w:rsidRDefault="00AC0832">
      <w:pPr>
        <w:pStyle w:val="Normal6"/>
      </w:pPr>
      <w:r>
        <w:t xml:space="preserve">U 2012. godini većina aktivnosti koje su izvedene u okviru održavanja i vođenja Upisnika poljoprivrednih gospodarstava obuhvatile su: </w:t>
      </w:r>
    </w:p>
    <w:p w:rsidR="00AC0832" w:rsidRDefault="00AC0832">
      <w:pPr>
        <w:pStyle w:val="Normal6"/>
      </w:pPr>
      <w:r>
        <w:t xml:space="preserve">- upis u Upisnik poljoprivrednih gospodarstava </w:t>
      </w:r>
    </w:p>
    <w:p w:rsidR="00AC0832" w:rsidRDefault="00AC0832">
      <w:pPr>
        <w:pStyle w:val="Normal6"/>
      </w:pPr>
      <w:r>
        <w:t xml:space="preserve">- promjene podataka na postojećim poljoprivrednim gospodarstvima kao što su: </w:t>
      </w:r>
    </w:p>
    <w:p w:rsidR="00AC0832" w:rsidRDefault="00AC0832">
      <w:pPr>
        <w:pStyle w:val="Normal6"/>
      </w:pPr>
      <w:r>
        <w:t xml:space="preserve">- promjena nositelja/odgovorne osobe poljoprivrednog gospodarstva </w:t>
      </w:r>
    </w:p>
    <w:p w:rsidR="00AC0832" w:rsidRDefault="00AC0832">
      <w:pPr>
        <w:pStyle w:val="Normal6"/>
      </w:pPr>
      <w:r>
        <w:t xml:space="preserve">- promjena prebivališta nositelja i članova obiteljskog poljoprivrednog gospodarstva </w:t>
      </w:r>
    </w:p>
    <w:p w:rsidR="00AC0832" w:rsidRDefault="00AC0832">
      <w:pPr>
        <w:pStyle w:val="Normal6"/>
      </w:pPr>
      <w:r>
        <w:t xml:space="preserve">- upis ili ispis članova obiteljskog poljoprivrednog gospodarstva </w:t>
      </w:r>
    </w:p>
    <w:p w:rsidR="00AC0832" w:rsidRDefault="00AC0832">
      <w:pPr>
        <w:pStyle w:val="Normal6"/>
      </w:pPr>
      <w:r>
        <w:t xml:space="preserve">- promjena podataka u obrtnom registru </w:t>
      </w:r>
    </w:p>
    <w:p w:rsidR="00AC0832" w:rsidRDefault="00AC0832">
      <w:pPr>
        <w:pStyle w:val="Normal6"/>
      </w:pPr>
      <w:r>
        <w:t xml:space="preserve">- promjena podataka u sudskom registru </w:t>
      </w:r>
    </w:p>
    <w:p w:rsidR="00AC0832" w:rsidRDefault="00AC0832">
      <w:pPr>
        <w:pStyle w:val="Normal6"/>
      </w:pPr>
      <w:r>
        <w:t xml:space="preserve">- promjena žiro računa nositelja OPG-a ili obrta, trgovačkog društva, zadruge </w:t>
      </w:r>
    </w:p>
    <w:p w:rsidR="00AC0832" w:rsidRDefault="00AC0832">
      <w:pPr>
        <w:pStyle w:val="Normal6"/>
      </w:pPr>
      <w:r>
        <w:t xml:space="preserve">- promjena posjeda poljoprivrednog zemljišta </w:t>
      </w:r>
    </w:p>
    <w:p w:rsidR="00AC0832" w:rsidRDefault="00AC0832">
      <w:pPr>
        <w:pStyle w:val="Normal6"/>
      </w:pPr>
      <w:r>
        <w:t xml:space="preserve">- ispis iz Upisnika poljoprivrednih gospodarstava. </w:t>
      </w:r>
    </w:p>
    <w:p w:rsidR="00AC0832" w:rsidRDefault="00AC0832">
      <w:pPr>
        <w:pStyle w:val="Normal6"/>
      </w:pPr>
      <w:r>
        <w:t xml:space="preserve">Početkom 2012. godine nadograđen je softver u svrhu zadovoljavanja zahtjeva novog Pravilnika o upisniku poljoprivrednih gospodarstava kao i EU zakonodavstva, također je promijenjena i procedura za održavanje Upisnika poljoprivrednih gospodarstava za 2013. godinu. </w:t>
      </w:r>
    </w:p>
    <w:p w:rsidR="00AC0832" w:rsidRDefault="00AC0832">
      <w:pPr>
        <w:pStyle w:val="Normal6"/>
      </w:pPr>
      <w:r>
        <w:t xml:space="preserve">S ciljem osiguranja kvalitete podataka u registru započelo se s kontrolom unesenih podataka u Upisniku sukladno proceduri. Tako se krajem 2012. godine započelo s uspostavom web-servisa s MUP-om radi pristupa podacima Evidencije dodijeljenih matičnih brojeva i Evidencije prebivališta i boravišta. Također su razmijenjeni podaci o računima korisnika s Jedinstvenim registrom računa u svrhu utvrđivanja točnosti računa korisnika na koji se doznačuju sredstva potpore. </w:t>
      </w:r>
    </w:p>
    <w:p w:rsidR="00AC0832" w:rsidRDefault="00AC0832">
      <w:pPr>
        <w:pStyle w:val="Normal6"/>
      </w:pPr>
      <w:r>
        <w:t xml:space="preserve">Uspostavljeni su slijedeći registri: </w:t>
      </w:r>
    </w:p>
    <w:p w:rsidR="00AC0832" w:rsidRDefault="00AC0832">
      <w:pPr>
        <w:pStyle w:val="Normal6"/>
      </w:pPr>
      <w:r>
        <w:t xml:space="preserve">a) Registar prava na plaćanje </w:t>
      </w:r>
    </w:p>
    <w:p w:rsidR="00AC0832" w:rsidRDefault="00AC0832">
      <w:pPr>
        <w:pStyle w:val="Normal6"/>
      </w:pPr>
      <w:r>
        <w:t xml:space="preserve">Tijekom ožujka 2012. godine provedena je informativna kampanja u okviru koje su korisnici informirani o sustavu prava na plaćanja. U listopadu 2012. godine pripremljene su procedure za predakreditacijsku reviziju te je razvijen softver za prava na plaćanja. Stupanjem na snagu novog Zakona o potpori poljoprivredi i ruralnom razvoju (NN 120/12, 136/12) te Pravilnika o provedbi izravnih plaćanja i IAKS mjera ruralnog razvoja (NN 149/12) krajem 2012. godine provedena je nadogradnja tj. izmjene određenih funkcionalnosti u aplikaciji, a istovremeno su izrađene i procedure za 2013. godinu. </w:t>
      </w:r>
    </w:p>
    <w:p w:rsidR="00AC0832" w:rsidRDefault="00AC0832">
      <w:pPr>
        <w:pStyle w:val="Normal6"/>
      </w:pPr>
      <w:r>
        <w:t xml:space="preserve">b) Registar životinja </w:t>
      </w:r>
    </w:p>
    <w:p w:rsidR="00AC0832" w:rsidRDefault="00AC0832">
      <w:pPr>
        <w:pStyle w:val="Normal6"/>
      </w:pPr>
      <w:r>
        <w:t xml:space="preserve">Jedinstveni registar domaćih životinja u nadležnosti je Ministarstva poljoprivrede Uprave veterinarstva, a zadatak obilježavanja i registracije životinja, odnosno vođenje registra, delegiran je Hrvatskoj poljoprivrednoj agenciji. Temeljem Sporazuma o poslovnoj suradnji između Agencije za plaćanja i Ministarstva poljoprivrede, Uprave veterinarstva u 2012. godini nastavljena je razmjena podataka ftp protokolom na dnevnoj razini te mogućnost kontrole i pregleda podataka po MIBPG-u. Također je pripremljena procedura za razmjenu podataka s JRDŽ-om u kojoj su opisani procesi prijenosa podataka u sustav i otkrivanja mogućih neispravnosti u podacima te kao posebna cjelina opisan je i proces kontrole kvalitete podataka na temelju administrativne provjere kako bi se uočili nedostaci i osigurala prihvatljiva kvaliteta podataka dostavljenih iz JRDŽ-a. U suradnji s Upravom veterinarstva započelo se s izradom Procedure za kontrolu kvalitete podataka JRDŽ-a. Kontrola bi uključivala terenski izlazak na poljoprivredno gospodarstvo te sastavljanje zapisnika o provedenoj kontroli kvalitete podataka iz JRDŽ-a i utvrđenom stanju na gospodarstvu. </w:t>
      </w:r>
    </w:p>
    <w:p w:rsidR="00AC0832" w:rsidRDefault="00AC0832">
      <w:pPr>
        <w:pStyle w:val="Normal6"/>
      </w:pPr>
      <w:r>
        <w:t xml:space="preserve">c) Ostali registri </w:t>
      </w:r>
    </w:p>
    <w:p w:rsidR="00AC0832" w:rsidRDefault="00AC0832">
      <w:pPr>
        <w:pStyle w:val="Normal6"/>
      </w:pPr>
      <w:r>
        <w:t xml:space="preserve">*Vinogradarski registar </w:t>
      </w:r>
    </w:p>
    <w:p w:rsidR="00AC0832" w:rsidRDefault="00AC0832">
      <w:pPr>
        <w:pStyle w:val="Normal6"/>
      </w:pPr>
      <w:r>
        <w:t xml:space="preserve">U 2012. godini aktivnosti koje su izvedene u okviru održavanja i vođenja Vinogradarskog registra obuhvatile su: </w:t>
      </w:r>
    </w:p>
    <w:p w:rsidR="00AC0832" w:rsidRDefault="00AC0832">
      <w:pPr>
        <w:pStyle w:val="Normal6"/>
      </w:pPr>
      <w:r>
        <w:t xml:space="preserve">- Upis u Vinogradarski registar </w:t>
      </w:r>
    </w:p>
    <w:p w:rsidR="00AC0832" w:rsidRDefault="00AC0832">
      <w:pPr>
        <w:pStyle w:val="Normal6"/>
      </w:pPr>
      <w:r>
        <w:t xml:space="preserve">- Promjene podataka u Vinogradarskom registru </w:t>
      </w:r>
    </w:p>
    <w:p w:rsidR="00AC0832" w:rsidRDefault="00AC0832">
      <w:pPr>
        <w:pStyle w:val="Normal6"/>
      </w:pPr>
      <w:r>
        <w:t xml:space="preserve">- Evidentiranje obveznih izjava (Izjava o zalihama, Izjava o berbi i Izjava o proizvodnji). </w:t>
      </w:r>
    </w:p>
    <w:p w:rsidR="00AC0832" w:rsidRDefault="00AC0832">
      <w:pPr>
        <w:pStyle w:val="Normal6"/>
      </w:pPr>
      <w:r>
        <w:t xml:space="preserve">Razvijene su dodatne funkcionalnosti u modulu Vinogradarski registar, prvenstveno vezano za „Enološke postupke“ i „Prateće dokumente“. Nadalje, definirani su i izrađeni izvještaji s podacima iz registra za potrebe izvještajnog sustava APPRRR-a, a krajem 2012. godine započelo se s izradom procedure za kontrolu kvalitete podataka unesenih u Vinogradarski registar. Nakon implementacije dodatnih funkcionalnosti u registru provedena je edukacija djelatnika regionalnih ureda vezano za rad s istima. </w:t>
      </w:r>
    </w:p>
    <w:p w:rsidR="00AC0832" w:rsidRDefault="00AC0832">
      <w:pPr>
        <w:pStyle w:val="Normal6"/>
      </w:pPr>
      <w:r>
        <w:t xml:space="preserve">*Upisnik proizvođača u ekološkoj proizvodnji poljoprivrednih i prehrambenih proizvoda </w:t>
      </w:r>
    </w:p>
    <w:p w:rsidR="00AC0832" w:rsidRDefault="00AC0832">
      <w:pPr>
        <w:pStyle w:val="Normal6"/>
      </w:pPr>
      <w:r>
        <w:t xml:space="preserve">Upisnik subjekata u ekološkoj proizvodnji vodi Ministarstvo poljoprivrede u elektroničkom sustavu Agencije za plaćanja. U Upisnik subjekata u ekološkoj proizvodnji upisano je 1.718 proizvođača, uvoznika, izvoznika i prerađivača ekoloških proizvoda. </w:t>
      </w:r>
    </w:p>
    <w:p w:rsidR="00AC0832" w:rsidRDefault="00AC0832">
      <w:pPr>
        <w:pStyle w:val="Normal6"/>
      </w:pPr>
      <w:r>
        <w:t xml:space="preserve">*Upisnik integrirane proizvodnje </w:t>
      </w:r>
    </w:p>
    <w:p w:rsidR="00AC0832" w:rsidRDefault="00AC0832">
      <w:pPr>
        <w:pStyle w:val="Normal6"/>
      </w:pPr>
      <w:r>
        <w:t xml:space="preserve">Upisnik proizvođača u integriranoj proizvodnji vodi Ministarstvo poljoprivrede u elektroničkom sustavu Agencije za plaćanja, a u Upisnik proizvođača u integriranoj proizvodnji upisano je 687 proizvođača. U 2012. godini većina aktivnosti izvedene s ciljem održavanja registra. </w:t>
      </w:r>
    </w:p>
    <w:p w:rsidR="00AC0832" w:rsidRDefault="00AC0832">
      <w:pPr>
        <w:pStyle w:val="Normal6"/>
      </w:pPr>
      <w:r>
        <w:t xml:space="preserve">*Registar primarnih proizvođača hrane za životinje </w:t>
      </w:r>
    </w:p>
    <w:p w:rsidR="00AC0832" w:rsidRDefault="00AC0832">
      <w:pPr>
        <w:pStyle w:val="Normal6"/>
      </w:pPr>
      <w:r>
        <w:t xml:space="preserve">Dana 01. ožujka 2012. stupio je na snagu Pravilnik o registraciji primarnih proizvođača hrane za životinje (NN 153/11). Sukladno navedenom pravilniku Ministarstvo poljoprivrede je nadležno za Registar, a poslovi njegovog vođenja povjereni su Agenciji za plaćanja. </w:t>
      </w:r>
    </w:p>
    <w:p w:rsidR="00AC0832" w:rsidRDefault="00AC0832">
      <w:pPr>
        <w:pStyle w:val="Normal6"/>
      </w:pPr>
      <w:r>
        <w:t xml:space="preserve">*Registar klijenata </w:t>
      </w:r>
    </w:p>
    <w:p w:rsidR="00AC0832" w:rsidRDefault="00AC0832">
      <w:pPr>
        <w:pStyle w:val="Normal6"/>
      </w:pPr>
      <w:r>
        <w:t xml:space="preserve">U 2012. godini aktivnosti u okviru održavanja i vođenja Registra klijenata odnosile su se na: </w:t>
      </w:r>
    </w:p>
    <w:p w:rsidR="00AC0832" w:rsidRDefault="00AC0832">
      <w:pPr>
        <w:pStyle w:val="Normal6"/>
      </w:pPr>
      <w:r>
        <w:t xml:space="preserve">- Upis novih klijenata </w:t>
      </w:r>
    </w:p>
    <w:p w:rsidR="00AC0832" w:rsidRDefault="00AC0832">
      <w:pPr>
        <w:pStyle w:val="Normal6"/>
      </w:pPr>
      <w:r>
        <w:t xml:space="preserve">- Promjene i ažuriranje podataka na postojećim klijentima </w:t>
      </w:r>
    </w:p>
    <w:p w:rsidR="00AC0832" w:rsidRDefault="00AC0832">
      <w:pPr>
        <w:pStyle w:val="Normal6"/>
      </w:pPr>
      <w:r>
        <w:t>Provedena je nadogradnja sustava kojom je omogućeno ažuriranje sljedećih podataka: OIB, MB, MBO i JMBG. U okviru nadogradnje sustava izrađeni su izvještaji o nekonzistentnim podacima unutar registra klijenata, omogućen je unos podataka pomoću excel tablica te je uvedena „dupla“ kontrola ispravnosti OIB-a prilikom ručnog unosa klijenta. Sukladno preporukama predakreditacijske revizije ažurirana je procedura za održavanje registra klijenata. Sredstva su iskorištena samo 54,4 % jer u proračunu za 2012.g u okviru ove aktivnosti, između ostalog, za projekt – vektorizacija posebnih obilježja krajolika. U postupku javne nabave dva natječaja su nam poništena. Za obavljanje cijelog posla potrebno je cca 3 mjeseca, što znači da će obveza plaćanja biti u 2013.godini. Cijeli posao mora biti realiziran do 01.03.2013.g jer nas na to obvezuje ARKOD pravilnik. Navedena sredstva smo prebacili u plan proračuna za 2013.g. Osim navedenog poništen je i natječaj javne nabave za određivanje zaštitnih pojasa oko vodotoka i jezera. Zaštitni pojasevi oko vodotoka sastavni su dio višestruke sukladnosti u dijelu koji se tiče zaštite okoliša od štetnog utjecaja nitrata iz poljoprivrednih površina, te će se morati primjenjivati i kontrolirati nakon pristupanja RH u EU. Dobavljač s kojim je potpisan ugovor za izradu novih DOF i DMR podataka nije obavio posao do 31.12.2013.g. pa niti realizacija tog projekta nije izvršena do kraja. Sve poslove je potrebno obaviti najkasnije do 01.07.2013. pa su sredstva planirana u 2013.g.</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4"/>
        <w:gridCol w:w="1529"/>
        <w:gridCol w:w="1207"/>
        <w:gridCol w:w="1239"/>
        <w:gridCol w:w="1233"/>
        <w:gridCol w:w="1239"/>
        <w:gridCol w:w="125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Uspostava referentnog sustava za evidentiranje korištenja poljoprivrednog zemljišta</w:t>
            </w:r>
          </w:p>
        </w:tc>
        <w:tc>
          <w:tcPr>
            <w:tcW w:w="1300" w:type="dxa"/>
          </w:tcPr>
          <w:p w:rsidR="00AC0832" w:rsidRDefault="00AC0832">
            <w:pPr>
              <w:pStyle w:val="CellColumn"/>
            </w:pPr>
            <w:r>
              <w:t>inicijalna registracija poljoprivrednih gospodarstava</w:t>
            </w:r>
          </w:p>
        </w:tc>
        <w:tc>
          <w:tcPr>
            <w:tcW w:w="1300" w:type="dxa"/>
          </w:tcPr>
          <w:p w:rsidR="00AC0832" w:rsidRDefault="00AC0832">
            <w:pPr>
              <w:pStyle w:val="CellColumn"/>
            </w:pPr>
            <w:r>
              <w:t>%</w:t>
            </w:r>
          </w:p>
        </w:tc>
        <w:tc>
          <w:tcPr>
            <w:tcW w:w="1300" w:type="dxa"/>
          </w:tcPr>
          <w:p w:rsidR="00AC0832" w:rsidRDefault="00AC0832">
            <w:pPr>
              <w:pStyle w:val="CellColumn"/>
            </w:pPr>
            <w:r>
              <w:t>100</w:t>
            </w:r>
          </w:p>
        </w:tc>
        <w:tc>
          <w:tcPr>
            <w:tcW w:w="1300" w:type="dxa"/>
          </w:tcPr>
          <w:p w:rsidR="00AC0832" w:rsidRDefault="00AC0832">
            <w:pPr>
              <w:pStyle w:val="CellColumn"/>
            </w:pPr>
            <w:r>
              <w:t>APPRRR</w:t>
            </w:r>
          </w:p>
        </w:tc>
        <w:tc>
          <w:tcPr>
            <w:tcW w:w="1300" w:type="dxa"/>
          </w:tcPr>
          <w:p w:rsidR="00AC0832" w:rsidRDefault="00AC0832">
            <w:pPr>
              <w:pStyle w:val="CellColumn"/>
            </w:pPr>
            <w:r>
              <w:t>100</w:t>
            </w:r>
          </w:p>
        </w:tc>
        <w:tc>
          <w:tcPr>
            <w:tcW w:w="1300" w:type="dxa"/>
          </w:tcPr>
          <w:p w:rsidR="00AC0832" w:rsidRDefault="00AC0832">
            <w:pPr>
              <w:pStyle w:val="CellColumn"/>
            </w:pPr>
            <w:r>
              <w:t>100</w:t>
            </w:r>
          </w:p>
        </w:tc>
      </w:tr>
    </w:tbl>
    <w:p w:rsidR="00AC0832" w:rsidRDefault="00AC0832">
      <w:pPr>
        <w:jc w:val="left"/>
      </w:pPr>
    </w:p>
    <w:p w:rsidR="00AC0832" w:rsidRDefault="00AC0832">
      <w:pPr>
        <w:pStyle w:val="Heading2"/>
      </w:pPr>
      <w:r>
        <w:t>06035 Hrvatski centar za poljoprivredu, hranu i selo</w:t>
      </w:r>
    </w:p>
    <w:p w:rsidR="00AC0832" w:rsidRDefault="00AC0832">
      <w:pPr>
        <w:pStyle w:val="Heading4"/>
      </w:pPr>
      <w:r>
        <w:t>Uvod</w:t>
      </w:r>
    </w:p>
    <w:p w:rsidR="00AC0832" w:rsidRDefault="00AC0832">
      <w:pPr>
        <w:pStyle w:val="Normal3"/>
      </w:pPr>
      <w:r>
        <w:t xml:space="preserve">Hrvatski centar za poljoprivredu, hranu i selo je javna ustanova koja obavlja istraživanja, analize, te stručne i znanstvene podloge za potrebe planiranja, provođenja i kontrole mjera poljoprivredne i ruralne politike, povećanja konkurentnosti domaće poljoprivrede i agrobiznisa, te pregovora sa EU. </w:t>
      </w:r>
    </w:p>
    <w:p w:rsidR="00AC0832" w:rsidRDefault="00AC0832">
      <w:pPr>
        <w:pStyle w:val="Normal3"/>
      </w:pPr>
      <w:r>
        <w:t xml:space="preserve">Osnovna zadaća Hrvatskog centara za poljoprivredu, hranu i selo je prijenos znanja iz tehnologije, tržišta, marketinga u području poljoprivrede, dorade i prerade i srodnih znanosti u strukture gospodarstva, istraživanja i javne ovlasti ispitivanja poljoprivrednih proizvoda i nadzor u području glavnih i rubnih ili nedovoljno pokrivenih područja proizvodnji. </w:t>
      </w:r>
    </w:p>
    <w:p w:rsidR="00AC0832" w:rsidRDefault="00AC0832">
      <w:pPr>
        <w:pStyle w:val="Normal3"/>
      </w:pPr>
      <w:r>
        <w:t xml:space="preserve">Hrvatski centar za poljoprivredu, hranu i selo obavlja djelatnost sukladno Zakonu o osnivanju centra te drugim zakonima koji reguliraju područje vinogradarstva i vinarstva pri utvrđivanju čimbenika kakvoće grožđa i vina izdavanjem rješenja za prometovanje vinom na domaćem tržištu kod uvoza i izvoza. U području poljoprivrednog zemljišta ispitivanjem plodnosti poljoprivrednog zemljišta te izradi preporuka prihvatljive gnojidbe kao i monitoringa svih promjena u poljoprivrednom zemljištu. U području zaštite bilja obavlja poslove zdravstvenog i stručnog nadzora nad poljoprivrednim biljem, nadzora i pregleda sadnog materijala, predlaganjem mjera suzbijanja štetnika i bolesti te ocjenu sredstava za zaštitu bilja u postupku registracije. U području sjemenarstva obavlja djelatnosti kod vođenja postupka priznavanja sorti, ispitivanja i zaštite sorti poljoprivrednog sjemena, izdavanje certifikata za promet sjemena te evidencije o izdanim deklaracijama. U području voćarstva obavlja poslove introdukcije sorata i podloga te podizanje i održavanje pokusnih voćnjaka. Uspostavlja pokusne nasade maslina i južnih kultura, autohtonih i introduciranih sorti. Obavlja ispitivanje tržišta poljoprivrednih sorti, izrađuje bilance proizvodnje i isplativosti proizvodnje. Obavlja istraživanja novih tehnologija i poljoprivrednih proizvoda i preporuka domaćoj poljoprivredi. </w:t>
      </w:r>
    </w:p>
    <w:p w:rsidR="00AC0832" w:rsidRDefault="00AC0832">
      <w:pPr>
        <w:pStyle w:val="Normal3"/>
      </w:pPr>
      <w:r>
        <w:t xml:space="preserve">POSEBNE NAPOMENE :  Budući da je Centar u 2012 godini paralelno radio preko riznice i svojeg vlastitog žiro računa koji je u Zagrebačkoj banci zatvoren s 31.12. 2012 godine , a u riznicu je ukucan ukupan plan, pa indeks izvršenja nije realan.  </w:t>
      </w:r>
    </w:p>
    <w:p w:rsidR="00AC0832" w:rsidRDefault="00AC0832">
      <w:pPr>
        <w:pStyle w:val="Normal3"/>
      </w:pPr>
      <w:r>
        <w:t>Naime ukupno izvršeni plan za 2012 godinu iznosi 43. 077.590 kn što je  index  od 95,77%.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06035-Hrvatski centar za poljoprivredu, hranu i selo</w:t>
            </w:r>
          </w:p>
        </w:tc>
        <w:tc>
          <w:tcPr>
            <w:tcW w:w="2322" w:type="dxa"/>
          </w:tcPr>
          <w:p w:rsidR="00AC0832" w:rsidRDefault="00AC0832">
            <w:pPr>
              <w:pStyle w:val="CellColumn"/>
            </w:pPr>
            <w:r>
              <w:t>44.980.800</w:t>
            </w:r>
          </w:p>
        </w:tc>
        <w:tc>
          <w:tcPr>
            <w:tcW w:w="2322" w:type="dxa"/>
          </w:tcPr>
          <w:p w:rsidR="00AC0832" w:rsidRDefault="00AC0832">
            <w:pPr>
              <w:pStyle w:val="CellColumn"/>
            </w:pPr>
            <w:r>
              <w:t>27.280.828</w:t>
            </w:r>
          </w:p>
        </w:tc>
        <w:tc>
          <w:tcPr>
            <w:tcW w:w="2322" w:type="dxa"/>
          </w:tcPr>
          <w:p w:rsidR="00AC0832" w:rsidRDefault="00AC0832">
            <w:pPr>
              <w:pStyle w:val="CellColumn"/>
            </w:pPr>
            <w:r>
              <w:t>60,6</w:t>
            </w:r>
          </w:p>
        </w:tc>
      </w:tr>
      <w:tr w:rsidR="00AC0832" w:rsidTr="00BE20ED">
        <w:trPr>
          <w:jc w:val="center"/>
        </w:trPr>
        <w:tc>
          <w:tcPr>
            <w:tcW w:w="2322" w:type="dxa"/>
          </w:tcPr>
          <w:p w:rsidR="00AC0832" w:rsidRDefault="00AC0832">
            <w:pPr>
              <w:pStyle w:val="CellColumnSmall"/>
            </w:pPr>
            <w:r>
              <w:t>3001-UPRAVLJANJE POLJOPRIVREDOM, RIBARSTVOM I RURALNIM RAZVOJEM</w:t>
            </w:r>
          </w:p>
        </w:tc>
        <w:tc>
          <w:tcPr>
            <w:tcW w:w="2322" w:type="dxa"/>
          </w:tcPr>
          <w:p w:rsidR="00AC0832" w:rsidRDefault="00AC0832">
            <w:pPr>
              <w:pStyle w:val="CellColumnSmall"/>
            </w:pPr>
            <w:r>
              <w:t>42.344.000</w:t>
            </w:r>
          </w:p>
        </w:tc>
        <w:tc>
          <w:tcPr>
            <w:tcW w:w="2322" w:type="dxa"/>
          </w:tcPr>
          <w:p w:rsidR="00AC0832" w:rsidRDefault="00AC0832">
            <w:pPr>
              <w:pStyle w:val="CellColumnSmall"/>
            </w:pPr>
            <w:r>
              <w:t>26.371.337</w:t>
            </w:r>
          </w:p>
        </w:tc>
        <w:tc>
          <w:tcPr>
            <w:tcW w:w="2322" w:type="dxa"/>
          </w:tcPr>
          <w:p w:rsidR="00AC0832" w:rsidRDefault="00AC0832">
            <w:pPr>
              <w:pStyle w:val="CellColumnSmall"/>
            </w:pPr>
            <w:r>
              <w:t>62,3</w:t>
            </w:r>
          </w:p>
        </w:tc>
      </w:tr>
      <w:tr w:rsidR="00AC0832" w:rsidTr="00BE20ED">
        <w:trPr>
          <w:jc w:val="center"/>
        </w:trPr>
        <w:tc>
          <w:tcPr>
            <w:tcW w:w="2322" w:type="dxa"/>
          </w:tcPr>
          <w:p w:rsidR="00AC0832" w:rsidRDefault="00AC0832">
            <w:pPr>
              <w:pStyle w:val="CellColumnSmall"/>
            </w:pPr>
            <w:r>
              <w:t>3002-POLJOPRIVREDA</w:t>
            </w:r>
          </w:p>
        </w:tc>
        <w:tc>
          <w:tcPr>
            <w:tcW w:w="2322" w:type="dxa"/>
          </w:tcPr>
          <w:p w:rsidR="00AC0832" w:rsidRDefault="00AC0832">
            <w:pPr>
              <w:pStyle w:val="CellColumnSmall"/>
            </w:pPr>
            <w:r>
              <w:t>1.036.800</w:t>
            </w:r>
          </w:p>
        </w:tc>
        <w:tc>
          <w:tcPr>
            <w:tcW w:w="2322" w:type="dxa"/>
          </w:tcPr>
          <w:p w:rsidR="00AC0832" w:rsidRDefault="00AC0832">
            <w:pPr>
              <w:pStyle w:val="CellColumnSmall"/>
            </w:pPr>
            <w:r>
              <w:t>153.374</w:t>
            </w:r>
          </w:p>
        </w:tc>
        <w:tc>
          <w:tcPr>
            <w:tcW w:w="2322" w:type="dxa"/>
          </w:tcPr>
          <w:p w:rsidR="00AC0832" w:rsidRDefault="00AC0832">
            <w:pPr>
              <w:pStyle w:val="CellColumnSmall"/>
            </w:pPr>
            <w:r>
              <w:t>14,8</w:t>
            </w:r>
          </w:p>
        </w:tc>
      </w:tr>
      <w:tr w:rsidR="00AC0832" w:rsidTr="00BE20ED">
        <w:trPr>
          <w:jc w:val="center"/>
        </w:trPr>
        <w:tc>
          <w:tcPr>
            <w:tcW w:w="2322" w:type="dxa"/>
          </w:tcPr>
          <w:p w:rsidR="00AC0832" w:rsidRDefault="00AC0832">
            <w:pPr>
              <w:pStyle w:val="CellColumnSmall"/>
            </w:pPr>
            <w:r>
              <w:t>3003-VETERINARSTVO I SIGURNOST HRANE</w:t>
            </w:r>
          </w:p>
        </w:tc>
        <w:tc>
          <w:tcPr>
            <w:tcW w:w="2322" w:type="dxa"/>
          </w:tcPr>
          <w:p w:rsidR="00AC0832" w:rsidRDefault="00AC0832">
            <w:pPr>
              <w:pStyle w:val="CellColumnSmall"/>
            </w:pPr>
            <w:r>
              <w:t>1.600.000</w:t>
            </w:r>
          </w:p>
        </w:tc>
        <w:tc>
          <w:tcPr>
            <w:tcW w:w="2322" w:type="dxa"/>
          </w:tcPr>
          <w:p w:rsidR="00AC0832" w:rsidRDefault="00AC0832">
            <w:pPr>
              <w:pStyle w:val="CellColumnSmall"/>
            </w:pPr>
            <w:r>
              <w:t>756.117</w:t>
            </w:r>
          </w:p>
        </w:tc>
        <w:tc>
          <w:tcPr>
            <w:tcW w:w="2322" w:type="dxa"/>
          </w:tcPr>
          <w:p w:rsidR="00AC0832" w:rsidRDefault="00AC0832">
            <w:pPr>
              <w:pStyle w:val="CellColumnSmall"/>
            </w:pPr>
            <w:r>
              <w:t>47,3</w:t>
            </w:r>
          </w:p>
        </w:tc>
      </w:tr>
    </w:tbl>
    <w:p w:rsidR="00AC0832" w:rsidRDefault="00AC0832">
      <w:pPr>
        <w:jc w:val="left"/>
      </w:pPr>
    </w:p>
    <w:p w:rsidR="00AC0832" w:rsidRDefault="00AC0832">
      <w:pPr>
        <w:pStyle w:val="Heading4"/>
      </w:pPr>
      <w:r>
        <w:t>OBRAZLOŽENJE PROGRAMA</w:t>
      </w:r>
    </w:p>
    <w:p w:rsidR="00AC0832" w:rsidRDefault="00AC0832">
      <w:pPr>
        <w:pStyle w:val="Heading5"/>
      </w:pPr>
      <w:r>
        <w:t>3001 UPRAVLJANJE POLJOPRIVREDOM, RIBARSTVOM I RURALNIM RAZVOJEM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3001-UPRAVLJANJE POLJOPRIVREDOM, RIBARSTVOM I RURALNIM RAZVOJEM</w:t>
            </w:r>
          </w:p>
        </w:tc>
        <w:tc>
          <w:tcPr>
            <w:tcW w:w="2322" w:type="dxa"/>
          </w:tcPr>
          <w:p w:rsidR="00AC0832" w:rsidRDefault="00AC0832">
            <w:pPr>
              <w:pStyle w:val="CellColumn"/>
            </w:pPr>
            <w:r>
              <w:t>42.344.000</w:t>
            </w:r>
          </w:p>
        </w:tc>
        <w:tc>
          <w:tcPr>
            <w:tcW w:w="2322" w:type="dxa"/>
          </w:tcPr>
          <w:p w:rsidR="00AC0832" w:rsidRDefault="00AC0832">
            <w:pPr>
              <w:pStyle w:val="CellColumn"/>
            </w:pPr>
            <w:r>
              <w:t>26.371.337</w:t>
            </w:r>
          </w:p>
        </w:tc>
        <w:tc>
          <w:tcPr>
            <w:tcW w:w="2322" w:type="dxa"/>
          </w:tcPr>
          <w:p w:rsidR="00AC0832" w:rsidRDefault="00AC0832">
            <w:pPr>
              <w:pStyle w:val="CellColumn"/>
            </w:pPr>
            <w:r>
              <w:t>62,3</w:t>
            </w:r>
          </w:p>
        </w:tc>
      </w:tr>
    </w:tbl>
    <w:p w:rsidR="00AC0832" w:rsidRDefault="00AC0832">
      <w:pPr>
        <w:jc w:val="left"/>
      </w:pPr>
    </w:p>
    <w:p w:rsidR="00AC0832" w:rsidRDefault="00AC0832">
      <w:pPr>
        <w:pStyle w:val="Heading6"/>
      </w:pPr>
      <w:r>
        <w:t>Opis programa</w:t>
      </w:r>
    </w:p>
    <w:p w:rsidR="00AC0832" w:rsidRDefault="00AC0832">
      <w:pPr>
        <w:pStyle w:val="Normal5"/>
      </w:pPr>
      <w:r>
        <w:t xml:space="preserve">Ciljevi provedbe programa jesu razvijati istraživački rad; potaknuti procese prilagodbe poljoprivrednog sektora i ruralnog prostora; prenositi znanja iz područja poljoprivrede;ispitivanja, analize i praćenja te preporuke prognoze, izdavanja dokumenata u područjima zaštite bilja, vinogradarstva, voćarstva, vinarstva, maslinarstva, te analize stanja tla; istraživanje u području poljoprivrednih proizvodnji, poljoprivredno prehrambene politike, novih proizvodnih programa u poljoprivredi; suradnja s gospodarskim sektorom u području primjene rezultata znanstvenih spoznaja; istraživanje problema upravljanja i ekonomike poljoprivredne proizvodnje.  </w:t>
      </w:r>
    </w:p>
    <w:p w:rsidR="00AC0832" w:rsidRDefault="00AC0832">
      <w:pPr>
        <w:pStyle w:val="Normal5"/>
      </w:pPr>
      <w:r>
        <w:t>Realizacija programa doprinijet će ostvarenju ciljeva utvrđenih Strategijom Vladinih programa za razdoblje 2012.-2014., i to posebnog cilja 8.3. Zaštita zdravlja ljudi, životinja i bilja, te zaštita interesa potrošača.</w:t>
      </w:r>
    </w:p>
    <w:p w:rsidR="00AC0832" w:rsidRDefault="00AC0832">
      <w:pPr>
        <w:pStyle w:val="Heading6"/>
      </w:pPr>
      <w:r>
        <w:t>Zakonske i druge pravne osnove</w:t>
      </w:r>
    </w:p>
    <w:p w:rsidR="00AC0832" w:rsidRDefault="00AC0832">
      <w:pPr>
        <w:pStyle w:val="Normal5"/>
      </w:pPr>
      <w:r>
        <w:t>Zakon o osnivanju Hrvatskog centra za poljoprivredu, hranu i selo („Narodne novine“, br. 25/09. i 124/10), Zakon o biljnom zdravstvu („Narodne novine“, br. 75/05., 25/09. i 55/11.), Zakon o sredstvima za zaštitu bilja („Narodne novine“, br. 70/05. i 25/09.), Zakon o poljoprivrednom zemljištu (»Narodne novine«, br. 152/08., 25/09.,153/09.,21/10.,39/11. i 63/11.), Zakon o sjemenu, sadnom materijalu i priznavanju sorti poljoprivrednog bilja („Narodne novine“, br. 140/05., 35/08., 25/09. i 124/10.), Zakon o zaštiti biljnih sorti („Narodne novine“, br.131/97., 62/00., 67/08. i 124/10.), Zakon o vinu („Narodne novine“, br. 96/03., 25/09. i 55/11.)</w:t>
      </w:r>
    </w:p>
    <w:p w:rsidR="00AC0832" w:rsidRDefault="00AC0832">
      <w:pPr>
        <w:pStyle w:val="Heading7"/>
      </w:pPr>
      <w:r>
        <w:t xml:space="preserve">Cilj 1. Zaštita i očuvanje poljoprivrednog zemljišta </w:t>
      </w:r>
    </w:p>
    <w:p w:rsidR="00AC0832" w:rsidRDefault="00AC0832">
      <w:pPr>
        <w:pStyle w:val="Heading8"/>
        <w:jc w:val="left"/>
      </w:pPr>
      <w:r>
        <w:t>Opis provedbe cilja programa</w:t>
      </w:r>
    </w:p>
    <w:p w:rsidR="00AC0832" w:rsidRDefault="00AC0832">
      <w:pPr>
        <w:pStyle w:val="Normal6"/>
      </w:pPr>
      <w:r>
        <w:t>Očuvanje poljoprivrednog zemljišta i unapređenje okoliša je strateška zadaća hrvatske države i provodila se nizom mjera u Zavodu za tlo i očuvanje zemljišta HCPHS-a. U sustavu racionalnog gospodarenja poljoprivrednim zemljištem sukladno načelima dobre poljoprivredne prakse poljoprivredni proizvođači sve više uvode ispitivanje plodnosti poljoprivrednog zemljišta kao redovitu mjeru bilanciranja osnovnih hranjiva u tlu, racionalno gospodarenje, uz analizu tla, ostvaruje se preko analiza mineralnog i organskog gnojiva, biljnog materijla , te izradom hidro i agrotehničkih podloga o tlu, kako bi što manje nepoznanica bilo u sustavu proizvodnje. Kompleksne mjere zemljišne politike teško su provedive bez uspostave jedinstvenog infformacijskog sustava podataka o poljoprivrednom zemljištu kojeg čine podsustavi o raspolaganju i podsustav o održavanju i zaštiti poljoprivrednog zemljišta.</w:t>
      </w:r>
    </w:p>
    <w:p w:rsidR="00AC0832" w:rsidRDefault="00AC0832">
      <w:pPr>
        <w:pStyle w:val="Heading7"/>
      </w:pPr>
      <w:r>
        <w:t>Cilj 2. Kakvoća poljoprivrednih proizvoda i proizvoda dobivenih preradom</w:t>
      </w:r>
    </w:p>
    <w:p w:rsidR="00AC0832" w:rsidRDefault="00AC0832">
      <w:pPr>
        <w:pStyle w:val="Heading8"/>
        <w:jc w:val="left"/>
      </w:pPr>
      <w:r>
        <w:t>Opis provedbe cilja programa</w:t>
      </w:r>
    </w:p>
    <w:p w:rsidR="00AC0832" w:rsidRDefault="00AC0832">
      <w:pPr>
        <w:pStyle w:val="Normal6"/>
      </w:pPr>
      <w:r>
        <w:t>Utvrđivanje kakvoće poljoprivrednih proizvoda provodi se na temelju pozitivnih zakona i uredbi EU. U utvrđivanju kakvoće provjeraqvaju se fizikalno kemijska svojstva, organoleptička svojstva i autentičnost proizvoda. Svako vino , voćno vino i ostali proizvodi iz djelokruga  Zakona o vinu na tržištu RH jedinstveno su obilježeni, osim zakonodavno uređenom etiketom i deklaracijom i kontrolom markica koju izdaje HCPHS. Tome prethodi cijeli niz povezanih postupaka, propisanih zakonom i drugim propisima usklađenim s propisima EU. Oni uključuju: nadzor u proizvodnji grožđa, kvantitativnu i kvalitativnu kontrolu prerade grožđa te praćenje proizvodnje vina kroz kontrolu upotrebe dopuštenih enoloških sredstava i enoloških postupaka. Svi navedeni elementi kontrole uključuju i kontrolu dokumentacije koju su proizvođači, prerađivači, uvoznici i izvoznici obvezni voditi. Nakon postupka provjere podataka o proizvodnji i prometu i utvrđivanju da su podaci u suglasju sa zakonskim propisiam, provodi se postupak fizikalno-kemijskog ispitivanja i senzornog ocjenjivanja proizvoda. ovaj postupak obavlja se u labaratorijima Zavoda za vinogradarstvo, vinarstvo i voćarstvo. Nakon utvrđene fizikalno- kemijske i organoleptične ( senzorne) ispravnosti proizvoda, izdaje se Rješenje o stavljanju proizvoda u promet, koje prati numerirana kontrola markica kao dokaz potrošaču o provjerenoj kvaliteti proizvoda.</w:t>
      </w:r>
    </w:p>
    <w:p w:rsidR="00AC0832" w:rsidRDefault="00AC0832">
      <w:pPr>
        <w:pStyle w:val="Heading7"/>
      </w:pPr>
      <w:r>
        <w:t>Cilj 3. Zaštita poljoprivrednih kultura od štetnih organizama</w:t>
      </w:r>
    </w:p>
    <w:p w:rsidR="00AC0832" w:rsidRDefault="00AC0832">
      <w:pPr>
        <w:pStyle w:val="Heading8"/>
        <w:jc w:val="left"/>
      </w:pPr>
      <w:r>
        <w:t>Opis provedbe cilja programa</w:t>
      </w:r>
    </w:p>
    <w:p w:rsidR="00AC0832" w:rsidRDefault="00AC0832">
      <w:pPr>
        <w:pStyle w:val="Normal6"/>
      </w:pPr>
      <w:r>
        <w:t>Sve poljoprivredne kulture napadaju različiti štetnici, uzročnici bolesti te korovi koje nazivamo štetnim organizmima. primarni cilj biljnog zdrastva jest zaštita bilja i biljnih proizvoda i drugih nadziranih predmeta od štetnih organizama, bilja, sprečavanja unošenja i širenja štetnih organizama, omogućavanje optimalne proizvodnje i trgovine biljem, zaštita okoliša od posljedica djelovanja štetnih organizama bilja i kemijskih sredstava za zaštitu bilja koja se koriste za njihovo suzbijanje, uvođenje biološke zaštite bilja i usmjeravanje razvoja zdrastvene zaštite bilja, omogućavanje izobrazbe i podizanja svijesti stanovništva o važnosti pravilne zdrastvene zaštite bilja. zavod za zaštitu bilja HCPHS-a provodeći aktivnosti u skladu sa Zakonom o biljnom zdrastvu i Zakonom o sredstvima za zaštitu bilja te njihovim pratećim propisima predstavlja vrlo značajnu sastavnicu u sustavu zaštite poljoprivrednih kultura prateći direktive EU i EPPO standarde.</w:t>
      </w:r>
    </w:p>
    <w:p w:rsidR="00AC0832" w:rsidRDefault="00AC0832">
      <w:pPr>
        <w:pStyle w:val="Heading7"/>
      </w:pPr>
      <w:r>
        <w:t>Cilj 4. Ispitivanje, priznavanje, zaštita novih biljnih sorti, nadzor i deklaracija sadnog materijala</w:t>
      </w:r>
    </w:p>
    <w:p w:rsidR="00AC0832" w:rsidRDefault="00AC0832">
      <w:pPr>
        <w:pStyle w:val="Heading8"/>
        <w:jc w:val="left"/>
      </w:pPr>
      <w:r>
        <w:t>Opis provedbe cilja programa</w:t>
      </w:r>
    </w:p>
    <w:p w:rsidR="00AC0832" w:rsidRDefault="00AC0832">
      <w:pPr>
        <w:pStyle w:val="Normal6"/>
      </w:pPr>
      <w:r>
        <w:t xml:space="preserve">U području sjemenarstva i rasadničarstva obavljaju se slijedeći poslovi: </w:t>
      </w:r>
    </w:p>
    <w:p w:rsidR="00AC0832" w:rsidRDefault="00AC0832">
      <w:pPr>
        <w:pStyle w:val="Normal6"/>
      </w:pPr>
      <w:r>
        <w:t>ispitivanje novih biljnih sorti za potrebe stavljanja sorti na sortnu listu. ova ispitivanja sastoje se od ispitivanja gospodarske vrijednosti (VCU) i ispitivanja različitosti, ujednačenosti i stabilnosti (DUS). DUS ispitivanja na sortama nekih biljnih vrsti  obavljaju se i za potrebe zaštite biljnih sorti. certifikacije sjemena i sadnog materijala krmnog bilja, žitarica. repe, krumpira, uljarica i predivog bilja, voćnih vesta i loza, nadzora nad radom ovlaštenih labaratorija , nadzora nad radom ovlaštenih uzorkivača, nadzora nad radom ovlaštenih održivača sorti, očuvanja biljnih i genetskih izvora poljoprivrednog bilja, provjere postojanja uvjeta za upis u upisnike dobavljača, labaratorija i uzorkivača sjemena, odobrava dobaljaču obavljanje nadzora pod stručnom kontrolom.</w:t>
      </w:r>
    </w:p>
    <w:p w:rsidR="00AC0832" w:rsidRDefault="00AC0832">
      <w:pPr>
        <w:pStyle w:val="Heading6"/>
      </w:pPr>
      <w:r>
        <w:t>A842001 ADMINISTRACIJA I UPRAVLJANJE HRVATSKOG CENTRA ZA POLJOPRIVREDU, HRANU I SELO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A842001-ADMINISTRACIJA I UPRAVLJANJE HRVATSKOG CENTRA ZA POLJOPRIVREDU, HRANU I SELO</w:t>
            </w:r>
          </w:p>
        </w:tc>
        <w:tc>
          <w:tcPr>
            <w:tcW w:w="2322" w:type="dxa"/>
          </w:tcPr>
          <w:p w:rsidR="00AC0832" w:rsidRDefault="00AC0832">
            <w:pPr>
              <w:pStyle w:val="CellColumn"/>
            </w:pPr>
            <w:r>
              <w:t>40.193.000</w:t>
            </w:r>
          </w:p>
        </w:tc>
        <w:tc>
          <w:tcPr>
            <w:tcW w:w="2322" w:type="dxa"/>
          </w:tcPr>
          <w:p w:rsidR="00AC0832" w:rsidRDefault="00AC0832">
            <w:pPr>
              <w:pStyle w:val="CellColumn"/>
            </w:pPr>
            <w:r>
              <w:t>24.875.136</w:t>
            </w:r>
          </w:p>
        </w:tc>
        <w:tc>
          <w:tcPr>
            <w:tcW w:w="2322" w:type="dxa"/>
          </w:tcPr>
          <w:p w:rsidR="00AC0832" w:rsidRDefault="00AC0832">
            <w:pPr>
              <w:pStyle w:val="CellColumn"/>
            </w:pPr>
            <w:r>
              <w:t>61,9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planu proračuna za 2012-2014.g. planirane su naknade za zaposlene, materijalni i financijski rashodi vezani za obavljanje redovnih djelatnosti HCPHS-a, a koje se odnose na istraživanja, analize te stručne i znanstvene podloge za potrebe planiranja, provođenja i kontrole mjera poljoprivrede i ruralne politike, povećanja konkurentnosti domaće poljoprivrede i agrobiznisa, te pregovora sa EU, kao i sve javne ovlasti u području tla, ispitivanja kakvoće vina, zaštite bilja i izdavanja certifikata u području sjemena i sadnog materijala.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7"/>
        <w:gridCol w:w="1584"/>
        <w:gridCol w:w="1242"/>
        <w:gridCol w:w="1262"/>
        <w:gridCol w:w="1257"/>
        <w:gridCol w:w="1262"/>
        <w:gridCol w:w="127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analiza uzoraka tla i preporuka gnojidbe</w:t>
            </w:r>
          </w:p>
        </w:tc>
        <w:tc>
          <w:tcPr>
            <w:tcW w:w="1300" w:type="dxa"/>
          </w:tcPr>
          <w:p w:rsidR="00AC0832" w:rsidRDefault="00AC0832">
            <w:pPr>
              <w:pStyle w:val="CellColumn"/>
            </w:pPr>
            <w:r>
              <w:t>racionalno bilanciranje hranjiva u tlu sukladno načelima dobre poljoprivredne i okolišne prakse, praćenje stanja poljoprivrednog zemljišta</w:t>
            </w:r>
          </w:p>
        </w:tc>
        <w:tc>
          <w:tcPr>
            <w:tcW w:w="1300" w:type="dxa"/>
          </w:tcPr>
          <w:p w:rsidR="00AC0832" w:rsidRDefault="00AC0832">
            <w:pPr>
              <w:pStyle w:val="CellColumn"/>
            </w:pPr>
            <w:r>
              <w:t>broj</w:t>
            </w:r>
          </w:p>
        </w:tc>
        <w:tc>
          <w:tcPr>
            <w:tcW w:w="1300" w:type="dxa"/>
          </w:tcPr>
          <w:p w:rsidR="00AC0832" w:rsidRDefault="00AC0832">
            <w:pPr>
              <w:pStyle w:val="CellColumn"/>
            </w:pPr>
            <w:r>
              <w:t>3500</w:t>
            </w:r>
          </w:p>
        </w:tc>
        <w:tc>
          <w:tcPr>
            <w:tcW w:w="1300" w:type="dxa"/>
          </w:tcPr>
          <w:p w:rsidR="00AC0832" w:rsidRDefault="00AC0832">
            <w:pPr>
              <w:pStyle w:val="CellColumn"/>
            </w:pPr>
            <w:r>
              <w:t>HCPHS</w:t>
            </w:r>
          </w:p>
        </w:tc>
        <w:tc>
          <w:tcPr>
            <w:tcW w:w="1300" w:type="dxa"/>
          </w:tcPr>
          <w:p w:rsidR="00AC0832" w:rsidRDefault="00AC0832">
            <w:pPr>
              <w:pStyle w:val="CellColumn"/>
            </w:pPr>
            <w:r>
              <w:t>5000</w:t>
            </w:r>
          </w:p>
        </w:tc>
        <w:tc>
          <w:tcPr>
            <w:tcW w:w="1300" w:type="dxa"/>
          </w:tcPr>
          <w:p w:rsidR="00AC0832" w:rsidRDefault="00AC0832">
            <w:pPr>
              <w:pStyle w:val="CellColumn"/>
            </w:pPr>
            <w:r>
              <w:t>6250</w:t>
            </w:r>
          </w:p>
        </w:tc>
      </w:tr>
      <w:tr w:rsidR="00AC0832" w:rsidTr="00BE20ED">
        <w:trPr>
          <w:jc w:val="center"/>
        </w:trPr>
        <w:tc>
          <w:tcPr>
            <w:tcW w:w="1300" w:type="dxa"/>
          </w:tcPr>
          <w:p w:rsidR="00AC0832" w:rsidRDefault="00AC0832">
            <w:pPr>
              <w:pStyle w:val="CellColumn"/>
            </w:pPr>
            <w:r>
              <w:t>povećanje broja izdanih rješenja za promet vina, grožđa, svjedodžbe o uvozu i izvozu vina</w:t>
            </w:r>
          </w:p>
        </w:tc>
        <w:tc>
          <w:tcPr>
            <w:tcW w:w="1300" w:type="dxa"/>
          </w:tcPr>
          <w:p w:rsidR="00AC0832" w:rsidRDefault="00AC0832">
            <w:pPr>
              <w:pStyle w:val="CellColumn"/>
            </w:pPr>
            <w:r>
              <w:t>Ispituju se vina domaće proizvodnje i vino iz uvoza svih kategorija i kvaliteta na temelju javnih ovlasti. Postupku ispitivanja, prethodi provjera svih podataka o proizvođaču koji sadrži Glavni upisnik proizvođača i podataka o zaštiti zemljopisnog podrijetla</w:t>
            </w:r>
          </w:p>
        </w:tc>
        <w:tc>
          <w:tcPr>
            <w:tcW w:w="1300" w:type="dxa"/>
          </w:tcPr>
          <w:p w:rsidR="00AC0832" w:rsidRDefault="00AC0832">
            <w:pPr>
              <w:pStyle w:val="CellColumn"/>
            </w:pPr>
            <w:r>
              <w:t>broj</w:t>
            </w:r>
          </w:p>
        </w:tc>
        <w:tc>
          <w:tcPr>
            <w:tcW w:w="1300" w:type="dxa"/>
          </w:tcPr>
          <w:p w:rsidR="00AC0832" w:rsidRDefault="00AC0832">
            <w:pPr>
              <w:pStyle w:val="CellColumn"/>
            </w:pPr>
            <w:r>
              <w:t>10400</w:t>
            </w:r>
          </w:p>
        </w:tc>
        <w:tc>
          <w:tcPr>
            <w:tcW w:w="1300" w:type="dxa"/>
          </w:tcPr>
          <w:p w:rsidR="00AC0832" w:rsidRDefault="00AC0832">
            <w:pPr>
              <w:pStyle w:val="CellColumn"/>
            </w:pPr>
            <w:r>
              <w:t>MP, MZ</w:t>
            </w:r>
          </w:p>
        </w:tc>
        <w:tc>
          <w:tcPr>
            <w:tcW w:w="1300" w:type="dxa"/>
          </w:tcPr>
          <w:p w:rsidR="00AC0832" w:rsidRDefault="00AC0832">
            <w:pPr>
              <w:pStyle w:val="CellColumn"/>
            </w:pPr>
            <w:r>
              <w:t>10400</w:t>
            </w:r>
          </w:p>
        </w:tc>
        <w:tc>
          <w:tcPr>
            <w:tcW w:w="1300" w:type="dxa"/>
          </w:tcPr>
          <w:p w:rsidR="00AC0832" w:rsidRDefault="00AC0832">
            <w:pPr>
              <w:pStyle w:val="CellColumn"/>
            </w:pPr>
            <w:r>
              <w:t>10799</w:t>
            </w:r>
          </w:p>
        </w:tc>
      </w:tr>
      <w:tr w:rsidR="00AC0832" w:rsidTr="00BE20ED">
        <w:trPr>
          <w:jc w:val="center"/>
        </w:trPr>
        <w:tc>
          <w:tcPr>
            <w:tcW w:w="1300" w:type="dxa"/>
          </w:tcPr>
          <w:p w:rsidR="00AC0832" w:rsidRDefault="00AC0832">
            <w:pPr>
              <w:pStyle w:val="CellColumn"/>
            </w:pPr>
            <w:r>
              <w:t>Broj analiza sredstava za zaštitu bilja za programe P-1 i P-2 te kontrolu ispravnosti</w:t>
            </w:r>
          </w:p>
        </w:tc>
        <w:tc>
          <w:tcPr>
            <w:tcW w:w="1300" w:type="dxa"/>
          </w:tcPr>
          <w:p w:rsidR="00AC0832" w:rsidRDefault="00AC0832">
            <w:pPr>
              <w:pStyle w:val="CellColumn"/>
            </w:pPr>
            <w:r>
              <w:t>Osiguravanje ispravnosti SZB u prometu</w:t>
            </w:r>
          </w:p>
        </w:tc>
        <w:tc>
          <w:tcPr>
            <w:tcW w:w="1300" w:type="dxa"/>
          </w:tcPr>
          <w:p w:rsidR="00AC0832" w:rsidRDefault="00AC0832">
            <w:pPr>
              <w:pStyle w:val="CellColumn"/>
            </w:pPr>
            <w:r>
              <w:t>broj</w:t>
            </w:r>
          </w:p>
        </w:tc>
        <w:tc>
          <w:tcPr>
            <w:tcW w:w="1300" w:type="dxa"/>
          </w:tcPr>
          <w:p w:rsidR="00AC0832" w:rsidRDefault="00AC0832">
            <w:pPr>
              <w:pStyle w:val="CellColumn"/>
            </w:pPr>
            <w:r>
              <w:t>588</w:t>
            </w:r>
          </w:p>
        </w:tc>
        <w:tc>
          <w:tcPr>
            <w:tcW w:w="1300" w:type="dxa"/>
          </w:tcPr>
          <w:p w:rsidR="00AC0832" w:rsidRDefault="00AC0832">
            <w:pPr>
              <w:pStyle w:val="CellColumn"/>
            </w:pPr>
            <w:r>
              <w:t>HCPHS</w:t>
            </w:r>
          </w:p>
        </w:tc>
        <w:tc>
          <w:tcPr>
            <w:tcW w:w="1300" w:type="dxa"/>
          </w:tcPr>
          <w:p w:rsidR="00AC0832" w:rsidRDefault="00AC0832">
            <w:pPr>
              <w:pStyle w:val="CellColumn"/>
            </w:pPr>
            <w:r>
              <w:t>480</w:t>
            </w:r>
          </w:p>
        </w:tc>
        <w:tc>
          <w:tcPr>
            <w:tcW w:w="1300" w:type="dxa"/>
          </w:tcPr>
          <w:p w:rsidR="00AC0832" w:rsidRDefault="00AC0832">
            <w:pPr>
              <w:pStyle w:val="CellColumn"/>
            </w:pPr>
            <w:r>
              <w:t>451</w:t>
            </w:r>
          </w:p>
        </w:tc>
      </w:tr>
      <w:tr w:rsidR="00AC0832" w:rsidTr="00BE20ED">
        <w:trPr>
          <w:jc w:val="center"/>
        </w:trPr>
        <w:tc>
          <w:tcPr>
            <w:tcW w:w="1300" w:type="dxa"/>
          </w:tcPr>
          <w:p w:rsidR="00AC0832" w:rsidRDefault="00AC0832">
            <w:pPr>
              <w:pStyle w:val="CellColumn"/>
            </w:pPr>
            <w:r>
              <w:t>Izdavanje certifikata o sjemenu i sadnom materijalu</w:t>
            </w:r>
          </w:p>
        </w:tc>
        <w:tc>
          <w:tcPr>
            <w:tcW w:w="1300" w:type="dxa"/>
          </w:tcPr>
          <w:p w:rsidR="00AC0832" w:rsidRDefault="00AC0832">
            <w:pPr>
              <w:pStyle w:val="CellColumn"/>
            </w:pPr>
            <w:r>
              <w:t>Provjera partije sjemena, na zahtjev proizvođača, porijeklom i kakvoćom</w:t>
            </w:r>
          </w:p>
        </w:tc>
        <w:tc>
          <w:tcPr>
            <w:tcW w:w="1300" w:type="dxa"/>
          </w:tcPr>
          <w:p w:rsidR="00AC0832" w:rsidRDefault="00AC0832">
            <w:pPr>
              <w:pStyle w:val="CellColumn"/>
            </w:pPr>
            <w:r>
              <w:t>broj</w:t>
            </w:r>
          </w:p>
        </w:tc>
        <w:tc>
          <w:tcPr>
            <w:tcW w:w="1300" w:type="dxa"/>
          </w:tcPr>
          <w:p w:rsidR="00AC0832" w:rsidRDefault="00AC0832">
            <w:pPr>
              <w:pStyle w:val="CellColumn"/>
            </w:pPr>
            <w:r>
              <w:t>4000000</w:t>
            </w:r>
          </w:p>
        </w:tc>
        <w:tc>
          <w:tcPr>
            <w:tcW w:w="1300" w:type="dxa"/>
          </w:tcPr>
          <w:p w:rsidR="00AC0832" w:rsidRDefault="00AC0832">
            <w:pPr>
              <w:pStyle w:val="CellColumn"/>
            </w:pPr>
            <w:r>
              <w:t>HCPHS</w:t>
            </w:r>
          </w:p>
        </w:tc>
        <w:tc>
          <w:tcPr>
            <w:tcW w:w="1300" w:type="dxa"/>
          </w:tcPr>
          <w:p w:rsidR="00AC0832" w:rsidRDefault="00AC0832">
            <w:pPr>
              <w:pStyle w:val="CellColumn"/>
            </w:pPr>
            <w:r>
              <w:t>4000000</w:t>
            </w:r>
          </w:p>
        </w:tc>
        <w:tc>
          <w:tcPr>
            <w:tcW w:w="1300" w:type="dxa"/>
          </w:tcPr>
          <w:p w:rsidR="00AC0832" w:rsidRDefault="00AC0832">
            <w:pPr>
              <w:pStyle w:val="CellColumn"/>
            </w:pPr>
            <w:r>
              <w:t>4475000</w:t>
            </w:r>
          </w:p>
        </w:tc>
      </w:tr>
      <w:tr w:rsidR="00AC0832" w:rsidTr="00BE20ED">
        <w:trPr>
          <w:jc w:val="center"/>
        </w:trPr>
        <w:tc>
          <w:tcPr>
            <w:tcW w:w="1300" w:type="dxa"/>
          </w:tcPr>
          <w:p w:rsidR="00AC0832" w:rsidRDefault="00AC0832">
            <w:pPr>
              <w:pStyle w:val="CellColumn"/>
            </w:pPr>
            <w:r>
              <w:t>Ispitivanje sjemena</w:t>
            </w:r>
          </w:p>
        </w:tc>
        <w:tc>
          <w:tcPr>
            <w:tcW w:w="1300" w:type="dxa"/>
          </w:tcPr>
          <w:p w:rsidR="00AC0832" w:rsidRDefault="00AC0832">
            <w:pPr>
              <w:pStyle w:val="CellColumn"/>
            </w:pPr>
            <w:r>
              <w:t>Na temelju javnih ovlasti ispituje se sjeme za međunarodni promet i za potrebe inspekcije MP</w:t>
            </w:r>
          </w:p>
        </w:tc>
        <w:tc>
          <w:tcPr>
            <w:tcW w:w="1300" w:type="dxa"/>
          </w:tcPr>
          <w:p w:rsidR="00AC0832" w:rsidRDefault="00AC0832">
            <w:pPr>
              <w:pStyle w:val="CellColumn"/>
            </w:pPr>
            <w:r>
              <w:t>broj</w:t>
            </w:r>
          </w:p>
        </w:tc>
        <w:tc>
          <w:tcPr>
            <w:tcW w:w="1300" w:type="dxa"/>
          </w:tcPr>
          <w:p w:rsidR="00AC0832" w:rsidRDefault="00AC0832">
            <w:pPr>
              <w:pStyle w:val="CellColumn"/>
            </w:pPr>
            <w:r>
              <w:t>1200</w:t>
            </w:r>
          </w:p>
        </w:tc>
        <w:tc>
          <w:tcPr>
            <w:tcW w:w="1300" w:type="dxa"/>
          </w:tcPr>
          <w:p w:rsidR="00AC0832" w:rsidRDefault="00AC0832">
            <w:pPr>
              <w:pStyle w:val="CellColumn"/>
            </w:pPr>
            <w:r>
              <w:t>HCPHS</w:t>
            </w:r>
          </w:p>
        </w:tc>
        <w:tc>
          <w:tcPr>
            <w:tcW w:w="1300" w:type="dxa"/>
          </w:tcPr>
          <w:p w:rsidR="00AC0832" w:rsidRDefault="00AC0832">
            <w:pPr>
              <w:pStyle w:val="CellColumn"/>
            </w:pPr>
            <w:r>
              <w:t>1200</w:t>
            </w:r>
          </w:p>
        </w:tc>
        <w:tc>
          <w:tcPr>
            <w:tcW w:w="1300" w:type="dxa"/>
          </w:tcPr>
          <w:p w:rsidR="00AC0832" w:rsidRDefault="00AC0832">
            <w:pPr>
              <w:pStyle w:val="CellColumn"/>
            </w:pPr>
            <w:r>
              <w:t>1247</w:t>
            </w:r>
          </w:p>
        </w:tc>
      </w:tr>
      <w:tr w:rsidR="00AC0832" w:rsidTr="00BE20ED">
        <w:trPr>
          <w:jc w:val="center"/>
        </w:trPr>
        <w:tc>
          <w:tcPr>
            <w:tcW w:w="1300" w:type="dxa"/>
          </w:tcPr>
          <w:p w:rsidR="00AC0832" w:rsidRDefault="00AC0832">
            <w:pPr>
              <w:pStyle w:val="CellColumn"/>
            </w:pPr>
            <w:r>
              <w:t>Nadzor nad proizvodnjom sjemena</w:t>
            </w:r>
          </w:p>
        </w:tc>
        <w:tc>
          <w:tcPr>
            <w:tcW w:w="1300" w:type="dxa"/>
          </w:tcPr>
          <w:p w:rsidR="00AC0832" w:rsidRDefault="00AC0832">
            <w:pPr>
              <w:pStyle w:val="CellColumn"/>
            </w:pPr>
            <w:r>
              <w:t>Na osnovu prijave broja ha proizvođača, temeljem javnih ovlasti, vrši se nadzor radi proizvodnje sjemena za tržište</w:t>
            </w:r>
          </w:p>
        </w:tc>
        <w:tc>
          <w:tcPr>
            <w:tcW w:w="1300" w:type="dxa"/>
          </w:tcPr>
          <w:p w:rsidR="00AC0832" w:rsidRDefault="00AC0832">
            <w:pPr>
              <w:pStyle w:val="CellColumn"/>
            </w:pPr>
            <w:r>
              <w:t>ha</w:t>
            </w:r>
          </w:p>
        </w:tc>
        <w:tc>
          <w:tcPr>
            <w:tcW w:w="1300" w:type="dxa"/>
          </w:tcPr>
          <w:p w:rsidR="00AC0832" w:rsidRDefault="00AC0832">
            <w:pPr>
              <w:pStyle w:val="CellColumn"/>
            </w:pPr>
            <w:r>
              <w:t>20000</w:t>
            </w:r>
          </w:p>
        </w:tc>
        <w:tc>
          <w:tcPr>
            <w:tcW w:w="1300" w:type="dxa"/>
          </w:tcPr>
          <w:p w:rsidR="00AC0832" w:rsidRDefault="00AC0832">
            <w:pPr>
              <w:pStyle w:val="CellColumn"/>
            </w:pPr>
            <w:r>
              <w:t>HCPHS</w:t>
            </w:r>
          </w:p>
        </w:tc>
        <w:tc>
          <w:tcPr>
            <w:tcW w:w="1300" w:type="dxa"/>
          </w:tcPr>
          <w:p w:rsidR="00AC0832" w:rsidRDefault="00AC0832">
            <w:pPr>
              <w:pStyle w:val="CellColumn"/>
            </w:pPr>
            <w:r>
              <w:t>22000</w:t>
            </w:r>
          </w:p>
        </w:tc>
        <w:tc>
          <w:tcPr>
            <w:tcW w:w="1300" w:type="dxa"/>
          </w:tcPr>
          <w:p w:rsidR="00AC0832" w:rsidRDefault="00AC0832">
            <w:pPr>
              <w:pStyle w:val="CellColumn"/>
            </w:pPr>
            <w:r>
              <w:t>22863</w:t>
            </w:r>
          </w:p>
        </w:tc>
      </w:tr>
      <w:tr w:rsidR="00AC0832" w:rsidTr="00BE20ED">
        <w:trPr>
          <w:jc w:val="center"/>
        </w:trPr>
        <w:tc>
          <w:tcPr>
            <w:tcW w:w="1300" w:type="dxa"/>
          </w:tcPr>
          <w:p w:rsidR="00AC0832" w:rsidRDefault="00AC0832">
            <w:pPr>
              <w:pStyle w:val="CellColumn"/>
            </w:pPr>
            <w:r>
              <w:t>Nadzor nad proizvodnjom sadnog materijala</w:t>
            </w:r>
          </w:p>
        </w:tc>
        <w:tc>
          <w:tcPr>
            <w:tcW w:w="1300" w:type="dxa"/>
          </w:tcPr>
          <w:p w:rsidR="00AC0832" w:rsidRDefault="00AC0832">
            <w:pPr>
              <w:pStyle w:val="CellColumn"/>
            </w:pPr>
            <w:r>
              <w:t>Provjera pripadnosti sorti i kvaliteti materijala te izdavanje deklaracije uz robu za promet kojom se  dokazuje zadovoljavanje minimalnih standarda zadovoljava</w:t>
            </w:r>
          </w:p>
        </w:tc>
        <w:tc>
          <w:tcPr>
            <w:tcW w:w="1300" w:type="dxa"/>
          </w:tcPr>
          <w:p w:rsidR="00AC0832" w:rsidRDefault="00AC0832">
            <w:pPr>
              <w:pStyle w:val="CellColumn"/>
            </w:pPr>
            <w:r>
              <w:t>komad</w:t>
            </w:r>
          </w:p>
        </w:tc>
        <w:tc>
          <w:tcPr>
            <w:tcW w:w="1300" w:type="dxa"/>
          </w:tcPr>
          <w:p w:rsidR="00AC0832" w:rsidRDefault="00AC0832">
            <w:pPr>
              <w:pStyle w:val="CellColumn"/>
            </w:pPr>
            <w:r>
              <w:t>6000000</w:t>
            </w:r>
          </w:p>
        </w:tc>
        <w:tc>
          <w:tcPr>
            <w:tcW w:w="1300" w:type="dxa"/>
          </w:tcPr>
          <w:p w:rsidR="00AC0832" w:rsidRDefault="00AC0832">
            <w:pPr>
              <w:pStyle w:val="CellColumn"/>
            </w:pPr>
            <w:r>
              <w:t>HCPHS</w:t>
            </w:r>
          </w:p>
        </w:tc>
        <w:tc>
          <w:tcPr>
            <w:tcW w:w="1300" w:type="dxa"/>
          </w:tcPr>
          <w:p w:rsidR="00AC0832" w:rsidRDefault="00AC0832">
            <w:pPr>
              <w:pStyle w:val="CellColumn"/>
            </w:pPr>
            <w:r>
              <w:t>7000000</w:t>
            </w:r>
          </w:p>
        </w:tc>
        <w:tc>
          <w:tcPr>
            <w:tcW w:w="1300" w:type="dxa"/>
          </w:tcPr>
          <w:p w:rsidR="00AC0832" w:rsidRDefault="00AC0832">
            <w:pPr>
              <w:pStyle w:val="CellColumn"/>
            </w:pPr>
            <w:r>
              <w:t>6145000</w:t>
            </w:r>
          </w:p>
        </w:tc>
      </w:tr>
      <w:tr w:rsidR="00AC0832" w:rsidTr="00BE20ED">
        <w:trPr>
          <w:jc w:val="center"/>
        </w:trPr>
        <w:tc>
          <w:tcPr>
            <w:tcW w:w="1300" w:type="dxa"/>
          </w:tcPr>
          <w:p w:rsidR="00AC0832" w:rsidRDefault="00AC0832">
            <w:pPr>
              <w:pStyle w:val="CellColumn"/>
            </w:pPr>
            <w:r>
              <w:t>Ispitivanje novih sorti</w:t>
            </w:r>
          </w:p>
        </w:tc>
        <w:tc>
          <w:tcPr>
            <w:tcW w:w="1300" w:type="dxa"/>
          </w:tcPr>
          <w:p w:rsidR="00AC0832" w:rsidRDefault="00AC0832">
            <w:pPr>
              <w:pStyle w:val="CellColumn"/>
            </w:pPr>
            <w:r>
              <w:t>Prije uvrštavanja na sortnu listu svaka sorta mora zadovoljavati zahtjeve proizvodnje i različitost od priznatih sorti. Broj prijava ovisi o aktivnosti i interesu selekcionara.</w:t>
            </w:r>
          </w:p>
        </w:tc>
        <w:tc>
          <w:tcPr>
            <w:tcW w:w="1300" w:type="dxa"/>
          </w:tcPr>
          <w:p w:rsidR="00AC0832" w:rsidRDefault="00AC0832">
            <w:pPr>
              <w:pStyle w:val="CellColumn"/>
            </w:pPr>
            <w:r>
              <w:t>komad</w:t>
            </w:r>
          </w:p>
        </w:tc>
        <w:tc>
          <w:tcPr>
            <w:tcW w:w="1300" w:type="dxa"/>
          </w:tcPr>
          <w:p w:rsidR="00AC0832" w:rsidRDefault="00AC0832">
            <w:pPr>
              <w:pStyle w:val="CellColumn"/>
            </w:pPr>
            <w:r>
              <w:t>140</w:t>
            </w:r>
          </w:p>
        </w:tc>
        <w:tc>
          <w:tcPr>
            <w:tcW w:w="1300" w:type="dxa"/>
          </w:tcPr>
          <w:p w:rsidR="00AC0832" w:rsidRDefault="00AC0832">
            <w:pPr>
              <w:pStyle w:val="CellColumn"/>
            </w:pPr>
            <w:r>
              <w:t>HCPHS</w:t>
            </w:r>
          </w:p>
        </w:tc>
        <w:tc>
          <w:tcPr>
            <w:tcW w:w="1300" w:type="dxa"/>
          </w:tcPr>
          <w:p w:rsidR="00AC0832" w:rsidRDefault="00AC0832">
            <w:pPr>
              <w:pStyle w:val="CellColumn"/>
            </w:pPr>
            <w:r>
              <w:t>140</w:t>
            </w:r>
          </w:p>
        </w:tc>
        <w:tc>
          <w:tcPr>
            <w:tcW w:w="1300" w:type="dxa"/>
          </w:tcPr>
          <w:p w:rsidR="00AC0832" w:rsidRDefault="00AC0832">
            <w:pPr>
              <w:pStyle w:val="CellColumn"/>
            </w:pPr>
            <w:r>
              <w:t>128</w:t>
            </w:r>
          </w:p>
        </w:tc>
      </w:tr>
    </w:tbl>
    <w:p w:rsidR="00AC0832" w:rsidRDefault="00AC0832">
      <w:pPr>
        <w:jc w:val="left"/>
      </w:pPr>
    </w:p>
    <w:p w:rsidR="00AC0832" w:rsidRDefault="00AC0832">
      <w:pPr>
        <w:jc w:val="left"/>
      </w:pPr>
    </w:p>
    <w:p w:rsidR="00AC0832" w:rsidRDefault="00AC0832">
      <w:pPr>
        <w:jc w:val="left"/>
      </w:pPr>
    </w:p>
    <w:p w:rsidR="00AC0832" w:rsidRDefault="00AC0832">
      <w:pPr>
        <w:pStyle w:val="Heading6"/>
      </w:pPr>
      <w:r>
        <w:t>K842002 OPREMANJE USTROJSTVENIH JEDINICA HRVATSKOG CENTRA ZA POLJOPRIVREDU, HRANU I SELO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K842002-OPREMANJE USTROJSTVENIH JEDINICA HRVATSKOG CENTRA ZA POLJOPRIVREDU, HRANU I SELO</w:t>
            </w:r>
          </w:p>
        </w:tc>
        <w:tc>
          <w:tcPr>
            <w:tcW w:w="2322" w:type="dxa"/>
          </w:tcPr>
          <w:p w:rsidR="00AC0832" w:rsidRDefault="00AC0832">
            <w:pPr>
              <w:pStyle w:val="CellColumn"/>
            </w:pPr>
            <w:r>
              <w:t>1.881.000</w:t>
            </w:r>
          </w:p>
        </w:tc>
        <w:tc>
          <w:tcPr>
            <w:tcW w:w="2322" w:type="dxa"/>
          </w:tcPr>
          <w:p w:rsidR="00AC0832" w:rsidRDefault="00AC0832">
            <w:pPr>
              <w:pStyle w:val="CellColumn"/>
            </w:pPr>
            <w:r>
              <w:t>1.332.829</w:t>
            </w:r>
          </w:p>
        </w:tc>
        <w:tc>
          <w:tcPr>
            <w:tcW w:w="2322" w:type="dxa"/>
          </w:tcPr>
          <w:p w:rsidR="00AC0832" w:rsidRDefault="00AC0832">
            <w:pPr>
              <w:pStyle w:val="CellColumn"/>
            </w:pPr>
            <w:r>
              <w:t>70,9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Cilj je osposobiti ustrojstvene jedinice HCPHS-a za redovno obavljanje djelatnosti sukladno zakonskim propisima. Planirana sredstva predviđena su najvećim dijelom za uređenje poslovnog prostora za potrebe Centra u svrhu izmještanja iz prostora u najmu u vlastiti prostor.</w:t>
      </w:r>
    </w:p>
    <w:p w:rsidR="00AC0832" w:rsidRDefault="00AC0832">
      <w:pPr>
        <w:pStyle w:val="Heading6"/>
      </w:pPr>
      <w:r>
        <w:t>K842004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K842004-INFORMATIZACIJA</w:t>
            </w:r>
          </w:p>
        </w:tc>
        <w:tc>
          <w:tcPr>
            <w:tcW w:w="2322" w:type="dxa"/>
          </w:tcPr>
          <w:p w:rsidR="00AC0832" w:rsidRDefault="00AC0832">
            <w:pPr>
              <w:pStyle w:val="CellColumn"/>
            </w:pPr>
            <w:r>
              <w:t>270.000</w:t>
            </w:r>
          </w:p>
        </w:tc>
        <w:tc>
          <w:tcPr>
            <w:tcW w:w="2322" w:type="dxa"/>
          </w:tcPr>
          <w:p w:rsidR="00AC0832" w:rsidRDefault="00AC0832">
            <w:pPr>
              <w:pStyle w:val="CellColumn"/>
            </w:pPr>
            <w:r>
              <w:t>00</w:t>
            </w:r>
          </w:p>
        </w:tc>
        <w:tc>
          <w:tcPr>
            <w:tcW w:w="2322" w:type="dxa"/>
          </w:tcPr>
          <w:p w:rsidR="00AC0832" w:rsidRDefault="00AC0832">
            <w:pPr>
              <w:pStyle w:val="CellColumn"/>
            </w:pPr>
            <w:r>
              <w:t>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Za potrebe rada ustrojstvenih jedinica Centra potrebno je izvršiti modernizaciju informatičkog sustava jer postojeći ne zadovoljava svim zahtjevima koji su određeni zakonskim regulativama, a radi podizanja standarda rada, eliminacije dupliciranja posla te bržeg i jednostavnijeg protoka informacija između stručnjaka kao i s MP. Kako je Hrvatski Centar za poljoprivredu, hranu i selo planirao ranije krenuti sa poslovanjem preko Državne Riznice planirana su i sredstva unutar proračuna, no nažalost krenulo se tek djelomično polovicom godine, te je do 31.12. bilo potrebno potrošiti sva sredstva sa žiro-računa Zagrebačke banke. Upravo iz tog razloga sredstva na ovoj aktivnosti su ostala neutrošena.</w:t>
      </w:r>
    </w:p>
    <w:p w:rsidR="00AC0832" w:rsidRDefault="00AC0832">
      <w:pPr>
        <w:pStyle w:val="Heading5"/>
      </w:pPr>
      <w:r>
        <w:t>3002 POLJOPRIVREDA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3002-POLJOPRIVREDA</w:t>
            </w:r>
          </w:p>
        </w:tc>
        <w:tc>
          <w:tcPr>
            <w:tcW w:w="2322" w:type="dxa"/>
          </w:tcPr>
          <w:p w:rsidR="00AC0832" w:rsidRDefault="00AC0832">
            <w:pPr>
              <w:pStyle w:val="CellColumn"/>
            </w:pPr>
            <w:r>
              <w:t>1.036.800</w:t>
            </w:r>
          </w:p>
        </w:tc>
        <w:tc>
          <w:tcPr>
            <w:tcW w:w="2322" w:type="dxa"/>
          </w:tcPr>
          <w:p w:rsidR="00AC0832" w:rsidRDefault="00AC0832">
            <w:pPr>
              <w:pStyle w:val="CellColumn"/>
            </w:pPr>
            <w:r>
              <w:t>153.374</w:t>
            </w:r>
          </w:p>
        </w:tc>
        <w:tc>
          <w:tcPr>
            <w:tcW w:w="2322" w:type="dxa"/>
          </w:tcPr>
          <w:p w:rsidR="00AC0832" w:rsidRDefault="00AC0832">
            <w:pPr>
              <w:pStyle w:val="CellColumn"/>
            </w:pPr>
            <w:r>
              <w:t>14,8</w:t>
            </w:r>
          </w:p>
        </w:tc>
      </w:tr>
    </w:tbl>
    <w:p w:rsidR="00AC0832" w:rsidRDefault="00AC0832">
      <w:pPr>
        <w:jc w:val="left"/>
      </w:pPr>
    </w:p>
    <w:p w:rsidR="00AC0832" w:rsidRDefault="00AC0832">
      <w:pPr>
        <w:pStyle w:val="Heading6"/>
      </w:pPr>
      <w:r>
        <w:t>Opis programa</w:t>
      </w:r>
    </w:p>
    <w:p w:rsidR="00AC0832" w:rsidRDefault="00AC0832">
      <w:pPr>
        <w:pStyle w:val="Normal5"/>
      </w:pPr>
      <w:r>
        <w:t xml:space="preserve">Aktivnosti po ovom programu usmjerena su na konkurentnost domaće proizvodnje u području raznih voćnih vrsti (maslina, vinova loza, jabuka, šljiva i dr.) Praćenje i ispitivanje će se obavljati na vlastitim površinama (pokušališta) u suradnji sa zainteresiranim proizvođačima. </w:t>
      </w:r>
    </w:p>
    <w:p w:rsidR="00AC0832" w:rsidRDefault="00AC0832">
      <w:pPr>
        <w:pStyle w:val="Normal5"/>
      </w:pPr>
      <w:r>
        <w:t xml:space="preserve">U sklopu programa, primjenjenim istraživanjima u poljoprivredi (VIP) omogućuje se prijenos znanstvenih spoznaja u praktičnoj primjeni. Isto tako analizirat će se utjecaj mjera na dohodak poljoprivrednih proizvođača. </w:t>
      </w:r>
    </w:p>
    <w:p w:rsidR="00AC0832" w:rsidRDefault="00AC0832">
      <w:pPr>
        <w:pStyle w:val="Normal5"/>
      </w:pPr>
      <w:r>
        <w:t>Realizacija programa doprinijeti će ostvarenju ciljeva utvrđenih planom Centra.</w:t>
      </w:r>
    </w:p>
    <w:p w:rsidR="00AC0832" w:rsidRDefault="00AC0832">
      <w:pPr>
        <w:pStyle w:val="Heading6"/>
      </w:pPr>
      <w:r>
        <w:t>Zakonske i druge pravne osnove</w:t>
      </w:r>
    </w:p>
    <w:p w:rsidR="00AC0832" w:rsidRDefault="00AC0832">
      <w:pPr>
        <w:pStyle w:val="Normal5"/>
      </w:pPr>
      <w:r>
        <w:t>Zakon o poljoprivredi (NN, br. 149/09); Zakon o uređenju tržišta poljoprivrednih proizvoda (NN, br. 149/09. i 22/11.); Zakon o osnivanju Hrvatskog centra za poljoprivredu, hranu i selo („Narodne novine“, br. 25/09, 124/10.); Pravilniku o upisu sorti u popis sorti voćnih vrsta (NN 89/09).</w:t>
      </w:r>
    </w:p>
    <w:p w:rsidR="00AC0832" w:rsidRDefault="00AC0832">
      <w:pPr>
        <w:pStyle w:val="Heading7"/>
      </w:pPr>
      <w:r>
        <w:t>Cilj 1. Unapređenje voćarstva u Republici Hrvatskoj</w:t>
      </w:r>
    </w:p>
    <w:p w:rsidR="00AC0832" w:rsidRDefault="00AC0832">
      <w:pPr>
        <w:pStyle w:val="Heading8"/>
        <w:jc w:val="left"/>
      </w:pPr>
      <w:r>
        <w:t>Opis provedbe cilja programa</w:t>
      </w:r>
    </w:p>
    <w:p w:rsidR="00AC0832" w:rsidRDefault="00AC0832">
      <w:pPr>
        <w:pStyle w:val="Normal6"/>
      </w:pPr>
      <w:r>
        <w:t>Zavod za voćarstvo provodi istraživanja temeljena na Zakonu o sjemenu, sadnom materijalu i priznavanju sorti poljoprivrednog bilja ( NN 140/05) na više pokušališta koja su smještena na različitim lokalitetima i to Lokalitet Zelina ( grad Zagreb), lokalitet Opuzen, Kaštela  i dr. Aktivnosti koje se provode imaju za cilj introdukciju novih sorata voća i novih tehnologija, istraživanja u voćarstvu što uključuje različita istraživanja sorti i podloga voćnih vrsta na razini predintrodukcije, introdukcije, sortnih pokusa, post-harvest pokusa, formiranja nasada, te ostalih relevantnih stručnih i znastvenih istraživanja .</w:t>
      </w:r>
    </w:p>
    <w:p w:rsidR="00AC0832" w:rsidRDefault="00AC0832">
      <w:pPr>
        <w:pStyle w:val="Heading7"/>
      </w:pPr>
      <w:r>
        <w:t xml:space="preserve">Cilj 2. Unapređenje uzgoja masline u intenzivnim sustavima uzgoja </w:t>
      </w:r>
    </w:p>
    <w:p w:rsidR="00AC0832" w:rsidRDefault="00AC0832">
      <w:pPr>
        <w:pStyle w:val="Heading8"/>
        <w:jc w:val="left"/>
      </w:pPr>
      <w:r>
        <w:t>Opis provedbe cilja programa</w:t>
      </w:r>
    </w:p>
    <w:p w:rsidR="00AC0832" w:rsidRDefault="00AC0832">
      <w:pPr>
        <w:pStyle w:val="Normal6"/>
      </w:pPr>
      <w:r>
        <w:t>Uzgoj masline u Republici Hrvatskoj dosad nije sustavno istraživan a dobiveni rezultati istraživanja imali bi svoju primjenjivu vrijednost , posebice za investicije na višim površinama. Ta tu Namjenu HCPHS je pripremio površine i u travnju 2011 godine podigao pokusni nasad na površini od 1,5 ha u kaštel Štafiliću. uvođenjem ovakvih sustava uzgoja utjecalo bi se na cijenu proizvodnje, smanjenje visoke cijene radne snage - prvenstveno kod berbe, problema pronalaska kvalitetne radne snage kad to zahtijevaju određene tehnološke operacije, te boljim iskorištenjem poljoprivrednih površina.</w:t>
      </w:r>
    </w:p>
    <w:p w:rsidR="00AC0832" w:rsidRDefault="00AC0832">
      <w:pPr>
        <w:pStyle w:val="Heading6"/>
      </w:pPr>
      <w:r>
        <w:t>K842008 POKUŠALIŠTE ZELINA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K842008-POKUŠALIŠTE ZELINA</w:t>
            </w:r>
          </w:p>
        </w:tc>
        <w:tc>
          <w:tcPr>
            <w:tcW w:w="2322" w:type="dxa"/>
          </w:tcPr>
          <w:p w:rsidR="00AC0832" w:rsidRDefault="00AC0832">
            <w:pPr>
              <w:pStyle w:val="CellColumn"/>
            </w:pPr>
            <w:r>
              <w:t>397.500</w:t>
            </w:r>
          </w:p>
        </w:tc>
        <w:tc>
          <w:tcPr>
            <w:tcW w:w="2322" w:type="dxa"/>
          </w:tcPr>
          <w:p w:rsidR="00AC0832" w:rsidRDefault="00AC0832">
            <w:pPr>
              <w:pStyle w:val="CellColumn"/>
            </w:pPr>
            <w:r>
              <w:t>82.189</w:t>
            </w:r>
          </w:p>
        </w:tc>
        <w:tc>
          <w:tcPr>
            <w:tcW w:w="2322" w:type="dxa"/>
          </w:tcPr>
          <w:p w:rsidR="00AC0832" w:rsidRDefault="00AC0832">
            <w:pPr>
              <w:pStyle w:val="CellColumn"/>
            </w:pPr>
            <w:r>
              <w:t>20,7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Pokušalište Zelina (17,2ha) osnovano 2003.godine s ciljem realizacije aplikativnih istraživanja u voćarstvu što uključuje različita istraživanja kultivara i podloga voćnih vrsta na razini predintrodukcije, introdukcije, te različitih pomoloških i tehnoloških istraživanja. Korisnik usluga su svi oni koji se izravno ili neizravno bave voćarskom proizvodnjom, među ostalim i znanstveno-obrazovne institucije, te Ministarstva koja se bave strateškim planiranjima. Primjenom rezultata istraživanja stvaraju se temeljne informacije koje su potrebne za odluke, planiranja, investiranja, što u konačnici utječe na pozitivne financijske rezultate poslovanja.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17"/>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izdanih publikacija</w:t>
            </w:r>
          </w:p>
        </w:tc>
        <w:tc>
          <w:tcPr>
            <w:tcW w:w="1300" w:type="dxa"/>
          </w:tcPr>
          <w:p w:rsidR="00AC0832" w:rsidRDefault="00AC0832">
            <w:pPr>
              <w:pStyle w:val="CellColumn"/>
            </w:pPr>
            <w:r>
              <w:t>Sukladno Zakona o osnivanju Hrvatskog centra za poljoprivredu, hranu i selo (NN 25/09, 124/10.), članak 3, Pravilniku o upisu sorti u popis sorti voćnih vrsta (NN 89/09), EU Direktivom Vijeća (Council Directive) 2008/90/EC</w:t>
            </w:r>
          </w:p>
        </w:tc>
        <w:tc>
          <w:tcPr>
            <w:tcW w:w="1300" w:type="dxa"/>
          </w:tcPr>
          <w:p w:rsidR="00AC0832" w:rsidRDefault="00AC0832">
            <w:pPr>
              <w:pStyle w:val="CellColumn"/>
            </w:pPr>
            <w:r>
              <w:t>broj izdanih publikacija</w:t>
            </w:r>
          </w:p>
        </w:tc>
        <w:tc>
          <w:tcPr>
            <w:tcW w:w="1300" w:type="dxa"/>
          </w:tcPr>
          <w:p w:rsidR="00AC0832" w:rsidRDefault="00AC0832">
            <w:pPr>
              <w:pStyle w:val="CellColumn"/>
            </w:pPr>
            <w:r>
              <w:t>0</w:t>
            </w:r>
          </w:p>
        </w:tc>
        <w:tc>
          <w:tcPr>
            <w:tcW w:w="1300" w:type="dxa"/>
          </w:tcPr>
          <w:p w:rsidR="00AC0832" w:rsidRDefault="00AC0832">
            <w:pPr>
              <w:pStyle w:val="CellColumn"/>
            </w:pPr>
            <w:r>
              <w:t>HCPHS</w:t>
            </w:r>
          </w:p>
        </w:tc>
        <w:tc>
          <w:tcPr>
            <w:tcW w:w="1300" w:type="dxa"/>
          </w:tcPr>
          <w:p w:rsidR="00AC0832" w:rsidRDefault="00AC0832">
            <w:pPr>
              <w:pStyle w:val="CellColumn"/>
            </w:pPr>
            <w:r>
              <w:t>2</w:t>
            </w:r>
          </w:p>
        </w:tc>
        <w:tc>
          <w:tcPr>
            <w:tcW w:w="1300" w:type="dxa"/>
          </w:tcPr>
          <w:p w:rsidR="00AC0832" w:rsidRDefault="00AC0832">
            <w:pPr>
              <w:pStyle w:val="CellColumn"/>
            </w:pPr>
            <w:r>
              <w:t>2</w:t>
            </w:r>
          </w:p>
        </w:tc>
      </w:tr>
      <w:tr w:rsidR="00AC0832" w:rsidTr="00BE20ED">
        <w:trPr>
          <w:jc w:val="center"/>
        </w:trPr>
        <w:tc>
          <w:tcPr>
            <w:tcW w:w="1300" w:type="dxa"/>
          </w:tcPr>
          <w:p w:rsidR="00AC0832" w:rsidRDefault="00AC0832">
            <w:pPr>
              <w:pStyle w:val="CellColumn"/>
            </w:pPr>
            <w:r>
              <w:t>održane radionice sa svrhom prenošenja znanja i edukacije proizvođača</w:t>
            </w:r>
          </w:p>
        </w:tc>
        <w:tc>
          <w:tcPr>
            <w:tcW w:w="1300" w:type="dxa"/>
          </w:tcPr>
          <w:p w:rsidR="00AC0832" w:rsidRDefault="00AC0832">
            <w:pPr>
              <w:pStyle w:val="CellColumn"/>
            </w:pPr>
            <w:r>
              <w:t>Sukladno Zakona o osnivanju Hrvatskog centra za poljoprivredu, hranu i selo (NN 25/09, 124/10.), članak 3, Pravilniku o upisu sorti u popis sorti voćnih vrsta (NN 89/09), EU Direktivom Vijeća (Council Directive) 2008/90/EC</w:t>
            </w:r>
          </w:p>
        </w:tc>
        <w:tc>
          <w:tcPr>
            <w:tcW w:w="1300" w:type="dxa"/>
          </w:tcPr>
          <w:p w:rsidR="00AC0832" w:rsidRDefault="00AC0832">
            <w:pPr>
              <w:pStyle w:val="CellColumn"/>
            </w:pPr>
            <w:r>
              <w:t>broj održanih radionica</w:t>
            </w:r>
          </w:p>
        </w:tc>
        <w:tc>
          <w:tcPr>
            <w:tcW w:w="1300" w:type="dxa"/>
          </w:tcPr>
          <w:p w:rsidR="00AC0832" w:rsidRDefault="00AC0832">
            <w:pPr>
              <w:pStyle w:val="CellColumn"/>
            </w:pPr>
            <w:r>
              <w:t>1</w:t>
            </w:r>
          </w:p>
        </w:tc>
        <w:tc>
          <w:tcPr>
            <w:tcW w:w="1300" w:type="dxa"/>
          </w:tcPr>
          <w:p w:rsidR="00AC0832" w:rsidRDefault="00AC0832">
            <w:pPr>
              <w:pStyle w:val="CellColumn"/>
            </w:pPr>
            <w:r>
              <w:t>HCPHS</w:t>
            </w:r>
          </w:p>
        </w:tc>
        <w:tc>
          <w:tcPr>
            <w:tcW w:w="1300" w:type="dxa"/>
          </w:tcPr>
          <w:p w:rsidR="00AC0832" w:rsidRDefault="00AC0832">
            <w:pPr>
              <w:pStyle w:val="CellColumn"/>
            </w:pPr>
            <w:r>
              <w:t>4</w:t>
            </w:r>
          </w:p>
        </w:tc>
        <w:tc>
          <w:tcPr>
            <w:tcW w:w="1300" w:type="dxa"/>
          </w:tcPr>
          <w:p w:rsidR="00AC0832" w:rsidRDefault="00AC0832">
            <w:pPr>
              <w:pStyle w:val="CellColumn"/>
            </w:pPr>
            <w:r>
              <w:t>4</w:t>
            </w:r>
          </w:p>
        </w:tc>
      </w:tr>
    </w:tbl>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pStyle w:val="Heading6"/>
      </w:pPr>
      <w:r>
        <w:t>K842011 POKUŠALIŠTE KAŠTELA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K842011-POKUŠALIŠTE KAŠTELA</w:t>
            </w:r>
          </w:p>
        </w:tc>
        <w:tc>
          <w:tcPr>
            <w:tcW w:w="2322" w:type="dxa"/>
          </w:tcPr>
          <w:p w:rsidR="00AC0832" w:rsidRDefault="00AC0832">
            <w:pPr>
              <w:pStyle w:val="CellColumn"/>
            </w:pPr>
            <w:r>
              <w:t>99.500</w:t>
            </w:r>
          </w:p>
        </w:tc>
        <w:tc>
          <w:tcPr>
            <w:tcW w:w="2322" w:type="dxa"/>
          </w:tcPr>
          <w:p w:rsidR="00AC0832" w:rsidRDefault="00AC0832">
            <w:pPr>
              <w:pStyle w:val="CellColumn"/>
            </w:pPr>
            <w:r>
              <w:t>4.096</w:t>
            </w:r>
          </w:p>
        </w:tc>
        <w:tc>
          <w:tcPr>
            <w:tcW w:w="2322" w:type="dxa"/>
          </w:tcPr>
          <w:p w:rsidR="00AC0832" w:rsidRDefault="00AC0832">
            <w:pPr>
              <w:pStyle w:val="CellColumn"/>
            </w:pPr>
            <w:r>
              <w:t>4,1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Uzgoj masline u gustom sklopu u Republici Hrvatskoj dosad nije sustavno istraživan, a dobiveni rezultati istraživanja imali bi svoju primjenjivu vrijednost, posebice za investicije na višim površinama. Za tu namjenu, HCPHS je pripremio površine i u travnju 2011. Godine, podigao pokusni nasad na površini od 1,5 ha u Kaštel Štafiliću. Uvođenjem ovakvih sustava uzgoja utjecalo bi se na cijenu proizvodnje, smanjenje visoke cijene radne snage - prvenstveno kod berbe, problema pronalaska kvalitetne radne snage kad to zahtijevaju određene tehnološke i pomološke operacije, te boljim iskorištenjem poljoprivrednih površina. Pored biološke i pomološke ocjene sorata analiziralo bi se i ocijenilo sortno ulje dobiveno u postupku istraživanja. Projekt se provodi u sklopu djelatnosti Zavoda za poljioprivrednu proizvodnju i hranu HCPHS-a.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3"/>
        <w:gridCol w:w="1484"/>
        <w:gridCol w:w="1243"/>
        <w:gridCol w:w="1245"/>
        <w:gridCol w:w="1237"/>
        <w:gridCol w:w="1245"/>
        <w:gridCol w:w="1261"/>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Održavanje novopodignutih pokusnih nasada maslina; Prikupkjanje i analiza podataka; Izrada godišnjih izvješća; Prezentacije na domaćim i inozemnim</w:t>
            </w:r>
          </w:p>
        </w:tc>
        <w:tc>
          <w:tcPr>
            <w:tcW w:w="1300" w:type="dxa"/>
          </w:tcPr>
          <w:p w:rsidR="00AC0832" w:rsidRDefault="00AC0832">
            <w:pPr>
              <w:pStyle w:val="CellColumn"/>
            </w:pPr>
            <w:r>
              <w:t>Prezentacijom rezultata na polju i kroz pisane medije, stručna javnost upoznat će se s rezultatima istraživanja i iste koristiti kao podlogu za investicije</w:t>
            </w:r>
          </w:p>
        </w:tc>
        <w:tc>
          <w:tcPr>
            <w:tcW w:w="1300" w:type="dxa"/>
          </w:tcPr>
          <w:p w:rsidR="00AC0832" w:rsidRDefault="00AC0832">
            <w:pPr>
              <w:pStyle w:val="CellColumn"/>
            </w:pPr>
            <w:r>
              <w:t>broj edukacija</w:t>
            </w:r>
          </w:p>
        </w:tc>
        <w:tc>
          <w:tcPr>
            <w:tcW w:w="1300" w:type="dxa"/>
          </w:tcPr>
          <w:p w:rsidR="00AC0832" w:rsidRDefault="00AC0832">
            <w:pPr>
              <w:pStyle w:val="CellColumn"/>
            </w:pPr>
            <w:r>
              <w:t>1</w:t>
            </w:r>
          </w:p>
        </w:tc>
        <w:tc>
          <w:tcPr>
            <w:tcW w:w="1300" w:type="dxa"/>
          </w:tcPr>
          <w:p w:rsidR="00AC0832" w:rsidRDefault="00AC0832">
            <w:pPr>
              <w:pStyle w:val="CellColumn"/>
            </w:pPr>
            <w:r>
              <w:t>HCPHS</w:t>
            </w:r>
          </w:p>
        </w:tc>
        <w:tc>
          <w:tcPr>
            <w:tcW w:w="1300" w:type="dxa"/>
          </w:tcPr>
          <w:p w:rsidR="00AC0832" w:rsidRDefault="00AC0832">
            <w:pPr>
              <w:pStyle w:val="CellColumn"/>
            </w:pPr>
            <w:r>
              <w:t>3</w:t>
            </w:r>
          </w:p>
        </w:tc>
        <w:tc>
          <w:tcPr>
            <w:tcW w:w="1300" w:type="dxa"/>
          </w:tcPr>
          <w:p w:rsidR="00AC0832" w:rsidRDefault="00AC0832">
            <w:pPr>
              <w:pStyle w:val="CellColumn"/>
            </w:pPr>
            <w:r>
              <w:t>3</w:t>
            </w:r>
          </w:p>
        </w:tc>
      </w:tr>
      <w:tr w:rsidR="00AC0832" w:rsidTr="00BE20ED">
        <w:trPr>
          <w:jc w:val="center"/>
        </w:trPr>
        <w:tc>
          <w:tcPr>
            <w:tcW w:w="1300" w:type="dxa"/>
          </w:tcPr>
          <w:p w:rsidR="00AC0832" w:rsidRDefault="00AC0832">
            <w:pPr>
              <w:pStyle w:val="CellColumn"/>
            </w:pPr>
            <w:r>
              <w:t>Analiza na 5 parametara (SMK, peroksidni broj, K232, K270 i delta K)</w:t>
            </w:r>
          </w:p>
        </w:tc>
        <w:tc>
          <w:tcPr>
            <w:tcW w:w="1300" w:type="dxa"/>
          </w:tcPr>
          <w:p w:rsidR="00AC0832" w:rsidRDefault="00AC0832">
            <w:pPr>
              <w:pStyle w:val="CellColumn"/>
            </w:pPr>
            <w:r>
              <w:t>Utvrđivanje pojave i intenziteta svake senzorske vrline odnosno mane maslinovog ulja, te utvrđivanje senzorskog profila</w:t>
            </w:r>
          </w:p>
        </w:tc>
        <w:tc>
          <w:tcPr>
            <w:tcW w:w="1300" w:type="dxa"/>
          </w:tcPr>
          <w:p w:rsidR="00AC0832" w:rsidRDefault="00AC0832">
            <w:pPr>
              <w:pStyle w:val="CellColumn"/>
            </w:pPr>
            <w:r>
              <w:t>broj analiza</w:t>
            </w:r>
          </w:p>
        </w:tc>
        <w:tc>
          <w:tcPr>
            <w:tcW w:w="1300" w:type="dxa"/>
          </w:tcPr>
          <w:p w:rsidR="00AC0832" w:rsidRDefault="00AC0832">
            <w:pPr>
              <w:pStyle w:val="CellColumn"/>
            </w:pPr>
            <w:r>
              <w:t>0</w:t>
            </w:r>
          </w:p>
        </w:tc>
        <w:tc>
          <w:tcPr>
            <w:tcW w:w="1300" w:type="dxa"/>
          </w:tcPr>
          <w:p w:rsidR="00AC0832" w:rsidRDefault="00AC0832">
            <w:pPr>
              <w:pStyle w:val="CellColumn"/>
            </w:pPr>
            <w:r>
              <w:t>HCPHS</w:t>
            </w:r>
          </w:p>
        </w:tc>
        <w:tc>
          <w:tcPr>
            <w:tcW w:w="1300" w:type="dxa"/>
          </w:tcPr>
          <w:p w:rsidR="00AC0832" w:rsidRDefault="00AC0832">
            <w:pPr>
              <w:pStyle w:val="CellColumn"/>
            </w:pPr>
            <w:r>
              <w:t>5</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T842010 STRATEŠKI PLAN RAZVOJA VINARSTVA U DNŽ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T842010-STRATEŠKI PLAN RAZVOJA VINARSTVA U DNŽ</w:t>
            </w:r>
          </w:p>
        </w:tc>
        <w:tc>
          <w:tcPr>
            <w:tcW w:w="2322" w:type="dxa"/>
          </w:tcPr>
          <w:p w:rsidR="00AC0832" w:rsidRDefault="00AC0832">
            <w:pPr>
              <w:pStyle w:val="CellColumn"/>
            </w:pPr>
            <w:r>
              <w:t>139.800</w:t>
            </w:r>
          </w:p>
        </w:tc>
        <w:tc>
          <w:tcPr>
            <w:tcW w:w="2322" w:type="dxa"/>
          </w:tcPr>
          <w:p w:rsidR="00AC0832" w:rsidRDefault="00AC0832">
            <w:pPr>
              <w:pStyle w:val="CellColumn"/>
            </w:pPr>
            <w:r>
              <w:t>67.089</w:t>
            </w:r>
          </w:p>
        </w:tc>
        <w:tc>
          <w:tcPr>
            <w:tcW w:w="2322" w:type="dxa"/>
          </w:tcPr>
          <w:p w:rsidR="00AC0832" w:rsidRDefault="00AC0832">
            <w:pPr>
              <w:pStyle w:val="CellColumn"/>
            </w:pPr>
            <w:r>
              <w:t>48,0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Cilj ove proračunske aktivnosti je izraditi Strateški plan razvoja vinarstva Dubrovačko neretvanske županije za naručitelja DUNEA d.o.o. Dubrovačko neretvanska županija i Zajednica vinara županije. Izrada strateškog plana uključuje izradu dokumenta te održavanje niza radionica na području Dubrovačko-neretvanske županije (Korčula, Pelješac, Konavle, Neretva, Dubrovnik).</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Izrada strateškog dokumenta</w:t>
            </w:r>
          </w:p>
        </w:tc>
        <w:tc>
          <w:tcPr>
            <w:tcW w:w="1300" w:type="dxa"/>
          </w:tcPr>
          <w:p w:rsidR="00AC0832" w:rsidRDefault="00AC0832">
            <w:pPr>
              <w:pStyle w:val="CellColumn"/>
            </w:pPr>
            <w:r>
              <w:t>Izrađen strateški dokument</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HCPHS, vanjski konzultanti</w:t>
            </w:r>
          </w:p>
        </w:tc>
        <w:tc>
          <w:tcPr>
            <w:tcW w:w="1300" w:type="dxa"/>
          </w:tcPr>
          <w:p w:rsidR="00AC0832" w:rsidRDefault="00AC0832">
            <w:pPr>
              <w:pStyle w:val="CellColumn"/>
            </w:pPr>
            <w:r>
              <w:t>1</w:t>
            </w:r>
          </w:p>
        </w:tc>
        <w:tc>
          <w:tcPr>
            <w:tcW w:w="1300" w:type="dxa"/>
          </w:tcPr>
          <w:p w:rsidR="00AC0832" w:rsidRDefault="00AC0832">
            <w:pPr>
              <w:pStyle w:val="CellColumn"/>
            </w:pPr>
            <w:r>
              <w:t>1</w:t>
            </w:r>
          </w:p>
        </w:tc>
      </w:tr>
      <w:tr w:rsidR="00AC0832" w:rsidTr="00BE20ED">
        <w:trPr>
          <w:jc w:val="center"/>
        </w:trPr>
        <w:tc>
          <w:tcPr>
            <w:tcW w:w="1300" w:type="dxa"/>
          </w:tcPr>
          <w:p w:rsidR="00AC0832" w:rsidRDefault="00AC0832">
            <w:pPr>
              <w:pStyle w:val="CellColumn"/>
            </w:pPr>
            <w:r>
              <w:t>Radionice</w:t>
            </w:r>
          </w:p>
        </w:tc>
        <w:tc>
          <w:tcPr>
            <w:tcW w:w="1300" w:type="dxa"/>
          </w:tcPr>
          <w:p w:rsidR="00AC0832" w:rsidRDefault="00AC0832">
            <w:pPr>
              <w:pStyle w:val="CellColumn"/>
            </w:pPr>
            <w:r>
              <w:t>Broj održanih radionica (potpisne liste, fotografije održanih radonica)</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vanjski konzultanti i proizvođači</w:t>
            </w:r>
          </w:p>
        </w:tc>
        <w:tc>
          <w:tcPr>
            <w:tcW w:w="1300" w:type="dxa"/>
          </w:tcPr>
          <w:p w:rsidR="00AC0832" w:rsidRDefault="00AC0832">
            <w:pPr>
              <w:pStyle w:val="CellColumn"/>
            </w:pPr>
            <w:r>
              <w:t>7</w:t>
            </w:r>
          </w:p>
        </w:tc>
        <w:tc>
          <w:tcPr>
            <w:tcW w:w="1300" w:type="dxa"/>
          </w:tcPr>
          <w:p w:rsidR="00AC0832" w:rsidRDefault="00AC0832">
            <w:pPr>
              <w:pStyle w:val="CellColumn"/>
            </w:pPr>
            <w:r>
              <w:t>9</w:t>
            </w:r>
          </w:p>
        </w:tc>
      </w:tr>
    </w:tbl>
    <w:p w:rsidR="00AC0832" w:rsidRDefault="00AC0832">
      <w:pPr>
        <w:jc w:val="left"/>
      </w:pPr>
    </w:p>
    <w:p w:rsidR="00AC0832" w:rsidRDefault="00AC0832">
      <w:pPr>
        <w:pStyle w:val="Heading5"/>
      </w:pPr>
      <w:r>
        <w:t>3003 VETERINARSTVO I SIGURNOST HRANE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3003-VETERINARSTVO I SIGURNOST HRANE</w:t>
            </w:r>
          </w:p>
        </w:tc>
        <w:tc>
          <w:tcPr>
            <w:tcW w:w="2322" w:type="dxa"/>
          </w:tcPr>
          <w:p w:rsidR="00AC0832" w:rsidRDefault="00AC0832">
            <w:pPr>
              <w:pStyle w:val="CellColumn"/>
            </w:pPr>
            <w:r>
              <w:t>1.600.000</w:t>
            </w:r>
          </w:p>
        </w:tc>
        <w:tc>
          <w:tcPr>
            <w:tcW w:w="2322" w:type="dxa"/>
          </w:tcPr>
          <w:p w:rsidR="00AC0832" w:rsidRDefault="00AC0832">
            <w:pPr>
              <w:pStyle w:val="CellColumn"/>
            </w:pPr>
            <w:r>
              <w:t>756.117</w:t>
            </w:r>
          </w:p>
        </w:tc>
        <w:tc>
          <w:tcPr>
            <w:tcW w:w="2322" w:type="dxa"/>
          </w:tcPr>
          <w:p w:rsidR="00AC0832" w:rsidRDefault="00AC0832">
            <w:pPr>
              <w:pStyle w:val="CellColumn"/>
            </w:pPr>
            <w:r>
              <w:t>47,3</w:t>
            </w:r>
          </w:p>
        </w:tc>
      </w:tr>
    </w:tbl>
    <w:p w:rsidR="00AC0832" w:rsidRDefault="00AC0832">
      <w:pPr>
        <w:jc w:val="left"/>
      </w:pPr>
    </w:p>
    <w:p w:rsidR="00AC0832" w:rsidRDefault="00AC0832">
      <w:pPr>
        <w:pStyle w:val="Heading6"/>
      </w:pPr>
      <w:r>
        <w:t>Opis programa</w:t>
      </w:r>
    </w:p>
    <w:p w:rsidR="00AC0832" w:rsidRDefault="00AC0832">
      <w:pPr>
        <w:pStyle w:val="Normal5"/>
      </w:pPr>
      <w:r>
        <w:t xml:space="preserve">RH kao i druge zemlje planira i provodi nacionalnu politiku biljnog zdravstva s ciljem zdravstvene zaštite bilja od štetnih organizama bilja (ŠO) kako bi se spriječilo propadanje poljoprivrednih usjeva i prinosa te zajamčila sigurnost trajne opskrbe stanovništva zdravom hranom biljnog podrijetla visoke kakvoće. </w:t>
      </w:r>
    </w:p>
    <w:p w:rsidR="00AC0832" w:rsidRDefault="00AC0832">
      <w:pPr>
        <w:pStyle w:val="Normal5"/>
      </w:pPr>
      <w:r>
        <w:t>Primarni cilj biljnog zdravstva jest zdravstvena zaštita bilja, biljnih proizvoda i drugih nadziranih predmeta od štetnih organizama bilja, sprječavanje unošenja u RH i širenja štetnih organizama bilja, utvrđivanje prisutnosti i određivanje vrsta štetnih organizama, omogućavanje optimalne proizvodnje i trgovine biljem, pravilna primjena SZB,  zaštita okoliša od posljedica djelovanja štetnih organizama bilja, uvođenje biološke zaštite bilja i usmjeravanje razvoja zdravstvene zaštite bilja, omogućavanje izobrazbe i podizanja svijesti stanovništva o važnosti pravilne zdravstvene zaštite bilja.</w:t>
      </w:r>
    </w:p>
    <w:p w:rsidR="00AC0832" w:rsidRDefault="00AC0832">
      <w:pPr>
        <w:pStyle w:val="Heading6"/>
      </w:pPr>
      <w:r>
        <w:t>Zakonske i druge pravne osnove</w:t>
      </w:r>
    </w:p>
    <w:p w:rsidR="00AC0832" w:rsidRDefault="00AC0832">
      <w:pPr>
        <w:pStyle w:val="Normal5"/>
      </w:pPr>
      <w:r>
        <w:t>Zakon o osnivanju Hrvatskog centra za poljoprivredu, hranu i selo ("Narodne novine", br. 25/09. i 124/10.), Zakon o biljnom zdravstvu (NN 75/05, 25/09 I 55/11.), Zakon o sredstvima za zaštitu bilja ( NN 70/05. i 25/09.)</w:t>
      </w:r>
    </w:p>
    <w:p w:rsidR="00AC0832" w:rsidRDefault="00AC0832">
      <w:pPr>
        <w:pStyle w:val="Heading7"/>
      </w:pPr>
      <w:r>
        <w:t>Cilj 1. Zaštita poljoprivrednih kultura od štetnih organizama</w:t>
      </w:r>
    </w:p>
    <w:p w:rsidR="00AC0832" w:rsidRDefault="00AC0832">
      <w:pPr>
        <w:pStyle w:val="Heading8"/>
        <w:jc w:val="left"/>
      </w:pPr>
      <w:r>
        <w:t>Opis provedbe cilja programa</w:t>
      </w:r>
    </w:p>
    <w:p w:rsidR="00AC0832" w:rsidRDefault="00AC0832">
      <w:pPr>
        <w:pStyle w:val="Normal6"/>
      </w:pPr>
      <w:r>
        <w:t>Jedan od značajnih uvjeta poljoprivredne proizvodnje je uspješno ostvarena zaštita kultiviranih biljaka od štetnih organizama. zavod za zaštitu bilja HCPHS-a provodeći aktivnosti u skladu s Zakonom predstavlja značajnu sastavnicu u sustavu zaštite poljoprivrednih kultura prateći direktive EU i EPPO standarde. U Odjelu za biljno zdravstvo, odsjeku za štetne organizme bilja i biljne proiozvode provode se u suradnji s MP programi posebnog nadzora  ( PPN) koje obuhvaćaju otkrivanje karantenskih i gospodarskih štetnih organizama, izvještavanje o prisutnosti, pojavi i širenju štenih organizama, razrađivanje i predlaganje preventivnih mjera i mjera suzbijanja štetnih organizama.</w:t>
      </w:r>
    </w:p>
    <w:p w:rsidR="00AC0832" w:rsidRDefault="00AC0832">
      <w:pPr>
        <w:pStyle w:val="Heading6"/>
      </w:pPr>
      <w:r>
        <w:t>A842006 OTKRIVANJE I DIJAGNOSTICIRANJE ŠTETNIH ORGANIZAMA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A842006-OTKRIVANJE I DIJAGNOSTICIRANJE ŠTETNIH ORGANIZAMA</w:t>
            </w:r>
          </w:p>
        </w:tc>
        <w:tc>
          <w:tcPr>
            <w:tcW w:w="2322" w:type="dxa"/>
          </w:tcPr>
          <w:p w:rsidR="00AC0832" w:rsidRDefault="00AC0832">
            <w:pPr>
              <w:pStyle w:val="CellColumn"/>
            </w:pPr>
            <w:r>
              <w:t>1.600.000</w:t>
            </w:r>
          </w:p>
        </w:tc>
        <w:tc>
          <w:tcPr>
            <w:tcW w:w="2322" w:type="dxa"/>
          </w:tcPr>
          <w:p w:rsidR="00AC0832" w:rsidRDefault="00AC0832">
            <w:pPr>
              <w:pStyle w:val="CellColumn"/>
            </w:pPr>
            <w:r>
              <w:t>756.117</w:t>
            </w:r>
          </w:p>
        </w:tc>
        <w:tc>
          <w:tcPr>
            <w:tcW w:w="2322" w:type="dxa"/>
          </w:tcPr>
          <w:p w:rsidR="00AC0832" w:rsidRDefault="00AC0832">
            <w:pPr>
              <w:pStyle w:val="CellColumn"/>
            </w:pPr>
            <w:r>
              <w:t>47,3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Odjelu za biljno zdravstvo, Odsjeku za štetne organizme bilja i biljne proizvode provode se, u suradnji s Ministarstvom poljoprivrede, programi posebnog nadzora (PPN) koje obuhvaćaju otkrivanje karantenskih i gospodarskih štetnih organizama, izvještavanje o prisutnosti, pojavi i širenju štetnih organizama, razrađivanje i predlaganje preventivnih mjera i mjera suzbijanja štetnih organizama.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1639"/>
        <w:gridCol w:w="1210"/>
        <w:gridCol w:w="1241"/>
        <w:gridCol w:w="1247"/>
        <w:gridCol w:w="1241"/>
        <w:gridCol w:w="125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laboratorijskih analiza u skopu zdravstvenih pregleda</w:t>
            </w:r>
          </w:p>
        </w:tc>
        <w:tc>
          <w:tcPr>
            <w:tcW w:w="1300" w:type="dxa"/>
          </w:tcPr>
          <w:p w:rsidR="00AC0832" w:rsidRDefault="00AC0832">
            <w:pPr>
              <w:pStyle w:val="CellColumn"/>
            </w:pPr>
            <w:r>
              <w:t>Ispunjavaju se uvjeti određeni Pravilnicima o poljoprivrednom sjemenu i  sadnom materijalu  čime se osigurava distribucija zdravstveno ispravnog sjemenskog i sadnog materijala, što rezultira višim  urodima i povećanom količinom  zdravog sjemena i sadnica koje se mogu izvoziti</w:t>
            </w:r>
          </w:p>
        </w:tc>
        <w:tc>
          <w:tcPr>
            <w:tcW w:w="1300" w:type="dxa"/>
          </w:tcPr>
          <w:p w:rsidR="00AC0832" w:rsidRDefault="00AC0832">
            <w:pPr>
              <w:pStyle w:val="CellColumn"/>
            </w:pPr>
            <w:r>
              <w:t>broj</w:t>
            </w:r>
          </w:p>
        </w:tc>
        <w:tc>
          <w:tcPr>
            <w:tcW w:w="1300" w:type="dxa"/>
          </w:tcPr>
          <w:p w:rsidR="00AC0832" w:rsidRDefault="00AC0832">
            <w:pPr>
              <w:pStyle w:val="CellColumn"/>
            </w:pPr>
            <w:r>
              <w:t>1090</w:t>
            </w:r>
          </w:p>
        </w:tc>
        <w:tc>
          <w:tcPr>
            <w:tcW w:w="1300" w:type="dxa"/>
          </w:tcPr>
          <w:p w:rsidR="00AC0832" w:rsidRDefault="00AC0832">
            <w:pPr>
              <w:pStyle w:val="CellColumn"/>
            </w:pPr>
            <w:r>
              <w:t>Dobavljač sadnog materijala</w:t>
            </w:r>
          </w:p>
        </w:tc>
        <w:tc>
          <w:tcPr>
            <w:tcW w:w="1300" w:type="dxa"/>
          </w:tcPr>
          <w:p w:rsidR="00AC0832" w:rsidRDefault="00AC0832">
            <w:pPr>
              <w:pStyle w:val="CellColumn"/>
            </w:pPr>
            <w:r>
              <w:t>1300</w:t>
            </w:r>
          </w:p>
        </w:tc>
        <w:tc>
          <w:tcPr>
            <w:tcW w:w="1300" w:type="dxa"/>
          </w:tcPr>
          <w:p w:rsidR="00AC0832" w:rsidRDefault="00AC0832">
            <w:pPr>
              <w:pStyle w:val="CellColumn"/>
            </w:pPr>
            <w:r>
              <w:t>1417</w:t>
            </w:r>
          </w:p>
        </w:tc>
      </w:tr>
      <w:tr w:rsidR="00AC0832" w:rsidTr="00BE20ED">
        <w:trPr>
          <w:jc w:val="center"/>
        </w:trPr>
        <w:tc>
          <w:tcPr>
            <w:tcW w:w="1300" w:type="dxa"/>
          </w:tcPr>
          <w:p w:rsidR="00AC0832" w:rsidRDefault="00AC0832">
            <w:pPr>
              <w:pStyle w:val="CellColumn"/>
            </w:pPr>
            <w:r>
              <w:t>Broj laboratorijskih analiza u sklopu PPN-a</w:t>
            </w:r>
          </w:p>
        </w:tc>
        <w:tc>
          <w:tcPr>
            <w:tcW w:w="1300" w:type="dxa"/>
          </w:tcPr>
          <w:p w:rsidR="00AC0832" w:rsidRDefault="00AC0832">
            <w:pPr>
              <w:pStyle w:val="CellColumn"/>
            </w:pPr>
            <w:r>
              <w:t>Usklađivanje s Direktivama EU te EPPO standardima i smjernicama rezultira pravovremenim otkrivanjem  štetnih organizama</w:t>
            </w:r>
          </w:p>
        </w:tc>
        <w:tc>
          <w:tcPr>
            <w:tcW w:w="1300" w:type="dxa"/>
          </w:tcPr>
          <w:p w:rsidR="00AC0832" w:rsidRDefault="00AC0832">
            <w:pPr>
              <w:pStyle w:val="CellColumn"/>
            </w:pPr>
            <w:r>
              <w:t>broj</w:t>
            </w:r>
          </w:p>
        </w:tc>
        <w:tc>
          <w:tcPr>
            <w:tcW w:w="1300" w:type="dxa"/>
          </w:tcPr>
          <w:p w:rsidR="00AC0832" w:rsidRDefault="00AC0832">
            <w:pPr>
              <w:pStyle w:val="CellColumn"/>
            </w:pPr>
            <w:r>
              <w:t>1890</w:t>
            </w:r>
          </w:p>
        </w:tc>
        <w:tc>
          <w:tcPr>
            <w:tcW w:w="1300" w:type="dxa"/>
          </w:tcPr>
          <w:p w:rsidR="00AC0832" w:rsidRDefault="00AC0832">
            <w:pPr>
              <w:pStyle w:val="CellColumn"/>
            </w:pPr>
            <w:r>
              <w:t>MP</w:t>
            </w:r>
          </w:p>
        </w:tc>
        <w:tc>
          <w:tcPr>
            <w:tcW w:w="1300" w:type="dxa"/>
          </w:tcPr>
          <w:p w:rsidR="00AC0832" w:rsidRDefault="00AC0832">
            <w:pPr>
              <w:pStyle w:val="CellColumn"/>
            </w:pPr>
            <w:r>
              <w:t>2290</w:t>
            </w:r>
          </w:p>
        </w:tc>
        <w:tc>
          <w:tcPr>
            <w:tcW w:w="1300" w:type="dxa"/>
          </w:tcPr>
          <w:p w:rsidR="00AC0832" w:rsidRDefault="00AC0832">
            <w:pPr>
              <w:pStyle w:val="CellColumn"/>
            </w:pPr>
            <w:r>
              <w:t>2335</w:t>
            </w:r>
          </w:p>
        </w:tc>
      </w:tr>
      <w:tr w:rsidR="00AC0832" w:rsidTr="00BE20ED">
        <w:trPr>
          <w:jc w:val="center"/>
        </w:trPr>
        <w:tc>
          <w:tcPr>
            <w:tcW w:w="1300" w:type="dxa"/>
          </w:tcPr>
          <w:p w:rsidR="00AC0832" w:rsidRDefault="00AC0832">
            <w:pPr>
              <w:pStyle w:val="CellColumn"/>
            </w:pPr>
            <w:r>
              <w:t>Broj izvješća  i prognoza IPP-a</w:t>
            </w:r>
          </w:p>
        </w:tc>
        <w:tc>
          <w:tcPr>
            <w:tcW w:w="1300" w:type="dxa"/>
          </w:tcPr>
          <w:p w:rsidR="00AC0832" w:rsidRDefault="00AC0832">
            <w:pPr>
              <w:pStyle w:val="CellColumn"/>
            </w:pPr>
            <w:r>
              <w:t>Provođenjem izvještajno prognoznih aktivnosti smanjuje  se opasnost od gubitka uroda poljoprivrednih kultura</w:t>
            </w:r>
          </w:p>
        </w:tc>
        <w:tc>
          <w:tcPr>
            <w:tcW w:w="1300" w:type="dxa"/>
          </w:tcPr>
          <w:p w:rsidR="00AC0832" w:rsidRDefault="00AC0832">
            <w:pPr>
              <w:pStyle w:val="CellColumn"/>
            </w:pPr>
            <w:r>
              <w:t>broj</w:t>
            </w:r>
          </w:p>
        </w:tc>
        <w:tc>
          <w:tcPr>
            <w:tcW w:w="1300" w:type="dxa"/>
          </w:tcPr>
          <w:p w:rsidR="00AC0832" w:rsidRDefault="00AC0832">
            <w:pPr>
              <w:pStyle w:val="CellColumn"/>
            </w:pPr>
            <w:r>
              <w:t>830</w:t>
            </w:r>
          </w:p>
        </w:tc>
        <w:tc>
          <w:tcPr>
            <w:tcW w:w="1300" w:type="dxa"/>
          </w:tcPr>
          <w:p w:rsidR="00AC0832" w:rsidRDefault="00AC0832">
            <w:pPr>
              <w:pStyle w:val="CellColumn"/>
            </w:pPr>
            <w:r>
              <w:t>MP</w:t>
            </w:r>
          </w:p>
        </w:tc>
        <w:tc>
          <w:tcPr>
            <w:tcW w:w="1300" w:type="dxa"/>
          </w:tcPr>
          <w:p w:rsidR="00AC0832" w:rsidRDefault="00AC0832">
            <w:pPr>
              <w:pStyle w:val="CellColumn"/>
            </w:pPr>
            <w:r>
              <w:t>890</w:t>
            </w:r>
          </w:p>
        </w:tc>
        <w:tc>
          <w:tcPr>
            <w:tcW w:w="1300" w:type="dxa"/>
          </w:tcPr>
          <w:p w:rsidR="00AC0832" w:rsidRDefault="00AC0832">
            <w:pPr>
              <w:pStyle w:val="CellColumn"/>
            </w:pPr>
            <w:r>
              <w:t>3325</w:t>
            </w:r>
          </w:p>
        </w:tc>
      </w:tr>
    </w:tbl>
    <w:p w:rsidR="00AC0832" w:rsidRDefault="00AC0832">
      <w:pPr>
        <w:jc w:val="left"/>
      </w:pPr>
    </w:p>
    <w:p w:rsidR="00AC0832" w:rsidRDefault="00AC0832">
      <w:pPr>
        <w:pStyle w:val="Heading2"/>
      </w:pPr>
      <w:r>
        <w:t>06040 Agencija za poljoprivredno zemljište</w:t>
      </w:r>
    </w:p>
    <w:p w:rsidR="00AC0832" w:rsidRDefault="00AC0832">
      <w:pPr>
        <w:pStyle w:val="Heading4"/>
      </w:pPr>
      <w:r>
        <w:t>Uvod</w:t>
      </w:r>
    </w:p>
    <w:p w:rsidR="00AC0832" w:rsidRDefault="00AC0832">
      <w:pPr>
        <w:pStyle w:val="Normal3"/>
      </w:pPr>
      <w:r>
        <w:t>Agenciju za poljoprivredno zemljište kao specijaliziranu javnu ustanovu je osnovala Vlada Republike Hrvatske Uredbom o osnivanju Agencije za poljoprivredno zemljište temeljem Zakona o poljoprivrednom zemljištu. Osnovna djelatnost Agencije za poljoprivredno zemljište je obavljanje poslova okrupnjavanja poljoprivrednog zemljišta i unaprijeđenija gospodarenja poljoprivrednim zemljištem što uključuje izvršavanje slijedećih aktivnosti: sudjelovanje u raspolaganju poljoprivrednim zemljištem; stjecanje poljoprivrednog zemljišta u privatnom vlasništvu; gospodarenje zemljišnim fondom; posredovanje u prometu poljoprivrednim zemljištem u privatnom vlasništvu; pružanje pomoći vlasnicima i posjednicima poljoprivrednog zemljišta u rješavanju imovinsko-pravnih odnosa na poljoprivrednom zemljištu; praćenje i ocjenjivanje učinaka raznih mjera poljoprivredne politike i mjera drugih politika na tržište poljoprivrednim zemljištem, prikupljanje i analiziranje podataka o tržištu poljoprivrednim zemljištem te priprema stručnih podloga i izvješća; povezivanje i koordinacija rada državnih tijela, ustanova, jedinica područne (regionalne) samouprave i jedinica lokalne samouprave po pitanju mjera zemljišne politike i drugih politika koje imaju utjecaj na tržište poljoprivrednim zemljištem; sudjelovanje u postupcima uređenja poljoprivrednog zemljišta u skladu s posebnim propisima; te obavljanje i drugih poslova u skladu propisima.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06040-Agencija za poljoprivredno zemljište</w:t>
            </w:r>
          </w:p>
        </w:tc>
        <w:tc>
          <w:tcPr>
            <w:tcW w:w="2322" w:type="dxa"/>
          </w:tcPr>
          <w:p w:rsidR="00AC0832" w:rsidRDefault="00AC0832">
            <w:pPr>
              <w:pStyle w:val="CellColumn"/>
            </w:pPr>
            <w:r>
              <w:t>3.968.708</w:t>
            </w:r>
          </w:p>
        </w:tc>
        <w:tc>
          <w:tcPr>
            <w:tcW w:w="2322" w:type="dxa"/>
          </w:tcPr>
          <w:p w:rsidR="00AC0832" w:rsidRDefault="00AC0832">
            <w:pPr>
              <w:pStyle w:val="CellColumn"/>
            </w:pPr>
            <w:r>
              <w:t>2.228.789</w:t>
            </w:r>
          </w:p>
        </w:tc>
        <w:tc>
          <w:tcPr>
            <w:tcW w:w="2322" w:type="dxa"/>
          </w:tcPr>
          <w:p w:rsidR="00AC0832" w:rsidRDefault="00AC0832">
            <w:pPr>
              <w:pStyle w:val="CellColumn"/>
            </w:pPr>
            <w:r>
              <w:t>56,2</w:t>
            </w:r>
          </w:p>
        </w:tc>
      </w:tr>
      <w:tr w:rsidR="00AC0832" w:rsidTr="00BE20ED">
        <w:trPr>
          <w:jc w:val="center"/>
        </w:trPr>
        <w:tc>
          <w:tcPr>
            <w:tcW w:w="2322" w:type="dxa"/>
          </w:tcPr>
          <w:p w:rsidR="00AC0832" w:rsidRDefault="00AC0832">
            <w:pPr>
              <w:pStyle w:val="CellColumnSmall"/>
            </w:pPr>
            <w:r>
              <w:t>3001-UPRAVLJANJE POLJOPRIVREDOM, RIBARSTVOM I RURALNIM RAZVOJEM</w:t>
            </w:r>
          </w:p>
        </w:tc>
        <w:tc>
          <w:tcPr>
            <w:tcW w:w="2322" w:type="dxa"/>
          </w:tcPr>
          <w:p w:rsidR="00AC0832" w:rsidRDefault="00AC0832">
            <w:pPr>
              <w:pStyle w:val="CellColumnSmall"/>
            </w:pPr>
            <w:r>
              <w:t>3.968.708</w:t>
            </w:r>
          </w:p>
        </w:tc>
        <w:tc>
          <w:tcPr>
            <w:tcW w:w="2322" w:type="dxa"/>
          </w:tcPr>
          <w:p w:rsidR="00AC0832" w:rsidRDefault="00AC0832">
            <w:pPr>
              <w:pStyle w:val="CellColumnSmall"/>
            </w:pPr>
            <w:r>
              <w:t>2.228.789</w:t>
            </w:r>
          </w:p>
        </w:tc>
        <w:tc>
          <w:tcPr>
            <w:tcW w:w="2322" w:type="dxa"/>
          </w:tcPr>
          <w:p w:rsidR="00AC0832" w:rsidRDefault="00AC0832">
            <w:pPr>
              <w:pStyle w:val="CellColumnSmall"/>
            </w:pPr>
            <w:r>
              <w:t>56,2</w:t>
            </w:r>
          </w:p>
        </w:tc>
      </w:tr>
    </w:tbl>
    <w:p w:rsidR="00AC0832" w:rsidRDefault="00AC0832">
      <w:pPr>
        <w:jc w:val="left"/>
      </w:pPr>
    </w:p>
    <w:p w:rsidR="00AC0832" w:rsidRDefault="00AC0832">
      <w:pPr>
        <w:pStyle w:val="Heading4"/>
      </w:pPr>
      <w:r>
        <w:t>OBRAZLOŽENJE PROGRAMA</w:t>
      </w:r>
    </w:p>
    <w:p w:rsidR="00AC0832" w:rsidRDefault="00AC0832">
      <w:pPr>
        <w:pStyle w:val="Heading5"/>
      </w:pPr>
      <w:r>
        <w:t>3001 UPRAVLJANJE POLJOPRIVREDOM, RIBARSTVOM I RURALNIM RAZVOJEM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3001-UPRAVLJANJE POLJOPRIVREDOM, RIBARSTVOM I RURALNIM RAZVOJEM</w:t>
            </w:r>
          </w:p>
        </w:tc>
        <w:tc>
          <w:tcPr>
            <w:tcW w:w="2322" w:type="dxa"/>
          </w:tcPr>
          <w:p w:rsidR="00AC0832" w:rsidRDefault="00AC0832">
            <w:pPr>
              <w:pStyle w:val="CellColumn"/>
            </w:pPr>
            <w:r>
              <w:t>3.968.708</w:t>
            </w:r>
          </w:p>
        </w:tc>
        <w:tc>
          <w:tcPr>
            <w:tcW w:w="2322" w:type="dxa"/>
          </w:tcPr>
          <w:p w:rsidR="00AC0832" w:rsidRDefault="00AC0832">
            <w:pPr>
              <w:pStyle w:val="CellColumn"/>
            </w:pPr>
            <w:r>
              <w:t>2.228.789</w:t>
            </w:r>
          </w:p>
        </w:tc>
        <w:tc>
          <w:tcPr>
            <w:tcW w:w="2322" w:type="dxa"/>
          </w:tcPr>
          <w:p w:rsidR="00AC0832" w:rsidRDefault="00AC0832">
            <w:pPr>
              <w:pStyle w:val="CellColumn"/>
            </w:pPr>
            <w:r>
              <w:t>56,2</w:t>
            </w:r>
          </w:p>
        </w:tc>
      </w:tr>
    </w:tbl>
    <w:p w:rsidR="00AC0832" w:rsidRDefault="00AC0832">
      <w:pPr>
        <w:jc w:val="left"/>
      </w:pPr>
    </w:p>
    <w:p w:rsidR="00AC0832" w:rsidRDefault="00AC0832">
      <w:pPr>
        <w:pStyle w:val="Heading6"/>
      </w:pPr>
      <w:r>
        <w:t>Opis programa</w:t>
      </w:r>
    </w:p>
    <w:p w:rsidR="00AC0832" w:rsidRDefault="00AC0832">
      <w:pPr>
        <w:pStyle w:val="Normal5"/>
      </w:pPr>
      <w:r>
        <w:t>Ovim programom su obuhvaćene aktivnosti u sklopu kojih će se u najvećoj mjeri financirati ustrojavanje te redovan rad Agencije za poljoprivredno zemljište.</w:t>
      </w:r>
    </w:p>
    <w:p w:rsidR="00AC0832" w:rsidRDefault="00AC0832">
      <w:pPr>
        <w:pStyle w:val="Heading6"/>
      </w:pPr>
      <w:r>
        <w:t>Zakonske i druge pravne osnove</w:t>
      </w:r>
    </w:p>
    <w:p w:rsidR="00AC0832" w:rsidRDefault="00AC0832">
      <w:pPr>
        <w:pStyle w:val="Normal5"/>
      </w:pPr>
      <w:r>
        <w:t>Zakon o poljoprivrednom zemljištu (`NN´ 152/08 i 21/10)</w:t>
      </w:r>
    </w:p>
    <w:p w:rsidR="00AC0832" w:rsidRDefault="00AC0832">
      <w:pPr>
        <w:pStyle w:val="Heading7"/>
      </w:pPr>
      <w:r>
        <w:t>Cilj 1. Povećanje površina poljoprivrednog zemljišta u vlasništvu države  koje je dano u zakup i dugogodišnji zakup te prodano</w:t>
      </w:r>
    </w:p>
    <w:p w:rsidR="00AC0832" w:rsidRDefault="00AC0832">
      <w:pPr>
        <w:pStyle w:val="Heading8"/>
        <w:jc w:val="left"/>
      </w:pPr>
      <w:r>
        <w:t>Opis provedbe cilja programa</w:t>
      </w:r>
    </w:p>
    <w:p w:rsidR="00AC0832" w:rsidRDefault="00AC0832">
      <w:pPr>
        <w:pStyle w:val="Normal6"/>
      </w:pPr>
      <w:r>
        <w:t>Agencija za poljoprivredno zemljište preuzela je poslove Ministarstva poljoprivrede vezane uz raspolaganje poljoprivrednim zemljiptem u vlasništvu države. To znači da je Agencija nastavila rad na započetim natječajima koje su provodile jedinice lokalne samouprave, te je Agencija raspisivala natječaje za dugogodišnji zakup poljoprivrednim zemljištem u vlasništvu države.</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1317"/>
        <w:gridCol w:w="1300"/>
        <w:gridCol w:w="1300"/>
        <w:gridCol w:w="1362"/>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zemljišta u vlasništvu države kojim je raspolagano</w:t>
            </w:r>
          </w:p>
        </w:tc>
        <w:tc>
          <w:tcPr>
            <w:tcW w:w="1300" w:type="dxa"/>
          </w:tcPr>
          <w:p w:rsidR="00AC0832" w:rsidRDefault="00AC0832">
            <w:pPr>
              <w:pStyle w:val="CellColumn"/>
            </w:pPr>
            <w:r>
              <w:t>Povećanje zemljišta u vlasništvu države kojim je raspolagano</w:t>
            </w:r>
          </w:p>
        </w:tc>
        <w:tc>
          <w:tcPr>
            <w:tcW w:w="1300" w:type="dxa"/>
          </w:tcPr>
          <w:p w:rsidR="00AC0832" w:rsidRDefault="00AC0832">
            <w:pPr>
              <w:pStyle w:val="CellColumn"/>
            </w:pPr>
            <w:r>
              <w:t>ha</w:t>
            </w:r>
          </w:p>
        </w:tc>
        <w:tc>
          <w:tcPr>
            <w:tcW w:w="1300" w:type="dxa"/>
          </w:tcPr>
          <w:p w:rsidR="00AC0832" w:rsidRDefault="00AC0832">
            <w:pPr>
              <w:pStyle w:val="CellColumn"/>
            </w:pPr>
            <w:r>
              <w:t>250.000</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400.000</w:t>
            </w:r>
          </w:p>
        </w:tc>
        <w:tc>
          <w:tcPr>
            <w:tcW w:w="1300" w:type="dxa"/>
          </w:tcPr>
          <w:p w:rsidR="00AC0832" w:rsidRDefault="00AC0832">
            <w:pPr>
              <w:pStyle w:val="CellColumn"/>
            </w:pPr>
            <w:r>
              <w:t>262.406</w:t>
            </w:r>
          </w:p>
        </w:tc>
      </w:tr>
    </w:tbl>
    <w:p w:rsidR="00AC0832" w:rsidRDefault="00AC0832">
      <w:pPr>
        <w:jc w:val="left"/>
      </w:pPr>
    </w:p>
    <w:p w:rsidR="00AC0832" w:rsidRDefault="00AC0832">
      <w:pPr>
        <w:pStyle w:val="Heading7"/>
      </w:pPr>
      <w:r>
        <w:t>Cilj 2. Povećanje površina poljop. zemljišta u privatnom i državnom  vlasništvu kojim je raspolagano.</w:t>
      </w:r>
    </w:p>
    <w:p w:rsidR="00AC0832" w:rsidRDefault="00AC0832">
      <w:pPr>
        <w:pStyle w:val="Heading8"/>
        <w:jc w:val="left"/>
      </w:pPr>
      <w:r>
        <w:t>Opis provedbe cilja programa</w:t>
      </w:r>
    </w:p>
    <w:p w:rsidR="00AC0832" w:rsidRDefault="00AC0832">
      <w:pPr>
        <w:pStyle w:val="Normal6"/>
      </w:pPr>
      <w:r>
        <w:t>Ubrzavanjem davanja suglasnosti jedinicama lokalne samouprave i raspisivanjem natječaja za dugogodišnji zakup poljoprvrednog zemljišta u vlasništvu države povećane su površine kojima se raspolaže.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3"/>
        <w:gridCol w:w="1373"/>
        <w:gridCol w:w="1293"/>
        <w:gridCol w:w="1295"/>
        <w:gridCol w:w="1362"/>
        <w:gridCol w:w="1295"/>
        <w:gridCol w:w="129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površina poljop. zemljišta u privatnom i državnom  vlasništvu kojim je raspolagano.</w:t>
            </w:r>
          </w:p>
        </w:tc>
        <w:tc>
          <w:tcPr>
            <w:tcW w:w="1300" w:type="dxa"/>
          </w:tcPr>
          <w:p w:rsidR="00AC0832" w:rsidRDefault="00AC0832">
            <w:pPr>
              <w:pStyle w:val="CellColumn"/>
            </w:pPr>
            <w:r>
              <w:t>Povećanje površina poljop. zemljišta u privatnom i državnom  vlasništvu kojim je raspolagano.</w:t>
            </w:r>
          </w:p>
        </w:tc>
        <w:tc>
          <w:tcPr>
            <w:tcW w:w="1300" w:type="dxa"/>
          </w:tcPr>
          <w:p w:rsidR="00AC0832" w:rsidRDefault="00AC0832">
            <w:pPr>
              <w:pStyle w:val="CellColumn"/>
            </w:pPr>
            <w:r>
              <w:t>ha</w:t>
            </w:r>
          </w:p>
        </w:tc>
        <w:tc>
          <w:tcPr>
            <w:tcW w:w="1300" w:type="dxa"/>
          </w:tcPr>
          <w:p w:rsidR="00AC0832" w:rsidRDefault="00AC0832">
            <w:pPr>
              <w:pStyle w:val="CellColumn"/>
            </w:pPr>
            <w:r>
              <w:t>0</w:t>
            </w:r>
          </w:p>
        </w:tc>
        <w:tc>
          <w:tcPr>
            <w:tcW w:w="1300" w:type="dxa"/>
          </w:tcPr>
          <w:p w:rsidR="00AC0832" w:rsidRDefault="00AC0832">
            <w:pPr>
              <w:pStyle w:val="CellColumn"/>
            </w:pPr>
            <w:r>
              <w:t>Strateški plan Ministarstva poljoprivrede 2012.-2014.</w:t>
            </w:r>
          </w:p>
        </w:tc>
        <w:tc>
          <w:tcPr>
            <w:tcW w:w="1300" w:type="dxa"/>
          </w:tcPr>
          <w:p w:rsidR="00AC0832" w:rsidRDefault="00AC0832">
            <w:pPr>
              <w:pStyle w:val="CellColumn"/>
            </w:pPr>
            <w:r>
              <w:t>50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A850001 ADMINISTRACIJA I UPRAVLJANJE AGENCIJE ZA POLJOPRIVREDNO ZEMLJIŠTE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A850001-ADMINISTRACIJA I UPRAVLJANJE AGENCIJE ZA POLJOPRIVREDNO ZEMLJIŠTE</w:t>
            </w:r>
          </w:p>
        </w:tc>
        <w:tc>
          <w:tcPr>
            <w:tcW w:w="2322" w:type="dxa"/>
          </w:tcPr>
          <w:p w:rsidR="00AC0832" w:rsidRDefault="00AC0832">
            <w:pPr>
              <w:pStyle w:val="CellColumn"/>
            </w:pPr>
            <w:r>
              <w:t>3.968.708</w:t>
            </w:r>
          </w:p>
        </w:tc>
        <w:tc>
          <w:tcPr>
            <w:tcW w:w="2322" w:type="dxa"/>
          </w:tcPr>
          <w:p w:rsidR="00AC0832" w:rsidRDefault="00AC0832">
            <w:pPr>
              <w:pStyle w:val="CellColumn"/>
            </w:pPr>
            <w:r>
              <w:t>2.228.789</w:t>
            </w:r>
          </w:p>
        </w:tc>
        <w:tc>
          <w:tcPr>
            <w:tcW w:w="2322" w:type="dxa"/>
          </w:tcPr>
          <w:p w:rsidR="00AC0832" w:rsidRDefault="00AC0832">
            <w:pPr>
              <w:pStyle w:val="CellColumn"/>
            </w:pPr>
            <w:r>
              <w:t>56,2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Ova aktivnost obuhvaća troškove korištenja usluga i dobara potrebnih za redovito poslovanje i obavljanje svih djelatnosti u Agenciji za poljoprivredno zemljište, a odnosi se na plaće, stručno usavršavanje službenika te ostali zajednički rashodi Agencije kao što su davanja suglasnosti  na izmjene i dopune Programa raspolaganja poljoprivrednim zemljištem u vlasništvu RH i na odluke jedinica lokalne samouprave, poništavanje natječaja za raspolaganje poljoprivrednim zemljištem, rješavanje prigovora, promjena korištenja poljoprivrednog zemljišta, uviđenje u posjed novih zakupaca, poslovi oko raspisivanja natječaja za dugogodišnji zakup, izrada aneksa ugovora o koncesiji itd.</w:t>
      </w:r>
    </w:p>
    <w:p w:rsidR="00AC0832" w:rsidRDefault="00AC0832">
      <w:pPr>
        <w:pStyle w:val="Heading2"/>
      </w:pPr>
      <w:r>
        <w:t>06045 Hrvatska poljoprivredna agencija</w:t>
      </w:r>
    </w:p>
    <w:p w:rsidR="00AC0832" w:rsidRDefault="00AC0832">
      <w:pPr>
        <w:pStyle w:val="Heading4"/>
      </w:pPr>
      <w:r>
        <w:t>Uvod</w:t>
      </w:r>
    </w:p>
    <w:p w:rsidR="00AC0832" w:rsidRDefault="00AC0832">
      <w:pPr>
        <w:pStyle w:val="Normal3"/>
      </w:pPr>
      <w:r>
        <w:t xml:space="preserve">Hrvatska poljoprivredna agencija, Ustanova za poslove u poljoprivredi, osnovana je  </w:t>
      </w:r>
    </w:p>
    <w:p w:rsidR="00AC0832" w:rsidRDefault="00AC0832">
      <w:pPr>
        <w:pStyle w:val="Normal3"/>
      </w:pPr>
      <w:r>
        <w:t>Uredbom Vlade Republike Hrvatske ( Narodne novine br. 63/94, 93/96, 11/97, 48/00,     08/01, 78/03 i 28/09. kao slijednik Hrvatskog stočarskog centra, a zadaćama u poljoprivrednoj proizvodnji. Poslovi koje obavlja Agencija obuhvaćaju pomoć kod podnošenja zahtjeva za ostvarivanje novčanih potpora u poljoprivredi, provedbi identifikacije zemljišnih čestica, organizacije i provedbe sustava označavanja domaćih životinja, ispitivanje kakvoće poljoprivrednih proizvoda, razvoju poljoprivredne proizvodnje kroz pomoć uspostave udruga uzgajivača stoke, prometa uzgojno valjanih grla stoke, organizaciji stočarskih izložbi, provedbi uzgojnih programa i uzgojno selekcijskog rada, provedbi programa zaštite i očuvanja izvornih i zaštićenih pasmina domaćih životinja, izračunu uzgojnih vrijednosti matičnih grla, informiranje i izobrazba proizvođača , vođenje Jedinstvenog registra domaćih životinja u bazama podataka ( JRDŽ ), i ostale poslove po posebnim propisima.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06045-Hrvatska poljoprivredna agencija</w:t>
            </w:r>
          </w:p>
        </w:tc>
        <w:tc>
          <w:tcPr>
            <w:tcW w:w="2322" w:type="dxa"/>
          </w:tcPr>
          <w:p w:rsidR="00AC0832" w:rsidRDefault="00AC0832">
            <w:pPr>
              <w:pStyle w:val="CellColumn"/>
            </w:pPr>
            <w:r>
              <w:t>30.999.500</w:t>
            </w:r>
          </w:p>
        </w:tc>
        <w:tc>
          <w:tcPr>
            <w:tcW w:w="2322" w:type="dxa"/>
          </w:tcPr>
          <w:p w:rsidR="00AC0832" w:rsidRDefault="00AC0832">
            <w:pPr>
              <w:pStyle w:val="CellColumn"/>
            </w:pPr>
            <w:r>
              <w:t>30.997.399</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Small"/>
            </w:pPr>
            <w:r>
              <w:t>3001-UPRAVLJANJE POLJOPRIVREDOM, RIBARSTVOM I RURALNIM RAZVOJEM</w:t>
            </w:r>
          </w:p>
        </w:tc>
        <w:tc>
          <w:tcPr>
            <w:tcW w:w="2322" w:type="dxa"/>
          </w:tcPr>
          <w:p w:rsidR="00AC0832" w:rsidRDefault="00AC0832">
            <w:pPr>
              <w:pStyle w:val="CellColumnSmall"/>
            </w:pPr>
            <w:r>
              <w:t>30.999.500</w:t>
            </w:r>
          </w:p>
        </w:tc>
        <w:tc>
          <w:tcPr>
            <w:tcW w:w="2322" w:type="dxa"/>
          </w:tcPr>
          <w:p w:rsidR="00AC0832" w:rsidRDefault="00AC0832">
            <w:pPr>
              <w:pStyle w:val="CellColumnSmall"/>
            </w:pPr>
            <w:r>
              <w:t>30.997.399</w:t>
            </w:r>
          </w:p>
        </w:tc>
        <w:tc>
          <w:tcPr>
            <w:tcW w:w="2322" w:type="dxa"/>
          </w:tcPr>
          <w:p w:rsidR="00AC0832" w:rsidRDefault="00AC0832">
            <w:pPr>
              <w:pStyle w:val="CellColumnSmall"/>
            </w:pPr>
            <w:r>
              <w:t>100,0</w:t>
            </w:r>
          </w:p>
        </w:tc>
      </w:tr>
    </w:tbl>
    <w:p w:rsidR="00AC0832" w:rsidRDefault="00AC0832">
      <w:pPr>
        <w:jc w:val="left"/>
      </w:pPr>
    </w:p>
    <w:p w:rsidR="00AC0832" w:rsidRDefault="00AC0832">
      <w:pPr>
        <w:pStyle w:val="Heading4"/>
      </w:pPr>
      <w:r>
        <w:t>OBRAZLOŽENJE PROGRAMA</w:t>
      </w:r>
    </w:p>
    <w:p w:rsidR="00AC0832" w:rsidRDefault="00AC0832">
      <w:pPr>
        <w:pStyle w:val="Heading5"/>
      </w:pPr>
      <w:r>
        <w:t>3001 UPRAVLJANJE POLJOPRIVREDOM, RIBARSTVOM I RURALNIM RAZVOJEM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3001-UPRAVLJANJE POLJOPRIVREDOM, RIBARSTVOM I RURALNIM RAZVOJEM</w:t>
            </w:r>
          </w:p>
        </w:tc>
        <w:tc>
          <w:tcPr>
            <w:tcW w:w="2322" w:type="dxa"/>
          </w:tcPr>
          <w:p w:rsidR="00AC0832" w:rsidRDefault="00AC0832">
            <w:pPr>
              <w:pStyle w:val="CellColumn"/>
            </w:pPr>
            <w:r>
              <w:t>30.999.500</w:t>
            </w:r>
          </w:p>
        </w:tc>
        <w:tc>
          <w:tcPr>
            <w:tcW w:w="2322" w:type="dxa"/>
          </w:tcPr>
          <w:p w:rsidR="00AC0832" w:rsidRDefault="00AC0832">
            <w:pPr>
              <w:pStyle w:val="CellColumn"/>
            </w:pPr>
            <w:r>
              <w:t>30.997.399</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Opis programa</w:t>
      </w:r>
    </w:p>
    <w:p w:rsidR="00AC0832" w:rsidRDefault="00AC0832">
      <w:pPr>
        <w:pStyle w:val="Normal5"/>
      </w:pPr>
      <w:r>
        <w:t>Ovim programom obuhvaćene su aktivnosti redovitog poslovanja iz djelatnosti Agencije, ukupni rashodi djelatnika, materijal i sirovine, energija, naknade za prijevoz na terenu, korištenje usluga, nabavu ne proizvedene i nabave proizvedene dugotrajne imovine.</w:t>
      </w:r>
    </w:p>
    <w:p w:rsidR="00AC0832" w:rsidRDefault="00AC0832">
      <w:pPr>
        <w:pStyle w:val="Heading6"/>
      </w:pPr>
      <w:r>
        <w:t>Zakonske i druge pravne osnove</w:t>
      </w:r>
    </w:p>
    <w:p w:rsidR="00AC0832" w:rsidRDefault="00AC0832">
      <w:pPr>
        <w:pStyle w:val="Normal5"/>
      </w:pPr>
      <w:r>
        <w:t xml:space="preserve">Uredba Vlade Republike Hrvatske  </w:t>
      </w:r>
    </w:p>
    <w:p w:rsidR="00AC0832" w:rsidRDefault="00AC0832">
      <w:pPr>
        <w:pStyle w:val="Normal5"/>
      </w:pPr>
      <w:r>
        <w:t xml:space="preserve">(Narodne novine br. 63/94, 93/96, 11/97, 48/00, 08/01,78/03 i 28/09).  </w:t>
      </w:r>
    </w:p>
    <w:p w:rsidR="00AC0832" w:rsidRDefault="00AC0832">
      <w:pPr>
        <w:pStyle w:val="Normal5"/>
      </w:pPr>
      <w:r>
        <w:t xml:space="preserve">Zakon o poljoprivredi (NN 149/09) </w:t>
      </w:r>
    </w:p>
    <w:p w:rsidR="00AC0832" w:rsidRDefault="00AC0832">
      <w:pPr>
        <w:pStyle w:val="Normal5"/>
      </w:pPr>
      <w:r>
        <w:t xml:space="preserve">Zakon o veterinarstvu (NN 41/07) </w:t>
      </w:r>
    </w:p>
    <w:p w:rsidR="00AC0832" w:rsidRDefault="00AC0832">
      <w:pPr>
        <w:pStyle w:val="Normal5"/>
      </w:pPr>
      <w:r>
        <w:t xml:space="preserve">Zakon o izmjenama i dopuni zakona o stočarstvu ( NN 36/98 ),  ( NN 151/03), ( NN 132/06 ) </w:t>
      </w:r>
    </w:p>
    <w:p w:rsidR="00AC0832" w:rsidRDefault="00AC0832">
      <w:pPr>
        <w:pStyle w:val="Normal5"/>
      </w:pPr>
      <w:r>
        <w:t>Pravilnici iz područja označavanja domaćih životinja , potpora u poljoprivredi, kakvoći sirovog mlijeka, kakvoći trupova zaklanih životinja, kakvoći stočne hrane.</w:t>
      </w:r>
    </w:p>
    <w:p w:rsidR="00AC0832" w:rsidRDefault="00AC0832">
      <w:pPr>
        <w:pStyle w:val="Heading7"/>
      </w:pPr>
      <w:r>
        <w:t>Cilj 1. Pomoć poljoprivrednim gospodarstvima u podnošenju zahtjeva za potpore</w:t>
      </w:r>
    </w:p>
    <w:p w:rsidR="00AC0832" w:rsidRDefault="00AC0832">
      <w:pPr>
        <w:pStyle w:val="Heading8"/>
        <w:jc w:val="left"/>
      </w:pPr>
      <w:r>
        <w:t>Opis provedbe cilja programa</w:t>
      </w:r>
    </w:p>
    <w:p w:rsidR="00AC0832" w:rsidRDefault="00AC0832">
      <w:pPr>
        <w:pStyle w:val="Normal6"/>
      </w:pPr>
      <w:r>
        <w:t xml:space="preserve">Preuzimanjem poslova temeljem Sporazuma o poslovnoj suradnji za potrebe kontrole kvalitete finalnih ARKOD podataka na terenu, kontrola kvalitete podataka JRDŽ-a, kontrolu na terenu u sustavu proizvodnih ograničenja u sektoru mlijeka preraspodjelio se broj djelatnika pri pomoći poljoprivrednicima u popuni zahtjeva za kampanju potpora. </w:t>
      </w:r>
    </w:p>
    <w:p w:rsidR="00AC0832" w:rsidRDefault="00AC0832">
      <w:pPr>
        <w:pStyle w:val="Normal6"/>
      </w:pPr>
      <w:r>
        <w:t>Broja obrađenih zahtjeva za potpore u odnosu na broj planiranih zahtjeva smanjen je, tj.  sporazumom između agencija napravljena je raspodjela poljoprivrednih gospodarstava radi što bolje terenske pokrivenosti i efikasnije pomoći poljoprivrednicima.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 xml:space="preserve">„zahtjev“ </w:t>
            </w:r>
          </w:p>
          <w:p w:rsidR="00AC0832" w:rsidRDefault="00AC0832">
            <w:pPr>
              <w:pStyle w:val="CellColumn"/>
            </w:pPr>
            <w:r>
              <w:t>za potpore</w:t>
            </w:r>
          </w:p>
        </w:tc>
        <w:tc>
          <w:tcPr>
            <w:tcW w:w="1300" w:type="dxa"/>
          </w:tcPr>
          <w:p w:rsidR="00AC0832" w:rsidRDefault="00AC0832">
            <w:pPr>
              <w:pStyle w:val="CellColumn"/>
            </w:pPr>
            <w:r>
              <w:t>Jedinstven zahtjev za potpore</w:t>
            </w:r>
          </w:p>
        </w:tc>
        <w:tc>
          <w:tcPr>
            <w:tcW w:w="1300" w:type="dxa"/>
          </w:tcPr>
          <w:p w:rsidR="00AC0832" w:rsidRDefault="00AC0832">
            <w:pPr>
              <w:pStyle w:val="CellColumn"/>
            </w:pPr>
            <w:r>
              <w:t>broj zahtjeva</w:t>
            </w:r>
          </w:p>
        </w:tc>
        <w:tc>
          <w:tcPr>
            <w:tcW w:w="1300" w:type="dxa"/>
          </w:tcPr>
          <w:p w:rsidR="00AC0832" w:rsidRDefault="00AC0832">
            <w:pPr>
              <w:pStyle w:val="CellColumn"/>
            </w:pPr>
            <w:r>
              <w:t>35.000</w:t>
            </w:r>
          </w:p>
        </w:tc>
        <w:tc>
          <w:tcPr>
            <w:tcW w:w="1300" w:type="dxa"/>
          </w:tcPr>
          <w:p w:rsidR="00AC0832" w:rsidRDefault="00AC0832">
            <w:pPr>
              <w:pStyle w:val="CellColumn"/>
            </w:pPr>
            <w:r>
              <w:t xml:space="preserve">aplikacija </w:t>
            </w:r>
          </w:p>
          <w:p w:rsidR="00AC0832" w:rsidRDefault="00AC0832">
            <w:pPr>
              <w:pStyle w:val="CellColumn"/>
            </w:pPr>
            <w:r>
              <w:t>„potpore“</w:t>
            </w:r>
          </w:p>
        </w:tc>
        <w:tc>
          <w:tcPr>
            <w:tcW w:w="1300" w:type="dxa"/>
          </w:tcPr>
          <w:p w:rsidR="00AC0832" w:rsidRDefault="00AC0832">
            <w:pPr>
              <w:pStyle w:val="CellColumn"/>
            </w:pPr>
            <w:r>
              <w:t>35.000</w:t>
            </w:r>
          </w:p>
        </w:tc>
        <w:tc>
          <w:tcPr>
            <w:tcW w:w="1300" w:type="dxa"/>
          </w:tcPr>
          <w:p w:rsidR="00AC0832" w:rsidRDefault="00AC0832">
            <w:pPr>
              <w:pStyle w:val="CellColumn"/>
            </w:pPr>
            <w:r>
              <w:t>12.706</w:t>
            </w:r>
          </w:p>
        </w:tc>
      </w:tr>
    </w:tbl>
    <w:p w:rsidR="00AC0832" w:rsidRDefault="00AC0832">
      <w:pPr>
        <w:jc w:val="left"/>
      </w:pPr>
    </w:p>
    <w:p w:rsidR="00AC0832" w:rsidRDefault="00AC0832">
      <w:pPr>
        <w:pStyle w:val="Heading7"/>
      </w:pPr>
      <w:r>
        <w:t>Cilj 2. Provedba označavanja životinja</w:t>
      </w:r>
    </w:p>
    <w:p w:rsidR="00AC0832" w:rsidRDefault="00AC0832">
      <w:pPr>
        <w:pStyle w:val="Heading8"/>
        <w:jc w:val="left"/>
      </w:pPr>
      <w:r>
        <w:t>Opis provedbe cilja programa</w:t>
      </w:r>
    </w:p>
    <w:p w:rsidR="00AC0832" w:rsidRDefault="00AC0832">
      <w:pPr>
        <w:pStyle w:val="Normal6"/>
      </w:pPr>
      <w:r>
        <w:t xml:space="preserve">Ostvarenjem ovog cilja povećao se obuhvat označavanja i evidentiranja u JRDŽ-u. Temeljem ovog sustava omogućeno je prikupljanje podataka i nadzor migracija, prometa i zdravstvenog stanja životinja. </w:t>
      </w:r>
    </w:p>
    <w:p w:rsidR="00AC0832" w:rsidRDefault="00AC0832">
      <w:pPr>
        <w:pStyle w:val="Normal6"/>
      </w:pPr>
      <w:r>
        <w:t xml:space="preserve">Obveznim izdavanjem putnica kontrolira se migracija i promet životinja.  </w:t>
      </w:r>
    </w:p>
    <w:p w:rsidR="00AC0832" w:rsidRDefault="00AC0832">
      <w:pPr>
        <w:pStyle w:val="Normal6"/>
      </w:pPr>
      <w:r>
        <w:t xml:space="preserve">Broj ispisanih putnih listova u 2012. godini je znatno smanjen zbog promjene kriterija izdavanja: </w:t>
      </w:r>
    </w:p>
    <w:p w:rsidR="00AC0832" w:rsidRDefault="00AC0832">
      <w:pPr>
        <w:pStyle w:val="Normal6"/>
      </w:pPr>
      <w:r>
        <w:t>- prema Pravilniku o obveznom označavanju i registraciji goveda ne izdaje se više putni list kod svakog prometa goveda, već po označavanju i evidenciji teleta izdaje se trajni putni list koji prati životinju od rođenja do izlučenja iz registra.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73"/>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 xml:space="preserve">upisi u bazu </w:t>
            </w:r>
          </w:p>
          <w:p w:rsidR="00AC0832" w:rsidRDefault="00AC0832">
            <w:pPr>
              <w:pStyle w:val="CellColumn"/>
            </w:pPr>
            <w:r>
              <w:t>JRDŽ</w:t>
            </w:r>
          </w:p>
        </w:tc>
        <w:tc>
          <w:tcPr>
            <w:tcW w:w="1300" w:type="dxa"/>
          </w:tcPr>
          <w:p w:rsidR="00AC0832" w:rsidRDefault="00AC0832">
            <w:pPr>
              <w:pStyle w:val="CellColumn"/>
            </w:pPr>
            <w:r>
              <w:t xml:space="preserve">unos podataka u bazu </w:t>
            </w:r>
          </w:p>
          <w:p w:rsidR="00AC0832" w:rsidRDefault="00AC0832">
            <w:pPr>
              <w:pStyle w:val="CellColumn"/>
            </w:pPr>
            <w:r>
              <w:t>JRDŽ</w:t>
            </w:r>
          </w:p>
        </w:tc>
        <w:tc>
          <w:tcPr>
            <w:tcW w:w="1300" w:type="dxa"/>
          </w:tcPr>
          <w:p w:rsidR="00AC0832" w:rsidRDefault="00AC0832">
            <w:pPr>
              <w:pStyle w:val="CellColumn"/>
            </w:pPr>
            <w:r>
              <w:t xml:space="preserve">broj upisanih </w:t>
            </w:r>
          </w:p>
          <w:p w:rsidR="00AC0832" w:rsidRDefault="00AC0832">
            <w:pPr>
              <w:pStyle w:val="CellColumn"/>
            </w:pPr>
            <w:r>
              <w:t xml:space="preserve">životinja u </w:t>
            </w:r>
          </w:p>
          <w:p w:rsidR="00AC0832" w:rsidRDefault="00AC0832">
            <w:pPr>
              <w:pStyle w:val="CellColumn"/>
            </w:pPr>
            <w:r>
              <w:t>bazu podataka</w:t>
            </w:r>
          </w:p>
        </w:tc>
        <w:tc>
          <w:tcPr>
            <w:tcW w:w="1300" w:type="dxa"/>
          </w:tcPr>
          <w:p w:rsidR="00AC0832" w:rsidRDefault="00AC0832">
            <w:pPr>
              <w:pStyle w:val="CellColumn"/>
            </w:pPr>
            <w:r>
              <w:t>140.000</w:t>
            </w:r>
          </w:p>
        </w:tc>
        <w:tc>
          <w:tcPr>
            <w:tcW w:w="1300" w:type="dxa"/>
          </w:tcPr>
          <w:p w:rsidR="00AC0832" w:rsidRDefault="00AC0832">
            <w:pPr>
              <w:pStyle w:val="CellColumn"/>
            </w:pPr>
            <w:r>
              <w:t xml:space="preserve">baza </w:t>
            </w:r>
          </w:p>
          <w:p w:rsidR="00AC0832" w:rsidRDefault="00AC0832">
            <w:pPr>
              <w:pStyle w:val="CellColumn"/>
            </w:pPr>
            <w:r>
              <w:t xml:space="preserve">podataka </w:t>
            </w:r>
          </w:p>
          <w:p w:rsidR="00AC0832" w:rsidRDefault="00AC0832">
            <w:pPr>
              <w:pStyle w:val="CellColumn"/>
            </w:pPr>
            <w:r>
              <w:t>JRDŽ</w:t>
            </w:r>
          </w:p>
        </w:tc>
        <w:tc>
          <w:tcPr>
            <w:tcW w:w="1300" w:type="dxa"/>
          </w:tcPr>
          <w:p w:rsidR="00AC0832" w:rsidRDefault="00AC0832">
            <w:pPr>
              <w:pStyle w:val="CellColumn"/>
            </w:pPr>
            <w:r>
              <w:t>145.000</w:t>
            </w:r>
          </w:p>
        </w:tc>
        <w:tc>
          <w:tcPr>
            <w:tcW w:w="1300" w:type="dxa"/>
          </w:tcPr>
          <w:p w:rsidR="00AC0832" w:rsidRDefault="00AC0832">
            <w:pPr>
              <w:pStyle w:val="CellColumn"/>
            </w:pPr>
            <w:r>
              <w:t>163.035</w:t>
            </w:r>
          </w:p>
        </w:tc>
      </w:tr>
      <w:tr w:rsidR="00AC0832" w:rsidTr="00BE20ED">
        <w:trPr>
          <w:jc w:val="center"/>
        </w:trPr>
        <w:tc>
          <w:tcPr>
            <w:tcW w:w="1300" w:type="dxa"/>
          </w:tcPr>
          <w:p w:rsidR="00AC0832" w:rsidRDefault="00AC0832">
            <w:pPr>
              <w:pStyle w:val="CellColumn"/>
            </w:pPr>
            <w:r>
              <w:t>izdane Putnice</w:t>
            </w:r>
          </w:p>
        </w:tc>
        <w:tc>
          <w:tcPr>
            <w:tcW w:w="1300" w:type="dxa"/>
          </w:tcPr>
          <w:p w:rsidR="00AC0832" w:rsidRDefault="00AC0832">
            <w:pPr>
              <w:pStyle w:val="CellColumn"/>
            </w:pPr>
            <w:r>
              <w:t>izdavanje dokumenta uzgajivačima</w:t>
            </w:r>
          </w:p>
        </w:tc>
        <w:tc>
          <w:tcPr>
            <w:tcW w:w="1300" w:type="dxa"/>
          </w:tcPr>
          <w:p w:rsidR="00AC0832" w:rsidRDefault="00AC0832">
            <w:pPr>
              <w:pStyle w:val="CellColumn"/>
            </w:pPr>
            <w:r>
              <w:t>broj izdanih i dostavljenih putnica</w:t>
            </w:r>
          </w:p>
        </w:tc>
        <w:tc>
          <w:tcPr>
            <w:tcW w:w="1300" w:type="dxa"/>
          </w:tcPr>
          <w:p w:rsidR="00AC0832" w:rsidRDefault="00AC0832">
            <w:pPr>
              <w:pStyle w:val="CellColumn"/>
            </w:pPr>
            <w:r>
              <w:t>400.000</w:t>
            </w:r>
          </w:p>
        </w:tc>
        <w:tc>
          <w:tcPr>
            <w:tcW w:w="1300" w:type="dxa"/>
          </w:tcPr>
          <w:p w:rsidR="00AC0832" w:rsidRDefault="00AC0832">
            <w:pPr>
              <w:pStyle w:val="CellColumn"/>
            </w:pPr>
            <w:r>
              <w:t xml:space="preserve">baza </w:t>
            </w:r>
          </w:p>
          <w:p w:rsidR="00AC0832" w:rsidRDefault="00AC0832">
            <w:pPr>
              <w:pStyle w:val="CellColumn"/>
            </w:pPr>
            <w:r>
              <w:t>podataka  i evidencija izdanih putnica</w:t>
            </w:r>
          </w:p>
        </w:tc>
        <w:tc>
          <w:tcPr>
            <w:tcW w:w="1300" w:type="dxa"/>
          </w:tcPr>
          <w:p w:rsidR="00AC0832" w:rsidRDefault="00AC0832">
            <w:pPr>
              <w:pStyle w:val="CellColumn"/>
            </w:pPr>
            <w:r>
              <w:t>420.000</w:t>
            </w:r>
          </w:p>
        </w:tc>
        <w:tc>
          <w:tcPr>
            <w:tcW w:w="1300" w:type="dxa"/>
          </w:tcPr>
          <w:p w:rsidR="00AC0832" w:rsidRDefault="00AC0832">
            <w:pPr>
              <w:pStyle w:val="CellColumn"/>
            </w:pPr>
            <w:r>
              <w:t>129.675</w:t>
            </w:r>
          </w:p>
        </w:tc>
      </w:tr>
    </w:tbl>
    <w:p w:rsidR="00AC0832" w:rsidRDefault="00AC0832">
      <w:pPr>
        <w:jc w:val="left"/>
      </w:pPr>
    </w:p>
    <w:p w:rsidR="00AC0832" w:rsidRDefault="00AC0832">
      <w:pPr>
        <w:pStyle w:val="Heading7"/>
      </w:pPr>
      <w:r>
        <w:t>Cilj 3. Ispitivanje kakvoće poljoprivrednih proizvoda</w:t>
      </w:r>
    </w:p>
    <w:p w:rsidR="00AC0832" w:rsidRDefault="00AC0832">
      <w:pPr>
        <w:pStyle w:val="Heading8"/>
        <w:jc w:val="left"/>
      </w:pPr>
      <w:r>
        <w:t>Opis provedbe cilja programa</w:t>
      </w:r>
    </w:p>
    <w:p w:rsidR="00AC0832" w:rsidRDefault="00AC0832">
      <w:pPr>
        <w:pStyle w:val="Normal6"/>
      </w:pPr>
      <w:r>
        <w:t xml:space="preserve">Ispitivanjem kakvoće poljoprivrednih proizvoda želi se povećati kvaliteta i sigurnost proizvoda raznim laboratorijskim analizama i mjerenjima. </w:t>
      </w:r>
    </w:p>
    <w:p w:rsidR="00AC0832" w:rsidRDefault="00AC0832">
      <w:pPr>
        <w:pStyle w:val="Normal6"/>
      </w:pPr>
      <w:r>
        <w:t xml:space="preserve">Planirana vrijednost za analizu uzoraka ispitivanja kontrole kvalitete sirovog mlijeka bazirala se je na broju od 15000 proizvođača mlijeka. U 2012. godini došlo je do blagog pada broja proizvođača mlijeka na 14874. </w:t>
      </w:r>
    </w:p>
    <w:p w:rsidR="00AC0832" w:rsidRDefault="00AC0832">
      <w:pPr>
        <w:pStyle w:val="Normal6"/>
      </w:pPr>
      <w:r>
        <w:t xml:space="preserve">Prema Pravilniku o kakvoći goveđih, svinjskih i ovčjih trupova i polovica obvezni nadzori su dva puta godišnje po klaonici te kontrolni i ponovljeni nadzori prema potrebi. Broj aktivnih klaonica u 2012. godini smanjen je s 124 na 112, a od toga 12 klaonica je u statusu mirovanja. </w:t>
      </w:r>
    </w:p>
    <w:p w:rsidR="00AC0832" w:rsidRDefault="00AC0832">
      <w:pPr>
        <w:pStyle w:val="Normal6"/>
      </w:pPr>
      <w:r>
        <w:t>Analiza stočne hrane inicira se od strane samog proizvođača te znatnim padom broja proizvođača u 2012. godini dolazi do smanjena broja analiziranih uzoraka.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 xml:space="preserve">izviješća za analizirano </w:t>
            </w:r>
          </w:p>
          <w:p w:rsidR="00AC0832" w:rsidRDefault="00AC0832">
            <w:pPr>
              <w:pStyle w:val="CellColumn"/>
            </w:pPr>
            <w:r>
              <w:t xml:space="preserve">sirovo </w:t>
            </w:r>
          </w:p>
          <w:p w:rsidR="00AC0832" w:rsidRDefault="00AC0832">
            <w:pPr>
              <w:pStyle w:val="CellColumn"/>
            </w:pPr>
            <w:r>
              <w:t>mlijeka</w:t>
            </w:r>
          </w:p>
        </w:tc>
        <w:tc>
          <w:tcPr>
            <w:tcW w:w="1300" w:type="dxa"/>
          </w:tcPr>
          <w:p w:rsidR="00AC0832" w:rsidRDefault="00AC0832">
            <w:pPr>
              <w:pStyle w:val="CellColumn"/>
            </w:pPr>
            <w:r>
              <w:t>utvrđivanje kvalitete mlijeka analitičkim metodama</w:t>
            </w:r>
          </w:p>
        </w:tc>
        <w:tc>
          <w:tcPr>
            <w:tcW w:w="1300" w:type="dxa"/>
          </w:tcPr>
          <w:p w:rsidR="00AC0832" w:rsidRDefault="00AC0832">
            <w:pPr>
              <w:pStyle w:val="CellColumn"/>
            </w:pPr>
            <w:r>
              <w:t xml:space="preserve">broj </w:t>
            </w:r>
          </w:p>
          <w:p w:rsidR="00AC0832" w:rsidRDefault="00AC0832">
            <w:pPr>
              <w:pStyle w:val="CellColumn"/>
            </w:pPr>
            <w:r>
              <w:t>analiza</w:t>
            </w:r>
          </w:p>
        </w:tc>
        <w:tc>
          <w:tcPr>
            <w:tcW w:w="1300" w:type="dxa"/>
          </w:tcPr>
          <w:p w:rsidR="00AC0832" w:rsidRDefault="00AC0832">
            <w:pPr>
              <w:pStyle w:val="CellColumn"/>
            </w:pPr>
            <w:r>
              <w:t>204 000</w:t>
            </w:r>
          </w:p>
        </w:tc>
        <w:tc>
          <w:tcPr>
            <w:tcW w:w="1300" w:type="dxa"/>
          </w:tcPr>
          <w:p w:rsidR="00AC0832" w:rsidRDefault="00AC0832">
            <w:pPr>
              <w:pStyle w:val="CellColumn"/>
            </w:pPr>
            <w:r>
              <w:t>mjesečna obrada analiza za proizvođače i prerađivače</w:t>
            </w:r>
          </w:p>
        </w:tc>
        <w:tc>
          <w:tcPr>
            <w:tcW w:w="1300" w:type="dxa"/>
          </w:tcPr>
          <w:p w:rsidR="00AC0832" w:rsidRDefault="00AC0832">
            <w:pPr>
              <w:pStyle w:val="CellColumn"/>
            </w:pPr>
            <w:r>
              <w:t>180 000</w:t>
            </w:r>
          </w:p>
        </w:tc>
        <w:tc>
          <w:tcPr>
            <w:tcW w:w="1300" w:type="dxa"/>
          </w:tcPr>
          <w:p w:rsidR="00AC0832" w:rsidRDefault="00AC0832">
            <w:pPr>
              <w:pStyle w:val="CellColumn"/>
            </w:pPr>
            <w:r>
              <w:t>178.488</w:t>
            </w:r>
          </w:p>
        </w:tc>
      </w:tr>
      <w:tr w:rsidR="00AC0832" w:rsidTr="00BE20ED">
        <w:trPr>
          <w:jc w:val="center"/>
        </w:trPr>
        <w:tc>
          <w:tcPr>
            <w:tcW w:w="1300" w:type="dxa"/>
          </w:tcPr>
          <w:p w:rsidR="00AC0832" w:rsidRDefault="00AC0832">
            <w:pPr>
              <w:pStyle w:val="CellColumn"/>
            </w:pPr>
            <w:r>
              <w:t xml:space="preserve">trupovi </w:t>
            </w:r>
          </w:p>
          <w:p w:rsidR="00AC0832" w:rsidRDefault="00AC0832">
            <w:pPr>
              <w:pStyle w:val="CellColumn"/>
            </w:pPr>
            <w:r>
              <w:t>na liniji klanja</w:t>
            </w:r>
          </w:p>
        </w:tc>
        <w:tc>
          <w:tcPr>
            <w:tcW w:w="1300" w:type="dxa"/>
          </w:tcPr>
          <w:p w:rsidR="00AC0832" w:rsidRDefault="00AC0832">
            <w:pPr>
              <w:pStyle w:val="CellColumn"/>
            </w:pPr>
            <w:r>
              <w:t>kontrola parametara mjerenjem na liniji klanja</w:t>
            </w:r>
          </w:p>
        </w:tc>
        <w:tc>
          <w:tcPr>
            <w:tcW w:w="1300" w:type="dxa"/>
          </w:tcPr>
          <w:p w:rsidR="00AC0832" w:rsidRDefault="00AC0832">
            <w:pPr>
              <w:pStyle w:val="CellColumn"/>
            </w:pPr>
            <w:r>
              <w:t>broj kontrola</w:t>
            </w:r>
          </w:p>
        </w:tc>
        <w:tc>
          <w:tcPr>
            <w:tcW w:w="1300" w:type="dxa"/>
          </w:tcPr>
          <w:p w:rsidR="00AC0832" w:rsidRDefault="00AC0832">
            <w:pPr>
              <w:pStyle w:val="CellColumn"/>
            </w:pPr>
            <w:r>
              <w:t>260</w:t>
            </w:r>
          </w:p>
        </w:tc>
        <w:tc>
          <w:tcPr>
            <w:tcW w:w="1300" w:type="dxa"/>
          </w:tcPr>
          <w:p w:rsidR="00AC0832" w:rsidRDefault="00AC0832">
            <w:pPr>
              <w:pStyle w:val="CellColumn"/>
            </w:pPr>
            <w:r>
              <w:t xml:space="preserve">izviješća o </w:t>
            </w:r>
          </w:p>
          <w:p w:rsidR="00AC0832" w:rsidRDefault="00AC0832">
            <w:pPr>
              <w:pStyle w:val="CellColumn"/>
            </w:pPr>
            <w:r>
              <w:t>provedenim kontrolama</w:t>
            </w:r>
          </w:p>
        </w:tc>
        <w:tc>
          <w:tcPr>
            <w:tcW w:w="1300" w:type="dxa"/>
          </w:tcPr>
          <w:p w:rsidR="00AC0832" w:rsidRDefault="00AC0832">
            <w:pPr>
              <w:pStyle w:val="CellColumn"/>
            </w:pPr>
            <w:r>
              <w:t>270</w:t>
            </w:r>
          </w:p>
        </w:tc>
        <w:tc>
          <w:tcPr>
            <w:tcW w:w="1300" w:type="dxa"/>
          </w:tcPr>
          <w:p w:rsidR="00AC0832" w:rsidRDefault="00AC0832">
            <w:pPr>
              <w:pStyle w:val="CellColumn"/>
            </w:pPr>
            <w:r>
              <w:t>160</w:t>
            </w:r>
          </w:p>
        </w:tc>
      </w:tr>
      <w:tr w:rsidR="00AC0832" w:rsidTr="00BE20ED">
        <w:trPr>
          <w:jc w:val="center"/>
        </w:trPr>
        <w:tc>
          <w:tcPr>
            <w:tcW w:w="1300" w:type="dxa"/>
          </w:tcPr>
          <w:p w:rsidR="00AC0832" w:rsidRDefault="00AC0832">
            <w:pPr>
              <w:pStyle w:val="CellColumn"/>
            </w:pPr>
            <w:r>
              <w:t xml:space="preserve">izviješća za analiziranu </w:t>
            </w:r>
          </w:p>
          <w:p w:rsidR="00AC0832" w:rsidRDefault="00AC0832">
            <w:pPr>
              <w:pStyle w:val="CellColumn"/>
            </w:pPr>
            <w:r>
              <w:t>stočne hrane</w:t>
            </w:r>
          </w:p>
        </w:tc>
        <w:tc>
          <w:tcPr>
            <w:tcW w:w="1300" w:type="dxa"/>
          </w:tcPr>
          <w:p w:rsidR="00AC0832" w:rsidRDefault="00AC0832">
            <w:pPr>
              <w:pStyle w:val="CellColumn"/>
            </w:pPr>
            <w:r>
              <w:t>utvrđivanje kvalitete stočne hrane analitičkim metodama</w:t>
            </w:r>
          </w:p>
        </w:tc>
        <w:tc>
          <w:tcPr>
            <w:tcW w:w="1300" w:type="dxa"/>
          </w:tcPr>
          <w:p w:rsidR="00AC0832" w:rsidRDefault="00AC0832">
            <w:pPr>
              <w:pStyle w:val="CellColumn"/>
            </w:pPr>
            <w:r>
              <w:t xml:space="preserve">broj </w:t>
            </w:r>
          </w:p>
          <w:p w:rsidR="00AC0832" w:rsidRDefault="00AC0832">
            <w:pPr>
              <w:pStyle w:val="CellColumn"/>
            </w:pPr>
            <w:r>
              <w:t>analiza</w:t>
            </w:r>
          </w:p>
        </w:tc>
        <w:tc>
          <w:tcPr>
            <w:tcW w:w="1300" w:type="dxa"/>
          </w:tcPr>
          <w:p w:rsidR="00AC0832" w:rsidRDefault="00AC0832">
            <w:pPr>
              <w:pStyle w:val="CellColumn"/>
            </w:pPr>
            <w:r>
              <w:t>3000</w:t>
            </w:r>
          </w:p>
        </w:tc>
        <w:tc>
          <w:tcPr>
            <w:tcW w:w="1300" w:type="dxa"/>
          </w:tcPr>
          <w:p w:rsidR="00AC0832" w:rsidRDefault="00AC0832">
            <w:pPr>
              <w:pStyle w:val="CellColumn"/>
            </w:pPr>
            <w:r>
              <w:t>Izviješća o izvršenim analizama stočne hrane</w:t>
            </w:r>
          </w:p>
        </w:tc>
        <w:tc>
          <w:tcPr>
            <w:tcW w:w="1300" w:type="dxa"/>
          </w:tcPr>
          <w:p w:rsidR="00AC0832" w:rsidRDefault="00AC0832">
            <w:pPr>
              <w:pStyle w:val="CellColumn"/>
            </w:pPr>
            <w:r>
              <w:t>3300</w:t>
            </w:r>
          </w:p>
        </w:tc>
        <w:tc>
          <w:tcPr>
            <w:tcW w:w="1300" w:type="dxa"/>
          </w:tcPr>
          <w:p w:rsidR="00AC0832" w:rsidRDefault="00AC0832">
            <w:pPr>
              <w:pStyle w:val="CellColumn"/>
            </w:pPr>
            <w:r>
              <w:t>1.686</w:t>
            </w:r>
          </w:p>
        </w:tc>
      </w:tr>
    </w:tbl>
    <w:p w:rsidR="00AC0832" w:rsidRDefault="00AC0832">
      <w:pPr>
        <w:jc w:val="left"/>
      </w:pPr>
    </w:p>
    <w:p w:rsidR="00AC0832" w:rsidRDefault="00AC0832">
      <w:pPr>
        <w:pStyle w:val="Heading7"/>
      </w:pPr>
      <w:r>
        <w:t>Cilj 4. Ispitivanje proizvodnih svojstava svih vrsta i pasmina domaćih životinja</w:t>
      </w:r>
    </w:p>
    <w:p w:rsidR="00AC0832" w:rsidRDefault="00AC0832">
      <w:pPr>
        <w:pStyle w:val="Heading8"/>
        <w:jc w:val="left"/>
      </w:pPr>
      <w:r>
        <w:t>Opis provedbe cilja programa</w:t>
      </w:r>
    </w:p>
    <w:p w:rsidR="00AC0832" w:rsidRDefault="00AC0832">
      <w:pPr>
        <w:pStyle w:val="Normal6"/>
      </w:pPr>
      <w:r>
        <w:t xml:space="preserve">Ispitivanjem proizvodnih svojstava svih vrsta i pasmina domaćih životinja ostvaruje se genetsko unapređenje svih vrsta domaćih životinja te povećanim opsegom kontrole proizvodnosti, kod uzgajivača, povećava se proizvodnja i kvaliteta poljoprivrednih proizvoda. </w:t>
      </w:r>
    </w:p>
    <w:p w:rsidR="00AC0832" w:rsidRDefault="00AC0832">
      <w:pPr>
        <w:pStyle w:val="Normal6"/>
      </w:pPr>
      <w:r>
        <w:t>Prema podacima iz Godišnjeg izvješća za 2012. godinu (AT metoda kontrole mlječnosti, mesa) obuhvat životinja pod selekcijom je u padu.</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3"/>
        <w:gridCol w:w="1395"/>
        <w:gridCol w:w="1395"/>
        <w:gridCol w:w="1274"/>
        <w:gridCol w:w="1395"/>
        <w:gridCol w:w="1274"/>
        <w:gridCol w:w="128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 xml:space="preserve">broj </w:t>
            </w:r>
          </w:p>
          <w:p w:rsidR="00AC0832" w:rsidRDefault="00AC0832">
            <w:pPr>
              <w:pStyle w:val="CellColumn"/>
            </w:pPr>
            <w:r>
              <w:t>grla u kontroli</w:t>
            </w:r>
          </w:p>
        </w:tc>
        <w:tc>
          <w:tcPr>
            <w:tcW w:w="1300" w:type="dxa"/>
          </w:tcPr>
          <w:p w:rsidR="00AC0832" w:rsidRDefault="00AC0832">
            <w:pPr>
              <w:pStyle w:val="CellColumn"/>
            </w:pPr>
            <w:r>
              <w:t>Kontrola proizvodnosti domaćih životinja</w:t>
            </w:r>
          </w:p>
        </w:tc>
        <w:tc>
          <w:tcPr>
            <w:tcW w:w="1300" w:type="dxa"/>
          </w:tcPr>
          <w:p w:rsidR="00AC0832" w:rsidRDefault="00AC0832">
            <w:pPr>
              <w:pStyle w:val="CellColumn"/>
            </w:pPr>
            <w:r>
              <w:t xml:space="preserve">broj </w:t>
            </w:r>
          </w:p>
          <w:p w:rsidR="00AC0832" w:rsidRDefault="00AC0832">
            <w:pPr>
              <w:pStyle w:val="CellColumn"/>
            </w:pPr>
            <w:r>
              <w:t xml:space="preserve">izviješća </w:t>
            </w:r>
          </w:p>
          <w:p w:rsidR="00AC0832" w:rsidRDefault="00AC0832">
            <w:pPr>
              <w:pStyle w:val="CellColumn"/>
            </w:pPr>
            <w:r>
              <w:t>o proizvodnosti</w:t>
            </w:r>
          </w:p>
        </w:tc>
        <w:tc>
          <w:tcPr>
            <w:tcW w:w="1300" w:type="dxa"/>
          </w:tcPr>
          <w:p w:rsidR="00AC0832" w:rsidRDefault="00AC0832">
            <w:pPr>
              <w:pStyle w:val="CellColumn"/>
            </w:pPr>
            <w:r>
              <w:t>100.000</w:t>
            </w:r>
          </w:p>
        </w:tc>
        <w:tc>
          <w:tcPr>
            <w:tcW w:w="1300" w:type="dxa"/>
          </w:tcPr>
          <w:p w:rsidR="00AC0832" w:rsidRDefault="00AC0832">
            <w:pPr>
              <w:pStyle w:val="CellColumn"/>
            </w:pPr>
            <w:r>
              <w:t xml:space="preserve">Evidencija </w:t>
            </w:r>
          </w:p>
          <w:p w:rsidR="00AC0832" w:rsidRDefault="00AC0832">
            <w:pPr>
              <w:pStyle w:val="CellColumn"/>
            </w:pPr>
            <w:r>
              <w:t>Izvršenih kontrola proizvodnosti</w:t>
            </w:r>
          </w:p>
        </w:tc>
        <w:tc>
          <w:tcPr>
            <w:tcW w:w="1300" w:type="dxa"/>
          </w:tcPr>
          <w:p w:rsidR="00AC0832" w:rsidRDefault="00AC0832">
            <w:pPr>
              <w:pStyle w:val="CellColumn"/>
            </w:pPr>
            <w:r>
              <w:t>105.000</w:t>
            </w:r>
          </w:p>
        </w:tc>
        <w:tc>
          <w:tcPr>
            <w:tcW w:w="1300" w:type="dxa"/>
          </w:tcPr>
          <w:p w:rsidR="00AC0832" w:rsidRDefault="00AC0832">
            <w:pPr>
              <w:pStyle w:val="CellColumn"/>
            </w:pPr>
            <w:r>
              <w:t>100.000</w:t>
            </w:r>
          </w:p>
        </w:tc>
      </w:tr>
    </w:tbl>
    <w:p w:rsidR="00AC0832" w:rsidRDefault="00AC0832">
      <w:pPr>
        <w:jc w:val="left"/>
      </w:pPr>
    </w:p>
    <w:p w:rsidR="00AC0832" w:rsidRDefault="00AC0832">
      <w:pPr>
        <w:pStyle w:val="Heading6"/>
      </w:pPr>
      <w:r>
        <w:t>A852001 ADMINISTRACIJA I UPRAVLJANJE HRVATSKE POLJOPRIVREDNE AGENCIJE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A852001-ADMINISTRACIJA I UPRAVLJANJE HRVATSKE POLJOPRIVREDNE AGENCIJE</w:t>
            </w:r>
          </w:p>
        </w:tc>
        <w:tc>
          <w:tcPr>
            <w:tcW w:w="2322" w:type="dxa"/>
          </w:tcPr>
          <w:p w:rsidR="00AC0832" w:rsidRDefault="00AC0832">
            <w:pPr>
              <w:pStyle w:val="CellColumn"/>
            </w:pPr>
            <w:r>
              <w:t>30.701.933</w:t>
            </w:r>
          </w:p>
        </w:tc>
        <w:tc>
          <w:tcPr>
            <w:tcW w:w="2322" w:type="dxa"/>
          </w:tcPr>
          <w:p w:rsidR="00AC0832" w:rsidRDefault="00AC0832">
            <w:pPr>
              <w:pStyle w:val="CellColumn"/>
            </w:pPr>
            <w:r>
              <w:t>30.699.832</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Ovim programom obuhvaćene su aktivnosti redovitog poslovanja iz djelatnosti Agencije, ukupni rashodi djelatnika, materijal i sirovine, energija, naknade za prijevoz na terenu, korištenje usluga, nabavu neproizvedene i proizvedene dugotrajne imovine.</w:t>
      </w:r>
    </w:p>
    <w:p w:rsidR="00AC0832" w:rsidRDefault="00AC0832">
      <w:pPr>
        <w:pStyle w:val="Heading6"/>
      </w:pPr>
    </w:p>
    <w:p w:rsidR="00AC0832" w:rsidRDefault="00AC0832">
      <w:pPr>
        <w:pStyle w:val="Heading6"/>
      </w:pPr>
    </w:p>
    <w:p w:rsidR="00AC0832" w:rsidRDefault="00AC0832">
      <w:pPr>
        <w:pStyle w:val="Heading6"/>
      </w:pPr>
      <w:r>
        <w:t>K852006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K852006-INFORMATIZACIJA</w:t>
            </w:r>
          </w:p>
        </w:tc>
        <w:tc>
          <w:tcPr>
            <w:tcW w:w="2322" w:type="dxa"/>
          </w:tcPr>
          <w:p w:rsidR="00AC0832" w:rsidRDefault="00AC0832">
            <w:pPr>
              <w:pStyle w:val="CellColumn"/>
            </w:pPr>
            <w:r>
              <w:t>297.567</w:t>
            </w:r>
          </w:p>
        </w:tc>
        <w:tc>
          <w:tcPr>
            <w:tcW w:w="2322" w:type="dxa"/>
          </w:tcPr>
          <w:p w:rsidR="00AC0832" w:rsidRDefault="00AC0832">
            <w:pPr>
              <w:pStyle w:val="CellColumn"/>
            </w:pPr>
            <w:r>
              <w:t>297.567</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Povećanjem broja korisnika, dostupnost podataka i povezivanje s bazama podataka osigurala se kvalitetna informiranost, a time i utjecaj na uspješnost poljoprivredne proizvodnje.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korisnici baza podataka</w:t>
            </w:r>
          </w:p>
        </w:tc>
        <w:tc>
          <w:tcPr>
            <w:tcW w:w="1300" w:type="dxa"/>
          </w:tcPr>
          <w:p w:rsidR="00AC0832" w:rsidRDefault="00AC0832">
            <w:pPr>
              <w:pStyle w:val="CellColumn"/>
            </w:pPr>
            <w:r>
              <w:t>povezivanje korisnika s bazama podataka</w:t>
            </w:r>
          </w:p>
        </w:tc>
        <w:tc>
          <w:tcPr>
            <w:tcW w:w="1300" w:type="dxa"/>
          </w:tcPr>
          <w:p w:rsidR="00AC0832" w:rsidRDefault="00AC0832">
            <w:pPr>
              <w:pStyle w:val="CellColumn"/>
            </w:pPr>
            <w:r>
              <w:t>broj korisnika</w:t>
            </w:r>
          </w:p>
        </w:tc>
        <w:tc>
          <w:tcPr>
            <w:tcW w:w="1300" w:type="dxa"/>
          </w:tcPr>
          <w:p w:rsidR="00AC0832" w:rsidRDefault="00AC0832">
            <w:pPr>
              <w:pStyle w:val="CellColumn"/>
            </w:pPr>
            <w:r>
              <w:t>145.000</w:t>
            </w:r>
          </w:p>
        </w:tc>
        <w:tc>
          <w:tcPr>
            <w:tcW w:w="1300" w:type="dxa"/>
          </w:tcPr>
          <w:p w:rsidR="00AC0832" w:rsidRDefault="00AC0832">
            <w:pPr>
              <w:pStyle w:val="CellColumn"/>
            </w:pPr>
            <w:r>
              <w:t xml:space="preserve">ostvareni broj povezivanja </w:t>
            </w:r>
          </w:p>
          <w:p w:rsidR="00AC0832" w:rsidRDefault="00AC0832">
            <w:pPr>
              <w:pStyle w:val="CellColumn"/>
            </w:pPr>
            <w:r>
              <w:t>s bazama podataka</w:t>
            </w:r>
          </w:p>
        </w:tc>
        <w:tc>
          <w:tcPr>
            <w:tcW w:w="1300" w:type="dxa"/>
          </w:tcPr>
          <w:p w:rsidR="00AC0832" w:rsidRDefault="00AC0832">
            <w:pPr>
              <w:pStyle w:val="CellColumn"/>
            </w:pPr>
            <w:r>
              <w:t>151.000</w:t>
            </w:r>
          </w:p>
        </w:tc>
        <w:tc>
          <w:tcPr>
            <w:tcW w:w="1300" w:type="dxa"/>
          </w:tcPr>
          <w:p w:rsidR="00AC0832" w:rsidRDefault="00AC0832">
            <w:pPr>
              <w:pStyle w:val="CellColumn"/>
            </w:pPr>
            <w:r>
              <w:t>158.539</w:t>
            </w:r>
          </w:p>
        </w:tc>
      </w:tr>
    </w:tbl>
    <w:p w:rsidR="00AC0832" w:rsidRDefault="00AC0832">
      <w:pPr>
        <w:jc w:val="left"/>
      </w:pPr>
    </w:p>
    <w:p w:rsidR="00AC0832" w:rsidRDefault="00AC0832">
      <w:pPr>
        <w:pStyle w:val="Heading1"/>
      </w:pPr>
      <w:r>
        <w:t>061 MINISTARSTVO REGIONALNOGA RAZVOJA I FONDOVA EUROPSKE UNIJE</w:t>
      </w:r>
    </w:p>
    <w:p w:rsidR="00AC0832" w:rsidRDefault="00AC0832">
      <w:pPr>
        <w:pStyle w:val="Heading4"/>
      </w:pPr>
      <w:r>
        <w:t>Uvod</w:t>
      </w:r>
    </w:p>
    <w:p w:rsidR="00AC0832" w:rsidRDefault="00AC0832">
      <w:pPr>
        <w:pStyle w:val="Normal3"/>
      </w:pPr>
      <w:r>
        <w:t>Ministarstvo regionalnoga razvoja i fondova Europske unije obavlja upravne i druge poslove koji se odnose na izradu krovnog dokumenta kojim se utvrđuju razvojni prioriteti Republike Hrvatske, pripremu i koordinaciju izrade ostalih strateških dokumenata koji služe kao programska osnovica za korištenje sredstava fondova EU i ostalih međunarodnih izvora financiranja, osmišljavanje i koordinaciju funkcioniranja cjelokupnog institucionalnog okvira za korištenje strukturnih fondova i kohezijskog fonda Europske unije. Također provodi vođenje politike regionalnog razvoja, što između ostalog uključuje: predlaganje i koordinaciju provedbe državnih poticajnih mjera i regionalnih razvojnih programa, s posebnim naglaskom na razvoju slabije razvijenih i urbanih područja, poticanje prekogranične, međuregionalne i transnacionalne suradnje aktera na lokalnoj i regionalnoj razini, suradnju i koordiniranje aktivnosti s jedinicama lokalne i regionalne samouprave te resornim tijelima na nacionalnoj razini u cilju koordiniranog i učinkovitog poticanja regionalnog razvoja; stambeno zbrinjavanje i pomoć prognanicima, izbjeglicama i povratnicima, naseljavanje i ostanak stanovništva na ratom stradalim i drugim demografski ugroženim područjima. Za obavljanje upravnih i stručnih poslova iz djelokruga Ministarstva ustrojavaju se upravne organizacije odnosno, ustrojstvene jedinice. Provedbeno tijelo u okviru razdjela 061 je Agencija za regionalni razvoj, glava 20. Djelatnost Agencije se odnosi na financiranje, nabavu, plaćanje i nadzor provedbe projekata, pripremu i izradu smjernica za natječajne procedure, provođenje postupka nabave, odabir projekata, priprema i zaključenje ugovora, vršenje plaćanja i praćenje tijeka financijskih sredstava. Drugo provedbeno tijelo u okviru razdjela 061 je Središnja Agencija za financiranje i ugovaranje programa i projekata Europske unije, glava 25. SAFU ima ulogu provedbene agencije koja je nadležna za financiranje, ugovaranje, plaćanje i nadzor provedbe programa i projekata Europske unije u kojima su upravljanje i odgovornost preneseni na Republiku Hrvatsku.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06105-Ministarstvo regionalnoga razvoja i fondova Europske unije</w:t>
            </w:r>
          </w:p>
        </w:tc>
        <w:tc>
          <w:tcPr>
            <w:tcW w:w="2322" w:type="dxa"/>
          </w:tcPr>
          <w:p w:rsidR="00AC0832" w:rsidRDefault="00AC0832">
            <w:pPr>
              <w:pStyle w:val="CellColumn"/>
            </w:pPr>
            <w:r>
              <w:t>1.078.333.312</w:t>
            </w:r>
          </w:p>
        </w:tc>
        <w:tc>
          <w:tcPr>
            <w:tcW w:w="2322" w:type="dxa"/>
          </w:tcPr>
          <w:p w:rsidR="00AC0832" w:rsidRDefault="00AC0832">
            <w:pPr>
              <w:pStyle w:val="CellColumn"/>
            </w:pPr>
            <w:r>
              <w:t>970.408.263</w:t>
            </w:r>
          </w:p>
        </w:tc>
        <w:tc>
          <w:tcPr>
            <w:tcW w:w="2322" w:type="dxa"/>
          </w:tcPr>
          <w:p w:rsidR="00AC0832" w:rsidRDefault="00AC0832">
            <w:pPr>
              <w:pStyle w:val="CellColumn"/>
            </w:pPr>
            <w:r>
              <w:t>90,0</w:t>
            </w:r>
          </w:p>
        </w:tc>
      </w:tr>
      <w:tr w:rsidR="00AC0832" w:rsidTr="00BE20ED">
        <w:trPr>
          <w:jc w:val="center"/>
        </w:trPr>
        <w:tc>
          <w:tcPr>
            <w:tcW w:w="2322" w:type="dxa"/>
          </w:tcPr>
          <w:p w:rsidR="00AC0832" w:rsidRDefault="00AC0832">
            <w:pPr>
              <w:pStyle w:val="CellColumn"/>
            </w:pPr>
            <w:r>
              <w:t>06120-Agencija za regionalni razvoj Republike Hrvatske</w:t>
            </w:r>
          </w:p>
        </w:tc>
        <w:tc>
          <w:tcPr>
            <w:tcW w:w="2322" w:type="dxa"/>
          </w:tcPr>
          <w:p w:rsidR="00AC0832" w:rsidRDefault="00AC0832">
            <w:pPr>
              <w:pStyle w:val="CellColumn"/>
            </w:pPr>
            <w:r>
              <w:t>7.459.000</w:t>
            </w:r>
          </w:p>
        </w:tc>
        <w:tc>
          <w:tcPr>
            <w:tcW w:w="2322" w:type="dxa"/>
          </w:tcPr>
          <w:p w:rsidR="00AC0832" w:rsidRDefault="00AC0832">
            <w:pPr>
              <w:pStyle w:val="CellColumn"/>
            </w:pPr>
            <w:r>
              <w:t>7.123.532</w:t>
            </w:r>
          </w:p>
        </w:tc>
        <w:tc>
          <w:tcPr>
            <w:tcW w:w="2322" w:type="dxa"/>
          </w:tcPr>
          <w:p w:rsidR="00AC0832" w:rsidRDefault="00AC0832">
            <w:pPr>
              <w:pStyle w:val="CellColumn"/>
            </w:pPr>
            <w:r>
              <w:t>95,5</w:t>
            </w:r>
          </w:p>
        </w:tc>
      </w:tr>
      <w:tr w:rsidR="00AC0832" w:rsidTr="00BE20ED">
        <w:trPr>
          <w:jc w:val="center"/>
        </w:trPr>
        <w:tc>
          <w:tcPr>
            <w:tcW w:w="2322" w:type="dxa"/>
          </w:tcPr>
          <w:p w:rsidR="00AC0832" w:rsidRDefault="00AC0832">
            <w:pPr>
              <w:pStyle w:val="CellColumn"/>
            </w:pPr>
            <w:r>
              <w:t>06125-Središnja agencija za financiranje i ugovaranje programa i projekata Europske unije</w:t>
            </w:r>
          </w:p>
        </w:tc>
        <w:tc>
          <w:tcPr>
            <w:tcW w:w="2322" w:type="dxa"/>
          </w:tcPr>
          <w:p w:rsidR="00AC0832" w:rsidRDefault="00AC0832">
            <w:pPr>
              <w:pStyle w:val="CellColumn"/>
            </w:pPr>
            <w:r>
              <w:t>29.519.830</w:t>
            </w:r>
          </w:p>
        </w:tc>
        <w:tc>
          <w:tcPr>
            <w:tcW w:w="2322" w:type="dxa"/>
          </w:tcPr>
          <w:p w:rsidR="00AC0832" w:rsidRDefault="00AC0832">
            <w:pPr>
              <w:pStyle w:val="CellColumn"/>
            </w:pPr>
            <w:r>
              <w:t>29.099.591</w:t>
            </w:r>
          </w:p>
        </w:tc>
        <w:tc>
          <w:tcPr>
            <w:tcW w:w="2322" w:type="dxa"/>
          </w:tcPr>
          <w:p w:rsidR="00AC0832" w:rsidRDefault="00AC0832">
            <w:pPr>
              <w:pStyle w:val="CellColumn"/>
            </w:pPr>
            <w:r>
              <w:t>98,6</w:t>
            </w:r>
          </w:p>
        </w:tc>
      </w:tr>
      <w:tr w:rsidR="00AC0832" w:rsidTr="00BE20ED">
        <w:trPr>
          <w:jc w:val="center"/>
        </w:trPr>
        <w:tc>
          <w:tcPr>
            <w:tcW w:w="2322" w:type="dxa"/>
            <w:shd w:val="clear" w:color="auto" w:fill="B5C0D8"/>
          </w:tcPr>
          <w:p w:rsidR="00AC0832" w:rsidRDefault="00AC0832">
            <w:pPr>
              <w:pStyle w:val="CellColumn"/>
            </w:pPr>
            <w:r>
              <w:t>Ukupno 061-MINISTARSTVO REGIONALNOGA RAZVOJA I FONDOVA EUROPSKE UNIJE</w:t>
            </w:r>
          </w:p>
        </w:tc>
        <w:tc>
          <w:tcPr>
            <w:tcW w:w="2322" w:type="dxa"/>
            <w:shd w:val="clear" w:color="auto" w:fill="B5C0D8"/>
          </w:tcPr>
          <w:p w:rsidR="00AC0832" w:rsidRDefault="00AC0832">
            <w:pPr>
              <w:pStyle w:val="CellColumn"/>
            </w:pPr>
            <w:r>
              <w:t>1.115.312.142</w:t>
            </w:r>
          </w:p>
        </w:tc>
        <w:tc>
          <w:tcPr>
            <w:tcW w:w="2322" w:type="dxa"/>
            <w:shd w:val="clear" w:color="auto" w:fill="B5C0D8"/>
          </w:tcPr>
          <w:p w:rsidR="00AC0832" w:rsidRDefault="00AC0832">
            <w:pPr>
              <w:pStyle w:val="CellColumn"/>
            </w:pPr>
            <w:r>
              <w:t>1.006.631.386</w:t>
            </w:r>
          </w:p>
        </w:tc>
        <w:tc>
          <w:tcPr>
            <w:tcW w:w="2322" w:type="dxa"/>
            <w:shd w:val="clear" w:color="auto" w:fill="B5C0D8"/>
          </w:tcPr>
          <w:p w:rsidR="00AC0832" w:rsidRDefault="00AC0832">
            <w:pPr>
              <w:pStyle w:val="CellColumn"/>
            </w:pPr>
            <w:r>
              <w:t>90,3</w:t>
            </w:r>
          </w:p>
        </w:tc>
      </w:tr>
    </w:tbl>
    <w:p w:rsidR="00AC0832" w:rsidRDefault="00AC0832">
      <w:pPr>
        <w:jc w:val="left"/>
      </w:pPr>
    </w:p>
    <w:p w:rsidR="00AC0832" w:rsidRDefault="00AC0832">
      <w:pPr>
        <w:pStyle w:val="Heading2"/>
      </w:pPr>
      <w:r>
        <w:t>06105 Ministarstvo regionalnoga razvoja i fondova Europske unije</w:t>
      </w:r>
    </w:p>
    <w:p w:rsidR="00AC0832" w:rsidRDefault="00AC0832">
      <w:pPr>
        <w:pStyle w:val="Heading4"/>
      </w:pPr>
      <w:r>
        <w:t>Uvod</w:t>
      </w:r>
    </w:p>
    <w:p w:rsidR="00AC0832" w:rsidRDefault="00AC0832">
      <w:pPr>
        <w:pStyle w:val="Normal3"/>
      </w:pPr>
      <w:r>
        <w:t>Ministarstvo regionalnoga razvoja i fondova Europske unije obavlja upravne i druge poslove koji se odnose na pripremu i koordinaciju izrade dugoročnih nacionalnih razvojnih dokumenata, a posebno razvojnih dokumenata koji služe kao programska podloga za korištenje fondova Europske unije. Također, Ministarstvo prati i vrednuje rezultate provedbe nacionalnih i regionalnih razvojnih dokumenata, te uspostavu cjelovitog, učinkovitog i djelotvornog sustava upravljanja, financiranja i kontrole provedbe programa Europske unije.Potiče razvoj prekogranične, međuregionalne i transnacionalne suradnje kao i koordiniranje aktivnosti s jedinicama lokalne i regionalne samouprave u području politike regionalnog razvoja i korištenja fondova Europske unije.Također provodi program stambenog zbrinjavanja  i pomoći prognancima, izbjeglicama i povratnicima, te provodi naseljavanje i ostanak stanovništva na području posebne državne skrbi te provodi obnovu stambenih jedinica i objekata infrastrukture uništenih u Domovinskom ratu.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06105-Ministarstvo regionalnoga razvoja i fondova Europske unije</w:t>
            </w:r>
          </w:p>
        </w:tc>
        <w:tc>
          <w:tcPr>
            <w:tcW w:w="2322" w:type="dxa"/>
          </w:tcPr>
          <w:p w:rsidR="00AC0832" w:rsidRDefault="00AC0832">
            <w:pPr>
              <w:pStyle w:val="CellColumn"/>
            </w:pPr>
            <w:r>
              <w:t>1.078.333.312</w:t>
            </w:r>
          </w:p>
        </w:tc>
        <w:tc>
          <w:tcPr>
            <w:tcW w:w="2322" w:type="dxa"/>
          </w:tcPr>
          <w:p w:rsidR="00AC0832" w:rsidRDefault="00AC0832">
            <w:pPr>
              <w:pStyle w:val="CellColumn"/>
            </w:pPr>
            <w:r>
              <w:t>970.408.263</w:t>
            </w:r>
          </w:p>
        </w:tc>
        <w:tc>
          <w:tcPr>
            <w:tcW w:w="2322" w:type="dxa"/>
          </w:tcPr>
          <w:p w:rsidR="00AC0832" w:rsidRDefault="00AC0832">
            <w:pPr>
              <w:pStyle w:val="CellColumn"/>
            </w:pPr>
            <w:r>
              <w:t>90,0</w:t>
            </w:r>
          </w:p>
        </w:tc>
      </w:tr>
      <w:tr w:rsidR="00AC0832" w:rsidTr="00BE20ED">
        <w:trPr>
          <w:jc w:val="center"/>
        </w:trPr>
        <w:tc>
          <w:tcPr>
            <w:tcW w:w="2322" w:type="dxa"/>
          </w:tcPr>
          <w:p w:rsidR="00AC0832" w:rsidRDefault="00AC0832">
            <w:pPr>
              <w:pStyle w:val="CellColumnSmall"/>
            </w:pPr>
            <w:r>
              <w:t>2201-STRATEŠKO PLANIRANJE I KOORDINACIJA</w:t>
            </w:r>
          </w:p>
        </w:tc>
        <w:tc>
          <w:tcPr>
            <w:tcW w:w="2322" w:type="dxa"/>
          </w:tcPr>
          <w:p w:rsidR="00AC0832" w:rsidRDefault="00AC0832">
            <w:pPr>
              <w:pStyle w:val="CellColumnSmall"/>
            </w:pPr>
            <w:r>
              <w:t>5.773.512</w:t>
            </w:r>
          </w:p>
        </w:tc>
        <w:tc>
          <w:tcPr>
            <w:tcW w:w="2322" w:type="dxa"/>
          </w:tcPr>
          <w:p w:rsidR="00AC0832" w:rsidRDefault="00AC0832">
            <w:pPr>
              <w:pStyle w:val="CellColumnSmall"/>
            </w:pPr>
            <w:r>
              <w:t>3.549.762</w:t>
            </w:r>
          </w:p>
        </w:tc>
        <w:tc>
          <w:tcPr>
            <w:tcW w:w="2322" w:type="dxa"/>
          </w:tcPr>
          <w:p w:rsidR="00AC0832" w:rsidRDefault="00AC0832">
            <w:pPr>
              <w:pStyle w:val="CellColumnSmall"/>
            </w:pPr>
            <w:r>
              <w:t>61,5</w:t>
            </w:r>
          </w:p>
        </w:tc>
      </w:tr>
      <w:tr w:rsidR="00AC0832" w:rsidTr="00BE20ED">
        <w:trPr>
          <w:jc w:val="center"/>
        </w:trPr>
        <w:tc>
          <w:tcPr>
            <w:tcW w:w="2322" w:type="dxa"/>
          </w:tcPr>
          <w:p w:rsidR="00AC0832" w:rsidRDefault="00AC0832">
            <w:pPr>
              <w:pStyle w:val="CellColumnSmall"/>
            </w:pPr>
            <w:r>
              <w:t>2901-POTICANJE REGIONALNE INFRASTRUKTURE I GOSPODARSTVA</w:t>
            </w:r>
          </w:p>
        </w:tc>
        <w:tc>
          <w:tcPr>
            <w:tcW w:w="2322" w:type="dxa"/>
          </w:tcPr>
          <w:p w:rsidR="00AC0832" w:rsidRDefault="00AC0832">
            <w:pPr>
              <w:pStyle w:val="CellColumnSmall"/>
            </w:pPr>
            <w:r>
              <w:t>350.586.227</w:t>
            </w:r>
          </w:p>
        </w:tc>
        <w:tc>
          <w:tcPr>
            <w:tcW w:w="2322" w:type="dxa"/>
          </w:tcPr>
          <w:p w:rsidR="00AC0832" w:rsidRDefault="00AC0832">
            <w:pPr>
              <w:pStyle w:val="CellColumnSmall"/>
            </w:pPr>
            <w:r>
              <w:t>333.357.712</w:t>
            </w:r>
          </w:p>
        </w:tc>
        <w:tc>
          <w:tcPr>
            <w:tcW w:w="2322" w:type="dxa"/>
          </w:tcPr>
          <w:p w:rsidR="00AC0832" w:rsidRDefault="00AC0832">
            <w:pPr>
              <w:pStyle w:val="CellColumnSmall"/>
            </w:pPr>
            <w:r>
              <w:t>95,1</w:t>
            </w:r>
          </w:p>
        </w:tc>
      </w:tr>
      <w:tr w:rsidR="00AC0832" w:rsidTr="00BE20ED">
        <w:trPr>
          <w:jc w:val="center"/>
        </w:trPr>
        <w:tc>
          <w:tcPr>
            <w:tcW w:w="2322" w:type="dxa"/>
          </w:tcPr>
          <w:p w:rsidR="00AC0832" w:rsidRDefault="00AC0832">
            <w:pPr>
              <w:pStyle w:val="CellColumnSmall"/>
            </w:pPr>
            <w:r>
              <w:t>2902-RAZVOJ POTPOMOGNUTIH PODRUČJA</w:t>
            </w:r>
          </w:p>
        </w:tc>
        <w:tc>
          <w:tcPr>
            <w:tcW w:w="2322" w:type="dxa"/>
          </w:tcPr>
          <w:p w:rsidR="00AC0832" w:rsidRDefault="00AC0832">
            <w:pPr>
              <w:pStyle w:val="CellColumnSmall"/>
            </w:pPr>
            <w:r>
              <w:t>85.000.000</w:t>
            </w:r>
          </w:p>
        </w:tc>
        <w:tc>
          <w:tcPr>
            <w:tcW w:w="2322" w:type="dxa"/>
          </w:tcPr>
          <w:p w:rsidR="00AC0832" w:rsidRDefault="00AC0832">
            <w:pPr>
              <w:pStyle w:val="CellColumnSmall"/>
            </w:pPr>
            <w:r>
              <w:t>81.387.340</w:t>
            </w:r>
          </w:p>
        </w:tc>
        <w:tc>
          <w:tcPr>
            <w:tcW w:w="2322" w:type="dxa"/>
          </w:tcPr>
          <w:p w:rsidR="00AC0832" w:rsidRDefault="00AC0832">
            <w:pPr>
              <w:pStyle w:val="CellColumnSmall"/>
            </w:pPr>
            <w:r>
              <w:t>95,7</w:t>
            </w:r>
          </w:p>
        </w:tc>
      </w:tr>
      <w:tr w:rsidR="00AC0832" w:rsidTr="00BE20ED">
        <w:trPr>
          <w:jc w:val="center"/>
        </w:trPr>
        <w:tc>
          <w:tcPr>
            <w:tcW w:w="2322" w:type="dxa"/>
          </w:tcPr>
          <w:p w:rsidR="00AC0832" w:rsidRDefault="00AC0832">
            <w:pPr>
              <w:pStyle w:val="CellColumnSmall"/>
            </w:pPr>
            <w:r>
              <w:t>2903-PREKOGRANIČNA I TRANSNACIONALNA SURADNJA</w:t>
            </w:r>
          </w:p>
        </w:tc>
        <w:tc>
          <w:tcPr>
            <w:tcW w:w="2322" w:type="dxa"/>
          </w:tcPr>
          <w:p w:rsidR="00AC0832" w:rsidRDefault="00AC0832">
            <w:pPr>
              <w:pStyle w:val="CellColumnSmall"/>
            </w:pPr>
            <w:r>
              <w:t>72.330.440</w:t>
            </w:r>
          </w:p>
        </w:tc>
        <w:tc>
          <w:tcPr>
            <w:tcW w:w="2322" w:type="dxa"/>
          </w:tcPr>
          <w:p w:rsidR="00AC0832" w:rsidRDefault="00AC0832">
            <w:pPr>
              <w:pStyle w:val="CellColumnSmall"/>
            </w:pPr>
            <w:r>
              <w:t>27.496.320</w:t>
            </w:r>
          </w:p>
        </w:tc>
        <w:tc>
          <w:tcPr>
            <w:tcW w:w="2322" w:type="dxa"/>
          </w:tcPr>
          <w:p w:rsidR="00AC0832" w:rsidRDefault="00AC0832">
            <w:pPr>
              <w:pStyle w:val="CellColumnSmall"/>
            </w:pPr>
            <w:r>
              <w:t>38,0</w:t>
            </w:r>
          </w:p>
        </w:tc>
      </w:tr>
      <w:tr w:rsidR="00AC0832" w:rsidTr="00BE20ED">
        <w:trPr>
          <w:jc w:val="center"/>
        </w:trPr>
        <w:tc>
          <w:tcPr>
            <w:tcW w:w="2322" w:type="dxa"/>
          </w:tcPr>
          <w:p w:rsidR="00AC0832" w:rsidRDefault="00AC0832">
            <w:pPr>
              <w:pStyle w:val="CellColumnSmall"/>
            </w:pPr>
            <w:r>
              <w:t>3211-POTICANJE GOSPODARSKIH AKTIVNOSTI NA OTOCIMA I U PRIOBALJU</w:t>
            </w:r>
          </w:p>
        </w:tc>
        <w:tc>
          <w:tcPr>
            <w:tcW w:w="2322" w:type="dxa"/>
          </w:tcPr>
          <w:p w:rsidR="00AC0832" w:rsidRDefault="00AC0832">
            <w:pPr>
              <w:pStyle w:val="CellColumnSmall"/>
            </w:pPr>
            <w:r>
              <w:t>8.270.000</w:t>
            </w:r>
          </w:p>
        </w:tc>
        <w:tc>
          <w:tcPr>
            <w:tcW w:w="2322" w:type="dxa"/>
          </w:tcPr>
          <w:p w:rsidR="00AC0832" w:rsidRDefault="00AC0832">
            <w:pPr>
              <w:pStyle w:val="CellColumnSmall"/>
            </w:pPr>
            <w:r>
              <w:t>8.127.585</w:t>
            </w:r>
          </w:p>
        </w:tc>
        <w:tc>
          <w:tcPr>
            <w:tcW w:w="2322" w:type="dxa"/>
          </w:tcPr>
          <w:p w:rsidR="00AC0832" w:rsidRDefault="00AC0832">
            <w:pPr>
              <w:pStyle w:val="CellColumnSmall"/>
            </w:pPr>
            <w:r>
              <w:t>98,3</w:t>
            </w:r>
          </w:p>
        </w:tc>
      </w:tr>
      <w:tr w:rsidR="00AC0832" w:rsidTr="00BE20ED">
        <w:trPr>
          <w:jc w:val="center"/>
        </w:trPr>
        <w:tc>
          <w:tcPr>
            <w:tcW w:w="2322" w:type="dxa"/>
          </w:tcPr>
          <w:p w:rsidR="00AC0832" w:rsidRDefault="00AC0832">
            <w:pPr>
              <w:pStyle w:val="CellColumnSmall"/>
            </w:pPr>
            <w:r>
              <w:t>3507-POTICANJE KOMUNALNE I DRUŠTVENE INFRASTRUKTURE NA OTOCIMA I U PRIOBALJU</w:t>
            </w:r>
          </w:p>
        </w:tc>
        <w:tc>
          <w:tcPr>
            <w:tcW w:w="2322" w:type="dxa"/>
          </w:tcPr>
          <w:p w:rsidR="00AC0832" w:rsidRDefault="00AC0832">
            <w:pPr>
              <w:pStyle w:val="CellColumnSmall"/>
            </w:pPr>
            <w:r>
              <w:t>112.176.984</w:t>
            </w:r>
          </w:p>
        </w:tc>
        <w:tc>
          <w:tcPr>
            <w:tcW w:w="2322" w:type="dxa"/>
          </w:tcPr>
          <w:p w:rsidR="00AC0832" w:rsidRDefault="00AC0832">
            <w:pPr>
              <w:pStyle w:val="CellColumnSmall"/>
            </w:pPr>
            <w:r>
              <w:t>109.995.703</w:t>
            </w:r>
          </w:p>
        </w:tc>
        <w:tc>
          <w:tcPr>
            <w:tcW w:w="2322" w:type="dxa"/>
          </w:tcPr>
          <w:p w:rsidR="00AC0832" w:rsidRDefault="00AC0832">
            <w:pPr>
              <w:pStyle w:val="CellColumnSmall"/>
            </w:pPr>
            <w:r>
              <w:t>98,1</w:t>
            </w:r>
          </w:p>
        </w:tc>
      </w:tr>
      <w:tr w:rsidR="00AC0832" w:rsidTr="00BE20ED">
        <w:trPr>
          <w:jc w:val="center"/>
        </w:trPr>
        <w:tc>
          <w:tcPr>
            <w:tcW w:w="2322" w:type="dxa"/>
          </w:tcPr>
          <w:p w:rsidR="00AC0832" w:rsidRDefault="00AC0832">
            <w:pPr>
              <w:pStyle w:val="CellColumnSmall"/>
            </w:pPr>
            <w:r>
              <w:t>4009-ZBRINJAVANJE PROGNANIKA, POVRATNIKA I IZBJEGLICA</w:t>
            </w:r>
          </w:p>
        </w:tc>
        <w:tc>
          <w:tcPr>
            <w:tcW w:w="2322" w:type="dxa"/>
          </w:tcPr>
          <w:p w:rsidR="00AC0832" w:rsidRDefault="00AC0832">
            <w:pPr>
              <w:pStyle w:val="CellColumnSmall"/>
            </w:pPr>
            <w:r>
              <w:t>397.447.000</w:t>
            </w:r>
          </w:p>
        </w:tc>
        <w:tc>
          <w:tcPr>
            <w:tcW w:w="2322" w:type="dxa"/>
          </w:tcPr>
          <w:p w:rsidR="00AC0832" w:rsidRDefault="00AC0832">
            <w:pPr>
              <w:pStyle w:val="CellColumnSmall"/>
            </w:pPr>
            <w:r>
              <w:t>360.704.314</w:t>
            </w:r>
          </w:p>
        </w:tc>
        <w:tc>
          <w:tcPr>
            <w:tcW w:w="2322" w:type="dxa"/>
          </w:tcPr>
          <w:p w:rsidR="00AC0832" w:rsidRDefault="00AC0832">
            <w:pPr>
              <w:pStyle w:val="CellColumnSmall"/>
            </w:pPr>
            <w:r>
              <w:t>90,8</w:t>
            </w:r>
          </w:p>
        </w:tc>
      </w:tr>
      <w:tr w:rsidR="00AC0832" w:rsidTr="00BE20ED">
        <w:trPr>
          <w:jc w:val="center"/>
        </w:trPr>
        <w:tc>
          <w:tcPr>
            <w:tcW w:w="2322" w:type="dxa"/>
          </w:tcPr>
          <w:p w:rsidR="00AC0832" w:rsidRDefault="00AC0832">
            <w:pPr>
              <w:pStyle w:val="CellColumnSmall"/>
            </w:pPr>
            <w:r>
              <w:t>4012-POBOLJŠANJE ŽIVOTNIH UVJETA STANOVNIŠTVA OTOKA I PRIOBALJA</w:t>
            </w:r>
          </w:p>
        </w:tc>
        <w:tc>
          <w:tcPr>
            <w:tcW w:w="2322" w:type="dxa"/>
          </w:tcPr>
          <w:p w:rsidR="00AC0832" w:rsidRDefault="00AC0832">
            <w:pPr>
              <w:pStyle w:val="CellColumnSmall"/>
            </w:pPr>
            <w:r>
              <w:t>46.749.149</w:t>
            </w:r>
          </w:p>
        </w:tc>
        <w:tc>
          <w:tcPr>
            <w:tcW w:w="2322" w:type="dxa"/>
          </w:tcPr>
          <w:p w:rsidR="00AC0832" w:rsidRDefault="00AC0832">
            <w:pPr>
              <w:pStyle w:val="CellColumnSmall"/>
            </w:pPr>
            <w:r>
              <w:t>45.789.527</w:t>
            </w:r>
          </w:p>
        </w:tc>
        <w:tc>
          <w:tcPr>
            <w:tcW w:w="2322" w:type="dxa"/>
          </w:tcPr>
          <w:p w:rsidR="00AC0832" w:rsidRDefault="00AC0832">
            <w:pPr>
              <w:pStyle w:val="CellColumnSmall"/>
            </w:pPr>
            <w:r>
              <w:t>97,9</w:t>
            </w:r>
          </w:p>
        </w:tc>
      </w:tr>
    </w:tbl>
    <w:p w:rsidR="00AC0832" w:rsidRDefault="00AC0832">
      <w:pPr>
        <w:jc w:val="left"/>
      </w:pPr>
    </w:p>
    <w:p w:rsidR="00AC0832" w:rsidRDefault="00AC0832">
      <w:pPr>
        <w:pStyle w:val="Heading4"/>
      </w:pPr>
      <w:r>
        <w:t>OBRAZLOŽENJE PROGRAMA</w:t>
      </w:r>
    </w:p>
    <w:p w:rsidR="00AC0832" w:rsidRDefault="00AC0832">
      <w:pPr>
        <w:pStyle w:val="Heading5"/>
      </w:pPr>
      <w:r>
        <w:t>2201 STRATEŠKO PLANIRANJE I KOORDINACIJA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2201-STRATEŠKO PLANIRANJE I KOORDINACIJA</w:t>
            </w:r>
          </w:p>
        </w:tc>
        <w:tc>
          <w:tcPr>
            <w:tcW w:w="2322" w:type="dxa"/>
          </w:tcPr>
          <w:p w:rsidR="00AC0832" w:rsidRDefault="00AC0832">
            <w:pPr>
              <w:pStyle w:val="CellColumn"/>
            </w:pPr>
            <w:r>
              <w:t>5.773.512</w:t>
            </w:r>
          </w:p>
        </w:tc>
        <w:tc>
          <w:tcPr>
            <w:tcW w:w="2322" w:type="dxa"/>
          </w:tcPr>
          <w:p w:rsidR="00AC0832" w:rsidRDefault="00AC0832">
            <w:pPr>
              <w:pStyle w:val="CellColumn"/>
            </w:pPr>
            <w:r>
              <w:t>3.549.762</w:t>
            </w:r>
          </w:p>
        </w:tc>
        <w:tc>
          <w:tcPr>
            <w:tcW w:w="2322" w:type="dxa"/>
          </w:tcPr>
          <w:p w:rsidR="00AC0832" w:rsidRDefault="00AC0832">
            <w:pPr>
              <w:pStyle w:val="CellColumn"/>
            </w:pPr>
            <w:r>
              <w:t>61,5</w:t>
            </w:r>
          </w:p>
        </w:tc>
      </w:tr>
    </w:tbl>
    <w:p w:rsidR="00AC0832" w:rsidRDefault="00AC0832">
      <w:pPr>
        <w:jc w:val="left"/>
      </w:pPr>
    </w:p>
    <w:p w:rsidR="00AC0832" w:rsidRDefault="00AC0832">
      <w:pPr>
        <w:pStyle w:val="Heading6"/>
      </w:pPr>
      <w:r>
        <w:t>Opis programa</w:t>
      </w:r>
    </w:p>
    <w:p w:rsidR="00AC0832" w:rsidRDefault="00AC0832">
      <w:pPr>
        <w:pStyle w:val="Normal5"/>
      </w:pPr>
      <w:r>
        <w:t>Program se provodio kroz svoje osnovne programske funkcije a to su bile kreiranje i praćenje provedbe razvojne strategije Republike Hrvatske; koordinacija fondova Europske unije; obrazovanje potencijalnih potencijalnih korisnika za korištenje sredstava EU; informiranje javnosti o mogućnostima korištenja sredstava EU. S navedenim je povezan i opći cilj 1 Ministarstva regionalnoga razvoja i  fondova EU - ostvarenje nacionalnih razvojnih prioriteta definiranih kroz procese nacionalnog strateškog planiranja. Pri tome se identificiraju mogućnosti da se određeni nacionalni razvojni prioriteti financiraju sredstvima EU u područjima u kojima je to moguće i usklađeno sa regulativom EU. Obavljanjem koordinacijskih aktivnosti, osigurava se učinkovito usmjeravanje te korištenje raspoloživih EU sredstava na određene nacionalne razvojne prioritete.</w:t>
      </w:r>
    </w:p>
    <w:p w:rsidR="00AC0832" w:rsidRDefault="00AC0832">
      <w:pPr>
        <w:pStyle w:val="Heading6"/>
      </w:pPr>
      <w:r>
        <w:t>Zakonske i druge pravne osnove</w:t>
      </w:r>
    </w:p>
    <w:p w:rsidR="00AC0832" w:rsidRDefault="00AC0832">
      <w:pPr>
        <w:pStyle w:val="Normal5"/>
      </w:pPr>
      <w:r>
        <w:t xml:space="preserve">Uredba (EZ-a) br. 1085/2006 kojom se uspostavlja instrument pretpristupne pomoći (»Okvirna uredba o programu IPA«). Stupivši na snagu od 1. siječnja 2007. godine, ovaj instrument predstavlja jedinstvenu pravnu osnovu za pružanje financijske pomoći državama kandidatkinjama (uključujući Hrvatsku). </w:t>
      </w:r>
    </w:p>
    <w:p w:rsidR="00AC0832" w:rsidRDefault="00AC0832">
      <w:pPr>
        <w:pStyle w:val="Normal5"/>
      </w:pPr>
      <w:r>
        <w:t xml:space="preserve"> Uredba (EZ-a) br. 718/2007 o provedbi Okvirne uredbe o programu IPA, koja sadrži detaljne važeće odredbe o upravljanju i kontroli (»Provedbena uredba o programu IPA«); </w:t>
      </w:r>
    </w:p>
    <w:p w:rsidR="00AC0832" w:rsidRDefault="00AC0832">
      <w:pPr>
        <w:pStyle w:val="Normal5"/>
      </w:pPr>
      <w:r>
        <w:t>Dana 27. kolovoza 2007. godine Vlada RH I Komisija Europskih zajednica sklopile su Okvirni sporazum, odredivši pri tome opća pravila suradnje i provedbe pomoći Zajednice u okviru Instrumenta pretpristupne pomoći (IPA).</w:t>
      </w:r>
    </w:p>
    <w:p w:rsidR="00AC0832" w:rsidRDefault="00AC0832">
      <w:pPr>
        <w:pStyle w:val="Heading7"/>
      </w:pPr>
      <w:r>
        <w:t>Cilj 1. Izgradnja efikasnog sustava za praćenje gospodarskih kretanja i koordinaciju pripreme analitičko strateških dokumenata</w:t>
      </w:r>
    </w:p>
    <w:p w:rsidR="00AC0832" w:rsidRDefault="00AC0832">
      <w:pPr>
        <w:pStyle w:val="Heading8"/>
        <w:jc w:val="left"/>
      </w:pPr>
      <w:r>
        <w:t>Opis provedbe cilja programa</w:t>
      </w:r>
    </w:p>
    <w:p w:rsidR="00AC0832" w:rsidRDefault="00AC0832">
      <w:pPr>
        <w:pStyle w:val="Normal6"/>
      </w:pPr>
      <w:r>
        <w:t>Cilj programa je obavljanje stručnih i administrativnih poslova koji su vezani za praćenje i analizu gospodarskih kretanja u RH, EU i zemljama nečlanicama EU te obavljanje upravnih i stručnih poslova koji se odnose na pripremu strateških dokumenata koji uređuju nacionalne razvojne ciljeve i prioritete za korištenje sredstava iz fondova Europske Unije. Također, cilj obuhvaća i praćenje provedbe mjera i aktivnosti utvrđenih strateškim dokumentima koji uređuju nacionalne razvojne ciljeve i prioritete za korištenje sredstava iz fondova Europske Unije.Stoga će cilj u sljedećem srednjoročnom razdoblju biti izgradnja efikasnog sustava za praćenje gospodarskih kretanja i kooredinaciju pripreme analitičko-strateških dokumenata.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8"/>
        <w:gridCol w:w="1595"/>
        <w:gridCol w:w="1262"/>
        <w:gridCol w:w="1281"/>
        <w:gridCol w:w="1275"/>
        <w:gridCol w:w="1275"/>
        <w:gridCol w:w="128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Izgradnja efikasnog sustava za pripremu strateških razvojnih dokumenata</w:t>
            </w:r>
          </w:p>
        </w:tc>
        <w:tc>
          <w:tcPr>
            <w:tcW w:w="1300" w:type="dxa"/>
          </w:tcPr>
          <w:p w:rsidR="00AC0832" w:rsidRDefault="00AC0832">
            <w:pPr>
              <w:pStyle w:val="CellColumn"/>
            </w:pPr>
            <w:r>
              <w:t>Unaprijeđivanje i redovito održavanje sustava za praćenje gospodarskih kretanja (kvantitativni i</w:t>
            </w:r>
          </w:p>
        </w:tc>
        <w:tc>
          <w:tcPr>
            <w:tcW w:w="1300" w:type="dxa"/>
          </w:tcPr>
          <w:p w:rsidR="00AC0832" w:rsidRDefault="00AC0832">
            <w:pPr>
              <w:pStyle w:val="CellColumn"/>
            </w:pPr>
            <w:r>
              <w:t>%</w:t>
            </w:r>
          </w:p>
        </w:tc>
        <w:tc>
          <w:tcPr>
            <w:tcW w:w="1300" w:type="dxa"/>
          </w:tcPr>
          <w:p w:rsidR="00AC0832" w:rsidRDefault="00AC0832">
            <w:pPr>
              <w:pStyle w:val="CellColumn"/>
            </w:pPr>
            <w:r>
              <w:t>75% zadanog kapaciteta</w:t>
            </w:r>
          </w:p>
        </w:tc>
        <w:tc>
          <w:tcPr>
            <w:tcW w:w="1300" w:type="dxa"/>
          </w:tcPr>
          <w:p w:rsidR="00AC0832" w:rsidRDefault="00AC0832">
            <w:pPr>
              <w:pStyle w:val="CellColumn"/>
            </w:pPr>
            <w:r>
              <w:t>MRRFEU</w:t>
            </w:r>
          </w:p>
        </w:tc>
        <w:tc>
          <w:tcPr>
            <w:tcW w:w="1300" w:type="dxa"/>
          </w:tcPr>
          <w:p w:rsidR="00AC0832" w:rsidRDefault="00AC0832">
            <w:pPr>
              <w:pStyle w:val="CellColumn"/>
            </w:pPr>
            <w:r>
              <w:t>85</w:t>
            </w:r>
          </w:p>
        </w:tc>
        <w:tc>
          <w:tcPr>
            <w:tcW w:w="1300" w:type="dxa"/>
          </w:tcPr>
          <w:p w:rsidR="00AC0832" w:rsidRDefault="00AC0832">
            <w:pPr>
              <w:pStyle w:val="CellColumn"/>
            </w:pPr>
            <w:r>
              <w:t>85</w:t>
            </w:r>
          </w:p>
        </w:tc>
      </w:tr>
    </w:tbl>
    <w:p w:rsidR="00AC0832" w:rsidRDefault="00AC0832">
      <w:pPr>
        <w:jc w:val="left"/>
      </w:pPr>
    </w:p>
    <w:p w:rsidR="00AC0832" w:rsidRDefault="00AC0832">
      <w:pPr>
        <w:pStyle w:val="Heading7"/>
      </w:pPr>
      <w:r>
        <w:t>Cilj 2. Uspješna koordinacija programiranja trenutnih i budućih programa financiranih sredstvima EU</w:t>
      </w:r>
    </w:p>
    <w:p w:rsidR="00AC0832" w:rsidRDefault="00AC0832">
      <w:pPr>
        <w:pStyle w:val="Heading8"/>
        <w:jc w:val="left"/>
      </w:pPr>
      <w:r>
        <w:t>Opis provedbe cilja programa</w:t>
      </w:r>
    </w:p>
    <w:p w:rsidR="00AC0832" w:rsidRDefault="00AC0832">
      <w:pPr>
        <w:pStyle w:val="Normal6"/>
      </w:pPr>
      <w:r>
        <w:t>MRRFEU partnerski surađuje s tijelima EK s jedne strane te institucijama RH s druge strane kako bi se optimalno i učinkovito iskoristila sredstva za ispunjenje obveza RH.MRRFEU osigurava koordinaciju svih relevantnih tijela  nadležnih za horizontalna pitanja u svrhu usuglašavanja postojećih praksi sa zahtjevima EU. U procesu pripreme projekata nužnih na razini ukupnog sustava upravljanja EU sredstvima, MRRFEU osigurava tehničku pomoć kako bi se aktivnostima pojedinih projekta pokrile potrebe horizontalnih tijela za učinkovito izvršavanje njihovih horizontalnih funkcija.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0"/>
        <w:gridCol w:w="1361"/>
        <w:gridCol w:w="1317"/>
        <w:gridCol w:w="1289"/>
        <w:gridCol w:w="1288"/>
        <w:gridCol w:w="1290"/>
        <w:gridCol w:w="129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Uspješna koordinacija programiranja trenutnih i budućih programa financiranih sredstvima EU</w:t>
            </w:r>
          </w:p>
        </w:tc>
        <w:tc>
          <w:tcPr>
            <w:tcW w:w="1300" w:type="dxa"/>
          </w:tcPr>
          <w:p w:rsidR="00AC0832" w:rsidRDefault="00AC0832">
            <w:pPr>
              <w:pStyle w:val="CellColumn"/>
            </w:pPr>
            <w:r>
              <w:t>Visoka kvaliteta pripremljenih razvojnih dokumenata</w:t>
            </w:r>
          </w:p>
        </w:tc>
        <w:tc>
          <w:tcPr>
            <w:tcW w:w="1300" w:type="dxa"/>
          </w:tcPr>
          <w:p w:rsidR="00AC0832" w:rsidRDefault="00AC0832">
            <w:pPr>
              <w:pStyle w:val="CellColumn"/>
            </w:pPr>
            <w:r>
              <w:t>Broj razvojnih dokumenata s pozitivnim mišljenjem EK nakon prvog slanja nacrta</w:t>
            </w:r>
          </w:p>
        </w:tc>
        <w:tc>
          <w:tcPr>
            <w:tcW w:w="1300" w:type="dxa"/>
          </w:tcPr>
          <w:p w:rsidR="00AC0832" w:rsidRDefault="00AC0832">
            <w:pPr>
              <w:pStyle w:val="CellColumn"/>
            </w:pPr>
            <w:r>
              <w:t>0</w:t>
            </w:r>
          </w:p>
        </w:tc>
        <w:tc>
          <w:tcPr>
            <w:tcW w:w="1300" w:type="dxa"/>
          </w:tcPr>
          <w:p w:rsidR="00AC0832" w:rsidRDefault="00AC0832">
            <w:pPr>
              <w:pStyle w:val="CellColumn"/>
            </w:pPr>
            <w:r>
              <w:t>EK</w:t>
            </w:r>
          </w:p>
        </w:tc>
        <w:tc>
          <w:tcPr>
            <w:tcW w:w="1300" w:type="dxa"/>
          </w:tcPr>
          <w:p w:rsidR="00AC0832" w:rsidRDefault="00AC0832">
            <w:pPr>
              <w:pStyle w:val="CellColumn"/>
            </w:pPr>
            <w:r>
              <w:t>4</w:t>
            </w:r>
          </w:p>
        </w:tc>
        <w:tc>
          <w:tcPr>
            <w:tcW w:w="1300" w:type="dxa"/>
          </w:tcPr>
          <w:p w:rsidR="00AC0832" w:rsidRDefault="00AC0832">
            <w:pPr>
              <w:pStyle w:val="CellColumn"/>
            </w:pPr>
            <w:r>
              <w:t>4</w:t>
            </w:r>
          </w:p>
        </w:tc>
      </w:tr>
    </w:tbl>
    <w:p w:rsidR="00AC0832" w:rsidRDefault="00AC0832">
      <w:pPr>
        <w:jc w:val="left"/>
      </w:pPr>
    </w:p>
    <w:p w:rsidR="00AC0832" w:rsidRDefault="00AC0832">
      <w:pPr>
        <w:jc w:val="left"/>
      </w:pPr>
    </w:p>
    <w:p w:rsidR="00AC0832" w:rsidRDefault="00AC0832">
      <w:pPr>
        <w:jc w:val="left"/>
      </w:pPr>
    </w:p>
    <w:p w:rsidR="00AC0832" w:rsidRDefault="00AC0832">
      <w:pPr>
        <w:pStyle w:val="Heading7"/>
      </w:pPr>
      <w:r>
        <w:t>Cilj 3. Praćenje provedbe i evaluacija programa financiranih pretpristupnim sredstvima te Strukturnim fondovima EU</w:t>
      </w:r>
    </w:p>
    <w:p w:rsidR="00AC0832" w:rsidRDefault="00AC0832">
      <w:pPr>
        <w:pStyle w:val="Heading8"/>
        <w:jc w:val="left"/>
      </w:pPr>
      <w:r>
        <w:t>Opis provedbe cilja programa</w:t>
      </w:r>
    </w:p>
    <w:p w:rsidR="00AC0832" w:rsidRDefault="00AC0832">
      <w:pPr>
        <w:pStyle w:val="Normal6"/>
      </w:pPr>
      <w:r>
        <w:t>U nadležnosti MRRFEU bili su poslovi praćenja provedbe (monitoring) i vanjskog vrednovanja (evaluacije). Kroz ovaj cilj su obuhvaćeni poslovi: ustrojavanje sustava praćenja provedbe i vanjskog vrednovanja projekata/programa EU; pružanje potrebne tehničke pomoći tzv. nadzornim tijelima u organizaciji sastanka i relevantnih nadzornih odbora i pododbora; pisanje polugodišnjih i godišnjih izvješća o provedbi programa pomoći te razvijanje metodologije za pružanje stručne pomoći korisničkim institucijama vezano uz praćenje provedbe projekata/programa EU;  priprema natječajne dokumentacije za ugovaranje usluga vanjskog vrednovanja i kontrola kvalitete izvješća o vanjskom vrednovanju te praćenje ispunjavanja preporuka iz navedenih izvješća.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9"/>
        <w:gridCol w:w="1292"/>
        <w:gridCol w:w="1350"/>
        <w:gridCol w:w="1275"/>
        <w:gridCol w:w="1275"/>
        <w:gridCol w:w="1275"/>
        <w:gridCol w:w="128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Praćenje provedbe i evaluacija programa financiranih predpristupnim sred. te strukturnim fondovima EU</w:t>
            </w:r>
          </w:p>
        </w:tc>
        <w:tc>
          <w:tcPr>
            <w:tcW w:w="1300" w:type="dxa"/>
          </w:tcPr>
          <w:p w:rsidR="00AC0832" w:rsidRDefault="00AC0832">
            <w:pPr>
              <w:pStyle w:val="CellColumn"/>
            </w:pPr>
            <w:r>
              <w:t>Kvalitetna reakcija na preporuke evaluatora za poboljšanje razvojnih programa</w:t>
            </w:r>
          </w:p>
        </w:tc>
        <w:tc>
          <w:tcPr>
            <w:tcW w:w="1300" w:type="dxa"/>
          </w:tcPr>
          <w:p w:rsidR="00AC0832" w:rsidRDefault="00AC0832">
            <w:pPr>
              <w:pStyle w:val="CellColumn"/>
            </w:pPr>
            <w:r>
              <w:t>Postotak usvojenih preporuka iz evaluacijskih izvještaja</w:t>
            </w:r>
          </w:p>
        </w:tc>
        <w:tc>
          <w:tcPr>
            <w:tcW w:w="1300" w:type="dxa"/>
          </w:tcPr>
          <w:p w:rsidR="00AC0832" w:rsidRDefault="00AC0832">
            <w:pPr>
              <w:pStyle w:val="CellColumn"/>
            </w:pPr>
            <w:r>
              <w:t>0</w:t>
            </w:r>
          </w:p>
        </w:tc>
        <w:tc>
          <w:tcPr>
            <w:tcW w:w="1300" w:type="dxa"/>
          </w:tcPr>
          <w:p w:rsidR="00AC0832" w:rsidRDefault="00AC0832">
            <w:pPr>
              <w:pStyle w:val="CellColumn"/>
            </w:pPr>
            <w:r>
              <w:t>MRRFEU</w:t>
            </w:r>
          </w:p>
        </w:tc>
        <w:tc>
          <w:tcPr>
            <w:tcW w:w="1300" w:type="dxa"/>
          </w:tcPr>
          <w:p w:rsidR="00AC0832" w:rsidRDefault="00AC0832">
            <w:pPr>
              <w:pStyle w:val="CellColumn"/>
            </w:pPr>
            <w:r>
              <w:t>85</w:t>
            </w:r>
          </w:p>
        </w:tc>
        <w:tc>
          <w:tcPr>
            <w:tcW w:w="1300" w:type="dxa"/>
          </w:tcPr>
          <w:p w:rsidR="00AC0832" w:rsidRDefault="00AC0832">
            <w:pPr>
              <w:pStyle w:val="CellColumn"/>
            </w:pPr>
            <w:r>
              <w:t>85</w:t>
            </w:r>
          </w:p>
        </w:tc>
      </w:tr>
    </w:tbl>
    <w:p w:rsidR="00AC0832" w:rsidRDefault="00AC0832">
      <w:pPr>
        <w:jc w:val="left"/>
      </w:pPr>
    </w:p>
    <w:p w:rsidR="00AC0832" w:rsidRDefault="00AC0832">
      <w:pPr>
        <w:pStyle w:val="Heading7"/>
      </w:pPr>
      <w:r>
        <w:t>Cilj 4. Izgradnja učinkovitog sustava informiranja i obuke javnosti o mogućnostima korištenja EU sredstava</w:t>
      </w:r>
    </w:p>
    <w:p w:rsidR="00AC0832" w:rsidRDefault="00AC0832">
      <w:pPr>
        <w:pStyle w:val="Heading8"/>
        <w:jc w:val="left"/>
      </w:pPr>
      <w:r>
        <w:t>Opis provedbe cilja programa</w:t>
      </w:r>
    </w:p>
    <w:p w:rsidR="00AC0832" w:rsidRDefault="00AC0832">
      <w:pPr>
        <w:pStyle w:val="Normal6"/>
      </w:pPr>
      <w:r>
        <w:t>MRRFEU je kontinuirano provodio proces informiranja tijela državne uprave, javnih institucija te svih potencijalnih korisnika kroz niže navedene aktivnosti. Dodatno, s ciljem da šira javnost bude što kvalitetnije upoznata sa procesom korištenja EU fondovate da se na taj način doprinese korištenju EU sredstava. MRRFEU je provodio kontinuiranu obuku tijela državne uprave u sustavu EU fondova te šire javnosti i potencijalnih korisnika.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7"/>
        <w:gridCol w:w="1417"/>
        <w:gridCol w:w="1350"/>
        <w:gridCol w:w="1247"/>
        <w:gridCol w:w="1247"/>
        <w:gridCol w:w="1247"/>
        <w:gridCol w:w="126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Izrada učinkovitog sustava informiranja i obuke javnosti o mogućnostima korištenja EU sredstava</w:t>
            </w:r>
          </w:p>
        </w:tc>
        <w:tc>
          <w:tcPr>
            <w:tcW w:w="1300" w:type="dxa"/>
          </w:tcPr>
          <w:p w:rsidR="00AC0832" w:rsidRDefault="00AC0832">
            <w:pPr>
              <w:pStyle w:val="CellColumn"/>
            </w:pPr>
            <w:r>
              <w:t>Povećani stupanj informiranosti javnosti o procesu korištenja EU fondova</w:t>
            </w:r>
          </w:p>
        </w:tc>
        <w:tc>
          <w:tcPr>
            <w:tcW w:w="1300" w:type="dxa"/>
          </w:tcPr>
          <w:p w:rsidR="00AC0832" w:rsidRDefault="00AC0832">
            <w:pPr>
              <w:pStyle w:val="CellColumn"/>
            </w:pPr>
            <w:r>
              <w:t>Postotak zadovoljnih korisnika web stranica informativnih sadržaja</w:t>
            </w:r>
          </w:p>
        </w:tc>
        <w:tc>
          <w:tcPr>
            <w:tcW w:w="1300" w:type="dxa"/>
          </w:tcPr>
          <w:p w:rsidR="00AC0832" w:rsidRDefault="00AC0832">
            <w:pPr>
              <w:pStyle w:val="CellColumn"/>
            </w:pPr>
            <w:r>
              <w:t>0</w:t>
            </w:r>
          </w:p>
        </w:tc>
        <w:tc>
          <w:tcPr>
            <w:tcW w:w="1300" w:type="dxa"/>
          </w:tcPr>
          <w:p w:rsidR="00AC0832" w:rsidRDefault="00AC0832">
            <w:pPr>
              <w:pStyle w:val="CellColumn"/>
            </w:pPr>
            <w:r>
              <w:t>MRRFEU</w:t>
            </w:r>
          </w:p>
        </w:tc>
        <w:tc>
          <w:tcPr>
            <w:tcW w:w="1300" w:type="dxa"/>
          </w:tcPr>
          <w:p w:rsidR="00AC0832" w:rsidRDefault="00AC0832">
            <w:pPr>
              <w:pStyle w:val="CellColumn"/>
            </w:pPr>
            <w:r>
              <w:t>75</w:t>
            </w:r>
          </w:p>
        </w:tc>
        <w:tc>
          <w:tcPr>
            <w:tcW w:w="1300" w:type="dxa"/>
          </w:tcPr>
          <w:p w:rsidR="00AC0832" w:rsidRDefault="00AC0832">
            <w:pPr>
              <w:pStyle w:val="CellColumn"/>
            </w:pPr>
            <w:r>
              <w:t>75</w:t>
            </w:r>
          </w:p>
        </w:tc>
      </w:tr>
    </w:tbl>
    <w:p w:rsidR="00AC0832" w:rsidRDefault="00AC0832">
      <w:pPr>
        <w:jc w:val="left"/>
      </w:pPr>
    </w:p>
    <w:p w:rsidR="00AC0832" w:rsidRDefault="00AC0832">
      <w:pPr>
        <w:pStyle w:val="Heading6"/>
      </w:pPr>
      <w:r>
        <w:t>A680018 IPA TAIB 2008 - EX-ANTE EVALUACIJA PROGRAMSKIH DOKUMENATA I JAČANJE KAPACITETA ZA EVALUACIJU FONDOVA EU NAKON PRISTUPANJA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A680018-IPA TAIB 2008 - EX-ANTE EVALUACIJA PROGRAMSKIH DOKUMENATA I JAČANJE KAPACITETA ZA EVALUACIJU FONDOVA EU NAKON PRISTUPANJA</w:t>
            </w:r>
          </w:p>
        </w:tc>
        <w:tc>
          <w:tcPr>
            <w:tcW w:w="2322" w:type="dxa"/>
          </w:tcPr>
          <w:p w:rsidR="00AC0832" w:rsidRDefault="00AC0832">
            <w:pPr>
              <w:pStyle w:val="CellColumn"/>
            </w:pPr>
            <w:r>
              <w:t>3.213.640</w:t>
            </w:r>
          </w:p>
        </w:tc>
        <w:tc>
          <w:tcPr>
            <w:tcW w:w="2322" w:type="dxa"/>
          </w:tcPr>
          <w:p w:rsidR="00AC0832" w:rsidRDefault="00AC0832">
            <w:pPr>
              <w:pStyle w:val="CellColumn"/>
            </w:pPr>
            <w:r>
              <w:t>3.009.568</w:t>
            </w:r>
          </w:p>
        </w:tc>
        <w:tc>
          <w:tcPr>
            <w:tcW w:w="2322" w:type="dxa"/>
          </w:tcPr>
          <w:p w:rsidR="00AC0832" w:rsidRDefault="00AC0832">
            <w:pPr>
              <w:pStyle w:val="CellColumn"/>
            </w:pPr>
            <w:r>
              <w:t>93,6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Projekt se provodio s ciljem jačanja kapaciteta uprave za evaluaciju fondova po pristupanju RH Europskoj uniji te s ciljem ispunjavanja formalnih uvjeta za dostavu programskih dokumenata Europskoj komisiji i njihovo formalno usvajanje odnosno s ciljem provođenja ex ante evaluacije programskih dokumenata.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1339"/>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Ispunjeni formalni uvjet za dostavu programskih dokumenata Europskoj komisiji</w:t>
            </w:r>
          </w:p>
        </w:tc>
        <w:tc>
          <w:tcPr>
            <w:tcW w:w="1300" w:type="dxa"/>
          </w:tcPr>
          <w:p w:rsidR="00AC0832" w:rsidRDefault="00AC0832">
            <w:pPr>
              <w:pStyle w:val="CellColumn"/>
            </w:pPr>
            <w:r>
              <w:t>Pripremljeno izviješće o ex ante evaluaciji programskih dokumenata</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MRRFEU</w:t>
            </w:r>
          </w:p>
        </w:tc>
        <w:tc>
          <w:tcPr>
            <w:tcW w:w="1300" w:type="dxa"/>
          </w:tcPr>
          <w:p w:rsidR="00AC0832" w:rsidRDefault="00AC0832">
            <w:pPr>
              <w:pStyle w:val="CellColumn"/>
            </w:pPr>
            <w:r>
              <w:t>4</w:t>
            </w:r>
          </w:p>
        </w:tc>
        <w:tc>
          <w:tcPr>
            <w:tcW w:w="1300" w:type="dxa"/>
          </w:tcPr>
          <w:p w:rsidR="00AC0832" w:rsidRDefault="00AC0832">
            <w:pPr>
              <w:pStyle w:val="CellColumn"/>
            </w:pPr>
            <w:r>
              <w:t>4</w:t>
            </w:r>
          </w:p>
        </w:tc>
      </w:tr>
    </w:tbl>
    <w:p w:rsidR="00AC0832" w:rsidRDefault="00AC0832">
      <w:pPr>
        <w:jc w:val="left"/>
      </w:pPr>
    </w:p>
    <w:p w:rsidR="00AC0832" w:rsidRDefault="00AC0832">
      <w:pPr>
        <w:pStyle w:val="Heading6"/>
      </w:pPr>
      <w:r>
        <w:t>A758018 IPA TAIB 2008 - PERIODIČNA EVALUACIJA GODIŠNJEG PROGRAMA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A758018-IPA TAIB 2008 - PERIODIČNA EVALUACIJA GODIŠNJEG PROGRAMA</w:t>
            </w:r>
          </w:p>
        </w:tc>
        <w:tc>
          <w:tcPr>
            <w:tcW w:w="2322" w:type="dxa"/>
          </w:tcPr>
          <w:p w:rsidR="00AC0832" w:rsidRDefault="00AC0832">
            <w:pPr>
              <w:pStyle w:val="CellColumn"/>
            </w:pPr>
            <w:r>
              <w:t>457.938</w:t>
            </w:r>
          </w:p>
        </w:tc>
        <w:tc>
          <w:tcPr>
            <w:tcW w:w="2322" w:type="dxa"/>
          </w:tcPr>
          <w:p w:rsidR="00AC0832" w:rsidRDefault="00AC0832">
            <w:pPr>
              <w:pStyle w:val="CellColumn"/>
            </w:pPr>
            <w:r>
              <w:t>409.882</w:t>
            </w:r>
          </w:p>
        </w:tc>
        <w:tc>
          <w:tcPr>
            <w:tcW w:w="2322" w:type="dxa"/>
          </w:tcPr>
          <w:p w:rsidR="00AC0832" w:rsidRDefault="00AC0832">
            <w:pPr>
              <w:pStyle w:val="CellColumn"/>
            </w:pPr>
            <w:r>
              <w:t>89,5</w:t>
            </w:r>
          </w:p>
        </w:tc>
      </w:tr>
    </w:tbl>
    <w:p w:rsidR="00AC0832" w:rsidRDefault="00AC0832">
      <w:pPr>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Provedba projekta je usmjerena na unaprijeđenje kapaciteta za donošenje odluka ključnih dionika u Republici Hrvatskoj odgovornih za upravljanje programima financiranim iz sredstava EU. Projekt je završen u ožujku 2012. godine s posljednjim održanim de-briefing sastankom.</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0"/>
        <w:gridCol w:w="1306"/>
        <w:gridCol w:w="1194"/>
        <w:gridCol w:w="1232"/>
        <w:gridCol w:w="1232"/>
        <w:gridCol w:w="1232"/>
        <w:gridCol w:w="125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Uspostavljan funkcionalan sustav vanjskog vrednovanja za I. komponentuprogr. IPA</w:t>
            </w:r>
          </w:p>
        </w:tc>
        <w:tc>
          <w:tcPr>
            <w:tcW w:w="1300" w:type="dxa"/>
          </w:tcPr>
          <w:p w:rsidR="00AC0832" w:rsidRDefault="00AC0832">
            <w:pPr>
              <w:pStyle w:val="CellColumn"/>
            </w:pPr>
            <w:r>
              <w:t>Izrađen godišnji plan vanjskog vrednovanja</w:t>
            </w:r>
          </w:p>
        </w:tc>
        <w:tc>
          <w:tcPr>
            <w:tcW w:w="1300" w:type="dxa"/>
          </w:tcPr>
          <w:p w:rsidR="00AC0832" w:rsidRDefault="00AC0832">
            <w:pPr>
              <w:pStyle w:val="CellColumn"/>
            </w:pPr>
            <w:r>
              <w:t>broj</w:t>
            </w:r>
          </w:p>
        </w:tc>
        <w:tc>
          <w:tcPr>
            <w:tcW w:w="1300" w:type="dxa"/>
          </w:tcPr>
          <w:p w:rsidR="00AC0832" w:rsidRDefault="00AC0832">
            <w:pPr>
              <w:pStyle w:val="CellColumn"/>
            </w:pPr>
            <w:r>
              <w:t>1</w:t>
            </w:r>
          </w:p>
        </w:tc>
        <w:tc>
          <w:tcPr>
            <w:tcW w:w="1300" w:type="dxa"/>
          </w:tcPr>
          <w:p w:rsidR="00AC0832" w:rsidRDefault="00AC0832">
            <w:pPr>
              <w:pStyle w:val="CellColumn"/>
            </w:pPr>
            <w:r>
              <w:t>MRRFEU</w:t>
            </w:r>
          </w:p>
        </w:tc>
        <w:tc>
          <w:tcPr>
            <w:tcW w:w="1300" w:type="dxa"/>
          </w:tcPr>
          <w:p w:rsidR="00AC0832" w:rsidRDefault="00AC0832">
            <w:pPr>
              <w:pStyle w:val="CellColumn"/>
            </w:pPr>
            <w:r>
              <w:t>1</w:t>
            </w:r>
          </w:p>
        </w:tc>
        <w:tc>
          <w:tcPr>
            <w:tcW w:w="1300" w:type="dxa"/>
          </w:tcPr>
          <w:p w:rsidR="00AC0832" w:rsidRDefault="00AC0832">
            <w:pPr>
              <w:pStyle w:val="CellColumn"/>
            </w:pPr>
            <w:r>
              <w:t>1</w:t>
            </w:r>
          </w:p>
        </w:tc>
      </w:tr>
    </w:tbl>
    <w:p w:rsidR="00AC0832" w:rsidRDefault="00AC0832">
      <w:pPr>
        <w:jc w:val="left"/>
      </w:pPr>
    </w:p>
    <w:p w:rsidR="00AC0832" w:rsidRDefault="00AC0832">
      <w:pPr>
        <w:pStyle w:val="Heading5"/>
      </w:pPr>
      <w:r>
        <w:t>2901 POTICANJE REGIONALNE INFRASTRUKTURE I GOSPODARSTVA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2901-POTICANJE REGIONALNE INFRASTRUKTURE I GOSPODARSTVA</w:t>
            </w:r>
          </w:p>
        </w:tc>
        <w:tc>
          <w:tcPr>
            <w:tcW w:w="2322" w:type="dxa"/>
          </w:tcPr>
          <w:p w:rsidR="00AC0832" w:rsidRDefault="00AC0832">
            <w:pPr>
              <w:pStyle w:val="CellColumn"/>
            </w:pPr>
            <w:r>
              <w:t>350.586.227</w:t>
            </w:r>
          </w:p>
        </w:tc>
        <w:tc>
          <w:tcPr>
            <w:tcW w:w="2322" w:type="dxa"/>
          </w:tcPr>
          <w:p w:rsidR="00AC0832" w:rsidRDefault="00AC0832">
            <w:pPr>
              <w:pStyle w:val="CellColumn"/>
            </w:pPr>
            <w:r>
              <w:t>333.357.712</w:t>
            </w:r>
          </w:p>
        </w:tc>
        <w:tc>
          <w:tcPr>
            <w:tcW w:w="2322" w:type="dxa"/>
          </w:tcPr>
          <w:p w:rsidR="00AC0832" w:rsidRDefault="00AC0832">
            <w:pPr>
              <w:pStyle w:val="CellColumn"/>
            </w:pPr>
            <w:r>
              <w:t>95,1</w:t>
            </w:r>
          </w:p>
        </w:tc>
      </w:tr>
    </w:tbl>
    <w:p w:rsidR="00AC0832" w:rsidRDefault="00AC0832">
      <w:pPr>
        <w:jc w:val="left"/>
      </w:pPr>
    </w:p>
    <w:p w:rsidR="00AC0832" w:rsidRDefault="00AC0832">
      <w:pPr>
        <w:pStyle w:val="Heading6"/>
      </w:pPr>
      <w:r>
        <w:t>Opis programa</w:t>
      </w:r>
    </w:p>
    <w:p w:rsidR="00AC0832" w:rsidRDefault="00AC0832">
      <w:pPr>
        <w:pStyle w:val="Normal5"/>
      </w:pPr>
      <w:r>
        <w:t>Postojanje kvalitetne komunalne i socijalne infrastrukture te njeno učinkovito održavanje i upravljanje čine osnovne pretpostavke razvoja svih segmenata društveno-gospodarskog razvoja, podizanja kvalitete života te smanjivanja zaostajanja slabije razvijenih regija.Cilj ovog Programa je usmjeren na rješavanje identificiranih prioritetnih potreba usuglašenih između svih zainteresiranih strana koji se odnose na izgradnju, sanaciju, nadogradnju i opremanje objekata komunalne i socijalne infrastrukture, i kao takvih prepoznatih u strateškim planskim dokumentima na svim razinama, a u cilju smanjivanja zaostajanja slabije razvijenih regija. Najznačajnije aktivnosti u okviru ovog Programa su provedba projekata Integralni razvoj lokalne zajednice-EIB-II i Zajam za kopnenu infrastrukturu-EIB III, kojima se financira obnova, izgradnja, nadogradnja i rekonstrukcija komunalne i socijalne infrastrukture u JLS-ima, u prvom redu potprojekti iz područja vodoopskrbe i odvodnje, lokalnih cesta, školskih objekata i dječjih vrtića. Realizacijom višegodišnjih projekata u okviru Programa nastojao se smanjiti negativni trend razvoja pojedinih područja, poboljšanje kvalitete života, povećanje obrazovnog standarda stanovništva, stvaranje preduvjeta za gospodarski i društveni razvoj.</w:t>
      </w:r>
    </w:p>
    <w:p w:rsidR="00AC0832" w:rsidRDefault="00AC0832">
      <w:pPr>
        <w:pStyle w:val="Heading6"/>
      </w:pPr>
      <w:r>
        <w:t>Zakonske i druge pravne osnove</w:t>
      </w:r>
    </w:p>
    <w:p w:rsidR="00AC0832" w:rsidRDefault="00AC0832">
      <w:pPr>
        <w:pStyle w:val="Normal5"/>
      </w:pPr>
      <w:r>
        <w:t>Zakoni: Zajam br.22881 Okvirni višesektorski zajam za komunalnu infrastrukturu za projekt "Integralni razvoj lokalne zajednice" (NN/MU 7/05); Zakon o regionalnom razvoju Republike Hrvatske, Zakon o brdsko-planinskim područjima, Zakon o područjima posebne državne skrbi; Zajam br.31.806 Zajam za kopnenu infrastrukturu (Integralni razvoj lokalne zajednice) (NN/MU 15/11).</w:t>
      </w:r>
    </w:p>
    <w:p w:rsidR="00AC0832" w:rsidRDefault="00AC0832">
      <w:pPr>
        <w:pStyle w:val="Heading7"/>
      </w:pPr>
      <w:r>
        <w:t>Cilj 1. Razvijena komunalna i socijalna infrastruktura</w:t>
      </w:r>
    </w:p>
    <w:p w:rsidR="00AC0832" w:rsidRDefault="00AC0832">
      <w:pPr>
        <w:pStyle w:val="Heading8"/>
        <w:jc w:val="left"/>
      </w:pPr>
      <w:r>
        <w:t>Opis provedbe cilja programa</w:t>
      </w:r>
    </w:p>
    <w:p w:rsidR="00AC0832" w:rsidRDefault="00AC0832">
      <w:pPr>
        <w:pStyle w:val="Normal6"/>
      </w:pPr>
      <w:r>
        <w:t>Postojanje kvalitetne komunalne i socijalne infrastrukture te njeno učinkovito održavanje i upravljanje čine osnovne pretpostavke razvoja svih segmenata društveno-gospodarskog razvoja, podizanja kvalitete života te jačanja konkurentnosti određene regije. Potreba razvoja komunalne i socijalne infrastrukture prepoznata je među prioritetnim segmentima ulaganja u gotovo svim županijskim strateškim planskim dokumentima. Ista je potreba također prepoznata i uvrštena među prioritetna područja djelovanja pri definiranju razvojnih prioriteta u sve tri statističke regije Republike Hrvatske sukladno Strategiji regionalnog razvoja Republike Hrvatske. Stoga je ovaj cilj usmjeren na rješavanje identificiranih prioritetnih potreba usuglašenih između svih zainteresiranih strana koji se odnose na izgradnju, sanaciju, nadogradnju i/ili opremanjem objekata komunalne i socijalne infrastrukture, kao takvih prepoznatih u strateškim planskim dokumentima na svim razinama, a u cilju podizanja kvalitete života i jačanju konkurentnosti u svim područjima Republike Hrvatske.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0"/>
        <w:gridCol w:w="1606"/>
        <w:gridCol w:w="978"/>
        <w:gridCol w:w="1406"/>
        <w:gridCol w:w="1406"/>
        <w:gridCol w:w="1090"/>
        <w:gridCol w:w="115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indeksa razvijenostJLPS</w:t>
            </w:r>
          </w:p>
        </w:tc>
        <w:tc>
          <w:tcPr>
            <w:tcW w:w="1300" w:type="dxa"/>
          </w:tcPr>
          <w:p w:rsidR="00AC0832" w:rsidRDefault="00AC0832">
            <w:pPr>
              <w:pStyle w:val="CellColumn"/>
            </w:pPr>
            <w:r>
              <w:t xml:space="preserve">Udjel  JLPS u ukupnom broju JLPS s povećanjem indeksa razvijenosti u razdoblju 2010.-2013. </w:t>
            </w:r>
          </w:p>
          <w:p w:rsidR="00AC0832" w:rsidRDefault="00AC0832">
            <w:pPr>
              <w:pStyle w:val="CellColumn"/>
            </w:pPr>
            <w:r>
              <w:t>IR je kompozitni pokazatelj stupnja razvijenosti JPS koji uključuje 5 pokazatelja: dohodak po stanovniku, stopa nezaposlenosti, proračunski prihod JLPS, opće kretanje stanovništva i stopa obrazovanosti, temeljem kojeg se JLPS razvrstavaju  u skupine razvijenosti. Postupak mjerenja stupnja razvijenosti provodi se svake tri godine.</w:t>
            </w:r>
          </w:p>
        </w:tc>
        <w:tc>
          <w:tcPr>
            <w:tcW w:w="1300" w:type="dxa"/>
          </w:tcPr>
          <w:p w:rsidR="00AC0832" w:rsidRDefault="00AC0832">
            <w:pPr>
              <w:pStyle w:val="CellColumn"/>
            </w:pPr>
            <w:r>
              <w:t>%</w:t>
            </w:r>
          </w:p>
        </w:tc>
        <w:tc>
          <w:tcPr>
            <w:tcW w:w="1300" w:type="dxa"/>
          </w:tcPr>
          <w:p w:rsidR="00AC0832" w:rsidRDefault="00AC0832">
            <w:pPr>
              <w:pStyle w:val="CellColumn"/>
            </w:pPr>
            <w:r>
              <w:t>Odluka VRH-a o razvrstavanju JLPS prema indeksu razvijenosti u 2010. godini</w:t>
            </w:r>
          </w:p>
        </w:tc>
        <w:tc>
          <w:tcPr>
            <w:tcW w:w="1300" w:type="dxa"/>
          </w:tcPr>
          <w:p w:rsidR="00AC0832" w:rsidRDefault="00AC0832">
            <w:pPr>
              <w:pStyle w:val="CellColumn"/>
            </w:pPr>
            <w:r>
              <w:t>Odluka VRH-a o razvrstavanju JLPS prema indeksu razvijenosti u 2010. i 2013. godini</w:t>
            </w:r>
          </w:p>
        </w:tc>
        <w:tc>
          <w:tcPr>
            <w:tcW w:w="1300" w:type="dxa"/>
          </w:tcPr>
          <w:p w:rsidR="00AC0832" w:rsidRDefault="00AC0832">
            <w:pPr>
              <w:pStyle w:val="CellColumn"/>
            </w:pPr>
            <w:r>
              <w:t>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A758019 PRIPREMA I PROVEDBA EU PROJEKATA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A758019-PRIPREMA I PROVEDBA EU PROJEKATA</w:t>
            </w:r>
          </w:p>
        </w:tc>
        <w:tc>
          <w:tcPr>
            <w:tcW w:w="2322" w:type="dxa"/>
          </w:tcPr>
          <w:p w:rsidR="00AC0832" w:rsidRDefault="00AC0832">
            <w:pPr>
              <w:pStyle w:val="CellColumn"/>
            </w:pPr>
            <w:r>
              <w:t>10.000.000</w:t>
            </w:r>
          </w:p>
        </w:tc>
        <w:tc>
          <w:tcPr>
            <w:tcW w:w="2322" w:type="dxa"/>
          </w:tcPr>
          <w:p w:rsidR="00AC0832" w:rsidRDefault="00AC0832">
            <w:pPr>
              <w:pStyle w:val="CellColumn"/>
            </w:pPr>
            <w:r>
              <w:t>3.912.530</w:t>
            </w:r>
          </w:p>
        </w:tc>
        <w:tc>
          <w:tcPr>
            <w:tcW w:w="2322" w:type="dxa"/>
          </w:tcPr>
          <w:p w:rsidR="00AC0832" w:rsidRDefault="00AC0832">
            <w:pPr>
              <w:pStyle w:val="CellColumn"/>
            </w:pPr>
            <w:r>
              <w:t>39,1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Ova aktivnost obuhvaća pripremu i provedbu aktivnosti koje su usmjerene na stvaranje zalihe kvalitetnih projekata i jačanje apsorpcijskih kapaciteta regionalne i lokalne razine za korištenje EU sredstava. Aktivnosti su usmjerene na potporu razvojnim projektima jedinica lokalne i područne (regionalne) samouprave koji su prihvatljivi za prijavu na natječaje u okviru operativnih programa, koji se već provode, ili je njihova provedba planirana, a financiraju se iz fondova Europske unije ( u 2012. godini  kroz IPA program, a uskoro iz strukturnih fondova i Kohezijskog fonda Europske unije). Aktivnosti se provode kroz sljedeće potprograme: Priprema regionalnih razvojnih projekata, Modul I- Tehnička pomoć za pripremu projekata; Modul ll- Sufinanciranje izrade projektne dokumentacije;  Priprema lokalnih projekata na potpomognutim područjima; Sufinanciranje provedbe projekata financiranih iz fondova Europske unije; Priprema nacionalnih strateških projekata; Jačanje ljudskih potencijala na lokalnoj i područnoj (regionalnoj) razini za učinkovitu pripremu i korištenje fondova Europske unije.</w:t>
      </w:r>
    </w:p>
    <w:p w:rsidR="00AC0832" w:rsidRDefault="00AC0832">
      <w:pPr>
        <w:pStyle w:val="Heading6"/>
      </w:pPr>
      <w:r>
        <w:t>K820022 IPA III C OPERATIVNI PROGRAM ZA REGIONALNU KONKURENTNOST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K820022-IPA III C OPERATIVNI PROGRAM ZA REGIONALNU KONKURENTNOST</w:t>
            </w:r>
          </w:p>
        </w:tc>
        <w:tc>
          <w:tcPr>
            <w:tcW w:w="2322" w:type="dxa"/>
          </w:tcPr>
          <w:p w:rsidR="00AC0832" w:rsidRDefault="00AC0832">
            <w:pPr>
              <w:pStyle w:val="CellColumn"/>
            </w:pPr>
            <w:r>
              <w:t>71.391.434</w:t>
            </w:r>
          </w:p>
        </w:tc>
        <w:tc>
          <w:tcPr>
            <w:tcW w:w="2322" w:type="dxa"/>
          </w:tcPr>
          <w:p w:rsidR="00AC0832" w:rsidRDefault="00AC0832">
            <w:pPr>
              <w:pStyle w:val="CellColumn"/>
            </w:pPr>
            <w:r>
              <w:t>70.356.665</w:t>
            </w:r>
          </w:p>
        </w:tc>
        <w:tc>
          <w:tcPr>
            <w:tcW w:w="2322" w:type="dxa"/>
          </w:tcPr>
          <w:p w:rsidR="00AC0832" w:rsidRDefault="00AC0832">
            <w:pPr>
              <w:pStyle w:val="CellColumn"/>
            </w:pPr>
            <w:r>
              <w:t>98,6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Dodjela bespovratnih sredstava za poslovnu infrastrukturu financirala su se iz EU sredstava kroz IPA III C Operativni programa za regionalnu konkurentnost (OPRK), uz nacionalno sufinanciranje. Sredstva su bila namijenjena razvoju poslovne infrastrukture: poslovnih zona, poslovnih inkubatora te ostalih institucija i usluga koje podupiru razvoj malog i srednjeg poduzetništva te razvoj i unapređenje javne turističke infrastrukture, posebice u području zdravstvenog, kulturnog i aktivnog turizma. U okviru prvog prioriteta IPA IIIC OPRK 2007.-2011., u 2009. godini raspisan je prvi poziv, a u 2010. drugi poziv za dodjelu bespovratnih sredstava za financiranje poslovne infrastrukture. Krajem 2010. godine ugovoreno je 6 projekata iz prvog poziva, a do kraja 2012. godine sklopljeno je 19 ugovora iz drugog poziva. Završetak provedbe projekata iz prvog poziva predviđen je za 2013. godinu, a završetak projekata iz drugog poziva očekuje se u prvoj polovici 2014. godine. Iako je objava trećeg poziva planirana u 2012. godini, ista je realizirana u prvom kvartalu 2013. godine. </w:t>
      </w:r>
    </w:p>
    <w:p w:rsidR="00AC0832" w:rsidRDefault="00AC0832">
      <w:pPr>
        <w:pStyle w:val="Normal6"/>
      </w:pPr>
      <w:r>
        <w:t>Kašnjenja u ugovaranju projekata iz prvog poziva za dodjelu nepovratnih  sredstava osiguranih za provedbu 1. prioriteta IPA IIIC OPRK razlog je zašto u 2012. godini nije ostvarena ciljana vrijednost broja i financijske vrijednosti uspješno provedenih ugovorenih projekata izgradnje poslovne infrastrukture.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384"/>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i financijska vrijednost objavljenih poziva za dodjelu bespovratnih sredstava</w:t>
            </w:r>
          </w:p>
        </w:tc>
        <w:tc>
          <w:tcPr>
            <w:tcW w:w="1300" w:type="dxa"/>
          </w:tcPr>
          <w:p w:rsidR="00AC0832" w:rsidRDefault="00AC0832">
            <w:pPr>
              <w:pStyle w:val="CellColumn"/>
            </w:pPr>
            <w:r>
              <w:t>Broj i financijska vrijednost raspisanih natječaja za dodjelu bespovratnih sredstava (kumulativ)</w:t>
            </w:r>
          </w:p>
        </w:tc>
        <w:tc>
          <w:tcPr>
            <w:tcW w:w="1300" w:type="dxa"/>
          </w:tcPr>
          <w:p w:rsidR="00AC0832" w:rsidRDefault="00AC0832">
            <w:pPr>
              <w:pStyle w:val="CellColumn"/>
            </w:pPr>
            <w:r>
              <w:t xml:space="preserve">broj </w:t>
            </w:r>
          </w:p>
          <w:p w:rsidR="00AC0832" w:rsidRDefault="00AC0832">
            <w:pPr>
              <w:pStyle w:val="CellColumn"/>
            </w:pPr>
            <w:r>
              <w:t>EUR</w:t>
            </w:r>
          </w:p>
        </w:tc>
        <w:tc>
          <w:tcPr>
            <w:tcW w:w="1300" w:type="dxa"/>
          </w:tcPr>
          <w:p w:rsidR="00AC0832" w:rsidRDefault="00AC0832">
            <w:pPr>
              <w:pStyle w:val="CellColumn"/>
            </w:pPr>
            <w:r>
              <w:t xml:space="preserve">2 natječaja </w:t>
            </w:r>
          </w:p>
          <w:p w:rsidR="00AC0832" w:rsidRDefault="00AC0832">
            <w:pPr>
              <w:pStyle w:val="CellColumn"/>
            </w:pPr>
            <w:r>
              <w:t>19 mil Eur</w:t>
            </w:r>
          </w:p>
        </w:tc>
        <w:tc>
          <w:tcPr>
            <w:tcW w:w="1300" w:type="dxa"/>
          </w:tcPr>
          <w:p w:rsidR="00AC0832" w:rsidRDefault="00AC0832">
            <w:pPr>
              <w:pStyle w:val="CellColumn"/>
            </w:pPr>
            <w:r>
              <w:t>Ugovorno tijelo 1. prioriteta IPA III C OPRK</w:t>
            </w:r>
          </w:p>
        </w:tc>
        <w:tc>
          <w:tcPr>
            <w:tcW w:w="1300" w:type="dxa"/>
          </w:tcPr>
          <w:p w:rsidR="00AC0832" w:rsidRDefault="00AC0832">
            <w:pPr>
              <w:pStyle w:val="CellColumn"/>
            </w:pPr>
            <w:r>
              <w:t xml:space="preserve">3 natječaja </w:t>
            </w:r>
          </w:p>
          <w:p w:rsidR="00AC0832" w:rsidRDefault="00AC0832">
            <w:pPr>
              <w:pStyle w:val="CellColumn"/>
            </w:pPr>
            <w:r>
              <w:t>27 mil Eur</w:t>
            </w:r>
          </w:p>
        </w:tc>
        <w:tc>
          <w:tcPr>
            <w:tcW w:w="1300" w:type="dxa"/>
          </w:tcPr>
          <w:p w:rsidR="00AC0832" w:rsidRDefault="00AC0832">
            <w:pPr>
              <w:pStyle w:val="CellColumn"/>
            </w:pPr>
            <w:r>
              <w:t>2 natječaja 19 mil Eur</w:t>
            </w:r>
          </w:p>
        </w:tc>
      </w:tr>
      <w:tr w:rsidR="00AC0832" w:rsidTr="00BE20ED">
        <w:trPr>
          <w:jc w:val="center"/>
        </w:trPr>
        <w:tc>
          <w:tcPr>
            <w:tcW w:w="1300" w:type="dxa"/>
          </w:tcPr>
          <w:p w:rsidR="00AC0832" w:rsidRDefault="00AC0832">
            <w:pPr>
              <w:pStyle w:val="CellColumn"/>
            </w:pPr>
            <w:r>
              <w:t>Broj i financijska vrijednost ugovorenih projekata izgradnje poslovne infrastrukture</w:t>
            </w:r>
          </w:p>
        </w:tc>
        <w:tc>
          <w:tcPr>
            <w:tcW w:w="1300" w:type="dxa"/>
          </w:tcPr>
          <w:p w:rsidR="00AC0832" w:rsidRDefault="00AC0832">
            <w:pPr>
              <w:pStyle w:val="CellColumn"/>
            </w:pPr>
            <w:r>
              <w:t>Broj i financijska vrijednost potpisanih grant ugovora (kumulativ)</w:t>
            </w:r>
          </w:p>
        </w:tc>
        <w:tc>
          <w:tcPr>
            <w:tcW w:w="1300" w:type="dxa"/>
          </w:tcPr>
          <w:p w:rsidR="00AC0832" w:rsidRDefault="00AC0832">
            <w:pPr>
              <w:pStyle w:val="CellColumn"/>
            </w:pPr>
            <w:r>
              <w:t xml:space="preserve">broj </w:t>
            </w:r>
          </w:p>
          <w:p w:rsidR="00AC0832" w:rsidRDefault="00AC0832">
            <w:pPr>
              <w:pStyle w:val="CellColumn"/>
            </w:pPr>
            <w:r>
              <w:t>EUR</w:t>
            </w:r>
          </w:p>
        </w:tc>
        <w:tc>
          <w:tcPr>
            <w:tcW w:w="1300" w:type="dxa"/>
          </w:tcPr>
          <w:p w:rsidR="00AC0832" w:rsidRDefault="00AC0832">
            <w:pPr>
              <w:pStyle w:val="CellColumn"/>
            </w:pPr>
            <w:r>
              <w:t xml:space="preserve">6 ugovora </w:t>
            </w:r>
          </w:p>
          <w:p w:rsidR="00AC0832" w:rsidRDefault="00AC0832">
            <w:pPr>
              <w:pStyle w:val="CellColumn"/>
            </w:pPr>
            <w:r>
              <w:t>5 mil Eur</w:t>
            </w:r>
          </w:p>
        </w:tc>
        <w:tc>
          <w:tcPr>
            <w:tcW w:w="1300" w:type="dxa"/>
          </w:tcPr>
          <w:p w:rsidR="00AC0832" w:rsidRDefault="00AC0832">
            <w:pPr>
              <w:pStyle w:val="CellColumn"/>
            </w:pPr>
            <w:r>
              <w:t>Ugovorno tijelo 1. prioriteta IPA III C OPRK</w:t>
            </w:r>
          </w:p>
        </w:tc>
        <w:tc>
          <w:tcPr>
            <w:tcW w:w="1300" w:type="dxa"/>
          </w:tcPr>
          <w:p w:rsidR="00AC0832" w:rsidRDefault="00AC0832">
            <w:pPr>
              <w:pStyle w:val="CellColumn"/>
            </w:pPr>
            <w:r>
              <w:t xml:space="preserve">24 ugovora </w:t>
            </w:r>
          </w:p>
          <w:p w:rsidR="00AC0832" w:rsidRDefault="00AC0832">
            <w:pPr>
              <w:pStyle w:val="CellColumn"/>
            </w:pPr>
            <w:r>
              <w:t>25 mil Eur</w:t>
            </w:r>
          </w:p>
        </w:tc>
        <w:tc>
          <w:tcPr>
            <w:tcW w:w="1300" w:type="dxa"/>
          </w:tcPr>
          <w:p w:rsidR="00AC0832" w:rsidRDefault="00AC0832">
            <w:pPr>
              <w:pStyle w:val="CellColumn"/>
            </w:pPr>
            <w:r>
              <w:t>25 ugovora 26 mil Eur</w:t>
            </w:r>
          </w:p>
        </w:tc>
      </w:tr>
      <w:tr w:rsidR="00AC0832" w:rsidTr="00BE20ED">
        <w:trPr>
          <w:jc w:val="center"/>
        </w:trPr>
        <w:tc>
          <w:tcPr>
            <w:tcW w:w="1300" w:type="dxa"/>
          </w:tcPr>
          <w:p w:rsidR="00AC0832" w:rsidRDefault="00AC0832">
            <w:pPr>
              <w:pStyle w:val="CellColumn"/>
            </w:pPr>
            <w:r>
              <w:t>Broj i financijska vrijednost uspješno provedenih ugovorenih projekata izgradnje poslovne infrastrukture</w:t>
            </w:r>
          </w:p>
        </w:tc>
        <w:tc>
          <w:tcPr>
            <w:tcW w:w="1300" w:type="dxa"/>
          </w:tcPr>
          <w:p w:rsidR="00AC0832" w:rsidRDefault="00AC0832">
            <w:pPr>
              <w:pStyle w:val="CellColumn"/>
            </w:pPr>
            <w:r>
              <w:t xml:space="preserve">Broj i financijska vrijednost uspješno provedenih ugovorenih projekata izgradnje poslovne infrastrukture prema odobrenim finalnim izvješćima </w:t>
            </w:r>
          </w:p>
          <w:p w:rsidR="00AC0832" w:rsidRDefault="00AC0832">
            <w:pPr>
              <w:pStyle w:val="CellColumn"/>
            </w:pPr>
            <w:r>
              <w:t>(kumulativ)</w:t>
            </w:r>
          </w:p>
        </w:tc>
        <w:tc>
          <w:tcPr>
            <w:tcW w:w="1300" w:type="dxa"/>
          </w:tcPr>
          <w:p w:rsidR="00AC0832" w:rsidRDefault="00AC0832">
            <w:pPr>
              <w:pStyle w:val="CellColumn"/>
            </w:pPr>
            <w:r>
              <w:t xml:space="preserve">broj </w:t>
            </w:r>
          </w:p>
          <w:p w:rsidR="00AC0832" w:rsidRDefault="00AC0832">
            <w:pPr>
              <w:pStyle w:val="CellColumn"/>
            </w:pPr>
            <w:r>
              <w:t>EUR</w:t>
            </w:r>
          </w:p>
        </w:tc>
        <w:tc>
          <w:tcPr>
            <w:tcW w:w="1300" w:type="dxa"/>
          </w:tcPr>
          <w:p w:rsidR="00AC0832" w:rsidRDefault="00AC0832">
            <w:pPr>
              <w:pStyle w:val="CellColumn"/>
            </w:pPr>
            <w:r>
              <w:t>0</w:t>
            </w:r>
          </w:p>
        </w:tc>
        <w:tc>
          <w:tcPr>
            <w:tcW w:w="1300" w:type="dxa"/>
          </w:tcPr>
          <w:p w:rsidR="00AC0832" w:rsidRDefault="00AC0832">
            <w:pPr>
              <w:pStyle w:val="CellColumn"/>
            </w:pPr>
            <w:r>
              <w:t xml:space="preserve">Ugovorno tijelo 1. prioriteta IPA III C OPRK </w:t>
            </w:r>
          </w:p>
          <w:p w:rsidR="00AC0832" w:rsidRDefault="00AC0832">
            <w:pPr>
              <w:pStyle w:val="CellColumn"/>
            </w:pPr>
            <w:r>
              <w:t>- odobrena završna izvješća</w:t>
            </w:r>
          </w:p>
        </w:tc>
        <w:tc>
          <w:tcPr>
            <w:tcW w:w="1300" w:type="dxa"/>
          </w:tcPr>
          <w:p w:rsidR="00AC0832" w:rsidRDefault="00AC0832">
            <w:pPr>
              <w:pStyle w:val="CellColumn"/>
            </w:pPr>
            <w:r>
              <w:t xml:space="preserve">6 ugovora </w:t>
            </w:r>
          </w:p>
          <w:p w:rsidR="00AC0832" w:rsidRDefault="00AC0832">
            <w:pPr>
              <w:pStyle w:val="CellColumn"/>
            </w:pPr>
            <w:r>
              <w:t>5 mil Eur</w:t>
            </w:r>
          </w:p>
        </w:tc>
        <w:tc>
          <w:tcPr>
            <w:tcW w:w="1300" w:type="dxa"/>
          </w:tcPr>
          <w:p w:rsidR="00AC0832" w:rsidRDefault="00AC0832">
            <w:pPr>
              <w:pStyle w:val="CellColumn"/>
            </w:pPr>
            <w:r>
              <w:t>1 ugovor 767.048 Eur</w:t>
            </w:r>
          </w:p>
        </w:tc>
      </w:tr>
    </w:tbl>
    <w:p w:rsidR="00AC0832" w:rsidRDefault="00AC0832">
      <w:pPr>
        <w:jc w:val="left"/>
      </w:pPr>
    </w:p>
    <w:p w:rsidR="00AC0832" w:rsidRDefault="00AC0832">
      <w:pPr>
        <w:jc w:val="left"/>
      </w:pPr>
    </w:p>
    <w:p w:rsidR="00AC0832" w:rsidRDefault="00AC0832">
      <w:pPr>
        <w:jc w:val="left"/>
      </w:pPr>
    </w:p>
    <w:p w:rsidR="00AC0832" w:rsidRDefault="00AC0832">
      <w:pPr>
        <w:pStyle w:val="Heading6"/>
      </w:pPr>
      <w:r>
        <w:t>T570346 PROGRAM INTEGRALNOG RAZVOJA LOKALNE ZAJEDNICE (EIB)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T570346-PROGRAM INTEGRALNOG RAZVOJA LOKALNE ZAJEDNICE (EIB)</w:t>
            </w:r>
          </w:p>
        </w:tc>
        <w:tc>
          <w:tcPr>
            <w:tcW w:w="2322" w:type="dxa"/>
          </w:tcPr>
          <w:p w:rsidR="00AC0832" w:rsidRDefault="00AC0832">
            <w:pPr>
              <w:pStyle w:val="CellColumn"/>
            </w:pPr>
            <w:r>
              <w:t>188.000.000</w:t>
            </w:r>
          </w:p>
        </w:tc>
        <w:tc>
          <w:tcPr>
            <w:tcW w:w="2322" w:type="dxa"/>
          </w:tcPr>
          <w:p w:rsidR="00AC0832" w:rsidRDefault="00AC0832">
            <w:pPr>
              <w:pStyle w:val="CellColumn"/>
            </w:pPr>
            <w:r>
              <w:t>185.796.991</w:t>
            </w:r>
          </w:p>
        </w:tc>
        <w:tc>
          <w:tcPr>
            <w:tcW w:w="2322" w:type="dxa"/>
          </w:tcPr>
          <w:p w:rsidR="00AC0832" w:rsidRDefault="00AC0832">
            <w:pPr>
              <w:pStyle w:val="CellColumn"/>
            </w:pPr>
            <w:r>
              <w:t>98,8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Projekt EIB II provodi se od 2005. godine, te se njime financira obnova, izgradnja, nadogradnja i rekonstrukcija komunalne i socijalne infrastrukture u JLS-ima, u prvom redu potprojekata iz područja vodoopskrbe i odvodnje, lokalnih cesta, školskih objekata i dječjih vrtića. Cilj  je povećati kvalitetu i dostupnost komunalnih usluga, obrazovnog standarda, zdravstvene zaštite, skrbi o posebno ranjivim skupinama (djeca, stariji), smanjiti neuravnoteženost u razvoju pojedinih područja i stvoriti preduvjete za održivi gospodarski i društveni razvoj. U realizaciji ovog Programa sudjeluje i 293 jedinica lokalne samouprave sa područja cijele Republike Hrvatske, a sam portfelj potprojekata čini 566 potprojekata. Potprojekti se realiziraju kroz dvije osnovne komponente: komunalnu i socijalnu. U komponenti komunalne infrastrukture prioriteti se daju objektima lokalnih i nerazvrstanih cesta, objektima vodoopskrbe i odvodnje, nogostupima i javnoj rasvjeti. Cilj realizacije potprojekata komunalne infrastrukture je prije svega unaprijediti život na području pojedinih naselja te stvoriti preduvjete za gospodarski i društveni razvoj. Izgradnja i sanacija komunalne infrastrukture omogućava brži i jednostavniji protok ljudi, roba i usluga, povećava stupanj sigurnosti svih sudionika u prometu, povećava nivo komunalnih usluga i broj komunalnih priključaka, bolju iskorištenost prirodnih resursa uz očuvanje prirodnog okoliša. Komponenta komunalne infrastrukture sadrži 389 potprojekata. Komponenta socijalne infrastrukture obuhvaća školske objekte (škole, školsko-špotrske dvorane, đački domovi), dječje vrtiće i jaslice, objekte javne namjene, kao što su domovi zdravlja i ambulante, domovi za starije i nemoćne te ostale objekte javne namjene koji pridonose jačanju socijalne kohezije (domovi kulture, knjižnice). Realizacija potprojekata iz socijalne infrastrukture podići će obrazovni standard, povećati skrb o djeci i starijima, a prije svega unaprijediti i poboljšati način života lokalnog stanovništva. Komponenta socijalne infrastrukture sadrži 177 potprojekata.Za realizaciju ove aktivnosti koristila su se dostupna sredstva iz domaćih izvora (državni proračun i proračuni JLS) i sredstva zajma EIB-a. U 2012. godini nastavilo se s realizacijom ranije započetog Projekta te je tako do kraja iste završen ukupno 401 potprojekt od čega 292 objekta komunalne i 109 objekata socijalne infrastrukture. Tijekom 2012. godine završeni su radovi na 71 objektu (58 objekata komunalne i 13 objekata socijalne infrastrukture) ukupne vrijednosti 213,0 milijuna kuna sa PDV-om. Na 86 potprojekata radovi su u tijeku, a čiji se završetak očekuje u 2013. godini.</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8"/>
        <w:gridCol w:w="1428"/>
        <w:gridCol w:w="1251"/>
        <w:gridCol w:w="1268"/>
        <w:gridCol w:w="1268"/>
        <w:gridCol w:w="1268"/>
        <w:gridCol w:w="127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izgrađenih objekata komunalne infrastrukture  (kilometri saniranih i moderniziranih cesta, kilometri izgrađene vodovodne i kanalizacijske mreže i broj novih priključaka)</w:t>
            </w:r>
          </w:p>
        </w:tc>
        <w:tc>
          <w:tcPr>
            <w:tcW w:w="1300" w:type="dxa"/>
          </w:tcPr>
          <w:p w:rsidR="00AC0832" w:rsidRDefault="00AC0832">
            <w:pPr>
              <w:pStyle w:val="CellColumn"/>
            </w:pPr>
            <w:r>
              <w:t>Izgrađeni objekti komunalne infrastrukture (prometnice,  vodovodi i kanalizacijski sustavi) pridonijeti će boljoj prometnoj povezanosti, sigurnosti prometa, većoj iskoristivosti prirodnih resursa, zaštiti okoliša i podizanju nivoa komunalnih usluga.</w:t>
            </w:r>
          </w:p>
        </w:tc>
        <w:tc>
          <w:tcPr>
            <w:tcW w:w="1300" w:type="dxa"/>
          </w:tcPr>
          <w:p w:rsidR="00AC0832" w:rsidRDefault="00AC0832">
            <w:pPr>
              <w:pStyle w:val="CellColumn"/>
            </w:pPr>
            <w:r>
              <w:t>broj</w:t>
            </w:r>
          </w:p>
        </w:tc>
        <w:tc>
          <w:tcPr>
            <w:tcW w:w="1300" w:type="dxa"/>
          </w:tcPr>
          <w:p w:rsidR="00AC0832" w:rsidRDefault="00AC0832">
            <w:pPr>
              <w:pStyle w:val="CellColumn"/>
            </w:pPr>
            <w:r>
              <w:t>220</w:t>
            </w:r>
          </w:p>
        </w:tc>
        <w:tc>
          <w:tcPr>
            <w:tcW w:w="1300" w:type="dxa"/>
          </w:tcPr>
          <w:p w:rsidR="00AC0832" w:rsidRDefault="00AC0832">
            <w:pPr>
              <w:pStyle w:val="CellColumn"/>
            </w:pPr>
            <w:r>
              <w:t>Državni proračun MRRFEU</w:t>
            </w:r>
          </w:p>
        </w:tc>
        <w:tc>
          <w:tcPr>
            <w:tcW w:w="1300" w:type="dxa"/>
          </w:tcPr>
          <w:p w:rsidR="00AC0832" w:rsidRDefault="00AC0832">
            <w:pPr>
              <w:pStyle w:val="CellColumn"/>
            </w:pPr>
            <w:r>
              <w:t>335</w:t>
            </w:r>
          </w:p>
        </w:tc>
        <w:tc>
          <w:tcPr>
            <w:tcW w:w="1300" w:type="dxa"/>
          </w:tcPr>
          <w:p w:rsidR="00AC0832" w:rsidRDefault="00AC0832">
            <w:pPr>
              <w:pStyle w:val="CellColumn"/>
            </w:pPr>
            <w:r>
              <w:t>292</w:t>
            </w:r>
          </w:p>
        </w:tc>
      </w:tr>
      <w:tr w:rsidR="00AC0832" w:rsidTr="00BE20ED">
        <w:trPr>
          <w:jc w:val="center"/>
        </w:trPr>
        <w:tc>
          <w:tcPr>
            <w:tcW w:w="1300" w:type="dxa"/>
          </w:tcPr>
          <w:p w:rsidR="00AC0832" w:rsidRDefault="00AC0832">
            <w:pPr>
              <w:pStyle w:val="CellColumn"/>
            </w:pPr>
            <w:r>
              <w:t>Povećanje broja izgrađenih objekata socijalne infrastrukture (broj izgrađenih školskih objekata, broj izgrađenih dječjih vrtića, broj izgrađenih ostalih objekata javne namjene)</w:t>
            </w:r>
          </w:p>
        </w:tc>
        <w:tc>
          <w:tcPr>
            <w:tcW w:w="1300" w:type="dxa"/>
          </w:tcPr>
          <w:p w:rsidR="00AC0832" w:rsidRDefault="00AC0832">
            <w:pPr>
              <w:pStyle w:val="CellColumn"/>
            </w:pPr>
            <w:r>
              <w:t>Izgrađeni objekti socijalne infrastrukture (dječji vrtići, školski objekti i ostali objekti javne namjene) pridonijeti će povećanoj skrbi o djeci, podizanju nivoa obrazovnih standarda, povećanje broja aktivnosti izvan nastavnog programa, povećanju skrbi o starijim i invalidima, povećanje zapošljavanja žena.</w:t>
            </w:r>
          </w:p>
        </w:tc>
        <w:tc>
          <w:tcPr>
            <w:tcW w:w="1300" w:type="dxa"/>
          </w:tcPr>
          <w:p w:rsidR="00AC0832" w:rsidRDefault="00AC0832">
            <w:pPr>
              <w:pStyle w:val="CellColumn"/>
            </w:pPr>
            <w:r>
              <w:t>broj</w:t>
            </w:r>
          </w:p>
        </w:tc>
        <w:tc>
          <w:tcPr>
            <w:tcW w:w="1300" w:type="dxa"/>
          </w:tcPr>
          <w:p w:rsidR="00AC0832" w:rsidRDefault="00AC0832">
            <w:pPr>
              <w:pStyle w:val="CellColumn"/>
            </w:pPr>
            <w:r>
              <w:t>106</w:t>
            </w:r>
          </w:p>
        </w:tc>
        <w:tc>
          <w:tcPr>
            <w:tcW w:w="1300" w:type="dxa"/>
          </w:tcPr>
          <w:p w:rsidR="00AC0832" w:rsidRDefault="00AC0832">
            <w:pPr>
              <w:pStyle w:val="CellColumn"/>
            </w:pPr>
            <w:r>
              <w:t>Državi proračun MRRFEU</w:t>
            </w:r>
          </w:p>
        </w:tc>
        <w:tc>
          <w:tcPr>
            <w:tcW w:w="1300" w:type="dxa"/>
          </w:tcPr>
          <w:p w:rsidR="00AC0832" w:rsidRDefault="00AC0832">
            <w:pPr>
              <w:pStyle w:val="CellColumn"/>
            </w:pPr>
            <w:r>
              <w:t>149</w:t>
            </w:r>
          </w:p>
        </w:tc>
        <w:tc>
          <w:tcPr>
            <w:tcW w:w="1300" w:type="dxa"/>
          </w:tcPr>
          <w:p w:rsidR="00AC0832" w:rsidRDefault="00AC0832">
            <w:pPr>
              <w:pStyle w:val="CellColumn"/>
            </w:pPr>
            <w:r>
              <w:t>109</w:t>
            </w:r>
          </w:p>
        </w:tc>
      </w:tr>
    </w:tbl>
    <w:p w:rsidR="00AC0832" w:rsidRDefault="00AC0832">
      <w:pPr>
        <w:jc w:val="left"/>
      </w:pPr>
    </w:p>
    <w:p w:rsidR="00AC0832" w:rsidRDefault="00AC0832">
      <w:pPr>
        <w:pStyle w:val="Heading5"/>
      </w:pPr>
      <w:r>
        <w:t>2902 RAZVOJ POTPOMOGNUTIH PODRUČJA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2902-RAZVOJ POTPOMOGNUTIH PODRUČJA</w:t>
            </w:r>
          </w:p>
        </w:tc>
        <w:tc>
          <w:tcPr>
            <w:tcW w:w="2322" w:type="dxa"/>
          </w:tcPr>
          <w:p w:rsidR="00AC0832" w:rsidRDefault="00AC0832">
            <w:pPr>
              <w:pStyle w:val="CellColumn"/>
            </w:pPr>
            <w:r>
              <w:t>85.000.000</w:t>
            </w:r>
          </w:p>
        </w:tc>
        <w:tc>
          <w:tcPr>
            <w:tcW w:w="2322" w:type="dxa"/>
          </w:tcPr>
          <w:p w:rsidR="00AC0832" w:rsidRDefault="00AC0832">
            <w:pPr>
              <w:pStyle w:val="CellColumn"/>
            </w:pPr>
            <w:r>
              <w:t>81.387.340</w:t>
            </w:r>
          </w:p>
        </w:tc>
        <w:tc>
          <w:tcPr>
            <w:tcW w:w="2322" w:type="dxa"/>
          </w:tcPr>
          <w:p w:rsidR="00AC0832" w:rsidRDefault="00AC0832">
            <w:pPr>
              <w:pStyle w:val="CellColumn"/>
            </w:pPr>
            <w:r>
              <w:t>95,7</w:t>
            </w:r>
          </w:p>
        </w:tc>
      </w:tr>
    </w:tbl>
    <w:p w:rsidR="00AC0832" w:rsidRDefault="00AC0832">
      <w:pPr>
        <w:jc w:val="left"/>
      </w:pPr>
    </w:p>
    <w:p w:rsidR="00AC0832" w:rsidRDefault="00AC0832">
      <w:pPr>
        <w:pStyle w:val="Heading6"/>
      </w:pPr>
      <w:r>
        <w:t>Opis programa</w:t>
      </w:r>
    </w:p>
    <w:p w:rsidR="00AC0832" w:rsidRDefault="00AC0832">
      <w:pPr>
        <w:pStyle w:val="Normal5"/>
      </w:pPr>
      <w:r>
        <w:t>Ovim programom obnove omogućuje se povratak prijeratnog stanovništva u ratom stradala područja, dok se programima i mjerama stambenog zbrinjavanja, pored povratka prijeratnog stanovništva omogućuje kvalitetno i trajno stambeno zbrinjavanje korisnika koji nemaju adekvatno i kvalitetno osiguran i riješen stambeni prostor.Ulaganjima u aktivnosti sanacije, nadogradnje i izgradnje objekata osnovne komunalne i socijalne infrastrukture, cilj je osigurati povratak, ostanak i naseljavanje potpomognutih područja, podići razinu dostupnosti potrebnih roba i usluga, te standarda i kvalitete življenja, smanjiti razlike u razvoju pojedinih područja, kao i stvaranje preduvjeta u oporavku i razvitku gospodarstva.U istom cilju Republika Hrvatska, kroz niz mjera potiče demografski i gospodarski napredak tih područja: obnovom, stambenim zbrinjavanjem, poreznim povlasticama te poticajnim mjerama u sustavu odgoja i obrazovanja i ostalim mjerama koje mogu doprinijeti postavljenom cilju.</w:t>
      </w:r>
    </w:p>
    <w:p w:rsidR="00AC0832" w:rsidRDefault="00AC0832">
      <w:pPr>
        <w:pStyle w:val="Heading6"/>
      </w:pPr>
      <w:r>
        <w:t>Zakonske i druge pravne osnove</w:t>
      </w:r>
    </w:p>
    <w:p w:rsidR="00AC0832" w:rsidRDefault="00AC0832">
      <w:pPr>
        <w:pStyle w:val="Normal5"/>
      </w:pPr>
      <w:r>
        <w:t>Zakon o obnovi i Revidirani akcijski plan - Podmjerilo 8.2.3. (Donošen Zaključkom Vlade RH na sjednici 24. lipnja 2010.g.)</w:t>
      </w:r>
    </w:p>
    <w:p w:rsidR="00AC0832" w:rsidRDefault="00AC0832">
      <w:pPr>
        <w:pStyle w:val="Heading7"/>
      </w:pPr>
      <w:r>
        <w:t>Cilj 1. Obnova ratom stradalih područja</w:t>
      </w:r>
    </w:p>
    <w:p w:rsidR="00AC0832" w:rsidRDefault="00AC0832">
      <w:pPr>
        <w:pStyle w:val="Heading8"/>
        <w:jc w:val="left"/>
      </w:pPr>
      <w:r>
        <w:t>Opis provedbe cilja programa</w:t>
      </w:r>
    </w:p>
    <w:p w:rsidR="00AC0832" w:rsidRDefault="00AC0832">
      <w:pPr>
        <w:pStyle w:val="Normal6"/>
      </w:pPr>
      <w:r>
        <w:t>Cilj obnove ratom stradalih područja je bio usmjeren prema obnovi materijalnih dobara koja su oštećena ili uništena u Republici Hrvatskoj od početka ratnih operacija, pa tijekom Domovinskog rata, do završetka mirne reintegracije, da se ista dovedu u stanje prikladno za život, boravak i korištenje.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8"/>
        <w:gridCol w:w="1300"/>
        <w:gridCol w:w="1290"/>
        <w:gridCol w:w="1406"/>
        <w:gridCol w:w="1406"/>
        <w:gridCol w:w="1293"/>
        <w:gridCol w:w="129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indeksa razvijenosti JLS na ratom stradalim područjima</w:t>
            </w:r>
          </w:p>
        </w:tc>
        <w:tc>
          <w:tcPr>
            <w:tcW w:w="1300" w:type="dxa"/>
          </w:tcPr>
          <w:p w:rsidR="00AC0832" w:rsidRDefault="00AC0832">
            <w:pPr>
              <w:pStyle w:val="CellColumn"/>
            </w:pPr>
            <w:r>
              <w:t>Udjel JLS u ukupnom broju JLS na ratom stradalim područjima s povećanjem indeksa razvijenosti u razdoblju 2010.-2013.</w:t>
            </w:r>
          </w:p>
        </w:tc>
        <w:tc>
          <w:tcPr>
            <w:tcW w:w="1300" w:type="dxa"/>
          </w:tcPr>
          <w:p w:rsidR="00AC0832" w:rsidRDefault="00AC0832">
            <w:pPr>
              <w:pStyle w:val="CellColumn"/>
            </w:pPr>
            <w:r>
              <w:t>%</w:t>
            </w:r>
          </w:p>
        </w:tc>
        <w:tc>
          <w:tcPr>
            <w:tcW w:w="1300" w:type="dxa"/>
          </w:tcPr>
          <w:p w:rsidR="00AC0832" w:rsidRDefault="00AC0832">
            <w:pPr>
              <w:pStyle w:val="CellColumn"/>
            </w:pPr>
            <w:r>
              <w:t>Odluka VRH-a o razvrstavanju JLPS prema indeksu razvijenosti u 2010. godini</w:t>
            </w:r>
          </w:p>
        </w:tc>
        <w:tc>
          <w:tcPr>
            <w:tcW w:w="1300" w:type="dxa"/>
          </w:tcPr>
          <w:p w:rsidR="00AC0832" w:rsidRDefault="00AC0832">
            <w:pPr>
              <w:pStyle w:val="CellColumn"/>
            </w:pPr>
            <w:r>
              <w:t>Odluka o razvrstavanju JLPS prema indeksu razvijenosti</w:t>
            </w:r>
          </w:p>
        </w:tc>
        <w:tc>
          <w:tcPr>
            <w:tcW w:w="1300" w:type="dxa"/>
          </w:tcPr>
          <w:p w:rsidR="00AC0832" w:rsidRDefault="00AC0832">
            <w:pPr>
              <w:pStyle w:val="CellColumn"/>
            </w:pPr>
            <w:r>
              <w:t>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K549110 RAZVOJ POTPOMOGNUTIH PODRUČJA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K549110-RAZVOJ POTPOMOGNUTIH PODRUČJA</w:t>
            </w:r>
          </w:p>
        </w:tc>
        <w:tc>
          <w:tcPr>
            <w:tcW w:w="2322" w:type="dxa"/>
          </w:tcPr>
          <w:p w:rsidR="00AC0832" w:rsidRDefault="00AC0832">
            <w:pPr>
              <w:pStyle w:val="CellColumn"/>
            </w:pPr>
            <w:r>
              <w:t>45.000.000</w:t>
            </w:r>
          </w:p>
        </w:tc>
        <w:tc>
          <w:tcPr>
            <w:tcW w:w="2322" w:type="dxa"/>
          </w:tcPr>
          <w:p w:rsidR="00AC0832" w:rsidRDefault="00AC0832">
            <w:pPr>
              <w:pStyle w:val="CellColumn"/>
            </w:pPr>
            <w:r>
              <w:t>41.443.342</w:t>
            </w:r>
          </w:p>
        </w:tc>
        <w:tc>
          <w:tcPr>
            <w:tcW w:w="2322" w:type="dxa"/>
          </w:tcPr>
          <w:p w:rsidR="00AC0832" w:rsidRDefault="00AC0832">
            <w:pPr>
              <w:pStyle w:val="CellColumn"/>
            </w:pPr>
            <w:r>
              <w:t>92,1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Kada govorimo o razvoju potpomognutih područja podrazumijevamo sva područja koja zaostaju za prosjekom Republike Hrvatske u svome razvoju, a ne samo u užem smislu potpomognuta područja definirana Zakonom o regionalnom razvoju. Isto se tretira iz nekoliko razloga: aktivnosti koji su se provodile kroz Državni proračun ranijih godina te postoje prenesene obveze, Zakon o regionalnom razvoju, Zakon o područjima posebne državne skrbi, Zakon o obnovi i razvoju Grada Vukovara te Zakon o brdsko-planinskim područjima, kojima su dodatno definirana ova područja. Osigurana sredstva u Državnom proračunu za ovu aktivnost usmjerila su se na podmirenje preuzetih obveza iz ranijih godina po sklopljenim ugovorima ili sporazumima te na provedbu programa usmjeravanja i rasporeda sredstava za poticanje regionalne infrastrukture i gospodarstva te razvoj potpomognutih područja u 2012. godini. Navedenim programom su se na godišnjoj osnovi sufinancirali projekti kojima su nositelji jedinice regionalne i lokalne samouprave u području izgradnje, nadogradnje, sanacije, komunalne i socijalne infrastrukture, a za koje se ocijenilo da će pridonijeti znatnijem razvoju pojedinih područja i stvoriti preduvjete za održivi gospodarski i društveni razvoj te poboljšati standard i kvalitetu lokalnog stanovništva. Riječ je o projektima koji su premali da bi se financirali iz drugih izvora, a na tim područjima je radi ujednačavanja razvoja potrebna prisutnost Ministarstva, bilo zbog nedovoljnih financijskih ili organizacijskih kapaciteta same lokalne zajednice. U 2012. godini sufinancirano je 114 infrastrukturnih projekata JLPS-a i to: 52 projekta socijalne infrastrukture (škole, školski objekti, dječji vrtići i ostali objekti javne namjene); 39 projekata komunalne infrastrukture (prometnice, vodovodne mreže, javna rasvjeta); 23 projekta izrade prostorno-planske i projektno-tehničke dokumentacije.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1484"/>
        <w:gridCol w:w="1295"/>
        <w:gridCol w:w="1298"/>
        <w:gridCol w:w="1298"/>
        <w:gridCol w:w="1298"/>
        <w:gridCol w:w="129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Zadržavanje razine broja odabranih projekata</w:t>
            </w:r>
          </w:p>
        </w:tc>
        <w:tc>
          <w:tcPr>
            <w:tcW w:w="1300" w:type="dxa"/>
          </w:tcPr>
          <w:p w:rsidR="00AC0832" w:rsidRDefault="00AC0832">
            <w:pPr>
              <w:pStyle w:val="CellColumn"/>
            </w:pPr>
            <w:r>
              <w:t>Odabrani projekti za koje se ocjenjuje da će pridonijeti znatnijem razvoju pojedinih područja i stvoriti preduvjete za održivi gospodarski i društveni razvoj, te poboljšati standard i kvalitetu lokalnog stanovništva, te povećati vjerska i etnička tolerancija i kvaliteta suživota.</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Državni proračun MRRFEU</w:t>
            </w:r>
          </w:p>
        </w:tc>
        <w:tc>
          <w:tcPr>
            <w:tcW w:w="1300" w:type="dxa"/>
          </w:tcPr>
          <w:p w:rsidR="00AC0832" w:rsidRDefault="00AC0832">
            <w:pPr>
              <w:pStyle w:val="CellColumn"/>
            </w:pPr>
            <w:r>
              <w:t>150</w:t>
            </w:r>
          </w:p>
        </w:tc>
        <w:tc>
          <w:tcPr>
            <w:tcW w:w="1300" w:type="dxa"/>
          </w:tcPr>
          <w:p w:rsidR="00AC0832" w:rsidRDefault="00AC0832">
            <w:pPr>
              <w:pStyle w:val="CellColumn"/>
            </w:pPr>
            <w:r>
              <w:t>726</w:t>
            </w:r>
          </w:p>
        </w:tc>
      </w:tr>
      <w:tr w:rsidR="00AC0832" w:rsidTr="00BE20ED">
        <w:trPr>
          <w:jc w:val="center"/>
        </w:trPr>
        <w:tc>
          <w:tcPr>
            <w:tcW w:w="1300" w:type="dxa"/>
          </w:tcPr>
          <w:p w:rsidR="00AC0832" w:rsidRDefault="00AC0832">
            <w:pPr>
              <w:pStyle w:val="CellColumn"/>
            </w:pPr>
            <w:r>
              <w:t>Zadržavanje razine broja sklopljenih ugovora</w:t>
            </w:r>
          </w:p>
        </w:tc>
        <w:tc>
          <w:tcPr>
            <w:tcW w:w="1300" w:type="dxa"/>
          </w:tcPr>
          <w:p w:rsidR="00AC0832" w:rsidRDefault="00AC0832">
            <w:pPr>
              <w:pStyle w:val="CellColumn"/>
            </w:pPr>
            <w:r>
              <w:t>Sufinanciranje kapitalnih projekata JLS koji su bitni za gospodarski i održivi razvoj tog područja.</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Državni proračun MRRFEU</w:t>
            </w:r>
          </w:p>
        </w:tc>
        <w:tc>
          <w:tcPr>
            <w:tcW w:w="1300" w:type="dxa"/>
          </w:tcPr>
          <w:p w:rsidR="00AC0832" w:rsidRDefault="00AC0832">
            <w:pPr>
              <w:pStyle w:val="CellColumn"/>
            </w:pPr>
            <w:r>
              <w:t>150</w:t>
            </w:r>
          </w:p>
        </w:tc>
        <w:tc>
          <w:tcPr>
            <w:tcW w:w="1300" w:type="dxa"/>
          </w:tcPr>
          <w:p w:rsidR="00AC0832" w:rsidRDefault="00AC0832">
            <w:pPr>
              <w:pStyle w:val="CellColumn"/>
            </w:pPr>
            <w:r>
              <w:t>114</w:t>
            </w:r>
          </w:p>
        </w:tc>
      </w:tr>
    </w:tbl>
    <w:p w:rsidR="00AC0832" w:rsidRDefault="00AC0832">
      <w:pPr>
        <w:jc w:val="left"/>
      </w:pPr>
    </w:p>
    <w:p w:rsidR="00AC0832" w:rsidRDefault="00AC0832">
      <w:pPr>
        <w:pStyle w:val="Heading5"/>
      </w:pPr>
      <w:r>
        <w:t>2903 PREKOGRANIČNA I TRANSNACIONALNA SURADNJA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2903-PREKOGRANIČNA I TRANSNACIONALNA SURADNJA</w:t>
            </w:r>
          </w:p>
        </w:tc>
        <w:tc>
          <w:tcPr>
            <w:tcW w:w="2322" w:type="dxa"/>
          </w:tcPr>
          <w:p w:rsidR="00AC0832" w:rsidRDefault="00AC0832">
            <w:pPr>
              <w:pStyle w:val="CellColumn"/>
            </w:pPr>
            <w:r>
              <w:t>72.330.440</w:t>
            </w:r>
          </w:p>
        </w:tc>
        <w:tc>
          <w:tcPr>
            <w:tcW w:w="2322" w:type="dxa"/>
          </w:tcPr>
          <w:p w:rsidR="00AC0832" w:rsidRDefault="00AC0832">
            <w:pPr>
              <w:pStyle w:val="CellColumn"/>
            </w:pPr>
            <w:r>
              <w:t>27.496.320</w:t>
            </w:r>
          </w:p>
        </w:tc>
        <w:tc>
          <w:tcPr>
            <w:tcW w:w="2322" w:type="dxa"/>
          </w:tcPr>
          <w:p w:rsidR="00AC0832" w:rsidRDefault="00AC0832">
            <w:pPr>
              <w:pStyle w:val="CellColumn"/>
            </w:pPr>
            <w:r>
              <w:t>38,0</w:t>
            </w:r>
          </w:p>
        </w:tc>
      </w:tr>
    </w:tbl>
    <w:p w:rsidR="00AC0832" w:rsidRDefault="00AC0832">
      <w:pPr>
        <w:jc w:val="left"/>
      </w:pPr>
    </w:p>
    <w:p w:rsidR="00AC0832" w:rsidRDefault="00AC0832">
      <w:pPr>
        <w:pStyle w:val="Heading6"/>
      </w:pPr>
      <w:r>
        <w:t>Opis programa</w:t>
      </w:r>
    </w:p>
    <w:p w:rsidR="00AC0832" w:rsidRDefault="00AC0832">
      <w:pPr>
        <w:pStyle w:val="Normal5"/>
      </w:pPr>
      <w:r>
        <w:t>Program prekogranična i transnacionalna suradnja odnosi se na stvaranje podloge za razvoj koordinirane, sustavne i strateški usmjerene suradnje na lokalnoj, regionalnoj i središnjoj državnoj razini, s partnerima iz susjednih zemalja i ostalih regija Europske. Unije kako bi se smanjio negativan utjecaj granica i promovirala društveno-gospodarska kohezija u pograničnim područjima. Cilj će biti ostvaren jačanjem prekogranične, transnacionalne i međuregionalne suradnje putem zajedničkih lokalnih i regionalnih inicijativa, uz uzimanje u obzir ciljeva gospodarske i društven kohezije.Jedinstven oblik Republike Hrvatske i njezina dugačka granica sa susjednim zemljama daju izrazito značenje ovom programu. Gotovo sve županije, osim Bjelovarskobilogorske, Požeško-slavonske i Grada Zagreba, dijele granicu s drugim državama, pri čemu se mogu definirati tri tipa pograničnih područja: - kopnena granica s Europskom Unijom (Slovenija, Mađarska) koja se proteže od Istarske do Osječko-baranjske županije; - kopnena granica s državama koje nisu članice Europske Unije (Srbija, Crna Gora, Bosna i Hercegovina) koja se proteže od Osječko-baranjske do Dubrovačko-neretvanske županije i  morska granica koja uključuje sve jadranske županije. Svako od tih različitih pograničnih područja ima svoje razvojne izazove, uključujući mogućnosti i prijetnje koje se trebaju uzeti u obzir u sveukupnoj strategiji prekogranične suradnje, kao jedinstvenom okviru za politiku prekogranične suradnje. Ti su razvojni izazovi konzistentni sa sveukupnim ciljevima politike regionalnog razvoja Republike Hrvatske i dobivaju dodatno značenje i važnost ako se uzme u obzir da su prekogranična, transnacionalna i međuregionalna suradnja važan element u politici gospodarske i društvene kohezije Europske Unije. Spomenute aktivnosti inspirirane su iskustvom iz inicijative INTERREG Europske Unije i odnose se na jačanje suradnje na tri razine: prekogranična suradnja za rješavanje lokalnih problema zajedničkim operativnim programima, suradnja među transnacionalnim zonama i međuregionalna mreža suradnje i razmjene iskustava.</w:t>
      </w:r>
    </w:p>
    <w:p w:rsidR="00AC0832" w:rsidRDefault="00AC0832">
      <w:pPr>
        <w:pStyle w:val="Heading6"/>
      </w:pPr>
      <w:r>
        <w:t>Zakonske i druge pravne osnove</w:t>
      </w:r>
    </w:p>
    <w:p w:rsidR="00AC0832" w:rsidRDefault="00AC0832">
      <w:pPr>
        <w:pStyle w:val="Normal5"/>
      </w:pPr>
      <w:r>
        <w:t>Zakon o regionalnom razvoju Republike Hrvatske (NN 153/09) i na njemu utemeljeni podzakonski akti; Strategija regionalnog razvoja Republike Hrvatske 2011.-2013.; Zakon o potvrđivanju Sporazuma o financiranju između Vlade Republike Hrvatske i Komisije Europskih zajednica o Programu prekogranične suradnje Republike Hrvatske i zemljama članicama EU (Slovenija, Mađarska) i zemljama nečlanicama EU (BiH, Srbija, Crna Gora).</w:t>
      </w:r>
    </w:p>
    <w:p w:rsidR="00AC0832" w:rsidRDefault="00AC0832">
      <w:pPr>
        <w:pStyle w:val="Heading7"/>
      </w:pPr>
      <w:r>
        <w:t>Cilj 1. Jačanje prekogranične suradnje u pograničnim područjima</w:t>
      </w:r>
    </w:p>
    <w:p w:rsidR="00AC0832" w:rsidRDefault="00AC0832">
      <w:pPr>
        <w:pStyle w:val="Heading8"/>
        <w:jc w:val="left"/>
      </w:pPr>
      <w:r>
        <w:t>Opis provedbe cilja programa</w:t>
      </w:r>
    </w:p>
    <w:p w:rsidR="00AC0832" w:rsidRDefault="00AC0832">
      <w:pPr>
        <w:pStyle w:val="Normal6"/>
      </w:pPr>
      <w:r>
        <w:t>Prekogranična suradnja Republike Hrvatske je bila namijenjena razvoju pograničnih regija koja se provodi temeljem 6 prekograničnih programa koji se dijele na programe s državama članicama EU: Slovenija – Hrvatska, Mađarska – Hrvatska, Jadranski program i državama ne-člancima EU Hrvatska – BIH, Hrvatska – Crna Gora i Hrvatska- Srbija. Izgradnja prekograničnih kapaciteta bila je važna  horizontalna tema koja je integrirana u sve mjere programa.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1"/>
        <w:gridCol w:w="1372"/>
        <w:gridCol w:w="1213"/>
        <w:gridCol w:w="1243"/>
        <w:gridCol w:w="1306"/>
        <w:gridCol w:w="1243"/>
        <w:gridCol w:w="126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stope iskorištenosti sredstava po pojedinom prekograničnom programu</w:t>
            </w:r>
          </w:p>
        </w:tc>
        <w:tc>
          <w:tcPr>
            <w:tcW w:w="1300" w:type="dxa"/>
          </w:tcPr>
          <w:p w:rsidR="00AC0832" w:rsidRDefault="00AC0832">
            <w:pPr>
              <w:pStyle w:val="CellColumn"/>
            </w:pPr>
            <w:r>
              <w:t xml:space="preserve">Postotak iskorištenosti sredstava u ukupno alociranim sredstvima po raspisanom natječaju za svaki program pojedinačno </w:t>
            </w:r>
          </w:p>
          <w:p w:rsidR="00AC0832" w:rsidRDefault="00AC0832">
            <w:pPr>
              <w:pStyle w:val="CellColumn"/>
            </w:pPr>
            <w:r>
              <w:t>(kumulativ)</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Programska izvješća, monitoring izvješća, evaluacijska izvješća</w:t>
            </w:r>
          </w:p>
        </w:tc>
        <w:tc>
          <w:tcPr>
            <w:tcW w:w="1300" w:type="dxa"/>
          </w:tcPr>
          <w:p w:rsidR="00AC0832" w:rsidRDefault="00AC0832">
            <w:pPr>
              <w:pStyle w:val="CellColumn"/>
            </w:pPr>
            <w:r>
              <w:t>70</w:t>
            </w:r>
          </w:p>
        </w:tc>
        <w:tc>
          <w:tcPr>
            <w:tcW w:w="1300" w:type="dxa"/>
          </w:tcPr>
          <w:p w:rsidR="00AC0832" w:rsidRDefault="00AC0832">
            <w:pPr>
              <w:pStyle w:val="CellColumn"/>
            </w:pPr>
            <w:r>
              <w:t>70</w:t>
            </w:r>
          </w:p>
        </w:tc>
      </w:tr>
    </w:tbl>
    <w:p w:rsidR="00AC0832" w:rsidRDefault="00AC0832">
      <w:pPr>
        <w:jc w:val="left"/>
      </w:pPr>
    </w:p>
    <w:p w:rsidR="00AC0832" w:rsidRDefault="00AC0832">
      <w:pPr>
        <w:pStyle w:val="Heading7"/>
      </w:pPr>
      <w:r>
        <w:t>Cilj 2. Uključivanje hrvatskih partnera u programe transnacionalne suradnje</w:t>
      </w:r>
    </w:p>
    <w:p w:rsidR="00AC0832" w:rsidRDefault="00AC0832">
      <w:pPr>
        <w:pStyle w:val="Heading8"/>
        <w:jc w:val="left"/>
      </w:pPr>
      <w:r>
        <w:t>Opis provedbe cilja programa</w:t>
      </w:r>
    </w:p>
    <w:p w:rsidR="00AC0832" w:rsidRDefault="00AC0832">
      <w:pPr>
        <w:pStyle w:val="Normal6"/>
      </w:pPr>
      <w:r>
        <w:t>Ministarstvo sudjeluje u provedbi 2 IPA transnacionalna programa za razdoblje od 2007. do 2013. godine, odnosno u programima Jugoistočni europski prostor i program Mediteran. U programu transnacionalne suradnje Jugoistočni europski prostor sudjeluju 16 država dok u programu Mediteran sudjeluje 9 država, od kojih je jedna i Republika Hrvatska. Važnost sudjelovanja jest izrada zajedničkih strategija vezanih uz veći prostorno geografski obuhvat gdje partneri iz RH mogu sudjelovati na području Jugoistočne Europe te Mediteranskoga bazena. Prioriteti suradnje u oba programa tiču se inovacija, poduzetništva, zaštite okoliša i prirode, mobilnost, prometa i policentričnoga razvoja.</w:t>
      </w: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5"/>
        <w:gridCol w:w="1372"/>
        <w:gridCol w:w="1161"/>
        <w:gridCol w:w="1209"/>
        <w:gridCol w:w="1306"/>
        <w:gridCol w:w="1209"/>
        <w:gridCol w:w="123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stope iskorištenosti sredstava po pojedinom transnacionalnom programu</w:t>
            </w:r>
          </w:p>
        </w:tc>
        <w:tc>
          <w:tcPr>
            <w:tcW w:w="1300" w:type="dxa"/>
          </w:tcPr>
          <w:p w:rsidR="00AC0832" w:rsidRDefault="00AC0832">
            <w:pPr>
              <w:pStyle w:val="CellColumn"/>
            </w:pPr>
            <w:r>
              <w:t>Postotak iskorištenosti sredstava u ukupno alociranim sredstvima poa raspisanom natječaju za svaki program pojedinačno (kumulativ)</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Programska izvješća, monitoring izvješća, evaluacijska izvješća</w:t>
            </w:r>
          </w:p>
        </w:tc>
        <w:tc>
          <w:tcPr>
            <w:tcW w:w="1300" w:type="dxa"/>
          </w:tcPr>
          <w:p w:rsidR="00AC0832" w:rsidRDefault="00AC0832">
            <w:pPr>
              <w:pStyle w:val="CellColumn"/>
            </w:pPr>
            <w:r>
              <w:t>70</w:t>
            </w:r>
          </w:p>
        </w:tc>
        <w:tc>
          <w:tcPr>
            <w:tcW w:w="1300" w:type="dxa"/>
          </w:tcPr>
          <w:p w:rsidR="00AC0832" w:rsidRDefault="00AC0832">
            <w:pPr>
              <w:pStyle w:val="CellColumn"/>
            </w:pPr>
            <w:r>
              <w:t>82</w:t>
            </w:r>
          </w:p>
        </w:tc>
      </w:tr>
    </w:tbl>
    <w:p w:rsidR="00AC0832" w:rsidRDefault="00AC0832">
      <w:pPr>
        <w:jc w:val="left"/>
      </w:pPr>
    </w:p>
    <w:p w:rsidR="00AC0832" w:rsidRDefault="00AC0832">
      <w:pPr>
        <w:pStyle w:val="Heading6"/>
      </w:pPr>
      <w:r>
        <w:t>K761040 IPA II 2009 PROGRAM PREKOGRANIČNE SURADNJE HRVATSKA - SRBIJA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K761040-IPA II 2009 PROGRAM PREKOGRANIČNE SURADNJE HRVATSKA - SRBIJA</w:t>
            </w:r>
          </w:p>
        </w:tc>
        <w:tc>
          <w:tcPr>
            <w:tcW w:w="2322" w:type="dxa"/>
          </w:tcPr>
          <w:p w:rsidR="00AC0832" w:rsidRDefault="00AC0832">
            <w:pPr>
              <w:pStyle w:val="CellColumn"/>
            </w:pPr>
            <w:r>
              <w:t>6.455.131</w:t>
            </w:r>
          </w:p>
        </w:tc>
        <w:tc>
          <w:tcPr>
            <w:tcW w:w="2322" w:type="dxa"/>
          </w:tcPr>
          <w:p w:rsidR="00AC0832" w:rsidRDefault="00AC0832">
            <w:pPr>
              <w:pStyle w:val="CellColumn"/>
            </w:pPr>
            <w:r>
              <w:t>3.447.121</w:t>
            </w:r>
          </w:p>
        </w:tc>
        <w:tc>
          <w:tcPr>
            <w:tcW w:w="2322" w:type="dxa"/>
          </w:tcPr>
          <w:p w:rsidR="00AC0832" w:rsidRDefault="00AC0832">
            <w:pPr>
              <w:pStyle w:val="CellColumn"/>
            </w:pPr>
            <w:r>
              <w:t>53,4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okviru 2. poziva, ukupne vrijednosti 5.350.000,00 eura, od čega za hrvatske korisnike ukupno 2.160.000,00 eura, objavljenog u 2011. g., na natječaj se prijavilo ukupno 146 projektnih prijedloga. Ugovaranje je i dalje u tijeku, a u 2012. godini ukupna ugovorena vrijednost iznosi 1.000.000,00 eura. Zbog kašnjenja natječaja za dodjelu bespovratnih sredstava kojeg zajednički objavljuju obije države te posljedično i ugovaranja projekata, sredstva nisu mogla biti isplaćena korisnicima u planiranom roku te je došlo do slabijeg izvršenja na ovoj proračunskoj aktivnosti.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0"/>
        <w:gridCol w:w="1484"/>
        <w:gridCol w:w="1171"/>
        <w:gridCol w:w="1270"/>
        <w:gridCol w:w="1245"/>
        <w:gridCol w:w="1384"/>
        <w:gridCol w:w="138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održanih informativnih i edukativnih radionica, konferencija, tzv. kick-off sastanaka</w:t>
            </w:r>
          </w:p>
        </w:tc>
        <w:tc>
          <w:tcPr>
            <w:tcW w:w="1300" w:type="dxa"/>
          </w:tcPr>
          <w:p w:rsidR="00AC0832" w:rsidRDefault="00AC0832">
            <w:pPr>
              <w:pStyle w:val="CellColumn"/>
            </w:pPr>
            <w:r>
              <w:t xml:space="preserve">Informativne i edukativne radionice namijenjene su podizanju kapaciteta za upravljanje EU fondovima za predstavnike regionalne razine, kao i konferencije za nalaţenje projektnih partnera </w:t>
            </w:r>
          </w:p>
          <w:p w:rsidR="00AC0832" w:rsidRDefault="00AC0832">
            <w:pPr>
              <w:pStyle w:val="CellColumn"/>
            </w:pPr>
            <w:r>
              <w:t>(kumulativ)</w:t>
            </w:r>
          </w:p>
        </w:tc>
        <w:tc>
          <w:tcPr>
            <w:tcW w:w="1300" w:type="dxa"/>
          </w:tcPr>
          <w:p w:rsidR="00AC0832" w:rsidRDefault="00AC0832">
            <w:pPr>
              <w:pStyle w:val="CellColumn"/>
            </w:pPr>
            <w:r>
              <w:t>broj</w:t>
            </w:r>
          </w:p>
        </w:tc>
        <w:tc>
          <w:tcPr>
            <w:tcW w:w="1300" w:type="dxa"/>
          </w:tcPr>
          <w:p w:rsidR="00AC0832" w:rsidRDefault="00AC0832">
            <w:pPr>
              <w:pStyle w:val="CellColumn"/>
            </w:pPr>
            <w:r>
              <w:t>6</w:t>
            </w:r>
          </w:p>
        </w:tc>
        <w:tc>
          <w:tcPr>
            <w:tcW w:w="1300" w:type="dxa"/>
          </w:tcPr>
          <w:p w:rsidR="00AC0832" w:rsidRDefault="00AC0832">
            <w:pPr>
              <w:pStyle w:val="CellColumn"/>
            </w:pPr>
            <w:r>
              <w:t>Godišnja monitoring izvješća programa</w:t>
            </w:r>
          </w:p>
        </w:tc>
        <w:tc>
          <w:tcPr>
            <w:tcW w:w="1300" w:type="dxa"/>
          </w:tcPr>
          <w:p w:rsidR="00AC0832" w:rsidRDefault="00AC0832">
            <w:pPr>
              <w:pStyle w:val="CellColumn"/>
            </w:pPr>
            <w:r>
              <w:t>18</w:t>
            </w:r>
          </w:p>
        </w:tc>
        <w:tc>
          <w:tcPr>
            <w:tcW w:w="1300" w:type="dxa"/>
          </w:tcPr>
          <w:p w:rsidR="00AC0832" w:rsidRDefault="00AC0832">
            <w:pPr>
              <w:pStyle w:val="CellColumn"/>
            </w:pPr>
            <w:r>
              <w:t>9</w:t>
            </w:r>
          </w:p>
        </w:tc>
      </w:tr>
      <w:tr w:rsidR="00AC0832" w:rsidTr="00BE20ED">
        <w:trPr>
          <w:jc w:val="center"/>
        </w:trPr>
        <w:tc>
          <w:tcPr>
            <w:tcW w:w="1300" w:type="dxa"/>
          </w:tcPr>
          <w:p w:rsidR="00AC0832" w:rsidRDefault="00AC0832">
            <w:pPr>
              <w:pStyle w:val="CellColumn"/>
            </w:pPr>
            <w:r>
              <w:t>Povećanje broja prijavljenih projektnih prijedloga na natječaje</w:t>
            </w:r>
          </w:p>
        </w:tc>
        <w:tc>
          <w:tcPr>
            <w:tcW w:w="1300" w:type="dxa"/>
          </w:tcPr>
          <w:p w:rsidR="00AC0832" w:rsidRDefault="00AC0832">
            <w:pPr>
              <w:pStyle w:val="CellColumn"/>
            </w:pPr>
            <w:r>
              <w:t xml:space="preserve">Broj projektnih prijedloga prijavljenih na natječaj raspisan od strane Upravljačkog tijela (projekti prekogranične suradnje isključivo se nominiraju na sluţbeno raspisane natječaje). </w:t>
            </w:r>
          </w:p>
          <w:p w:rsidR="00AC0832" w:rsidRDefault="00AC0832">
            <w:pPr>
              <w:pStyle w:val="CellColumn"/>
            </w:pPr>
            <w:r>
              <w:t>(kumulativ)</w:t>
            </w:r>
          </w:p>
        </w:tc>
        <w:tc>
          <w:tcPr>
            <w:tcW w:w="1300" w:type="dxa"/>
          </w:tcPr>
          <w:p w:rsidR="00AC0832" w:rsidRDefault="00AC0832">
            <w:pPr>
              <w:pStyle w:val="CellColumn"/>
            </w:pPr>
            <w:r>
              <w:t>broj</w:t>
            </w:r>
          </w:p>
        </w:tc>
        <w:tc>
          <w:tcPr>
            <w:tcW w:w="1300" w:type="dxa"/>
          </w:tcPr>
          <w:p w:rsidR="00AC0832" w:rsidRDefault="00AC0832">
            <w:pPr>
              <w:pStyle w:val="CellColumn"/>
            </w:pPr>
            <w:r>
              <w:t>110</w:t>
            </w:r>
          </w:p>
        </w:tc>
        <w:tc>
          <w:tcPr>
            <w:tcW w:w="1300" w:type="dxa"/>
          </w:tcPr>
          <w:p w:rsidR="00AC0832" w:rsidRDefault="00AC0832">
            <w:pPr>
              <w:pStyle w:val="CellColumn"/>
            </w:pPr>
            <w:r>
              <w:t>Godišnja monitoring izvješća programa</w:t>
            </w:r>
          </w:p>
        </w:tc>
        <w:tc>
          <w:tcPr>
            <w:tcW w:w="1300" w:type="dxa"/>
          </w:tcPr>
          <w:p w:rsidR="00AC0832" w:rsidRDefault="00AC0832">
            <w:pPr>
              <w:pStyle w:val="CellColumn"/>
            </w:pPr>
            <w:r>
              <w:t>330</w:t>
            </w:r>
          </w:p>
        </w:tc>
        <w:tc>
          <w:tcPr>
            <w:tcW w:w="1300" w:type="dxa"/>
          </w:tcPr>
          <w:p w:rsidR="00AC0832" w:rsidRDefault="00AC0832">
            <w:pPr>
              <w:pStyle w:val="CellColumn"/>
            </w:pPr>
            <w:r>
              <w:t>256</w:t>
            </w:r>
          </w:p>
        </w:tc>
      </w:tr>
      <w:tr w:rsidR="00AC0832" w:rsidTr="00BE20ED">
        <w:trPr>
          <w:jc w:val="center"/>
        </w:trPr>
        <w:tc>
          <w:tcPr>
            <w:tcW w:w="1300" w:type="dxa"/>
          </w:tcPr>
          <w:p w:rsidR="00AC0832" w:rsidRDefault="00AC0832">
            <w:pPr>
              <w:pStyle w:val="CellColumn"/>
            </w:pPr>
            <w:r>
              <w:t>Povećanje financijske vrijednosti ugovorenih projekata s natječaja</w:t>
            </w:r>
          </w:p>
        </w:tc>
        <w:tc>
          <w:tcPr>
            <w:tcW w:w="1300" w:type="dxa"/>
          </w:tcPr>
          <w:p w:rsidR="00AC0832" w:rsidRDefault="00AC0832">
            <w:pPr>
              <w:pStyle w:val="CellColumn"/>
            </w:pPr>
            <w:r>
              <w:t xml:space="preserve">Financijska vrijednost aktivnosti hrvatskih partnera u ugovorenim projektima u kojima sudjeluju hrvatski partneri </w:t>
            </w:r>
          </w:p>
          <w:p w:rsidR="00AC0832" w:rsidRDefault="00AC0832">
            <w:pPr>
              <w:pStyle w:val="CellColumn"/>
            </w:pPr>
            <w:r>
              <w:t>(kumulativ)</w:t>
            </w:r>
          </w:p>
        </w:tc>
        <w:tc>
          <w:tcPr>
            <w:tcW w:w="1300" w:type="dxa"/>
          </w:tcPr>
          <w:p w:rsidR="00AC0832" w:rsidRDefault="00AC0832">
            <w:pPr>
              <w:pStyle w:val="CellColumn"/>
            </w:pPr>
            <w:r>
              <w:t>EUR</w:t>
            </w:r>
          </w:p>
        </w:tc>
        <w:tc>
          <w:tcPr>
            <w:tcW w:w="1300" w:type="dxa"/>
          </w:tcPr>
          <w:p w:rsidR="00AC0832" w:rsidRDefault="00AC0832">
            <w:pPr>
              <w:pStyle w:val="CellColumn"/>
            </w:pPr>
            <w:r>
              <w:t>720.000,00 EUR</w:t>
            </w:r>
          </w:p>
        </w:tc>
        <w:tc>
          <w:tcPr>
            <w:tcW w:w="1300" w:type="dxa"/>
          </w:tcPr>
          <w:p w:rsidR="00AC0832" w:rsidRDefault="00AC0832">
            <w:pPr>
              <w:pStyle w:val="CellColumn"/>
            </w:pPr>
            <w:r>
              <w:t>Godišnja monitoring izvješća programa</w:t>
            </w:r>
          </w:p>
        </w:tc>
        <w:tc>
          <w:tcPr>
            <w:tcW w:w="1300" w:type="dxa"/>
          </w:tcPr>
          <w:p w:rsidR="00AC0832" w:rsidRDefault="00AC0832">
            <w:pPr>
              <w:pStyle w:val="CellColumn"/>
            </w:pPr>
            <w:r>
              <w:t>2.200.000,00 EUR</w:t>
            </w:r>
          </w:p>
        </w:tc>
        <w:tc>
          <w:tcPr>
            <w:tcW w:w="1300" w:type="dxa"/>
          </w:tcPr>
          <w:p w:rsidR="00AC0832" w:rsidRDefault="00AC0832">
            <w:pPr>
              <w:pStyle w:val="CellColumn"/>
            </w:pPr>
            <w:r>
              <w:t>1.720.000,00 EUR</w:t>
            </w:r>
          </w:p>
        </w:tc>
      </w:tr>
    </w:tbl>
    <w:p w:rsidR="00AC0832" w:rsidRDefault="00AC0832">
      <w:pPr>
        <w:jc w:val="left"/>
      </w:pPr>
    </w:p>
    <w:p w:rsidR="00AC0832" w:rsidRDefault="00AC0832">
      <w:pPr>
        <w:pStyle w:val="Heading6"/>
      </w:pPr>
      <w:r>
        <w:t>K761041 IPA II 2009 TRANSNACIONALNI PROGRAM MEDITERAN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K761041-IPA II 2009 TRANSNACIONALNI PROGRAM MEDITERAN</w:t>
            </w:r>
          </w:p>
        </w:tc>
        <w:tc>
          <w:tcPr>
            <w:tcW w:w="2322" w:type="dxa"/>
          </w:tcPr>
          <w:p w:rsidR="00AC0832" w:rsidRDefault="00AC0832">
            <w:pPr>
              <w:pStyle w:val="CellColumn"/>
            </w:pPr>
            <w:r>
              <w:t>2.316.150</w:t>
            </w:r>
          </w:p>
        </w:tc>
        <w:tc>
          <w:tcPr>
            <w:tcW w:w="2322" w:type="dxa"/>
          </w:tcPr>
          <w:p w:rsidR="00AC0832" w:rsidRDefault="00AC0832">
            <w:pPr>
              <w:pStyle w:val="CellColumn"/>
            </w:pPr>
            <w:r>
              <w:t>407.171</w:t>
            </w:r>
          </w:p>
        </w:tc>
        <w:tc>
          <w:tcPr>
            <w:tcW w:w="2322" w:type="dxa"/>
          </w:tcPr>
          <w:p w:rsidR="00AC0832" w:rsidRDefault="00AC0832">
            <w:pPr>
              <w:pStyle w:val="CellColumn"/>
            </w:pPr>
            <w:r>
              <w:t>17,6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Financijski sporazum za godinu 2009. godinu uključivao je alokacije za oba programa; Jugoistočna Europa i Mediteran. Dostupna sredstva prema financijskom sporazumu iznosila su 504.182, 00 EUR za Program Jugoistočna Europa i 144.182,00 EUR za program Mediteran. Zbog kašnjenja u trošenju sredstava projektnih partnera nisu bile obavljene isplate koje su bile planirane na ovoj aktivnosti te došlo je do slabijeg izvršenja na ovoj proračunskoj aktivnosti.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0"/>
        <w:gridCol w:w="1484"/>
        <w:gridCol w:w="1192"/>
        <w:gridCol w:w="1350"/>
        <w:gridCol w:w="1254"/>
        <w:gridCol w:w="1274"/>
        <w:gridCol w:w="138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održanih informativnih i edukativnih radionica, konferencija, tzv. kick-off sastanaka</w:t>
            </w:r>
          </w:p>
        </w:tc>
        <w:tc>
          <w:tcPr>
            <w:tcW w:w="1300" w:type="dxa"/>
          </w:tcPr>
          <w:p w:rsidR="00AC0832" w:rsidRDefault="00AC0832">
            <w:pPr>
              <w:pStyle w:val="CellColumn"/>
            </w:pPr>
            <w:r>
              <w:t xml:space="preserve">Informativne i edukativne radionice namijenjene su podizanju kapaciteta za upravljanje EU fondovima za predstavnike regionalne razine, kao i konferencije za nalaţenje projektnih partnera </w:t>
            </w:r>
          </w:p>
          <w:p w:rsidR="00AC0832" w:rsidRDefault="00AC0832">
            <w:pPr>
              <w:pStyle w:val="CellColumn"/>
            </w:pPr>
            <w:r>
              <w:t>(kumulativ)</w:t>
            </w:r>
          </w:p>
        </w:tc>
        <w:tc>
          <w:tcPr>
            <w:tcW w:w="1300" w:type="dxa"/>
          </w:tcPr>
          <w:p w:rsidR="00AC0832" w:rsidRDefault="00AC0832">
            <w:pPr>
              <w:pStyle w:val="CellColumn"/>
            </w:pPr>
            <w:r>
              <w:t>broj</w:t>
            </w:r>
          </w:p>
        </w:tc>
        <w:tc>
          <w:tcPr>
            <w:tcW w:w="1300" w:type="dxa"/>
          </w:tcPr>
          <w:p w:rsidR="00AC0832" w:rsidRDefault="00AC0832">
            <w:pPr>
              <w:pStyle w:val="CellColumn"/>
            </w:pPr>
            <w:r>
              <w:t>1</w:t>
            </w:r>
          </w:p>
        </w:tc>
        <w:tc>
          <w:tcPr>
            <w:tcW w:w="1300" w:type="dxa"/>
          </w:tcPr>
          <w:p w:rsidR="00AC0832" w:rsidRDefault="00AC0832">
            <w:pPr>
              <w:pStyle w:val="CellColumn"/>
            </w:pPr>
            <w:r>
              <w:t>Godišnja monitoring izvješća programa</w:t>
            </w:r>
          </w:p>
        </w:tc>
        <w:tc>
          <w:tcPr>
            <w:tcW w:w="1300" w:type="dxa"/>
          </w:tcPr>
          <w:p w:rsidR="00AC0832" w:rsidRDefault="00AC0832">
            <w:pPr>
              <w:pStyle w:val="CellColumn"/>
            </w:pPr>
            <w:r>
              <w:t>5</w:t>
            </w:r>
          </w:p>
        </w:tc>
        <w:tc>
          <w:tcPr>
            <w:tcW w:w="1300" w:type="dxa"/>
          </w:tcPr>
          <w:p w:rsidR="00AC0832" w:rsidRDefault="00AC0832">
            <w:pPr>
              <w:pStyle w:val="CellColumn"/>
            </w:pPr>
            <w:r>
              <w:t>5</w:t>
            </w:r>
          </w:p>
        </w:tc>
      </w:tr>
      <w:tr w:rsidR="00AC0832" w:rsidTr="00BE20ED">
        <w:trPr>
          <w:jc w:val="center"/>
        </w:trPr>
        <w:tc>
          <w:tcPr>
            <w:tcW w:w="1300" w:type="dxa"/>
          </w:tcPr>
          <w:p w:rsidR="00AC0832" w:rsidRDefault="00AC0832">
            <w:pPr>
              <w:pStyle w:val="CellColumn"/>
            </w:pPr>
            <w:r>
              <w:t>Povećanje broja prijavljenih projektnih prijedloga na natječaje</w:t>
            </w:r>
          </w:p>
        </w:tc>
        <w:tc>
          <w:tcPr>
            <w:tcW w:w="1300" w:type="dxa"/>
          </w:tcPr>
          <w:p w:rsidR="00AC0832" w:rsidRDefault="00AC0832">
            <w:pPr>
              <w:pStyle w:val="CellColumn"/>
            </w:pPr>
            <w:r>
              <w:t xml:space="preserve">Broj projektnih prijedloga prijavljenih na natječaj raspisan od strane Upravljačkog tijela (projekti prekogranične suradnje isključivo se nominiraju na sluţbeno raspisane natječaje). </w:t>
            </w:r>
          </w:p>
          <w:p w:rsidR="00AC0832" w:rsidRDefault="00AC0832">
            <w:pPr>
              <w:pStyle w:val="CellColumn"/>
            </w:pPr>
            <w:r>
              <w:t>(kumulativ)</w:t>
            </w:r>
          </w:p>
        </w:tc>
        <w:tc>
          <w:tcPr>
            <w:tcW w:w="1300" w:type="dxa"/>
          </w:tcPr>
          <w:p w:rsidR="00AC0832" w:rsidRDefault="00AC0832">
            <w:pPr>
              <w:pStyle w:val="CellColumn"/>
            </w:pPr>
            <w:r>
              <w:t>broj</w:t>
            </w:r>
          </w:p>
        </w:tc>
        <w:tc>
          <w:tcPr>
            <w:tcW w:w="1300" w:type="dxa"/>
          </w:tcPr>
          <w:p w:rsidR="00AC0832" w:rsidRDefault="00AC0832">
            <w:pPr>
              <w:pStyle w:val="CellColumn"/>
            </w:pPr>
            <w:r>
              <w:t>35 (projekti s hrvatskim prijedlozima)</w:t>
            </w:r>
          </w:p>
        </w:tc>
        <w:tc>
          <w:tcPr>
            <w:tcW w:w="1300" w:type="dxa"/>
          </w:tcPr>
          <w:p w:rsidR="00AC0832" w:rsidRDefault="00AC0832">
            <w:pPr>
              <w:pStyle w:val="CellColumn"/>
            </w:pPr>
            <w:r>
              <w:t>Godišnja monitoring izvješća programa</w:t>
            </w:r>
          </w:p>
        </w:tc>
        <w:tc>
          <w:tcPr>
            <w:tcW w:w="1300" w:type="dxa"/>
          </w:tcPr>
          <w:p w:rsidR="00AC0832" w:rsidRDefault="00AC0832">
            <w:pPr>
              <w:pStyle w:val="CellColumn"/>
            </w:pPr>
            <w:r>
              <w:t>105</w:t>
            </w:r>
          </w:p>
        </w:tc>
        <w:tc>
          <w:tcPr>
            <w:tcW w:w="1300" w:type="dxa"/>
          </w:tcPr>
          <w:p w:rsidR="00AC0832" w:rsidRDefault="00AC0832">
            <w:pPr>
              <w:pStyle w:val="CellColumn"/>
            </w:pPr>
            <w:r>
              <w:t>106</w:t>
            </w:r>
          </w:p>
        </w:tc>
      </w:tr>
      <w:tr w:rsidR="00AC0832" w:rsidTr="00BE20ED">
        <w:trPr>
          <w:jc w:val="center"/>
        </w:trPr>
        <w:tc>
          <w:tcPr>
            <w:tcW w:w="1300" w:type="dxa"/>
          </w:tcPr>
          <w:p w:rsidR="00AC0832" w:rsidRDefault="00AC0832">
            <w:pPr>
              <w:pStyle w:val="CellColumn"/>
            </w:pPr>
            <w:r>
              <w:t>Povećanje financijske vrijednosti ugovorenih projekata s natječaja</w:t>
            </w:r>
          </w:p>
        </w:tc>
        <w:tc>
          <w:tcPr>
            <w:tcW w:w="1300" w:type="dxa"/>
          </w:tcPr>
          <w:p w:rsidR="00AC0832" w:rsidRDefault="00AC0832">
            <w:pPr>
              <w:pStyle w:val="CellColumn"/>
            </w:pPr>
            <w:r>
              <w:t xml:space="preserve">Financijska vrijednost aktivnosti hrvatskih partnera u ugovorenim projektima u kojima sudjeluju hrvatski partneri </w:t>
            </w:r>
          </w:p>
          <w:p w:rsidR="00AC0832" w:rsidRDefault="00AC0832">
            <w:pPr>
              <w:pStyle w:val="CellColumn"/>
            </w:pPr>
            <w:r>
              <w:t>(kumulativ)</w:t>
            </w:r>
          </w:p>
        </w:tc>
        <w:tc>
          <w:tcPr>
            <w:tcW w:w="1300" w:type="dxa"/>
          </w:tcPr>
          <w:p w:rsidR="00AC0832" w:rsidRDefault="00AC0832">
            <w:pPr>
              <w:pStyle w:val="CellColumn"/>
            </w:pPr>
            <w:r>
              <w:t>EUR</w:t>
            </w:r>
          </w:p>
        </w:tc>
        <w:tc>
          <w:tcPr>
            <w:tcW w:w="1300" w:type="dxa"/>
          </w:tcPr>
          <w:p w:rsidR="00AC0832" w:rsidRDefault="00AC0832">
            <w:pPr>
              <w:pStyle w:val="CellColumn"/>
            </w:pPr>
            <w:r>
              <w:t>114.000,00 €</w:t>
            </w:r>
          </w:p>
        </w:tc>
        <w:tc>
          <w:tcPr>
            <w:tcW w:w="1300" w:type="dxa"/>
          </w:tcPr>
          <w:p w:rsidR="00AC0832" w:rsidRDefault="00AC0832">
            <w:pPr>
              <w:pStyle w:val="CellColumn"/>
            </w:pPr>
            <w:r>
              <w:t>Godišnja monitoring izvješća programa</w:t>
            </w:r>
          </w:p>
        </w:tc>
        <w:tc>
          <w:tcPr>
            <w:tcW w:w="1300" w:type="dxa"/>
          </w:tcPr>
          <w:p w:rsidR="00AC0832" w:rsidRDefault="00AC0832">
            <w:pPr>
              <w:pStyle w:val="CellColumn"/>
            </w:pPr>
            <w:r>
              <w:t>450.000,00 €</w:t>
            </w:r>
          </w:p>
        </w:tc>
        <w:tc>
          <w:tcPr>
            <w:tcW w:w="1300" w:type="dxa"/>
          </w:tcPr>
          <w:p w:rsidR="00AC0832" w:rsidRDefault="00AC0832">
            <w:pPr>
              <w:pStyle w:val="CellColumn"/>
            </w:pPr>
            <w:r>
              <w:t>1.017,180.00 €</w:t>
            </w:r>
          </w:p>
        </w:tc>
      </w:tr>
    </w:tbl>
    <w:p w:rsidR="00AC0832" w:rsidRDefault="00AC0832">
      <w:pPr>
        <w:jc w:val="left"/>
      </w:pPr>
    </w:p>
    <w:p w:rsidR="00AC0832" w:rsidRDefault="00AC0832">
      <w:pPr>
        <w:pStyle w:val="Heading6"/>
      </w:pPr>
      <w:r>
        <w:t>K819041 IPA II 2009 PREKOGRANIČNA SURADNJA HRVATSKA-BOSNA I HERCEGOVINA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K819041-IPA II 2009 PREKOGRANIČNA SURADNJA HRVATSKA-BOSNA I HERCEGOVINA</w:t>
            </w:r>
          </w:p>
        </w:tc>
        <w:tc>
          <w:tcPr>
            <w:tcW w:w="2322" w:type="dxa"/>
          </w:tcPr>
          <w:p w:rsidR="00AC0832" w:rsidRDefault="00AC0832">
            <w:pPr>
              <w:pStyle w:val="CellColumn"/>
            </w:pPr>
            <w:r>
              <w:t>7.755.830</w:t>
            </w:r>
          </w:p>
        </w:tc>
        <w:tc>
          <w:tcPr>
            <w:tcW w:w="2322" w:type="dxa"/>
          </w:tcPr>
          <w:p w:rsidR="00AC0832" w:rsidRDefault="00AC0832">
            <w:pPr>
              <w:pStyle w:val="CellColumn"/>
            </w:pPr>
            <w:r>
              <w:t>3.941.188</w:t>
            </w:r>
          </w:p>
        </w:tc>
        <w:tc>
          <w:tcPr>
            <w:tcW w:w="2322" w:type="dxa"/>
          </w:tcPr>
          <w:p w:rsidR="00AC0832" w:rsidRDefault="00AC0832">
            <w:pPr>
              <w:pStyle w:val="CellColumn"/>
            </w:pPr>
            <w:r>
              <w:t>50,8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okviru 2. poziva, ukupne vrijednosti 5.400.000,00 eura, od čega za hrvatske korisnike ukupno 2.700.000,00 eura, objavljenog u 2011. g., na natječaj se prijavilo ukupno 153 projektnih prijedloga. Ugovaranje je i dalje u tijeku, a u 2012. godini ukupna ugovorena vrijednost iznosi 900.000,00 eura. Zbog kašnjenja natječaja za dodjelu bespovratnih sredstava kojeg zajednički objavljuju obije države te posljedično i ugovaranja projekata, sredstva nisu mogla biti isplaćena korisnicima u planiranom roku te je došlo do slabijeg izvršenja na ovoj proračunskoj aktivnosti.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0"/>
        <w:gridCol w:w="1484"/>
        <w:gridCol w:w="1091"/>
        <w:gridCol w:w="1384"/>
        <w:gridCol w:w="1211"/>
        <w:gridCol w:w="1384"/>
        <w:gridCol w:w="138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održanih informativnih i edukativnih radionica, konferencija, tzv. kick-off sastanaka</w:t>
            </w:r>
          </w:p>
        </w:tc>
        <w:tc>
          <w:tcPr>
            <w:tcW w:w="1300" w:type="dxa"/>
          </w:tcPr>
          <w:p w:rsidR="00AC0832" w:rsidRDefault="00AC0832">
            <w:pPr>
              <w:pStyle w:val="CellColumn"/>
            </w:pPr>
            <w:r>
              <w:t xml:space="preserve">Informativne i edukativne radionice namijenjene su podizanju kapaciteta za upravljanje EU fondovima za predstavnike regionalne razine, kao i konferencije za nalaţenje projektnih partnera </w:t>
            </w:r>
          </w:p>
          <w:p w:rsidR="00AC0832" w:rsidRDefault="00AC0832">
            <w:pPr>
              <w:pStyle w:val="CellColumn"/>
            </w:pPr>
            <w:r>
              <w:t>(kumulativ)</w:t>
            </w:r>
          </w:p>
        </w:tc>
        <w:tc>
          <w:tcPr>
            <w:tcW w:w="1300" w:type="dxa"/>
          </w:tcPr>
          <w:p w:rsidR="00AC0832" w:rsidRDefault="00AC0832">
            <w:pPr>
              <w:pStyle w:val="CellColumn"/>
            </w:pPr>
            <w:r>
              <w:t>broj</w:t>
            </w:r>
          </w:p>
        </w:tc>
        <w:tc>
          <w:tcPr>
            <w:tcW w:w="1300" w:type="dxa"/>
          </w:tcPr>
          <w:p w:rsidR="00AC0832" w:rsidRDefault="00AC0832">
            <w:pPr>
              <w:pStyle w:val="CellColumn"/>
            </w:pPr>
            <w:r>
              <w:t>6</w:t>
            </w:r>
          </w:p>
        </w:tc>
        <w:tc>
          <w:tcPr>
            <w:tcW w:w="1300" w:type="dxa"/>
          </w:tcPr>
          <w:p w:rsidR="00AC0832" w:rsidRDefault="00AC0832">
            <w:pPr>
              <w:pStyle w:val="CellColumn"/>
            </w:pPr>
            <w:r>
              <w:t>Godišnja monitoring izvješća</w:t>
            </w:r>
          </w:p>
        </w:tc>
        <w:tc>
          <w:tcPr>
            <w:tcW w:w="1300" w:type="dxa"/>
          </w:tcPr>
          <w:p w:rsidR="00AC0832" w:rsidRDefault="00AC0832">
            <w:pPr>
              <w:pStyle w:val="CellColumn"/>
            </w:pPr>
            <w:r>
              <w:t>15</w:t>
            </w:r>
          </w:p>
        </w:tc>
        <w:tc>
          <w:tcPr>
            <w:tcW w:w="1300" w:type="dxa"/>
          </w:tcPr>
          <w:p w:rsidR="00AC0832" w:rsidRDefault="00AC0832">
            <w:pPr>
              <w:pStyle w:val="CellColumn"/>
            </w:pPr>
            <w:r>
              <w:t>6</w:t>
            </w:r>
          </w:p>
        </w:tc>
      </w:tr>
      <w:tr w:rsidR="00AC0832" w:rsidTr="00BE20ED">
        <w:trPr>
          <w:jc w:val="center"/>
        </w:trPr>
        <w:tc>
          <w:tcPr>
            <w:tcW w:w="1300" w:type="dxa"/>
          </w:tcPr>
          <w:p w:rsidR="00AC0832" w:rsidRDefault="00AC0832">
            <w:pPr>
              <w:pStyle w:val="CellColumn"/>
            </w:pPr>
            <w:r>
              <w:t>Povećanje broja prijavljenih projektnih prijedloga na natječaje</w:t>
            </w:r>
          </w:p>
        </w:tc>
        <w:tc>
          <w:tcPr>
            <w:tcW w:w="1300" w:type="dxa"/>
          </w:tcPr>
          <w:p w:rsidR="00AC0832" w:rsidRDefault="00AC0832">
            <w:pPr>
              <w:pStyle w:val="CellColumn"/>
            </w:pPr>
            <w:r>
              <w:t xml:space="preserve">Broj projektnih prijedloga prijavljenih na natječaj raspisan od strane Upravljačkog tijela (projekti prekogranične suradnje isključivo se nominiraju na sluţbeno raspisane natječaje). </w:t>
            </w:r>
          </w:p>
          <w:p w:rsidR="00AC0832" w:rsidRDefault="00AC0832">
            <w:pPr>
              <w:pStyle w:val="CellColumn"/>
            </w:pPr>
            <w:r>
              <w:t>(kumulativ)</w:t>
            </w:r>
          </w:p>
        </w:tc>
        <w:tc>
          <w:tcPr>
            <w:tcW w:w="1300" w:type="dxa"/>
          </w:tcPr>
          <w:p w:rsidR="00AC0832" w:rsidRDefault="00AC0832">
            <w:pPr>
              <w:pStyle w:val="CellColumn"/>
            </w:pPr>
            <w:r>
              <w:t>broj</w:t>
            </w:r>
          </w:p>
        </w:tc>
        <w:tc>
          <w:tcPr>
            <w:tcW w:w="1300" w:type="dxa"/>
          </w:tcPr>
          <w:p w:rsidR="00AC0832" w:rsidRDefault="00AC0832">
            <w:pPr>
              <w:pStyle w:val="CellColumn"/>
            </w:pPr>
            <w:r>
              <w:t>90</w:t>
            </w:r>
          </w:p>
        </w:tc>
        <w:tc>
          <w:tcPr>
            <w:tcW w:w="1300" w:type="dxa"/>
          </w:tcPr>
          <w:p w:rsidR="00AC0832" w:rsidRDefault="00AC0832">
            <w:pPr>
              <w:pStyle w:val="CellColumn"/>
            </w:pPr>
            <w:r>
              <w:t>Godišnja monitoring izvješća</w:t>
            </w:r>
          </w:p>
        </w:tc>
        <w:tc>
          <w:tcPr>
            <w:tcW w:w="1300" w:type="dxa"/>
          </w:tcPr>
          <w:p w:rsidR="00AC0832" w:rsidRDefault="00AC0832">
            <w:pPr>
              <w:pStyle w:val="CellColumn"/>
            </w:pPr>
            <w:r>
              <w:t>270</w:t>
            </w:r>
          </w:p>
        </w:tc>
        <w:tc>
          <w:tcPr>
            <w:tcW w:w="1300" w:type="dxa"/>
          </w:tcPr>
          <w:p w:rsidR="00AC0832" w:rsidRDefault="00AC0832">
            <w:pPr>
              <w:pStyle w:val="CellColumn"/>
            </w:pPr>
            <w:r>
              <w:t>243</w:t>
            </w:r>
          </w:p>
        </w:tc>
      </w:tr>
      <w:tr w:rsidR="00AC0832" w:rsidTr="00BE20ED">
        <w:trPr>
          <w:jc w:val="center"/>
        </w:trPr>
        <w:tc>
          <w:tcPr>
            <w:tcW w:w="1300" w:type="dxa"/>
          </w:tcPr>
          <w:p w:rsidR="00AC0832" w:rsidRDefault="00AC0832">
            <w:pPr>
              <w:pStyle w:val="CellColumn"/>
            </w:pPr>
            <w:r>
              <w:t>Povećanje financijske vrijednosti ugovorenih projekata s natječaja</w:t>
            </w:r>
          </w:p>
        </w:tc>
        <w:tc>
          <w:tcPr>
            <w:tcW w:w="1300" w:type="dxa"/>
          </w:tcPr>
          <w:p w:rsidR="00AC0832" w:rsidRDefault="00AC0832">
            <w:pPr>
              <w:pStyle w:val="CellColumn"/>
            </w:pPr>
            <w:r>
              <w:t xml:space="preserve">Financijska vrijednost aktivnosti hrvatskih partnera u ugovorenim projektima u kojima sudjeluju hrvatski partneri </w:t>
            </w:r>
          </w:p>
          <w:p w:rsidR="00AC0832" w:rsidRDefault="00AC0832">
            <w:pPr>
              <w:pStyle w:val="CellColumn"/>
            </w:pPr>
            <w:r>
              <w:t>(kumulativ)</w:t>
            </w:r>
          </w:p>
        </w:tc>
        <w:tc>
          <w:tcPr>
            <w:tcW w:w="1300" w:type="dxa"/>
          </w:tcPr>
          <w:p w:rsidR="00AC0832" w:rsidRDefault="00AC0832">
            <w:pPr>
              <w:pStyle w:val="CellColumn"/>
            </w:pPr>
            <w:r>
              <w:t>EUR</w:t>
            </w:r>
          </w:p>
        </w:tc>
        <w:tc>
          <w:tcPr>
            <w:tcW w:w="1300" w:type="dxa"/>
          </w:tcPr>
          <w:p w:rsidR="00AC0832" w:rsidRDefault="00AC0832">
            <w:pPr>
              <w:pStyle w:val="CellColumn"/>
            </w:pPr>
            <w:r>
              <w:t>1.800.000,00 EUR</w:t>
            </w:r>
          </w:p>
        </w:tc>
        <w:tc>
          <w:tcPr>
            <w:tcW w:w="1300" w:type="dxa"/>
          </w:tcPr>
          <w:p w:rsidR="00AC0832" w:rsidRDefault="00AC0832">
            <w:pPr>
              <w:pStyle w:val="CellColumn"/>
            </w:pPr>
            <w:r>
              <w:t>Godišnja monitoring izvješća programa</w:t>
            </w:r>
          </w:p>
        </w:tc>
        <w:tc>
          <w:tcPr>
            <w:tcW w:w="1300" w:type="dxa"/>
          </w:tcPr>
          <w:p w:rsidR="00AC0832" w:rsidRDefault="00AC0832">
            <w:pPr>
              <w:pStyle w:val="CellColumn"/>
            </w:pPr>
            <w:r>
              <w:t>5.400.000,00 EUR</w:t>
            </w:r>
          </w:p>
        </w:tc>
        <w:tc>
          <w:tcPr>
            <w:tcW w:w="1300" w:type="dxa"/>
          </w:tcPr>
          <w:p w:rsidR="00AC0832" w:rsidRDefault="00AC0832">
            <w:pPr>
              <w:pStyle w:val="CellColumn"/>
            </w:pPr>
            <w:r>
              <w:t>2.700.000,00 EUR</w:t>
            </w:r>
          </w:p>
        </w:tc>
      </w:tr>
    </w:tbl>
    <w:p w:rsidR="00AC0832" w:rsidRDefault="00AC0832">
      <w:pPr>
        <w:jc w:val="left"/>
      </w:pPr>
    </w:p>
    <w:p w:rsidR="00AC0832" w:rsidRDefault="00AC0832">
      <w:pPr>
        <w:pStyle w:val="Heading6"/>
      </w:pPr>
      <w:r>
        <w:t>K820040 IPA II 2009. PROGRAM PREKOGRANIČNE SURADNJE HRVATSKA-CRNA GORA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K820040-IPA II 2009. PROGRAM PREKOGRANIČNE SURADNJE HRVATSKA-CRNA GORA</w:t>
            </w:r>
          </w:p>
        </w:tc>
        <w:tc>
          <w:tcPr>
            <w:tcW w:w="2322" w:type="dxa"/>
          </w:tcPr>
          <w:p w:rsidR="00AC0832" w:rsidRDefault="00AC0832">
            <w:pPr>
              <w:pStyle w:val="CellColumn"/>
            </w:pPr>
            <w:r>
              <w:t>561.000</w:t>
            </w:r>
          </w:p>
        </w:tc>
        <w:tc>
          <w:tcPr>
            <w:tcW w:w="2322" w:type="dxa"/>
          </w:tcPr>
          <w:p w:rsidR="00AC0832" w:rsidRDefault="00AC0832">
            <w:pPr>
              <w:pStyle w:val="CellColumn"/>
            </w:pPr>
            <w:r>
              <w:t>473.995</w:t>
            </w:r>
          </w:p>
        </w:tc>
        <w:tc>
          <w:tcPr>
            <w:tcW w:w="2322" w:type="dxa"/>
          </w:tcPr>
          <w:p w:rsidR="00AC0832" w:rsidRDefault="00AC0832">
            <w:pPr>
              <w:pStyle w:val="CellColumn"/>
            </w:pPr>
            <w:r>
              <w:t>84,5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okviru 2. poziva, ukupne vrijednosti 2.430.000,00 eura, od čega za hrvatske korisnike ukupno 1.080.000,00 eura, objavljenog u 2011. g., na natječaj se prijavilo ukupno 49 projektnih prijedloga. Ugovaranje je i dalje u tijeku, a u 2012. godini ukupna ugovorena vrijednost iznosi 180.000,00 eura. Zbog kašnjenja natječaja za dodjelu bespovratnih sredstava kojeg zajednički objavljuju obije države te posljedično i ugovaranja projekata, sredstva nisu mogla biti isplaćena korisnicima u planiranom roku te je došlo do slabijeg izvršenja na ovoj proračunskoj aktivnosti.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0"/>
        <w:gridCol w:w="1484"/>
        <w:gridCol w:w="1231"/>
        <w:gridCol w:w="1284"/>
        <w:gridCol w:w="1271"/>
        <w:gridCol w:w="1384"/>
        <w:gridCol w:w="128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održanih informativnih i edukativnih radionica, konferencija, tzv. kick-off sastanaka</w:t>
            </w:r>
          </w:p>
        </w:tc>
        <w:tc>
          <w:tcPr>
            <w:tcW w:w="1300" w:type="dxa"/>
          </w:tcPr>
          <w:p w:rsidR="00AC0832" w:rsidRDefault="00AC0832">
            <w:pPr>
              <w:pStyle w:val="CellColumn"/>
            </w:pPr>
            <w:r>
              <w:t xml:space="preserve">Informativne i edukativne radionice namijenjene su podizanju kapaciteta za upravljanje EU fondovima za predstavnike regionalne razine, kao i konferencije za nalaţenje projektnih partnera </w:t>
            </w:r>
          </w:p>
          <w:p w:rsidR="00AC0832" w:rsidRDefault="00AC0832">
            <w:pPr>
              <w:pStyle w:val="CellColumn"/>
            </w:pPr>
            <w:r>
              <w:t>(kumulativ)</w:t>
            </w:r>
          </w:p>
        </w:tc>
        <w:tc>
          <w:tcPr>
            <w:tcW w:w="1300" w:type="dxa"/>
          </w:tcPr>
          <w:p w:rsidR="00AC0832" w:rsidRDefault="00AC0832">
            <w:pPr>
              <w:pStyle w:val="CellColumn"/>
            </w:pPr>
            <w:r>
              <w:t>broj</w:t>
            </w:r>
          </w:p>
        </w:tc>
        <w:tc>
          <w:tcPr>
            <w:tcW w:w="1300" w:type="dxa"/>
          </w:tcPr>
          <w:p w:rsidR="00AC0832" w:rsidRDefault="00AC0832">
            <w:pPr>
              <w:pStyle w:val="CellColumn"/>
            </w:pPr>
            <w:r>
              <w:t>5</w:t>
            </w:r>
          </w:p>
        </w:tc>
        <w:tc>
          <w:tcPr>
            <w:tcW w:w="1300" w:type="dxa"/>
          </w:tcPr>
          <w:p w:rsidR="00AC0832" w:rsidRDefault="00AC0832">
            <w:pPr>
              <w:pStyle w:val="CellColumn"/>
            </w:pPr>
            <w:r>
              <w:t>Godišnja monitoring izvješća programa</w:t>
            </w:r>
          </w:p>
        </w:tc>
        <w:tc>
          <w:tcPr>
            <w:tcW w:w="1300" w:type="dxa"/>
          </w:tcPr>
          <w:p w:rsidR="00AC0832" w:rsidRDefault="00AC0832">
            <w:pPr>
              <w:pStyle w:val="CellColumn"/>
            </w:pPr>
            <w:r>
              <w:t>15</w:t>
            </w:r>
          </w:p>
        </w:tc>
        <w:tc>
          <w:tcPr>
            <w:tcW w:w="1300" w:type="dxa"/>
          </w:tcPr>
          <w:p w:rsidR="00AC0832" w:rsidRDefault="00AC0832">
            <w:pPr>
              <w:pStyle w:val="CellColumn"/>
            </w:pPr>
            <w:r>
              <w:t>6</w:t>
            </w:r>
          </w:p>
        </w:tc>
      </w:tr>
      <w:tr w:rsidR="00AC0832" w:rsidTr="00BE20ED">
        <w:trPr>
          <w:jc w:val="center"/>
        </w:trPr>
        <w:tc>
          <w:tcPr>
            <w:tcW w:w="1300" w:type="dxa"/>
          </w:tcPr>
          <w:p w:rsidR="00AC0832" w:rsidRDefault="00AC0832">
            <w:pPr>
              <w:pStyle w:val="CellColumn"/>
            </w:pPr>
            <w:r>
              <w:t>Povećanje broja prijavljenih projektnih prijedloga na natječaje</w:t>
            </w:r>
          </w:p>
        </w:tc>
        <w:tc>
          <w:tcPr>
            <w:tcW w:w="1300" w:type="dxa"/>
          </w:tcPr>
          <w:p w:rsidR="00AC0832" w:rsidRDefault="00AC0832">
            <w:pPr>
              <w:pStyle w:val="CellColumn"/>
            </w:pPr>
            <w:r>
              <w:t xml:space="preserve">Broj projektnih prijedloga prijavljenih na natječaj raspisan od strane Upravljačkog tijela (projekti prekogranične suradnje isključivo se nominiraju na sluţbeno raspisane natječaje). </w:t>
            </w:r>
          </w:p>
          <w:p w:rsidR="00AC0832" w:rsidRDefault="00AC0832">
            <w:pPr>
              <w:pStyle w:val="CellColumn"/>
            </w:pPr>
            <w:r>
              <w:t>(kumulativ)</w:t>
            </w:r>
          </w:p>
        </w:tc>
        <w:tc>
          <w:tcPr>
            <w:tcW w:w="1300" w:type="dxa"/>
          </w:tcPr>
          <w:p w:rsidR="00AC0832" w:rsidRDefault="00AC0832">
            <w:pPr>
              <w:pStyle w:val="CellColumn"/>
            </w:pPr>
            <w:r>
              <w:t>broj</w:t>
            </w:r>
          </w:p>
        </w:tc>
        <w:tc>
          <w:tcPr>
            <w:tcW w:w="1300" w:type="dxa"/>
          </w:tcPr>
          <w:p w:rsidR="00AC0832" w:rsidRDefault="00AC0832">
            <w:pPr>
              <w:pStyle w:val="CellColumn"/>
            </w:pPr>
            <w:r>
              <w:t>24</w:t>
            </w:r>
          </w:p>
        </w:tc>
        <w:tc>
          <w:tcPr>
            <w:tcW w:w="1300" w:type="dxa"/>
          </w:tcPr>
          <w:p w:rsidR="00AC0832" w:rsidRDefault="00AC0832">
            <w:pPr>
              <w:pStyle w:val="CellColumn"/>
            </w:pPr>
            <w:r>
              <w:t>Godišnja monitoring izvješća programa</w:t>
            </w:r>
          </w:p>
        </w:tc>
        <w:tc>
          <w:tcPr>
            <w:tcW w:w="1300" w:type="dxa"/>
          </w:tcPr>
          <w:p w:rsidR="00AC0832" w:rsidRDefault="00AC0832">
            <w:pPr>
              <w:pStyle w:val="CellColumn"/>
            </w:pPr>
            <w:r>
              <w:t>55</w:t>
            </w:r>
          </w:p>
        </w:tc>
        <w:tc>
          <w:tcPr>
            <w:tcW w:w="1300" w:type="dxa"/>
          </w:tcPr>
          <w:p w:rsidR="00AC0832" w:rsidRDefault="00AC0832">
            <w:pPr>
              <w:pStyle w:val="CellColumn"/>
            </w:pPr>
            <w:r>
              <w:t>73</w:t>
            </w:r>
          </w:p>
        </w:tc>
      </w:tr>
      <w:tr w:rsidR="00AC0832" w:rsidTr="00BE20ED">
        <w:trPr>
          <w:jc w:val="center"/>
        </w:trPr>
        <w:tc>
          <w:tcPr>
            <w:tcW w:w="1300" w:type="dxa"/>
          </w:tcPr>
          <w:p w:rsidR="00AC0832" w:rsidRDefault="00AC0832">
            <w:pPr>
              <w:pStyle w:val="CellColumn"/>
            </w:pPr>
            <w:r>
              <w:t>Povećanje financijske vrijednosti ugovorenih projekata s natječaja</w:t>
            </w:r>
          </w:p>
        </w:tc>
        <w:tc>
          <w:tcPr>
            <w:tcW w:w="1300" w:type="dxa"/>
          </w:tcPr>
          <w:p w:rsidR="00AC0832" w:rsidRDefault="00AC0832">
            <w:pPr>
              <w:pStyle w:val="CellColumn"/>
            </w:pPr>
            <w:r>
              <w:t xml:space="preserve">Financijska vrijednost aktivnosti hrvatskih partnera u ugovorenim projektima u kojima sudjeluju hrvatski partneri </w:t>
            </w:r>
          </w:p>
          <w:p w:rsidR="00AC0832" w:rsidRDefault="00AC0832">
            <w:pPr>
              <w:pStyle w:val="CellColumn"/>
            </w:pPr>
            <w:r>
              <w:t>(kumulativ)</w:t>
            </w:r>
          </w:p>
        </w:tc>
        <w:tc>
          <w:tcPr>
            <w:tcW w:w="1300" w:type="dxa"/>
          </w:tcPr>
          <w:p w:rsidR="00AC0832" w:rsidRDefault="00AC0832">
            <w:pPr>
              <w:pStyle w:val="CellColumn"/>
            </w:pPr>
            <w:r>
              <w:t>EUR</w:t>
            </w:r>
          </w:p>
        </w:tc>
        <w:tc>
          <w:tcPr>
            <w:tcW w:w="1300" w:type="dxa"/>
          </w:tcPr>
          <w:p w:rsidR="00AC0832" w:rsidRDefault="00AC0832">
            <w:pPr>
              <w:pStyle w:val="CellColumn"/>
            </w:pPr>
            <w:r>
              <w:t>720.000,00 EUR</w:t>
            </w:r>
          </w:p>
        </w:tc>
        <w:tc>
          <w:tcPr>
            <w:tcW w:w="1300" w:type="dxa"/>
          </w:tcPr>
          <w:p w:rsidR="00AC0832" w:rsidRDefault="00AC0832">
            <w:pPr>
              <w:pStyle w:val="CellColumn"/>
            </w:pPr>
            <w:r>
              <w:t>Godišnja monitoring izvješća programa</w:t>
            </w:r>
          </w:p>
        </w:tc>
        <w:tc>
          <w:tcPr>
            <w:tcW w:w="1300" w:type="dxa"/>
          </w:tcPr>
          <w:p w:rsidR="00AC0832" w:rsidRDefault="00AC0832">
            <w:pPr>
              <w:pStyle w:val="CellColumn"/>
            </w:pPr>
            <w:r>
              <w:t>1.900.000,00 EUR</w:t>
            </w:r>
          </w:p>
        </w:tc>
        <w:tc>
          <w:tcPr>
            <w:tcW w:w="1300" w:type="dxa"/>
          </w:tcPr>
          <w:p w:rsidR="00AC0832" w:rsidRDefault="00AC0832">
            <w:pPr>
              <w:pStyle w:val="CellColumn"/>
            </w:pPr>
            <w:r>
              <w:t>900.000,00 EUR</w:t>
            </w:r>
          </w:p>
        </w:tc>
      </w:tr>
    </w:tbl>
    <w:p w:rsidR="00AC0832" w:rsidRDefault="00AC0832">
      <w:pPr>
        <w:jc w:val="left"/>
      </w:pPr>
    </w:p>
    <w:p w:rsidR="00AC0832" w:rsidRDefault="00AC0832">
      <w:pPr>
        <w:pStyle w:val="Heading6"/>
      </w:pPr>
      <w:r>
        <w:t>K828011 IPA II PROGRAM PREKOGRANIČNE SURADNJE HRVATSKA-MAĐARSKA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K828011-IPA II PROGRAM PREKOGRANIČNE SURADNJE HRVATSKA-MAĐARSKA</w:t>
            </w:r>
          </w:p>
        </w:tc>
        <w:tc>
          <w:tcPr>
            <w:tcW w:w="2322" w:type="dxa"/>
          </w:tcPr>
          <w:p w:rsidR="00AC0832" w:rsidRDefault="00AC0832">
            <w:pPr>
              <w:pStyle w:val="CellColumn"/>
            </w:pPr>
            <w:r>
              <w:t>4.325.800</w:t>
            </w:r>
          </w:p>
        </w:tc>
        <w:tc>
          <w:tcPr>
            <w:tcW w:w="2322" w:type="dxa"/>
          </w:tcPr>
          <w:p w:rsidR="00AC0832" w:rsidRDefault="00AC0832">
            <w:pPr>
              <w:pStyle w:val="CellColumn"/>
            </w:pPr>
            <w:r>
              <w:t>3.233.244</w:t>
            </w:r>
          </w:p>
        </w:tc>
        <w:tc>
          <w:tcPr>
            <w:tcW w:w="2322" w:type="dxa"/>
          </w:tcPr>
          <w:p w:rsidR="00AC0832" w:rsidRDefault="00AC0832">
            <w:pPr>
              <w:pStyle w:val="CellColumn"/>
            </w:pPr>
            <w:r>
              <w:t>74,7</w:t>
            </w:r>
          </w:p>
        </w:tc>
      </w:tr>
    </w:tbl>
    <w:p w:rsidR="00AC0832" w:rsidRDefault="00AC0832">
      <w:pPr>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Sredstvima osiguranim u proračunu na aktivnosti IPA prekograničnog programa Mađarska– Hrvatska, financirala su se dva projekta. Prvi projekt je projekt tehničke pomoći "Uspostava kontrolnog sustava u Republici Hrvatskoj" unutar kojeg su se odvijale  sljedeće aktivnosti: administrativna ovjera Zahtjeva za povrat sredstava, ovjera usklađenosti troškova sa aktivnostima, odluka o prihvatljivosti troškova, priprema deklaracija o potvrđenim troškovima za korisnike, terenske provjere, javna nabava, EU horizontalna pravila,informiranje i promidžba. Drugi projekt tehničke pomoći je "Uspostava rada Info točke" unutar kojega su se odvijale sljedeće aktivnosti: kontakt točka za projektne prijavitelje i partnere na regionalnoj razini, predstavljanje Programa na regionalnoj razini kako bi partneri bili u mogućnosti prikupiti informacije nužne za razvijanje projekta,odgovor na zahtjeve Zajedničkog tehničkog tajništva u odabiru projekata i evaluacijskom procesu sukladno programskim procedurama, pomoć Zajedničkom tehničkom tajništvu u pripremi ugovora sa glavnim korisnicima kao i pomoć projektnim partnerima u provedbi projekata i financijskom upravljanju projekata.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0"/>
        <w:gridCol w:w="1484"/>
        <w:gridCol w:w="1280"/>
        <w:gridCol w:w="1290"/>
        <w:gridCol w:w="1292"/>
        <w:gridCol w:w="1296"/>
        <w:gridCol w:w="129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održanih informativnih i edukativnih radionica, konferencija, tzv. kick-off sastanaka</w:t>
            </w:r>
          </w:p>
        </w:tc>
        <w:tc>
          <w:tcPr>
            <w:tcW w:w="1300" w:type="dxa"/>
          </w:tcPr>
          <w:p w:rsidR="00AC0832" w:rsidRDefault="00AC0832">
            <w:pPr>
              <w:pStyle w:val="CellColumn"/>
            </w:pPr>
            <w:r>
              <w:t xml:space="preserve">Informativne i edukativne radionice namijenjene su podizanju kapaciteta za upravljanje EU fondovima za predstavnike regionalne razine, kao i konferencije za nalaţenje projektnih partnera </w:t>
            </w:r>
          </w:p>
          <w:p w:rsidR="00AC0832" w:rsidRDefault="00AC0832">
            <w:pPr>
              <w:pStyle w:val="CellColumn"/>
            </w:pPr>
            <w:r>
              <w:t>(kumulativ)</w:t>
            </w:r>
          </w:p>
        </w:tc>
        <w:tc>
          <w:tcPr>
            <w:tcW w:w="1300" w:type="dxa"/>
          </w:tcPr>
          <w:p w:rsidR="00AC0832" w:rsidRDefault="00AC0832">
            <w:pPr>
              <w:pStyle w:val="CellColumn"/>
            </w:pPr>
            <w:r>
              <w:t>broj</w:t>
            </w:r>
          </w:p>
        </w:tc>
        <w:tc>
          <w:tcPr>
            <w:tcW w:w="1300" w:type="dxa"/>
          </w:tcPr>
          <w:p w:rsidR="00AC0832" w:rsidRDefault="00AC0832">
            <w:pPr>
              <w:pStyle w:val="CellColumn"/>
            </w:pPr>
            <w:r>
              <w:t>7</w:t>
            </w:r>
          </w:p>
        </w:tc>
        <w:tc>
          <w:tcPr>
            <w:tcW w:w="1300" w:type="dxa"/>
          </w:tcPr>
          <w:p w:rsidR="00AC0832" w:rsidRDefault="00AC0832">
            <w:pPr>
              <w:pStyle w:val="CellColumn"/>
            </w:pPr>
            <w:r>
              <w:t>Godišnja monitoring izvješća programa</w:t>
            </w:r>
          </w:p>
        </w:tc>
        <w:tc>
          <w:tcPr>
            <w:tcW w:w="1300" w:type="dxa"/>
          </w:tcPr>
          <w:p w:rsidR="00AC0832" w:rsidRDefault="00AC0832">
            <w:pPr>
              <w:pStyle w:val="CellColumn"/>
            </w:pPr>
            <w:r>
              <w:t>21</w:t>
            </w:r>
          </w:p>
        </w:tc>
        <w:tc>
          <w:tcPr>
            <w:tcW w:w="1300" w:type="dxa"/>
          </w:tcPr>
          <w:p w:rsidR="00AC0832" w:rsidRDefault="00AC0832">
            <w:pPr>
              <w:pStyle w:val="CellColumn"/>
            </w:pPr>
            <w:r>
              <w:t>14</w:t>
            </w:r>
          </w:p>
        </w:tc>
      </w:tr>
      <w:tr w:rsidR="00AC0832" w:rsidTr="00BE20ED">
        <w:trPr>
          <w:jc w:val="center"/>
        </w:trPr>
        <w:tc>
          <w:tcPr>
            <w:tcW w:w="1300" w:type="dxa"/>
          </w:tcPr>
          <w:p w:rsidR="00AC0832" w:rsidRDefault="00AC0832">
            <w:pPr>
              <w:pStyle w:val="CellColumn"/>
            </w:pPr>
            <w:r>
              <w:t>Povećanje broja prijavljenih projektnih prijedloga na natječaje</w:t>
            </w:r>
          </w:p>
        </w:tc>
        <w:tc>
          <w:tcPr>
            <w:tcW w:w="1300" w:type="dxa"/>
          </w:tcPr>
          <w:p w:rsidR="00AC0832" w:rsidRDefault="00AC0832">
            <w:pPr>
              <w:pStyle w:val="CellColumn"/>
            </w:pPr>
            <w:r>
              <w:t xml:space="preserve">Broj projektnih prijedloga prijavljenih na natječaj raspisan od strane Upravljačkog tijela (projekti prekogranične suradnje isključivo se nominiraju na sluţbeno raspisane natječaje). </w:t>
            </w:r>
          </w:p>
          <w:p w:rsidR="00AC0832" w:rsidRDefault="00AC0832">
            <w:pPr>
              <w:pStyle w:val="CellColumn"/>
            </w:pPr>
            <w:r>
              <w:t>(kumulativ)</w:t>
            </w:r>
          </w:p>
        </w:tc>
        <w:tc>
          <w:tcPr>
            <w:tcW w:w="1300" w:type="dxa"/>
          </w:tcPr>
          <w:p w:rsidR="00AC0832" w:rsidRDefault="00AC0832">
            <w:pPr>
              <w:pStyle w:val="CellColumn"/>
            </w:pPr>
            <w:r>
              <w:t>broj</w:t>
            </w:r>
          </w:p>
        </w:tc>
        <w:tc>
          <w:tcPr>
            <w:tcW w:w="1300" w:type="dxa"/>
          </w:tcPr>
          <w:p w:rsidR="00AC0832" w:rsidRDefault="00AC0832">
            <w:pPr>
              <w:pStyle w:val="CellColumn"/>
            </w:pPr>
            <w:r>
              <w:t>67</w:t>
            </w:r>
          </w:p>
        </w:tc>
        <w:tc>
          <w:tcPr>
            <w:tcW w:w="1300" w:type="dxa"/>
          </w:tcPr>
          <w:p w:rsidR="00AC0832" w:rsidRDefault="00AC0832">
            <w:pPr>
              <w:pStyle w:val="CellColumn"/>
            </w:pPr>
            <w:r>
              <w:t>Godišnja monitoring izvješća programa</w:t>
            </w:r>
          </w:p>
        </w:tc>
        <w:tc>
          <w:tcPr>
            <w:tcW w:w="1300" w:type="dxa"/>
          </w:tcPr>
          <w:p w:rsidR="00AC0832" w:rsidRDefault="00AC0832">
            <w:pPr>
              <w:pStyle w:val="CellColumn"/>
            </w:pPr>
            <w:r>
              <w:t>210</w:t>
            </w:r>
          </w:p>
        </w:tc>
        <w:tc>
          <w:tcPr>
            <w:tcW w:w="1300" w:type="dxa"/>
          </w:tcPr>
          <w:p w:rsidR="00AC0832" w:rsidRDefault="00AC0832">
            <w:pPr>
              <w:pStyle w:val="CellColumn"/>
            </w:pPr>
            <w:r>
              <w:t>315</w:t>
            </w:r>
          </w:p>
        </w:tc>
      </w:tr>
      <w:tr w:rsidR="00AC0832" w:rsidTr="00BE20ED">
        <w:trPr>
          <w:jc w:val="center"/>
        </w:trPr>
        <w:tc>
          <w:tcPr>
            <w:tcW w:w="1300" w:type="dxa"/>
          </w:tcPr>
          <w:p w:rsidR="00AC0832" w:rsidRDefault="00AC0832">
            <w:pPr>
              <w:pStyle w:val="CellColumn"/>
            </w:pPr>
            <w:r>
              <w:t>Povećanje financijske vrijednosti ugovorenih projekata s natječaja</w:t>
            </w:r>
          </w:p>
        </w:tc>
        <w:tc>
          <w:tcPr>
            <w:tcW w:w="1300" w:type="dxa"/>
          </w:tcPr>
          <w:p w:rsidR="00AC0832" w:rsidRDefault="00AC0832">
            <w:pPr>
              <w:pStyle w:val="CellColumn"/>
            </w:pPr>
            <w:r>
              <w:t xml:space="preserve">Financijska vrijednost aktivnosti hrvatskih partnera u ugovorenim projektima u kojima sudjeluju hrvatski partneri </w:t>
            </w:r>
          </w:p>
          <w:p w:rsidR="00AC0832" w:rsidRDefault="00AC0832">
            <w:pPr>
              <w:pStyle w:val="CellColumn"/>
            </w:pPr>
            <w:r>
              <w:t>(kumulativ)</w:t>
            </w:r>
          </w:p>
        </w:tc>
        <w:tc>
          <w:tcPr>
            <w:tcW w:w="1300" w:type="dxa"/>
          </w:tcPr>
          <w:p w:rsidR="00AC0832" w:rsidRDefault="00AC0832">
            <w:pPr>
              <w:pStyle w:val="CellColumn"/>
            </w:pPr>
            <w:r>
              <w:t>broj</w:t>
            </w:r>
          </w:p>
        </w:tc>
        <w:tc>
          <w:tcPr>
            <w:tcW w:w="1300" w:type="dxa"/>
          </w:tcPr>
          <w:p w:rsidR="00AC0832" w:rsidRDefault="00AC0832">
            <w:pPr>
              <w:pStyle w:val="CellColumn"/>
            </w:pPr>
            <w:r>
              <w:t>6.100.000 EUR</w:t>
            </w:r>
          </w:p>
        </w:tc>
        <w:tc>
          <w:tcPr>
            <w:tcW w:w="1300" w:type="dxa"/>
          </w:tcPr>
          <w:p w:rsidR="00AC0832" w:rsidRDefault="00AC0832">
            <w:pPr>
              <w:pStyle w:val="CellColumn"/>
            </w:pPr>
            <w:r>
              <w:t>Godišnja monitoring izvješća programa</w:t>
            </w:r>
          </w:p>
        </w:tc>
        <w:tc>
          <w:tcPr>
            <w:tcW w:w="1300" w:type="dxa"/>
          </w:tcPr>
          <w:p w:rsidR="00AC0832" w:rsidRDefault="00AC0832">
            <w:pPr>
              <w:pStyle w:val="CellColumn"/>
            </w:pPr>
            <w:r>
              <w:t>18.000.000 EUR</w:t>
            </w:r>
          </w:p>
        </w:tc>
        <w:tc>
          <w:tcPr>
            <w:tcW w:w="1300" w:type="dxa"/>
          </w:tcPr>
          <w:p w:rsidR="00AC0832" w:rsidRDefault="00AC0832">
            <w:pPr>
              <w:pStyle w:val="CellColumn"/>
            </w:pPr>
            <w:r>
              <w:t>25.000.000 EUR</w:t>
            </w:r>
          </w:p>
        </w:tc>
      </w:tr>
    </w:tbl>
    <w:p w:rsidR="00AC0832" w:rsidRDefault="00AC0832">
      <w:pPr>
        <w:jc w:val="left"/>
      </w:pPr>
    </w:p>
    <w:p w:rsidR="00AC0832" w:rsidRDefault="00AC0832">
      <w:pPr>
        <w:pStyle w:val="Heading5"/>
      </w:pPr>
      <w:r>
        <w:t>3211 POTICANJE GOSPODARSKIH AKTIVNOSTI NA OTOCIMA I U PRIOBALJU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3211-POTICANJE GOSPODARSKIH AKTIVNOSTI NA OTOCIMA I U PRIOBALJU</w:t>
            </w:r>
          </w:p>
        </w:tc>
        <w:tc>
          <w:tcPr>
            <w:tcW w:w="2322" w:type="dxa"/>
          </w:tcPr>
          <w:p w:rsidR="00AC0832" w:rsidRDefault="00AC0832">
            <w:pPr>
              <w:pStyle w:val="CellColumn"/>
            </w:pPr>
            <w:r>
              <w:t>8.270.000</w:t>
            </w:r>
          </w:p>
        </w:tc>
        <w:tc>
          <w:tcPr>
            <w:tcW w:w="2322" w:type="dxa"/>
          </w:tcPr>
          <w:p w:rsidR="00AC0832" w:rsidRDefault="00AC0832">
            <w:pPr>
              <w:pStyle w:val="CellColumn"/>
            </w:pPr>
            <w:r>
              <w:t>8.127.585</w:t>
            </w:r>
          </w:p>
        </w:tc>
        <w:tc>
          <w:tcPr>
            <w:tcW w:w="2322" w:type="dxa"/>
          </w:tcPr>
          <w:p w:rsidR="00AC0832" w:rsidRDefault="00AC0832">
            <w:pPr>
              <w:pStyle w:val="CellColumn"/>
            </w:pPr>
            <w:r>
              <w:t>98,3</w:t>
            </w:r>
          </w:p>
        </w:tc>
      </w:tr>
    </w:tbl>
    <w:p w:rsidR="00AC0832" w:rsidRDefault="00AC0832">
      <w:pPr>
        <w:jc w:val="left"/>
      </w:pPr>
    </w:p>
    <w:p w:rsidR="00AC0832" w:rsidRDefault="00AC0832">
      <w:pPr>
        <w:pStyle w:val="Heading6"/>
      </w:pPr>
      <w:r>
        <w:t>Opis programa</w:t>
      </w:r>
    </w:p>
    <w:p w:rsidR="00AC0832" w:rsidRDefault="00AC0832">
      <w:pPr>
        <w:pStyle w:val="Normal5"/>
      </w:pPr>
      <w:r>
        <w:t>Realizacijom Programa razvoj gospodarstva na otocima i u priobalju stvara se preduvjet za ostanak i kvalitetan život stanovništva na području otoka i priobalja. Razvojem gospodarstva, omogućuje se zapošljavanje i ostvarenje egzistencijalnih potreba otočnog i priobalnog stanovništva. Svrha ovog programa je poticanje i razvoj svih grana gospodarstva, a naročito tradicionalnih gospodarskih djelatnosti karakterističnih za otoke i priobalje, koje se oslanjaju na njihove prirodne i geografske potencijale i komparativne prednosti. Ostvarenje  Programa omogućava potpore otočnim poslodavcima, te brendiranje izvornih tradicionalnih proizvoda.</w:t>
      </w:r>
    </w:p>
    <w:p w:rsidR="00AC0832" w:rsidRDefault="00AC0832">
      <w:pPr>
        <w:pStyle w:val="Heading6"/>
      </w:pPr>
      <w:r>
        <w:t>Zakonske i druge pravne osnove</w:t>
      </w:r>
    </w:p>
    <w:p w:rsidR="00AC0832" w:rsidRDefault="00AC0832">
      <w:pPr>
        <w:pStyle w:val="Normal5"/>
      </w:pPr>
      <w:r>
        <w:t>Nacionalni program razvitka otoka (1997.), Zakon o otocima (34/99., 149/99.32/02, 33/06.), Uredba o uvjetima, visini i načinu ostvarivanja prava dodjele državnih potpora male vrijednosti otočnim poslodavcima za očuvanje radnih mjesta (NN 77/06); Pravilnik o uvjetima, kriterijima i načinu označavanje proizvoda oznakom "hrvatski otočni proizvod" (NN 47/07)</w:t>
      </w:r>
    </w:p>
    <w:p w:rsidR="00AC0832" w:rsidRDefault="00AC0832">
      <w:pPr>
        <w:pStyle w:val="Heading7"/>
      </w:pPr>
      <w:r>
        <w:t>Cilj 1. Povećati broj stalno prijavljenih stanovnika na otocima i u priobalju i prosječni godišnji bruto domaći proizvod po stanovniku</w:t>
      </w:r>
    </w:p>
    <w:p w:rsidR="00AC0832" w:rsidRDefault="00AC0832">
      <w:pPr>
        <w:pStyle w:val="Heading8"/>
        <w:jc w:val="left"/>
      </w:pPr>
      <w:r>
        <w:t>Opis provedbe cilja programa</w:t>
      </w:r>
    </w:p>
    <w:p w:rsidR="00AC0832" w:rsidRDefault="00AC0832">
      <w:pPr>
        <w:pStyle w:val="Normal6"/>
      </w:pPr>
      <w:r>
        <w:t>Dodjelom potpora otočnim poslodavcima, koji imaju sjedište tvrtke ili obrta na otoku, omogućila se likvidnost otočnog privatnog poduzetništva te stvaranje pozitivne klime za očuvanje kao i otvaranje novih radnih mjesta i zapošljavanje domicilnog stanovništva. U cilju poticanja razvoja, te zaštite, promocije i podizanja kvalitete izvorne, tradicionalne i ekološke proizvodnje, tijekom godine uvedeno je označavanje proizvoda proizvedenih na otocima. Time se proizvodima s tih područja omogućila prepoznatljivost i bolji plasman na tržištu, kao i njihova promocija na domaćem i stranom tržištu.</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Prosječni  godišnji bruto domaći proizvod po stanovniku u kunama</w:t>
            </w:r>
          </w:p>
        </w:tc>
        <w:tc>
          <w:tcPr>
            <w:tcW w:w="1300" w:type="dxa"/>
          </w:tcPr>
          <w:p w:rsidR="00AC0832" w:rsidRDefault="00AC0832">
            <w:pPr>
              <w:pStyle w:val="CellColumn"/>
            </w:pPr>
            <w:r>
              <w:t>Stvaranjem boljih životnih uvjeta porasti će prosječni godišnji bruto domaći proizvod po stanovniku</w:t>
            </w:r>
          </w:p>
        </w:tc>
        <w:tc>
          <w:tcPr>
            <w:tcW w:w="1300" w:type="dxa"/>
          </w:tcPr>
          <w:p w:rsidR="00AC0832" w:rsidRDefault="00AC0832">
            <w:pPr>
              <w:pStyle w:val="CellColumn"/>
            </w:pPr>
            <w:r>
              <w:t>Prosječni godišnji BDP za 7 županija Jadranske Hrvatske</w:t>
            </w:r>
          </w:p>
        </w:tc>
        <w:tc>
          <w:tcPr>
            <w:tcW w:w="1300" w:type="dxa"/>
          </w:tcPr>
          <w:p w:rsidR="00AC0832" w:rsidRDefault="00AC0832">
            <w:pPr>
              <w:pStyle w:val="CellColumn"/>
            </w:pPr>
            <w:r>
              <w:t>69.482</w:t>
            </w:r>
          </w:p>
        </w:tc>
        <w:tc>
          <w:tcPr>
            <w:tcW w:w="1300" w:type="dxa"/>
          </w:tcPr>
          <w:p w:rsidR="00AC0832" w:rsidRDefault="00AC0832">
            <w:pPr>
              <w:pStyle w:val="CellColumn"/>
            </w:pPr>
            <w:r>
              <w:t>DZS</w:t>
            </w:r>
          </w:p>
        </w:tc>
        <w:tc>
          <w:tcPr>
            <w:tcW w:w="1300" w:type="dxa"/>
          </w:tcPr>
          <w:p w:rsidR="00AC0832" w:rsidRDefault="00AC0832">
            <w:pPr>
              <w:pStyle w:val="CellColumn"/>
            </w:pPr>
            <w:r>
              <w:t>70.878,59</w:t>
            </w:r>
          </w:p>
        </w:tc>
        <w:tc>
          <w:tcPr>
            <w:tcW w:w="1300" w:type="dxa"/>
          </w:tcPr>
          <w:p w:rsidR="00AC0832" w:rsidRDefault="00AC0832">
            <w:pPr>
              <w:pStyle w:val="CellColumn"/>
            </w:pPr>
            <w:r>
              <w:t>71.956</w:t>
            </w:r>
          </w:p>
        </w:tc>
      </w:tr>
    </w:tbl>
    <w:p w:rsidR="00AC0832" w:rsidRDefault="00AC0832">
      <w:pPr>
        <w:jc w:val="left"/>
      </w:pPr>
    </w:p>
    <w:p w:rsidR="00AC0832" w:rsidRDefault="00AC0832">
      <w:pPr>
        <w:pStyle w:val="Heading6"/>
      </w:pPr>
      <w:r>
        <w:t>A570356 POTICANJE OTOČNOG GOSPODARSTVA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A570356-POTICANJE OTOČNOG GOSPODARSTVA</w:t>
            </w:r>
          </w:p>
        </w:tc>
        <w:tc>
          <w:tcPr>
            <w:tcW w:w="2322" w:type="dxa"/>
          </w:tcPr>
          <w:p w:rsidR="00AC0832" w:rsidRDefault="00AC0832">
            <w:pPr>
              <w:pStyle w:val="CellColumn"/>
            </w:pPr>
            <w:r>
              <w:t>8.000.000</w:t>
            </w:r>
          </w:p>
        </w:tc>
        <w:tc>
          <w:tcPr>
            <w:tcW w:w="2322" w:type="dxa"/>
          </w:tcPr>
          <w:p w:rsidR="00AC0832" w:rsidRDefault="00AC0832">
            <w:pPr>
              <w:pStyle w:val="CellColumn"/>
            </w:pPr>
            <w:r>
              <w:t>8.000.000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Sredstva ove aktivnosti namijenjena su za provođenje mjere razvoja i unaprjeđenja otočnog gospodarstva kroz dodjelu državnih potpora male vrijednosti otočnim poslodavcima za očuvanje radnih mjesta. Mjera se provodi od 2006. godine sukladno odredbi članka 26. Zakona o otocima, a cilj provođenja je poslodavcima koji imaju sjedište i svoju djelatnost obavljaju na otocima pomoći u poslovanju na način da za svakog zaposlenog djelatnika s prebivalištem na otoku dobiju iznos potpore u visini jedne prosječne mjesečne bruto plaće (na otocima I skupine – slabo razvijenim i nerazvijenim) ili pola tog iznosa (na otocima II skupine – razvijenijim otocima) te im se na taj način pomogne u smanjenju troškova njihovog poslovanja a time i stvore uvjeti za očuvanje postojećih radnih mjesta ali i omogući lakše zapošljavanje novih djelatnika, čime će se unaprijediti poslovanje i razvoj otočnih firmi kao i razvoj otočnog gospodarstva.Temeljem Javnog poziva u 2012. godini, na ovoj aktivnosti je utrošeno 8 mil kn za potpore otočnim poslodavcima, i to je potporu dobilo 157 poslodavaca za 2.486 zaposlenika.</w:t>
      </w:r>
    </w:p>
    <w:p w:rsidR="00AC0832" w:rsidRDefault="00AC0832">
      <w:pPr>
        <w:pStyle w:val="Heading6"/>
      </w:pPr>
      <w:r>
        <w:t>A819012 HRVATSKI OTOČNI PROIZVOD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A819012-HRVATSKI OTOČNI PROIZVOD</w:t>
            </w:r>
          </w:p>
        </w:tc>
        <w:tc>
          <w:tcPr>
            <w:tcW w:w="2322" w:type="dxa"/>
          </w:tcPr>
          <w:p w:rsidR="00AC0832" w:rsidRDefault="00AC0832">
            <w:pPr>
              <w:pStyle w:val="CellColumn"/>
            </w:pPr>
            <w:r>
              <w:t>270.000</w:t>
            </w:r>
          </w:p>
        </w:tc>
        <w:tc>
          <w:tcPr>
            <w:tcW w:w="2322" w:type="dxa"/>
          </w:tcPr>
          <w:p w:rsidR="00AC0832" w:rsidRDefault="00AC0832">
            <w:pPr>
              <w:pStyle w:val="CellColumn"/>
            </w:pPr>
            <w:r>
              <w:t>127.586</w:t>
            </w:r>
          </w:p>
        </w:tc>
        <w:tc>
          <w:tcPr>
            <w:tcW w:w="2322" w:type="dxa"/>
          </w:tcPr>
          <w:p w:rsidR="00AC0832" w:rsidRDefault="00AC0832">
            <w:pPr>
              <w:pStyle w:val="CellColumn"/>
            </w:pPr>
            <w:r>
              <w:t>47,3</w:t>
            </w:r>
          </w:p>
        </w:tc>
      </w:tr>
    </w:tbl>
    <w:p w:rsidR="00AC0832" w:rsidRDefault="00AC0832">
      <w:pPr>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Provedba aktivnosti započela je početkom 2007. godine. Provedba aktivnosti odnosi se na projekt vizualnog označavanja otočnih proizvoda oznakom „Hrvatski otočni proizvod“ (HOP) s namjerom poticanja otočnih proizvođača u proizvodnji izvornih i kvalitetnih proizvoda. Projekt ima višestruke učinke, a najvažniji su gospodarski i demografski - otočni proizvođači kroz samozapošljavanje stvaraju proizvode natprosječne kvalitete stvarajući tako sebi i svojim obiteljima uvjete za opstanak i ostanak na hrvatskim otocima. Početkom 2012. godine raspisan je šesti javni poziv putem kojeg su otočni proizvođači mogli svoje proizvode prijaviti za dodjelu oznake „Hrvatski otočni proizvod“. Po obradi zahtjeva oznake su dobili 47 otočnih proizvođača za 79 proizvoda/linija. Za promociju oznake, otočnih proizvođača i njihovih proizvoda, te za provođenje procedure dobivanja oznake, u 2012. godini Ministarstvo je izdvojilo preko 127 tisuća kuna. Projekt se vrlo brzo razvija, širi se njegova distributivna mreža, te se u 2013. godini očekuju izvrsni poslovni rezultati (korisnika projekta).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28"/>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brendiranih proizvoda</w:t>
            </w:r>
          </w:p>
        </w:tc>
        <w:tc>
          <w:tcPr>
            <w:tcW w:w="1300" w:type="dxa"/>
          </w:tcPr>
          <w:p w:rsidR="00AC0832" w:rsidRDefault="00AC0832">
            <w:pPr>
              <w:pStyle w:val="CellColumn"/>
            </w:pPr>
            <w:r>
              <w:t>Povećanjem broja brendiranih proizvoda očekuje se povećanje zapošljavanja i jačanje marketinške pozicije na tržištu</w:t>
            </w:r>
          </w:p>
        </w:tc>
        <w:tc>
          <w:tcPr>
            <w:tcW w:w="1300" w:type="dxa"/>
          </w:tcPr>
          <w:p w:rsidR="00AC0832" w:rsidRDefault="00AC0832">
            <w:pPr>
              <w:pStyle w:val="CellColumn"/>
            </w:pPr>
            <w:r>
              <w:t>Broj</w:t>
            </w:r>
          </w:p>
        </w:tc>
        <w:tc>
          <w:tcPr>
            <w:tcW w:w="1300" w:type="dxa"/>
          </w:tcPr>
          <w:p w:rsidR="00AC0832" w:rsidRDefault="00AC0832">
            <w:pPr>
              <w:pStyle w:val="CellColumn"/>
            </w:pPr>
            <w:r>
              <w:t>97</w:t>
            </w:r>
          </w:p>
        </w:tc>
        <w:tc>
          <w:tcPr>
            <w:tcW w:w="1300" w:type="dxa"/>
          </w:tcPr>
          <w:p w:rsidR="00AC0832" w:rsidRDefault="00AC0832">
            <w:pPr>
              <w:pStyle w:val="CellColumn"/>
            </w:pPr>
            <w:r>
              <w:t>MRRFEU</w:t>
            </w:r>
          </w:p>
        </w:tc>
        <w:tc>
          <w:tcPr>
            <w:tcW w:w="1300" w:type="dxa"/>
          </w:tcPr>
          <w:p w:rsidR="00AC0832" w:rsidRDefault="00AC0832">
            <w:pPr>
              <w:pStyle w:val="CellColumn"/>
            </w:pPr>
            <w:r>
              <w:t>240</w:t>
            </w:r>
          </w:p>
        </w:tc>
        <w:tc>
          <w:tcPr>
            <w:tcW w:w="1300" w:type="dxa"/>
          </w:tcPr>
          <w:p w:rsidR="00AC0832" w:rsidRDefault="00AC0832">
            <w:pPr>
              <w:pStyle w:val="CellColumn"/>
            </w:pPr>
            <w:r>
              <w:t>334</w:t>
            </w:r>
          </w:p>
        </w:tc>
      </w:tr>
    </w:tbl>
    <w:p w:rsidR="00AC0832" w:rsidRDefault="00AC0832">
      <w:pPr>
        <w:jc w:val="left"/>
      </w:pPr>
    </w:p>
    <w:p w:rsidR="00AC0832" w:rsidRDefault="00AC0832">
      <w:pPr>
        <w:pStyle w:val="Heading5"/>
      </w:pPr>
      <w:r>
        <w:t>3507 POTICANJE KOMUNALNE I DRUŠTVENE INFRASTRUKTURE NA OTOCIMA I U PRIOBALJU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3507-POTICANJE KOMUNALNE I DRUŠTVENE INFRASTRUKTURE NA OTOCIMA I U PRIOBALJU</w:t>
            </w:r>
          </w:p>
        </w:tc>
        <w:tc>
          <w:tcPr>
            <w:tcW w:w="2322" w:type="dxa"/>
          </w:tcPr>
          <w:p w:rsidR="00AC0832" w:rsidRDefault="00AC0832">
            <w:pPr>
              <w:pStyle w:val="CellColumn"/>
            </w:pPr>
            <w:r>
              <w:t>112.176.984</w:t>
            </w:r>
          </w:p>
        </w:tc>
        <w:tc>
          <w:tcPr>
            <w:tcW w:w="2322" w:type="dxa"/>
          </w:tcPr>
          <w:p w:rsidR="00AC0832" w:rsidRDefault="00AC0832">
            <w:pPr>
              <w:pStyle w:val="CellColumn"/>
            </w:pPr>
            <w:r>
              <w:t>109.995.703</w:t>
            </w:r>
          </w:p>
        </w:tc>
        <w:tc>
          <w:tcPr>
            <w:tcW w:w="2322" w:type="dxa"/>
          </w:tcPr>
          <w:p w:rsidR="00AC0832" w:rsidRDefault="00AC0832">
            <w:pPr>
              <w:pStyle w:val="CellColumn"/>
            </w:pPr>
            <w:r>
              <w:t>98,1</w:t>
            </w:r>
          </w:p>
        </w:tc>
      </w:tr>
    </w:tbl>
    <w:p w:rsidR="00AC0832" w:rsidRDefault="00AC0832">
      <w:pPr>
        <w:jc w:val="left"/>
      </w:pPr>
    </w:p>
    <w:p w:rsidR="00AC0832" w:rsidRDefault="00AC0832">
      <w:pPr>
        <w:pStyle w:val="Heading6"/>
      </w:pPr>
      <w:r>
        <w:t>Opis programa</w:t>
      </w:r>
    </w:p>
    <w:p w:rsidR="00AC0832" w:rsidRDefault="00AC0832">
      <w:pPr>
        <w:pStyle w:val="Normal5"/>
      </w:pPr>
      <w:r>
        <w:t>Programom gradnje komunalne i društvene infrastrukture na otocima i u priobalju stvaraju se osnovni preduvjeti za kvalitetniji život stanovništva na otocima i u priobalju čemu svakako doprinosi izgrađena komunalna i društvena nfrastruktura, koja podrazumijeva opskrbu domaćinstava pitkom vodom, te zbrinjavanje otpadnih i oborinskih voda, kao i izgradnju novih i sanaciju postojećih deponija otpada u cilju zaštite okoliša i sprečavanja onečišćenja obalnih područja otoka i priobalja. Isto tako, neophodan je i razvoj  društvene infrastrukture kroz izgradnju dječjih vrtića, škola, športskih dvorana, kao i domova za starije i nemoćne i zdravstvenih ustanova. Osnovni temelj za pokretanje ovog programa su iskazani prioriteti jedinica lokalne i regionalne samouprave na otocima i u priobalju za koje se i u 2012. godini raspisao poziv za „Očitovanje o potrebama korištenja sredstva iz Državnog Proračuna“, na osnovu kojih su odabrani  pravi i za zajednicu korisni projekti za unaprjeđenje lokalne i regionalne samouprave. Osmišljenom, planskom i ciljanom skrbi za stanovništvo na otocima i u priobalju i učinkovitim ulaganjem sredstava državnog proračuna kroz program gradnje komunalne i društvene infrastrukture daje se puna potpora svim razvojnim projektima kojima se omogućuje održivo korištenje postojećih resursa.</w:t>
      </w:r>
    </w:p>
    <w:p w:rsidR="00AC0832" w:rsidRDefault="00AC0832">
      <w:pPr>
        <w:pStyle w:val="Heading6"/>
      </w:pPr>
      <w:r>
        <w:t>Zakonske i druge pravne osnove</w:t>
      </w:r>
    </w:p>
    <w:p w:rsidR="00AC0832" w:rsidRDefault="00AC0832">
      <w:pPr>
        <w:pStyle w:val="Normal5"/>
      </w:pPr>
      <w:r>
        <w:t>Nacionalni program razvitka otoka (1997.); Zakon o otocima (Narodne novine 34/99, 149/99, 32/02, 33/06);  Naputak o načinu i uvjetima korištenja dijela poreza na dohodak ustupljenog općinama i gradovima na otocima (Narodne novine 119/01, 2/03),  Državni  program  uređenja  posjedovne  i  vlasničkopravne  evidencije  (katastra  i zemljišnih knjiga) na otocima (2000.) i  Državni program zaštite i korištenja malih, povremeno nastanjenih i nenastanjenih otoka i okolnog mora (2007.).</w:t>
      </w:r>
    </w:p>
    <w:p w:rsidR="00AC0832" w:rsidRDefault="00AC0832">
      <w:pPr>
        <w:pStyle w:val="Heading7"/>
      </w:pPr>
      <w:r>
        <w:t>Cilj 1. Povećati broj stalno prijavljenih stanovnika na otocima i u priobalju</w:t>
      </w:r>
    </w:p>
    <w:p w:rsidR="00AC0832" w:rsidRDefault="00AC0832">
      <w:pPr>
        <w:pStyle w:val="Heading8"/>
        <w:jc w:val="left"/>
      </w:pPr>
      <w:r>
        <w:t>Opis provedbe cilja programa</w:t>
      </w:r>
    </w:p>
    <w:p w:rsidR="00AC0832" w:rsidRDefault="00AC0832">
      <w:pPr>
        <w:pStyle w:val="Normal6"/>
      </w:pPr>
      <w:r>
        <w:t>Cilj ovog programa je da hrvatski otoci i priobalje postanu i ostanu  područja na kojima se kvalitetno živi sa izgrađenim i učinkovitim sustavom primarnih i sekundarnih objekata obrazovne, društvene, prometne i komunalne infrastrukture.U cilju demografskog razvoja grade se dječji vrtići, škole i športske dvorane, kako bi djeca što dulje ostala u obiteljima ovih područja i time se stvorio jedan od preduvjeta za smanjenje odljeva stanovništva. Budući da je populacija na otocima i u priobalju uglavnom starije dobi, neophodna je izgradnja domova za starije i nemoćne osobe.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506"/>
        <w:gridCol w:w="1295"/>
        <w:gridCol w:w="1297"/>
        <w:gridCol w:w="1296"/>
        <w:gridCol w:w="1297"/>
        <w:gridCol w:w="129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Porast broja stanovnika na otocima</w:t>
            </w:r>
          </w:p>
        </w:tc>
        <w:tc>
          <w:tcPr>
            <w:tcW w:w="1300" w:type="dxa"/>
          </w:tcPr>
          <w:p w:rsidR="00AC0832" w:rsidRDefault="00AC0832">
            <w:pPr>
              <w:pStyle w:val="CellColumn"/>
            </w:pPr>
            <w:r>
              <w:t>Povećanjem razine izgrađenosti komunalne i društvene infrastrukture poboljšat će se uvjeti života na otocima što će rezultirati povećanjem broja stanovnika, odnosno smanjenom depopulacijom</w:t>
            </w:r>
          </w:p>
        </w:tc>
        <w:tc>
          <w:tcPr>
            <w:tcW w:w="1300" w:type="dxa"/>
          </w:tcPr>
          <w:p w:rsidR="00AC0832" w:rsidRDefault="00AC0832">
            <w:pPr>
              <w:pStyle w:val="CellColumn"/>
            </w:pPr>
            <w:r>
              <w:t>broj</w:t>
            </w:r>
          </w:p>
        </w:tc>
        <w:tc>
          <w:tcPr>
            <w:tcW w:w="1300" w:type="dxa"/>
          </w:tcPr>
          <w:p w:rsidR="00AC0832" w:rsidRDefault="00AC0832">
            <w:pPr>
              <w:pStyle w:val="CellColumn"/>
            </w:pPr>
            <w:r>
              <w:t>1.427.008</w:t>
            </w:r>
          </w:p>
        </w:tc>
        <w:tc>
          <w:tcPr>
            <w:tcW w:w="1300" w:type="dxa"/>
          </w:tcPr>
          <w:p w:rsidR="00AC0832" w:rsidRDefault="00AC0832">
            <w:pPr>
              <w:pStyle w:val="CellColumn"/>
            </w:pPr>
            <w:r>
              <w:t>DZS</w:t>
            </w:r>
          </w:p>
        </w:tc>
        <w:tc>
          <w:tcPr>
            <w:tcW w:w="1300" w:type="dxa"/>
          </w:tcPr>
          <w:p w:rsidR="00AC0832" w:rsidRDefault="00AC0832">
            <w:pPr>
              <w:pStyle w:val="CellColumn"/>
            </w:pPr>
            <w:r>
              <w:t>1.442.000</w:t>
            </w:r>
          </w:p>
        </w:tc>
        <w:tc>
          <w:tcPr>
            <w:tcW w:w="1300" w:type="dxa"/>
          </w:tcPr>
          <w:p w:rsidR="00AC0832" w:rsidRDefault="00AC0832">
            <w:pPr>
              <w:pStyle w:val="CellColumn"/>
            </w:pPr>
            <w:r>
              <w:t>1.413.328</w:t>
            </w:r>
          </w:p>
        </w:tc>
      </w:tr>
    </w:tbl>
    <w:p w:rsidR="00AC0832" w:rsidRDefault="00AC0832">
      <w:pPr>
        <w:jc w:val="left"/>
      </w:pPr>
    </w:p>
    <w:p w:rsidR="00AC0832" w:rsidRDefault="00AC0832">
      <w:pPr>
        <w:pStyle w:val="Heading6"/>
      </w:pPr>
      <w:r>
        <w:t>A570463 RAZVOJ JADRANSKIH OTOKA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A570463-RAZVOJ JADRANSKIH OTOKA</w:t>
            </w:r>
          </w:p>
        </w:tc>
        <w:tc>
          <w:tcPr>
            <w:tcW w:w="2322" w:type="dxa"/>
          </w:tcPr>
          <w:p w:rsidR="00AC0832" w:rsidRDefault="00AC0832">
            <w:pPr>
              <w:pStyle w:val="CellColumn"/>
            </w:pPr>
            <w:r>
              <w:t>9.611.371</w:t>
            </w:r>
          </w:p>
        </w:tc>
        <w:tc>
          <w:tcPr>
            <w:tcW w:w="2322" w:type="dxa"/>
          </w:tcPr>
          <w:p w:rsidR="00AC0832" w:rsidRDefault="00AC0832">
            <w:pPr>
              <w:pStyle w:val="CellColumn"/>
            </w:pPr>
            <w:r>
              <w:t>9.477.266</w:t>
            </w:r>
          </w:p>
        </w:tc>
        <w:tc>
          <w:tcPr>
            <w:tcW w:w="2322" w:type="dxa"/>
          </w:tcPr>
          <w:p w:rsidR="00AC0832" w:rsidRDefault="00AC0832">
            <w:pPr>
              <w:pStyle w:val="CellColumn"/>
            </w:pPr>
            <w:r>
              <w:t>98,6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Aktivnost se realizirala kroz ulaganja u kapitalne projekte otočne infrastrukture su ulaganja sa ciljem razvoja  prometne (ceste, poljski, šumski i protupožarni putovi), komunalne (vodoopskrbni sustavi i sustavi odvodnje) i društvene (škole, sportske dvorane, dječji vrtići, domovi kulture, domovi za starije, ambulante i domovi zdravlja, općinske zgrade, bazeni, vatrogasni domovi, sakralni objekti) infrastrukture. Ulaganja s računa tekućih pomoći namijenjena su za potpore jedinicama lokalne samouprave na otocima I. skupine – nedovoljno razvijeni i nerazvijeni otoci. Kroz Aktivnost A570463 – Razvoj jadranskih otoka u 2012. iz sredstva Državnog proračuna RH u hrvatske otoke uloženo je 9,5 mil kn i to u komunalnu infrastrukturu (vodoopskrba, odvodnja, nerazvrstane ceste…) 6,4 mil kn, dok su različiti projekti objedinjeni pod društvenu infrastrukturu (školski objekti, športski objekti, domovi kulture, Državni arhiv, Dom za starije…) sufinancirani u iznosu od 2,1 mil kn, te ulaganja u otočne Udruge i pomoć JLS na slabije razvijenim otocima.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8"/>
        <w:gridCol w:w="1384"/>
        <w:gridCol w:w="1267"/>
        <w:gridCol w:w="1278"/>
        <w:gridCol w:w="1278"/>
        <w:gridCol w:w="1278"/>
        <w:gridCol w:w="128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izgrađenih obj.komunalne i društvene infrastrukture</w:t>
            </w:r>
          </w:p>
        </w:tc>
        <w:tc>
          <w:tcPr>
            <w:tcW w:w="1300" w:type="dxa"/>
          </w:tcPr>
          <w:p w:rsidR="00AC0832" w:rsidRDefault="00AC0832">
            <w:pPr>
              <w:pStyle w:val="CellColumn"/>
            </w:pPr>
            <w:r>
              <w:t>Povećanjem broja izgrađene komunalne i društvene infrastrukture povećati će se kvaliteta života na otocima</w:t>
            </w:r>
          </w:p>
        </w:tc>
        <w:tc>
          <w:tcPr>
            <w:tcW w:w="1300" w:type="dxa"/>
          </w:tcPr>
          <w:p w:rsidR="00AC0832" w:rsidRDefault="00AC0832">
            <w:pPr>
              <w:pStyle w:val="CellColumn"/>
            </w:pPr>
            <w:r>
              <w:t>Broj</w:t>
            </w:r>
          </w:p>
        </w:tc>
        <w:tc>
          <w:tcPr>
            <w:tcW w:w="1300" w:type="dxa"/>
          </w:tcPr>
          <w:p w:rsidR="00AC0832" w:rsidRDefault="00AC0832">
            <w:pPr>
              <w:pStyle w:val="CellColumn"/>
            </w:pPr>
            <w:r>
              <w:t>Cca 400</w:t>
            </w:r>
          </w:p>
        </w:tc>
        <w:tc>
          <w:tcPr>
            <w:tcW w:w="1300" w:type="dxa"/>
          </w:tcPr>
          <w:p w:rsidR="00AC0832" w:rsidRDefault="00AC0832">
            <w:pPr>
              <w:pStyle w:val="CellColumn"/>
            </w:pPr>
            <w:r>
              <w:t>MRRFEU</w:t>
            </w:r>
          </w:p>
        </w:tc>
        <w:tc>
          <w:tcPr>
            <w:tcW w:w="1300" w:type="dxa"/>
          </w:tcPr>
          <w:p w:rsidR="00AC0832" w:rsidRDefault="00AC0832">
            <w:pPr>
              <w:pStyle w:val="CellColumn"/>
            </w:pPr>
            <w:r>
              <w:t>455</w:t>
            </w:r>
          </w:p>
        </w:tc>
        <w:tc>
          <w:tcPr>
            <w:tcW w:w="1300" w:type="dxa"/>
          </w:tcPr>
          <w:p w:rsidR="00AC0832" w:rsidRDefault="00AC0832">
            <w:pPr>
              <w:pStyle w:val="CellColumn"/>
            </w:pPr>
            <w:r>
              <w:t>460</w:t>
            </w:r>
          </w:p>
        </w:tc>
      </w:tr>
    </w:tbl>
    <w:p w:rsidR="00AC0832" w:rsidRDefault="00AC0832">
      <w:pPr>
        <w:jc w:val="left"/>
      </w:pPr>
    </w:p>
    <w:p w:rsidR="00AC0832" w:rsidRDefault="00AC0832">
      <w:pPr>
        <w:pStyle w:val="Heading6"/>
      </w:pPr>
      <w:r>
        <w:t>A820012 RAZVOJ PRIOBALJA I INFRASTRUKTURNIH PROJEKATA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A820012-RAZVOJ PRIOBALJA I INFRASTRUKTURNIH PROJEKATA</w:t>
            </w:r>
          </w:p>
        </w:tc>
        <w:tc>
          <w:tcPr>
            <w:tcW w:w="2322" w:type="dxa"/>
          </w:tcPr>
          <w:p w:rsidR="00AC0832" w:rsidRDefault="00AC0832">
            <w:pPr>
              <w:pStyle w:val="CellColumn"/>
            </w:pPr>
            <w:r>
              <w:t>8.113.506</w:t>
            </w:r>
          </w:p>
        </w:tc>
        <w:tc>
          <w:tcPr>
            <w:tcW w:w="2322" w:type="dxa"/>
          </w:tcPr>
          <w:p w:rsidR="00AC0832" w:rsidRDefault="00AC0832">
            <w:pPr>
              <w:pStyle w:val="CellColumn"/>
            </w:pPr>
            <w:r>
              <w:t>7.403.882</w:t>
            </w:r>
          </w:p>
        </w:tc>
        <w:tc>
          <w:tcPr>
            <w:tcW w:w="2322" w:type="dxa"/>
          </w:tcPr>
          <w:p w:rsidR="00AC0832" w:rsidRDefault="00AC0832">
            <w:pPr>
              <w:pStyle w:val="CellColumn"/>
            </w:pPr>
            <w:r>
              <w:t>91,3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Cilj ove aktivnosti je ujednačavanje razvoja priobalja i zaleđa s ostalim regijama u Republici Hrvatskoj. Ukupno je kroz aktivnost Razvoj priobalja i infrastrukturnih projekata u 2012. bilo uloženo 7,4 mil kn, od toga 0,8 mil kn u komunalnu infrastrukturu dok su različiti projekti objedinjeni pod društvenu infrastrukturu sufinancirani u iznosu od 6,6 mil kn uloženih sredstava u 2011. Realizirani su uglavnom svi ugovoreni radovi i usluge čime se pomoglo jedinicama lokalne samouprave u realizaciji započetih gradnji kao i u pripremi budućih investicija.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384"/>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izgrađenih objekata komunalne i društvene infrastrukture</w:t>
            </w:r>
          </w:p>
        </w:tc>
        <w:tc>
          <w:tcPr>
            <w:tcW w:w="1300" w:type="dxa"/>
          </w:tcPr>
          <w:p w:rsidR="00AC0832" w:rsidRDefault="00AC0832">
            <w:pPr>
              <w:pStyle w:val="CellColumn"/>
            </w:pPr>
            <w:r>
              <w:t>Povećanjem broja izgrađene komunalne i društvene infrastrukture povećati će se kvaliteta života na priobalju</w:t>
            </w:r>
          </w:p>
        </w:tc>
        <w:tc>
          <w:tcPr>
            <w:tcW w:w="1300" w:type="dxa"/>
          </w:tcPr>
          <w:p w:rsidR="00AC0832" w:rsidRDefault="00AC0832">
            <w:pPr>
              <w:pStyle w:val="CellColumn"/>
            </w:pPr>
            <w:r>
              <w:t>broj</w:t>
            </w:r>
          </w:p>
        </w:tc>
        <w:tc>
          <w:tcPr>
            <w:tcW w:w="1300" w:type="dxa"/>
          </w:tcPr>
          <w:p w:rsidR="00AC0832" w:rsidRDefault="00AC0832">
            <w:pPr>
              <w:pStyle w:val="CellColumn"/>
            </w:pPr>
            <w:r>
              <w:t>110</w:t>
            </w:r>
          </w:p>
        </w:tc>
        <w:tc>
          <w:tcPr>
            <w:tcW w:w="1300" w:type="dxa"/>
          </w:tcPr>
          <w:p w:rsidR="00AC0832" w:rsidRDefault="00AC0832">
            <w:pPr>
              <w:pStyle w:val="CellColumn"/>
            </w:pPr>
            <w:r>
              <w:t>MRRFEU</w:t>
            </w:r>
          </w:p>
        </w:tc>
        <w:tc>
          <w:tcPr>
            <w:tcW w:w="1300" w:type="dxa"/>
          </w:tcPr>
          <w:p w:rsidR="00AC0832" w:rsidRDefault="00AC0832">
            <w:pPr>
              <w:pStyle w:val="CellColumn"/>
            </w:pPr>
            <w:r>
              <w:t>170</w:t>
            </w:r>
          </w:p>
        </w:tc>
        <w:tc>
          <w:tcPr>
            <w:tcW w:w="1300" w:type="dxa"/>
          </w:tcPr>
          <w:p w:rsidR="00AC0832" w:rsidRDefault="00AC0832">
            <w:pPr>
              <w:pStyle w:val="CellColumn"/>
            </w:pPr>
            <w:r>
              <w:t>133</w:t>
            </w:r>
          </w:p>
        </w:tc>
      </w:tr>
    </w:tbl>
    <w:p w:rsidR="00AC0832" w:rsidRDefault="00AC0832">
      <w:pPr>
        <w:jc w:val="left"/>
      </w:pPr>
    </w:p>
    <w:p w:rsidR="00AC0832" w:rsidRDefault="00AC0832">
      <w:pPr>
        <w:pStyle w:val="Heading6"/>
      </w:pPr>
      <w:r>
        <w:t>T570462 IZGRADNJA OBJEKATA KOMUNALNE I DRUŠTVENE INFRASTRUKTURE NA HRVATSKIM OTOCIMA (CEB IV)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T570462-IZGRADNJA OBJEKATA KOMUNALNE I DRUŠTVENE INFRASTRUKTURE NA HRVATSKIM OTOCIMA (CEB IV)</w:t>
            </w:r>
          </w:p>
        </w:tc>
        <w:tc>
          <w:tcPr>
            <w:tcW w:w="2322" w:type="dxa"/>
          </w:tcPr>
          <w:p w:rsidR="00AC0832" w:rsidRDefault="00AC0832">
            <w:pPr>
              <w:pStyle w:val="CellColumn"/>
            </w:pPr>
            <w:r>
              <w:t>10.382.170</w:t>
            </w:r>
          </w:p>
        </w:tc>
        <w:tc>
          <w:tcPr>
            <w:tcW w:w="2322" w:type="dxa"/>
          </w:tcPr>
          <w:p w:rsidR="00AC0832" w:rsidRDefault="00AC0832">
            <w:pPr>
              <w:pStyle w:val="CellColumn"/>
            </w:pPr>
            <w:r>
              <w:t>9.550.400</w:t>
            </w:r>
          </w:p>
        </w:tc>
        <w:tc>
          <w:tcPr>
            <w:tcW w:w="2322" w:type="dxa"/>
          </w:tcPr>
          <w:p w:rsidR="00AC0832" w:rsidRDefault="00AC0832">
            <w:pPr>
              <w:pStyle w:val="CellColumn"/>
            </w:pPr>
            <w:r>
              <w:t>92,0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Projekt "Izgradnja objekata komunalne i društvene infrastrukture na hrvatskim otocima" provodi se kontinuirano od 2004. godine, te je njime predviđena modernizacija ruralnih područja izgradnjom komunalne i društvene infrastrukture na hrvatskim otocima (ulaganja u infrastrukturu za vodoopskrbu i odvodnju, zdravstvo, socijalnu skrb i obrazovanje) za što se očekuje da će pridonijeti gospodarskom i društvenom razvoju otoka, smanjiti iseljavanje te privući nove stanovnike. Tijekom 2012. godine iz ove aktivnosti u projekte je uloženo 9,5 mil kn i to za: dom zdravlja Korčula, dom za starije Rab, odvodnja Jelsa-Vrboska, kanalizacija Milna, PŠ Susak, OŠ Antun Masle, Orašac, OŠ Čiovo.</w:t>
      </w:r>
    </w:p>
    <w:p w:rsidR="00AC0832" w:rsidRDefault="00AC0832">
      <w:pPr>
        <w:pStyle w:val="Heading6"/>
      </w:pPr>
      <w:r>
        <w:t>T821011 INTEGRALNI RAZVOJ LOKALNE ZAJEDNICE U PRIOBALJU (EIB 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T821011-INTEGRALNI RAZVOJ LOKALNE ZAJEDNICE U PRIOBALJU (EIB II)</w:t>
            </w:r>
          </w:p>
        </w:tc>
        <w:tc>
          <w:tcPr>
            <w:tcW w:w="2322" w:type="dxa"/>
          </w:tcPr>
          <w:p w:rsidR="00AC0832" w:rsidRDefault="00AC0832">
            <w:pPr>
              <w:pStyle w:val="CellColumn"/>
            </w:pPr>
            <w:r>
              <w:t>45.157.478</w:t>
            </w:r>
          </w:p>
        </w:tc>
        <w:tc>
          <w:tcPr>
            <w:tcW w:w="2322" w:type="dxa"/>
          </w:tcPr>
          <w:p w:rsidR="00AC0832" w:rsidRDefault="00AC0832">
            <w:pPr>
              <w:pStyle w:val="CellColumn"/>
            </w:pPr>
            <w:r>
              <w:t>45.110.652</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Projekt „Integralni razvoj lokalne zajednice“ financira se sredstvima zajma Europske investicijske banke za koji je ugovor između banke i Republike Hrvatske potpisan 2004. godine. Projekt je namijenjen financiranju višesektorskih investicijskih potprojekata, uključujući rekonstrukciju, obnovu i nadogradnju komunalne infrastrukture u općinama, gradovima i županijama, obnovu i nadogradnju komunalne i socijalne infrastrukture od strane lokalnih tijela uprave (opskrba vodom i plinom, odvodnja otpadnih voda, odlaganje otpada, lokalne prometnice, obrazovanje, kulturno nasljeđe). U 2012 godini u projekte na ovoj aktivnosti, uloženo je 45,1 mil kn. Neki od većih projekata financirani s ove aktinosti su: odvodnja Zaton, vodoopskrba Konavle, vodoopskrba Radun - Kaštela, sportska dvoranaPrimorski Dolac, sportska dvorana Meterize – Šibenik, sanacija nerazvrstanih cesta Starigrad Paklenica, dječji vrtić Polača, rekonstrukcija obalnog pojasa i rive Sukošan, starogradska jezgra i kanalizacija Gračišće, sportska dvorana Matulji, uređenje trga sv. Petar u Šumi, nerazvrstane ceste Labin, vodoopskrba Makarska, nerazvrstane ceste Buzet, vodoopskrba Dabar…</w:t>
      </w:r>
    </w:p>
    <w:p w:rsidR="00AC0832" w:rsidRDefault="00AC0832">
      <w:pPr>
        <w:pStyle w:val="Heading6"/>
      </w:pPr>
      <w:r>
        <w:t>T821032 PROJEKT RAZVOJA OTOKA i PRIOBALJA (EIB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T821032-PROJEKT RAZVOJA OTOKA i PRIOBALJA (EIB III)</w:t>
            </w:r>
          </w:p>
        </w:tc>
        <w:tc>
          <w:tcPr>
            <w:tcW w:w="2322" w:type="dxa"/>
          </w:tcPr>
          <w:p w:rsidR="00AC0832" w:rsidRDefault="00AC0832">
            <w:pPr>
              <w:pStyle w:val="CellColumn"/>
            </w:pPr>
            <w:r>
              <w:t>19.412.459</w:t>
            </w:r>
          </w:p>
        </w:tc>
        <w:tc>
          <w:tcPr>
            <w:tcW w:w="2322" w:type="dxa"/>
          </w:tcPr>
          <w:p w:rsidR="00AC0832" w:rsidRDefault="00AC0832">
            <w:pPr>
              <w:pStyle w:val="CellColumn"/>
            </w:pPr>
            <w:r>
              <w:t>19.405.096</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Projekt se financirao sredstvima zajma Europske investicijske banke. Područje implementacije Projekta je 7 obalno-otočnih županija (Istarska, Primorsko-goranska, Ličko-senjska, Zadarska, Šibensko-kninska, Splitsko-dalmatinska i Dubrovačko-neretvanska). Projektom se željelo utjecati na  problem depopulacije koji je naročito prisutan na otocima i u zaleđu priobalja, kao posljedice loše prometne povezanosti, neriješene (nepostojeće ili nedovoljno izgrađene) komunalne, prometne i društvene infrastrukture i poteškoća u gospodarsko-socijalnom razvoju. Projekt se počeo provoditi u 2012. godini, a radi se o potprojektima društvene i socijalne infrastrukture (škole, školske-športske dvorane, dječji vrtići, zdravstvene ustanove i građevine javne namjene), te u manjoj mjeri potprojektima  komunalne infrastrukture (odvodnja, ceste). Tijekom 2012. godine ukupno je uloženo 19,4 mil kn u 8 projekata: sportska dvorana Smokvica, jaslice i vrtić Baška, sportska dvorana Krk, jaslice i vrtić Viškovo, centar zdravstvene zaštite Matulji, DVD Medulin, sportska dvorana Grohote, starogradska jezgra Pićan.</w:t>
      </w:r>
    </w:p>
    <w:p w:rsidR="00AC0832" w:rsidRDefault="00AC0832">
      <w:pPr>
        <w:pStyle w:val="Heading5"/>
      </w:pPr>
      <w:r>
        <w:t>4009 ZBRINJAVANJE PROGNANIKA, POVRATNIKA I IZBJEGLICA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4009-ZBRINJAVANJE PROGNANIKA, POVRATNIKA I IZBJEGLICA</w:t>
            </w:r>
          </w:p>
        </w:tc>
        <w:tc>
          <w:tcPr>
            <w:tcW w:w="2322" w:type="dxa"/>
          </w:tcPr>
          <w:p w:rsidR="00AC0832" w:rsidRDefault="00AC0832">
            <w:pPr>
              <w:pStyle w:val="CellColumn"/>
            </w:pPr>
            <w:r>
              <w:t>397.447.000</w:t>
            </w:r>
          </w:p>
        </w:tc>
        <w:tc>
          <w:tcPr>
            <w:tcW w:w="2322" w:type="dxa"/>
          </w:tcPr>
          <w:p w:rsidR="00AC0832" w:rsidRDefault="00AC0832">
            <w:pPr>
              <w:pStyle w:val="CellColumn"/>
            </w:pPr>
            <w:r>
              <w:t>360.704.314</w:t>
            </w:r>
          </w:p>
        </w:tc>
        <w:tc>
          <w:tcPr>
            <w:tcW w:w="2322" w:type="dxa"/>
          </w:tcPr>
          <w:p w:rsidR="00AC0832" w:rsidRDefault="00AC0832">
            <w:pPr>
              <w:pStyle w:val="CellColumn"/>
            </w:pPr>
            <w:r>
              <w:t>90,8</w:t>
            </w:r>
          </w:p>
        </w:tc>
      </w:tr>
    </w:tbl>
    <w:p w:rsidR="00AC0832" w:rsidRDefault="00AC0832">
      <w:pPr>
        <w:jc w:val="left"/>
      </w:pPr>
    </w:p>
    <w:p w:rsidR="00AC0832" w:rsidRDefault="00AC0832">
      <w:pPr>
        <w:pStyle w:val="Heading6"/>
      </w:pPr>
      <w:r>
        <w:t>Opis programa</w:t>
      </w:r>
    </w:p>
    <w:p w:rsidR="00AC0832" w:rsidRDefault="00AC0832">
      <w:pPr>
        <w:pStyle w:val="Normal5"/>
      </w:pPr>
      <w:r>
        <w:t>Programom stambenog zbrinjavanja na područjima posebne državne skrbi potiče se povratak i ostanak stanovništva koje je prebivalo na tim područjima prije Domovinskog rata, kao i naseljavanje državljana Republike Hrvatske svih zanimanja, osobito onih koji mogu obavljanjem djelatnosti pridonijeti gospodarskom i društvenom razvoju tih područja. Vezano za navedeni program provodi se povratak Hrvata u BiH prema modelu dodjele građevinskog materijala za obnovu ili izgradnju obiteljskih kuća Hrvata povratnika u BiH koji su u potrebi stambenog zbrinjavanja. Stambeno zbrinjavanje nužno se naslanja na program obnove ratom oštećenih stambenih objekata, jer se pretežito i u velikoj mjeri oba programa odnose na ista područja. Ovim Programom nastoji se smanjiti posljedice rata i omogućiti život na ratom stradalim područjima, osigurati povratak, ostanak i naseljavanje potpomognutih područja, putem ulaganja u sanaciju, nadogradnju i izgradnju objekata osnovne komunalne i socijalne infrastrukture, kako bi se smanjile razlike u razvoju pojedinih područja i stvorili preduvjeti za oporavak i razvitak gospodarstva.</w:t>
      </w:r>
    </w:p>
    <w:p w:rsidR="00AC0832" w:rsidRDefault="00AC0832">
      <w:pPr>
        <w:pStyle w:val="Heading6"/>
      </w:pPr>
      <w:r>
        <w:t>Zakonske i druge pravne osnove</w:t>
      </w:r>
    </w:p>
    <w:p w:rsidR="00AC0832" w:rsidRDefault="00AC0832">
      <w:pPr>
        <w:pStyle w:val="Normal5"/>
      </w:pPr>
      <w:r>
        <w:t>Zaključak Vlade Republike Hrvatske Klasa: 019-04/01-02/05, Urbroj: 5030116-06-1 od 07. rujna 2006. godine; Zakon o područjima posebne državne skrbi ("Narodne novine" br. 86/08); Zakon o statusu prognanika i izbjeglica ("Narodne novine" br. 96/93,39/95, 29/99 i 128/99); Zakon o regionalnom razvoju RH; Zakon o zaštiti i očuvanju kulturnih dobara.</w:t>
      </w:r>
    </w:p>
    <w:p w:rsidR="00AC0832" w:rsidRDefault="00AC0832">
      <w:pPr>
        <w:pStyle w:val="Heading7"/>
      </w:pPr>
      <w:r>
        <w:t>Cilj 1. Stambeno zbrinjavanje korisnika</w:t>
      </w:r>
    </w:p>
    <w:p w:rsidR="00AC0832" w:rsidRDefault="00AC0832">
      <w:pPr>
        <w:pStyle w:val="Heading8"/>
        <w:jc w:val="left"/>
      </w:pPr>
      <w:r>
        <w:t>Opis provedbe cilja programa</w:t>
      </w:r>
    </w:p>
    <w:p w:rsidR="00AC0832" w:rsidRDefault="00AC0832">
      <w:pPr>
        <w:pStyle w:val="Normal6"/>
      </w:pPr>
      <w:r>
        <w:t>Stambeno zbrinjavanje korisnika provodilo se kroz tri različita modela stambenog zbrinjavanja, dodjelom kuća i stanova te građevinskog zemljišta u državnom vlasništvu i darovanjem građevinskog materijala za izgradnju ili obnovu kuća u vlasništvu korisnika.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6"/>
        <w:gridCol w:w="1406"/>
        <w:gridCol w:w="1339"/>
        <w:gridCol w:w="1280"/>
        <w:gridCol w:w="1283"/>
        <w:gridCol w:w="1286"/>
        <w:gridCol w:w="128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stambeno zbrinutih obitelji korisnika stambenog zbrinjavanja najmom stanova i kuća u državnom vlasništvu</w:t>
            </w:r>
          </w:p>
        </w:tc>
        <w:tc>
          <w:tcPr>
            <w:tcW w:w="1300" w:type="dxa"/>
          </w:tcPr>
          <w:p w:rsidR="00AC0832" w:rsidRDefault="00AC0832">
            <w:pPr>
              <w:pStyle w:val="CellColumn"/>
            </w:pPr>
            <w:r>
              <w:t>Broj stambeno zbrinutih obitelji korisnika stambenog zbrinjavanja najmom stanova i kuća u državnom vlasništvu</w:t>
            </w:r>
          </w:p>
        </w:tc>
        <w:tc>
          <w:tcPr>
            <w:tcW w:w="1300" w:type="dxa"/>
          </w:tcPr>
          <w:p w:rsidR="00AC0832" w:rsidRDefault="00AC0832">
            <w:pPr>
              <w:pStyle w:val="CellColumn"/>
            </w:pPr>
            <w:r>
              <w:t>broj korisnika / obitelji</w:t>
            </w:r>
          </w:p>
        </w:tc>
        <w:tc>
          <w:tcPr>
            <w:tcW w:w="1300" w:type="dxa"/>
          </w:tcPr>
          <w:p w:rsidR="00AC0832" w:rsidRDefault="00AC0832">
            <w:pPr>
              <w:pStyle w:val="CellColumn"/>
            </w:pPr>
            <w:r>
              <w:t xml:space="preserve">polazna: 15.500 </w:t>
            </w:r>
          </w:p>
          <w:p w:rsidR="00AC0832" w:rsidRDefault="00AC0832">
            <w:pPr>
              <w:pStyle w:val="CellColumn"/>
            </w:pPr>
            <w:r>
              <w:t xml:space="preserve">kraj 2010: 17.700 </w:t>
            </w:r>
          </w:p>
          <w:p w:rsidR="00AC0832" w:rsidRDefault="00AC0832">
            <w:pPr>
              <w:pStyle w:val="CellColumn"/>
            </w:pPr>
            <w:r>
              <w:t>trenutna: 18.500</w:t>
            </w:r>
          </w:p>
        </w:tc>
        <w:tc>
          <w:tcPr>
            <w:tcW w:w="1300" w:type="dxa"/>
          </w:tcPr>
          <w:p w:rsidR="00AC0832" w:rsidRDefault="00AC0832">
            <w:pPr>
              <w:pStyle w:val="CellColumn"/>
            </w:pPr>
            <w:r>
              <w:t xml:space="preserve">MRRFEU </w:t>
            </w:r>
          </w:p>
          <w:p w:rsidR="00AC0832" w:rsidRDefault="00AC0832">
            <w:pPr>
              <w:pStyle w:val="CellColumn"/>
            </w:pPr>
            <w:r>
              <w:t>(baza podataka)</w:t>
            </w:r>
          </w:p>
        </w:tc>
        <w:tc>
          <w:tcPr>
            <w:tcW w:w="1300" w:type="dxa"/>
          </w:tcPr>
          <w:p w:rsidR="00AC0832" w:rsidRDefault="00AC0832">
            <w:pPr>
              <w:pStyle w:val="CellColumn"/>
            </w:pPr>
            <w:r>
              <w:t xml:space="preserve">600 </w:t>
            </w:r>
          </w:p>
          <w:p w:rsidR="00AC0832" w:rsidRDefault="00AC0832">
            <w:pPr>
              <w:pStyle w:val="CellColumn"/>
            </w:pPr>
            <w:r>
              <w:t>(godišnja vrijednost)</w:t>
            </w:r>
          </w:p>
        </w:tc>
        <w:tc>
          <w:tcPr>
            <w:tcW w:w="1300" w:type="dxa"/>
          </w:tcPr>
          <w:p w:rsidR="00AC0832" w:rsidRDefault="00AC0832">
            <w:pPr>
              <w:pStyle w:val="CellColumn"/>
            </w:pPr>
            <w:r>
              <w:t>trenutna 18.860 (ostvareno u 2012. g. 360)</w:t>
            </w:r>
          </w:p>
        </w:tc>
      </w:tr>
      <w:tr w:rsidR="00AC0832" w:rsidTr="00BE20ED">
        <w:trPr>
          <w:jc w:val="center"/>
        </w:trPr>
        <w:tc>
          <w:tcPr>
            <w:tcW w:w="1300" w:type="dxa"/>
          </w:tcPr>
          <w:p w:rsidR="00AC0832" w:rsidRDefault="00AC0832">
            <w:pPr>
              <w:pStyle w:val="CellColumn"/>
            </w:pPr>
            <w:r>
              <w:t>Povećanje broja isporučenih kompleta građevinskog materijala (tehnički pregledi)</w:t>
            </w:r>
          </w:p>
        </w:tc>
        <w:tc>
          <w:tcPr>
            <w:tcW w:w="1300" w:type="dxa"/>
          </w:tcPr>
          <w:p w:rsidR="00AC0832" w:rsidRDefault="00AC0832">
            <w:pPr>
              <w:pStyle w:val="CellColumn"/>
            </w:pPr>
            <w:r>
              <w:t>Broj isporučenih kompleta građevinskog materijala (izvršeni tehnički pregledi)</w:t>
            </w:r>
          </w:p>
        </w:tc>
        <w:tc>
          <w:tcPr>
            <w:tcW w:w="1300" w:type="dxa"/>
          </w:tcPr>
          <w:p w:rsidR="00AC0832" w:rsidRDefault="00AC0832">
            <w:pPr>
              <w:pStyle w:val="CellColumn"/>
            </w:pPr>
            <w:r>
              <w:t>broj isporučenih građevinskih materijala</w:t>
            </w:r>
          </w:p>
        </w:tc>
        <w:tc>
          <w:tcPr>
            <w:tcW w:w="1300" w:type="dxa"/>
          </w:tcPr>
          <w:p w:rsidR="00AC0832" w:rsidRDefault="00AC0832">
            <w:pPr>
              <w:pStyle w:val="CellColumn"/>
            </w:pPr>
            <w:r>
              <w:t xml:space="preserve">polazna: 9.110 </w:t>
            </w:r>
          </w:p>
          <w:p w:rsidR="00AC0832" w:rsidRDefault="00AC0832">
            <w:pPr>
              <w:pStyle w:val="CellColumn"/>
            </w:pPr>
            <w:r>
              <w:t xml:space="preserve">kraj 2010: 10.350 </w:t>
            </w:r>
          </w:p>
          <w:p w:rsidR="00AC0832" w:rsidRDefault="00AC0832">
            <w:pPr>
              <w:pStyle w:val="CellColumn"/>
            </w:pPr>
            <w:r>
              <w:t>trenutna: 10.690</w:t>
            </w:r>
          </w:p>
        </w:tc>
        <w:tc>
          <w:tcPr>
            <w:tcW w:w="1300" w:type="dxa"/>
          </w:tcPr>
          <w:p w:rsidR="00AC0832" w:rsidRDefault="00AC0832">
            <w:pPr>
              <w:pStyle w:val="CellColumn"/>
            </w:pPr>
            <w:r>
              <w:t xml:space="preserve">MRRFEU </w:t>
            </w:r>
          </w:p>
          <w:p w:rsidR="00AC0832" w:rsidRDefault="00AC0832">
            <w:pPr>
              <w:pStyle w:val="CellColumn"/>
            </w:pPr>
            <w:r>
              <w:t>(baza podataka)</w:t>
            </w:r>
          </w:p>
        </w:tc>
        <w:tc>
          <w:tcPr>
            <w:tcW w:w="1300" w:type="dxa"/>
          </w:tcPr>
          <w:p w:rsidR="00AC0832" w:rsidRDefault="00AC0832">
            <w:pPr>
              <w:pStyle w:val="CellColumn"/>
            </w:pPr>
            <w:r>
              <w:t xml:space="preserve">1.350 </w:t>
            </w:r>
          </w:p>
          <w:p w:rsidR="00AC0832" w:rsidRDefault="00AC0832">
            <w:pPr>
              <w:pStyle w:val="CellColumn"/>
            </w:pPr>
            <w:r>
              <w:t>(godišnja vrijednost)</w:t>
            </w:r>
          </w:p>
        </w:tc>
        <w:tc>
          <w:tcPr>
            <w:tcW w:w="1300" w:type="dxa"/>
          </w:tcPr>
          <w:p w:rsidR="00AC0832" w:rsidRDefault="00AC0832">
            <w:pPr>
              <w:pStyle w:val="CellColumn"/>
            </w:pPr>
            <w:r>
              <w:t>trenutna 11.332 (ostvareno u 2012. g. 642)</w:t>
            </w:r>
          </w:p>
        </w:tc>
      </w:tr>
      <w:tr w:rsidR="00AC0832" w:rsidTr="00BE20ED">
        <w:trPr>
          <w:jc w:val="center"/>
        </w:trPr>
        <w:tc>
          <w:tcPr>
            <w:tcW w:w="1300" w:type="dxa"/>
          </w:tcPr>
          <w:p w:rsidR="00AC0832" w:rsidRDefault="00AC0832">
            <w:pPr>
              <w:pStyle w:val="CellColumn"/>
            </w:pPr>
            <w:r>
              <w:t>Povećanje broja izgrađenih kuća u novim naseljima za stambeno zbrinjavanje</w:t>
            </w:r>
          </w:p>
        </w:tc>
        <w:tc>
          <w:tcPr>
            <w:tcW w:w="1300" w:type="dxa"/>
          </w:tcPr>
          <w:p w:rsidR="00AC0832" w:rsidRDefault="00AC0832">
            <w:pPr>
              <w:pStyle w:val="CellColumn"/>
            </w:pPr>
            <w:r>
              <w:t>Broj izgrađenih kuća u novim naseljima za stambeno zbrinjavanje izgrađenim na državnom zemljištu</w:t>
            </w:r>
          </w:p>
        </w:tc>
        <w:tc>
          <w:tcPr>
            <w:tcW w:w="1300" w:type="dxa"/>
          </w:tcPr>
          <w:p w:rsidR="00AC0832" w:rsidRDefault="00AC0832">
            <w:pPr>
              <w:pStyle w:val="CellColumn"/>
            </w:pPr>
            <w:r>
              <w:t>broj naselja i kuća</w:t>
            </w:r>
          </w:p>
        </w:tc>
        <w:tc>
          <w:tcPr>
            <w:tcW w:w="1300" w:type="dxa"/>
          </w:tcPr>
          <w:p w:rsidR="00AC0832" w:rsidRDefault="00AC0832">
            <w:pPr>
              <w:pStyle w:val="CellColumn"/>
            </w:pPr>
            <w:r>
              <w:t xml:space="preserve">polazna </w:t>
            </w:r>
          </w:p>
          <w:p w:rsidR="00AC0832" w:rsidRDefault="00AC0832">
            <w:pPr>
              <w:pStyle w:val="CellColumn"/>
            </w:pPr>
            <w:r>
              <w:t xml:space="preserve">22 naselja  </w:t>
            </w:r>
          </w:p>
          <w:p w:rsidR="00AC0832" w:rsidRDefault="00AC0832">
            <w:pPr>
              <w:pStyle w:val="CellColumn"/>
            </w:pPr>
            <w:r>
              <w:t xml:space="preserve">1.000 kuća </w:t>
            </w:r>
          </w:p>
          <w:p w:rsidR="00AC0832" w:rsidRDefault="00AC0832">
            <w:pPr>
              <w:pStyle w:val="CellColumn"/>
            </w:pPr>
            <w:r>
              <w:t>trenutna</w:t>
            </w:r>
          </w:p>
        </w:tc>
        <w:tc>
          <w:tcPr>
            <w:tcW w:w="1300" w:type="dxa"/>
          </w:tcPr>
          <w:p w:rsidR="00AC0832" w:rsidRDefault="00AC0832">
            <w:pPr>
              <w:pStyle w:val="CellColumn"/>
            </w:pPr>
            <w:r>
              <w:t xml:space="preserve">MRRFEU </w:t>
            </w:r>
          </w:p>
          <w:p w:rsidR="00AC0832" w:rsidRDefault="00AC0832">
            <w:pPr>
              <w:pStyle w:val="CellColumn"/>
            </w:pPr>
            <w:r>
              <w:t>(baza podataka)</w:t>
            </w:r>
          </w:p>
        </w:tc>
        <w:tc>
          <w:tcPr>
            <w:tcW w:w="1300" w:type="dxa"/>
          </w:tcPr>
          <w:p w:rsidR="00AC0832" w:rsidRDefault="00AC0832">
            <w:pPr>
              <w:pStyle w:val="CellColumn"/>
            </w:pPr>
            <w:r>
              <w:t xml:space="preserve">6 naselja  </w:t>
            </w:r>
          </w:p>
          <w:p w:rsidR="00AC0832" w:rsidRDefault="00AC0832">
            <w:pPr>
              <w:pStyle w:val="CellColumn"/>
            </w:pPr>
            <w:r>
              <w:t xml:space="preserve">- 150 kuća </w:t>
            </w:r>
          </w:p>
          <w:p w:rsidR="00AC0832" w:rsidRDefault="00AC0832">
            <w:pPr>
              <w:pStyle w:val="CellColumn"/>
            </w:pPr>
            <w:r>
              <w:t>(godišnja vrijednost)</w:t>
            </w:r>
          </w:p>
        </w:tc>
        <w:tc>
          <w:tcPr>
            <w:tcW w:w="1300" w:type="dxa"/>
          </w:tcPr>
          <w:p w:rsidR="00AC0832" w:rsidRDefault="00AC0832">
            <w:pPr>
              <w:pStyle w:val="CellColumn"/>
            </w:pPr>
            <w:r>
              <w:t>trenutna 1.041 (ostvareno u 2012. g. 41)</w:t>
            </w:r>
          </w:p>
        </w:tc>
      </w:tr>
    </w:tbl>
    <w:p w:rsidR="00AC0832" w:rsidRDefault="00AC0832">
      <w:pPr>
        <w:jc w:val="left"/>
      </w:pPr>
    </w:p>
    <w:p w:rsidR="00AC0832" w:rsidRDefault="00AC0832">
      <w:pPr>
        <w:pStyle w:val="Heading7"/>
      </w:pPr>
      <w:r>
        <w:t>Cilj 2. Sanacija postojećeg stambenog fonda koji nije obuhvaćen obnovom</w:t>
      </w:r>
    </w:p>
    <w:p w:rsidR="00AC0832" w:rsidRDefault="00AC0832">
      <w:pPr>
        <w:pStyle w:val="Heading8"/>
        <w:jc w:val="left"/>
      </w:pPr>
      <w:r>
        <w:t>Opis provedbe cilja programa</w:t>
      </w:r>
    </w:p>
    <w:p w:rsidR="00AC0832" w:rsidRDefault="00AC0832">
      <w:pPr>
        <w:pStyle w:val="Normal6"/>
      </w:pPr>
      <w:r>
        <w:t>Cilj se odnosio na sanaciju postojećeg stambenog fonda koji nije obuhvaćen obnovom, ranije dodijeljenog korisnicima stambenog zbrinjavanja sanacijom krovišta i fasada stambenih zgrada i obiteljskih kuća u državnom vlasništvu.</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saniranih stambenih zgrada – krovišta i fasada na stambenim zgradama, stanova i kuća</w:t>
            </w:r>
          </w:p>
        </w:tc>
        <w:tc>
          <w:tcPr>
            <w:tcW w:w="1300" w:type="dxa"/>
          </w:tcPr>
          <w:p w:rsidR="00AC0832" w:rsidRDefault="00AC0832">
            <w:pPr>
              <w:pStyle w:val="CellColumn"/>
            </w:pPr>
            <w:r>
              <w:t>Broj saniranih stambenih zgrada – krovišta i fasada na stambenim zgradama, te obiteljskih kuća u državnom vlasništvu</w:t>
            </w:r>
          </w:p>
        </w:tc>
        <w:tc>
          <w:tcPr>
            <w:tcW w:w="1300" w:type="dxa"/>
          </w:tcPr>
          <w:p w:rsidR="00AC0832" w:rsidRDefault="00AC0832">
            <w:pPr>
              <w:pStyle w:val="CellColumn"/>
            </w:pPr>
            <w:r>
              <w:t>broj stambenih zgrada i kuća</w:t>
            </w:r>
          </w:p>
        </w:tc>
        <w:tc>
          <w:tcPr>
            <w:tcW w:w="1300" w:type="dxa"/>
          </w:tcPr>
          <w:p w:rsidR="00AC0832" w:rsidRDefault="00AC0832">
            <w:pPr>
              <w:pStyle w:val="CellColumn"/>
            </w:pPr>
            <w:r>
              <w:t xml:space="preserve">- 16 stambenih zgrada </w:t>
            </w:r>
          </w:p>
          <w:p w:rsidR="00AC0832" w:rsidRDefault="00AC0832">
            <w:pPr>
              <w:pStyle w:val="CellColumn"/>
            </w:pPr>
            <w:r>
              <w:t>- 1.500 stanova i kuća</w:t>
            </w:r>
          </w:p>
        </w:tc>
        <w:tc>
          <w:tcPr>
            <w:tcW w:w="1300" w:type="dxa"/>
          </w:tcPr>
          <w:p w:rsidR="00AC0832" w:rsidRDefault="00AC0832">
            <w:pPr>
              <w:pStyle w:val="CellColumn"/>
            </w:pPr>
            <w:r>
              <w:t xml:space="preserve">MRRFEU </w:t>
            </w:r>
          </w:p>
          <w:p w:rsidR="00AC0832" w:rsidRDefault="00AC0832">
            <w:pPr>
              <w:pStyle w:val="CellColumn"/>
            </w:pPr>
            <w:r>
              <w:t>(baza podataka)</w:t>
            </w:r>
          </w:p>
        </w:tc>
        <w:tc>
          <w:tcPr>
            <w:tcW w:w="1300" w:type="dxa"/>
          </w:tcPr>
          <w:p w:rsidR="00AC0832" w:rsidRDefault="00AC0832">
            <w:pPr>
              <w:pStyle w:val="CellColumn"/>
            </w:pPr>
            <w:r>
              <w:t xml:space="preserve">- 35 stambenih zgrada (cc. 525 stanova) </w:t>
            </w:r>
          </w:p>
          <w:p w:rsidR="00AC0832" w:rsidRDefault="00AC0832">
            <w:pPr>
              <w:pStyle w:val="CellColumn"/>
            </w:pPr>
            <w:r>
              <w:t>- 30 stanova i kuća</w:t>
            </w:r>
          </w:p>
        </w:tc>
        <w:tc>
          <w:tcPr>
            <w:tcW w:w="1300" w:type="dxa"/>
          </w:tcPr>
          <w:p w:rsidR="00AC0832" w:rsidRDefault="00AC0832">
            <w:pPr>
              <w:pStyle w:val="CellColumn"/>
            </w:pPr>
            <w:r>
              <w:t>u 2012. g. sanirane i izgrađene 22 stambene zgrade s 116 stanova. Sanacije krovišta i fasada nisu rađene</w:t>
            </w:r>
          </w:p>
        </w:tc>
      </w:tr>
    </w:tbl>
    <w:p w:rsidR="00AC0832" w:rsidRDefault="00AC0832">
      <w:pPr>
        <w:jc w:val="left"/>
      </w:pPr>
    </w:p>
    <w:p w:rsidR="00AC0832" w:rsidRDefault="00AC0832">
      <w:pPr>
        <w:pStyle w:val="Heading7"/>
      </w:pPr>
      <w:r>
        <w:t>Cilj 3. Razvoj komunalne i socijalne infrastrukture na potpomognutim područjima</w:t>
      </w:r>
    </w:p>
    <w:p w:rsidR="00AC0832" w:rsidRDefault="00AC0832">
      <w:pPr>
        <w:pStyle w:val="Heading8"/>
        <w:jc w:val="left"/>
      </w:pPr>
      <w:r>
        <w:t>Opis provedbe cilja programa</w:t>
      </w:r>
    </w:p>
    <w:p w:rsidR="00AC0832" w:rsidRDefault="00AC0832">
      <w:pPr>
        <w:pStyle w:val="Normal6"/>
      </w:pPr>
      <w:r>
        <w:t>Cilj ovog Programa je bio usmjeren na razvoj potpomognutih područja u smislu izgradnje, sanacije, nadogradnje objekata komunalne i socijalne infrastrukture u JLPS-ima koje u svome razvoju zaostaju za prosjekom Republike Hrvatske, a ne samo u užem smislu potpomognuta područja definirana Zakonom o regionalnom razvoju. Za ostvarenje Općeg i Posebnog cilja provodio se godišnji razvojni program – Razvoj potpomognutih područja te su se koristila dostupna sredstva iz domaćih izvora (državni proračun i proračuni jedinica lokalne i područne samouprave).</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8"/>
        <w:gridCol w:w="1300"/>
        <w:gridCol w:w="1290"/>
        <w:gridCol w:w="1406"/>
        <w:gridCol w:w="1406"/>
        <w:gridCol w:w="1293"/>
        <w:gridCol w:w="129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indeksa razvijenosti JLPS, tj. povećanje standarda i kvalitete života stanovnika</w:t>
            </w:r>
          </w:p>
        </w:tc>
        <w:tc>
          <w:tcPr>
            <w:tcW w:w="1300" w:type="dxa"/>
          </w:tcPr>
          <w:p w:rsidR="00AC0832" w:rsidRDefault="00AC0832">
            <w:pPr>
              <w:pStyle w:val="CellColumn"/>
            </w:pPr>
            <w:r>
              <w:t>Udjel  JLPS u ukupnom broju JLPS s povećanjem skupini indeksa razvijenosti u razdoblju 2010.-2013.</w:t>
            </w:r>
          </w:p>
        </w:tc>
        <w:tc>
          <w:tcPr>
            <w:tcW w:w="1300" w:type="dxa"/>
          </w:tcPr>
          <w:p w:rsidR="00AC0832" w:rsidRDefault="00AC0832">
            <w:pPr>
              <w:pStyle w:val="CellColumn"/>
            </w:pPr>
            <w:r>
              <w:t>%</w:t>
            </w:r>
          </w:p>
        </w:tc>
        <w:tc>
          <w:tcPr>
            <w:tcW w:w="1300" w:type="dxa"/>
          </w:tcPr>
          <w:p w:rsidR="00AC0832" w:rsidRDefault="00AC0832">
            <w:pPr>
              <w:pStyle w:val="CellColumn"/>
            </w:pPr>
            <w:r>
              <w:t>Odluka VRH-a o razvrstavanju JLPS prema indeksu razvijenosti u 2010. godini</w:t>
            </w:r>
          </w:p>
        </w:tc>
        <w:tc>
          <w:tcPr>
            <w:tcW w:w="1300" w:type="dxa"/>
          </w:tcPr>
          <w:p w:rsidR="00AC0832" w:rsidRDefault="00AC0832">
            <w:pPr>
              <w:pStyle w:val="CellColumn"/>
            </w:pPr>
            <w:r>
              <w:t>Odluka VRH-a o razvrstavanju JLPS prema indeksu razvijenosti u 2011. godini (NN 89/10)</w:t>
            </w:r>
          </w:p>
        </w:tc>
        <w:tc>
          <w:tcPr>
            <w:tcW w:w="1300" w:type="dxa"/>
          </w:tcPr>
          <w:p w:rsidR="00AC0832" w:rsidRDefault="00AC0832">
            <w:pPr>
              <w:pStyle w:val="CellColumn"/>
            </w:pPr>
            <w:r>
              <w:t>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A549007 POTICANJE OBNOVE KUĆA I - III STUPANJ OŠTEĆENJA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A549007-POTICANJE OBNOVE KUĆA I - III STUPANJ OŠTEĆENJA</w:t>
            </w:r>
          </w:p>
        </w:tc>
        <w:tc>
          <w:tcPr>
            <w:tcW w:w="2322" w:type="dxa"/>
          </w:tcPr>
          <w:p w:rsidR="00AC0832" w:rsidRDefault="00AC0832">
            <w:pPr>
              <w:pStyle w:val="CellColumn"/>
            </w:pPr>
            <w:r>
              <w:t>5.000.000</w:t>
            </w:r>
          </w:p>
        </w:tc>
        <w:tc>
          <w:tcPr>
            <w:tcW w:w="2322" w:type="dxa"/>
          </w:tcPr>
          <w:p w:rsidR="00AC0832" w:rsidRDefault="00AC0832">
            <w:pPr>
              <w:pStyle w:val="CellColumn"/>
            </w:pPr>
            <w:r>
              <w:t>4.998.654</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2012. godini je po osnovi utvrđenih prava na novčane potpore i povrat vlastito uloženih sredstava, sukladno zakonu o obnovi, isplaćene su novčane potpore za popravak stambenih jedinica I-III stupnja oštećenja za 245 obitelji korisnika prava.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53"/>
        <w:gridCol w:w="1253"/>
        <w:gridCol w:w="1103"/>
        <w:gridCol w:w="1496"/>
        <w:gridCol w:w="1191"/>
        <w:gridCol w:w="1496"/>
        <w:gridCol w:w="149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Potpore za popravak stambenih jedinica</w:t>
            </w:r>
          </w:p>
        </w:tc>
        <w:tc>
          <w:tcPr>
            <w:tcW w:w="1300" w:type="dxa"/>
          </w:tcPr>
          <w:p w:rsidR="00AC0832" w:rsidRDefault="00AC0832">
            <w:pPr>
              <w:pStyle w:val="CellColumn"/>
            </w:pPr>
            <w:r>
              <w:t>Broj dodijeljenih  novčanih potpora za popravak stambenih jedinica</w:t>
            </w:r>
          </w:p>
        </w:tc>
        <w:tc>
          <w:tcPr>
            <w:tcW w:w="1300" w:type="dxa"/>
          </w:tcPr>
          <w:p w:rsidR="00AC0832" w:rsidRDefault="00AC0832">
            <w:pPr>
              <w:pStyle w:val="CellColumn"/>
            </w:pPr>
            <w:r>
              <w:t>broj</w:t>
            </w:r>
          </w:p>
        </w:tc>
        <w:tc>
          <w:tcPr>
            <w:tcW w:w="1300" w:type="dxa"/>
          </w:tcPr>
          <w:p w:rsidR="00AC0832" w:rsidRDefault="00AC0832">
            <w:pPr>
              <w:pStyle w:val="CellColumn"/>
            </w:pPr>
            <w:r>
              <w:t>88.900*</w:t>
            </w:r>
          </w:p>
        </w:tc>
        <w:tc>
          <w:tcPr>
            <w:tcW w:w="1300" w:type="dxa"/>
          </w:tcPr>
          <w:p w:rsidR="00AC0832" w:rsidRDefault="00AC0832">
            <w:pPr>
              <w:pStyle w:val="CellColumn"/>
            </w:pPr>
            <w:r>
              <w:t xml:space="preserve">MRRFEU </w:t>
            </w:r>
          </w:p>
          <w:p w:rsidR="00AC0832" w:rsidRDefault="00AC0832">
            <w:pPr>
              <w:pStyle w:val="CellColumn"/>
            </w:pPr>
            <w:r>
              <w:t>(baza podataka)</w:t>
            </w:r>
          </w:p>
        </w:tc>
        <w:tc>
          <w:tcPr>
            <w:tcW w:w="1300" w:type="dxa"/>
          </w:tcPr>
          <w:p w:rsidR="00AC0832" w:rsidRDefault="00AC0832">
            <w:pPr>
              <w:pStyle w:val="CellColumn"/>
            </w:pPr>
            <w:r>
              <w:t xml:space="preserve">89.500 </w:t>
            </w:r>
          </w:p>
          <w:p w:rsidR="00AC0832" w:rsidRDefault="00AC0832">
            <w:pPr>
              <w:pStyle w:val="CellColumn"/>
            </w:pPr>
            <w:r>
              <w:t xml:space="preserve">         (200)</w:t>
            </w:r>
          </w:p>
        </w:tc>
        <w:tc>
          <w:tcPr>
            <w:tcW w:w="1300" w:type="dxa"/>
          </w:tcPr>
          <w:p w:rsidR="00AC0832" w:rsidRDefault="00AC0832">
            <w:pPr>
              <w:pStyle w:val="CellColumn"/>
            </w:pPr>
            <w:r>
              <w:t xml:space="preserve">89.745 </w:t>
            </w:r>
          </w:p>
          <w:p w:rsidR="00AC0832" w:rsidRDefault="00AC0832">
            <w:pPr>
              <w:pStyle w:val="CellColumn"/>
            </w:pPr>
            <w:r>
              <w:t>(245)</w:t>
            </w:r>
          </w:p>
        </w:tc>
      </w:tr>
      <w:tr w:rsidR="00AC0832" w:rsidTr="00BE20ED">
        <w:trPr>
          <w:jc w:val="center"/>
        </w:trPr>
        <w:tc>
          <w:tcPr>
            <w:tcW w:w="1300" w:type="dxa"/>
          </w:tcPr>
          <w:p w:rsidR="00AC0832" w:rsidRDefault="00AC0832">
            <w:pPr>
              <w:pStyle w:val="CellColumn"/>
            </w:pPr>
            <w:r>
              <w:t>Financijska vrijednost dodijeljenih novčanih potpora za popravak</w:t>
            </w:r>
          </w:p>
        </w:tc>
        <w:tc>
          <w:tcPr>
            <w:tcW w:w="1300" w:type="dxa"/>
          </w:tcPr>
          <w:p w:rsidR="00AC0832" w:rsidRDefault="00AC0832">
            <w:pPr>
              <w:pStyle w:val="CellColumn"/>
            </w:pPr>
            <w:r>
              <w:t>Financijska vrijednost dodijeljenih novčanih potpora za popravak stambenih jedinica I-III stupnja oštećenja</w:t>
            </w:r>
          </w:p>
        </w:tc>
        <w:tc>
          <w:tcPr>
            <w:tcW w:w="1300" w:type="dxa"/>
          </w:tcPr>
          <w:p w:rsidR="00AC0832" w:rsidRDefault="00AC0832">
            <w:pPr>
              <w:pStyle w:val="CellColumn"/>
            </w:pPr>
            <w:r>
              <w:t>HRK</w:t>
            </w:r>
          </w:p>
        </w:tc>
        <w:tc>
          <w:tcPr>
            <w:tcW w:w="1300" w:type="dxa"/>
          </w:tcPr>
          <w:p w:rsidR="00AC0832" w:rsidRDefault="00AC0832">
            <w:pPr>
              <w:pStyle w:val="CellColumn"/>
            </w:pPr>
            <w:r>
              <w:t>2.795.000.000</w:t>
            </w:r>
          </w:p>
        </w:tc>
        <w:tc>
          <w:tcPr>
            <w:tcW w:w="1300" w:type="dxa"/>
          </w:tcPr>
          <w:p w:rsidR="00AC0832" w:rsidRDefault="00AC0832">
            <w:pPr>
              <w:pStyle w:val="CellColumn"/>
            </w:pPr>
            <w:r>
              <w:t xml:space="preserve">MRRFEU </w:t>
            </w:r>
          </w:p>
          <w:p w:rsidR="00AC0832" w:rsidRDefault="00AC0832">
            <w:pPr>
              <w:pStyle w:val="CellColumn"/>
            </w:pPr>
            <w:r>
              <w:t>(baza podataka)</w:t>
            </w:r>
          </w:p>
        </w:tc>
        <w:tc>
          <w:tcPr>
            <w:tcW w:w="1300" w:type="dxa"/>
          </w:tcPr>
          <w:p w:rsidR="00AC0832" w:rsidRDefault="00AC0832">
            <w:pPr>
              <w:pStyle w:val="CellColumn"/>
            </w:pPr>
            <w:r>
              <w:t xml:space="preserve">2.801.500.000 </w:t>
            </w:r>
          </w:p>
          <w:p w:rsidR="00AC0832" w:rsidRDefault="00AC0832">
            <w:pPr>
              <w:pStyle w:val="CellColumn"/>
            </w:pPr>
            <w:r>
              <w:t>(2.500.000)</w:t>
            </w:r>
          </w:p>
        </w:tc>
        <w:tc>
          <w:tcPr>
            <w:tcW w:w="1300" w:type="dxa"/>
          </w:tcPr>
          <w:p w:rsidR="00AC0832" w:rsidRDefault="00AC0832">
            <w:pPr>
              <w:pStyle w:val="CellColumn"/>
            </w:pPr>
            <w:r>
              <w:t xml:space="preserve">2.806.476.653 </w:t>
            </w:r>
          </w:p>
          <w:p w:rsidR="00AC0832" w:rsidRDefault="00AC0832">
            <w:pPr>
              <w:pStyle w:val="CellColumn"/>
            </w:pPr>
            <w:r>
              <w:t>(4.976.653)</w:t>
            </w:r>
          </w:p>
        </w:tc>
      </w:tr>
    </w:tbl>
    <w:p w:rsidR="00AC0832" w:rsidRDefault="00AC0832">
      <w:pPr>
        <w:jc w:val="left"/>
      </w:pPr>
    </w:p>
    <w:p w:rsidR="00AC0832" w:rsidRDefault="00AC0832">
      <w:pPr>
        <w:pStyle w:val="Heading6"/>
      </w:pPr>
      <w:r>
        <w:t>A761001 SKRB O PROGNANICIMA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A761001-SKRB O PROGNANICIMA</w:t>
            </w:r>
          </w:p>
        </w:tc>
        <w:tc>
          <w:tcPr>
            <w:tcW w:w="2322" w:type="dxa"/>
          </w:tcPr>
          <w:p w:rsidR="00AC0832" w:rsidRDefault="00AC0832">
            <w:pPr>
              <w:pStyle w:val="CellColumn"/>
            </w:pPr>
            <w:r>
              <w:t>22.000.000</w:t>
            </w:r>
          </w:p>
        </w:tc>
        <w:tc>
          <w:tcPr>
            <w:tcW w:w="2322" w:type="dxa"/>
          </w:tcPr>
          <w:p w:rsidR="00AC0832" w:rsidRDefault="00AC0832">
            <w:pPr>
              <w:pStyle w:val="CellColumn"/>
            </w:pPr>
            <w:r>
              <w:t>20.376.117</w:t>
            </w:r>
          </w:p>
        </w:tc>
        <w:tc>
          <w:tcPr>
            <w:tcW w:w="2322" w:type="dxa"/>
          </w:tcPr>
          <w:p w:rsidR="00AC0832" w:rsidRDefault="00AC0832">
            <w:pPr>
              <w:pStyle w:val="CellColumn"/>
            </w:pPr>
            <w:r>
              <w:t>92,6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Provedba ove aktivnosti se odnosi na podmirenje troškova nužnog za smještaj i prehranu (organizirani smještaj) osoba koje su u statusu prognanika, povratnika i izbjeglica, koji ostvaruju svoja prava temeljem odredbi koje proizlaze iz Zakona o statusu prognanika i izbjeglica, kalkulirani su temeljem administrativne, etalonske cijene formirane  odlukom Vlade Republike Hrvatske Klasa: 019-04/99-03/05 Urbroj: 5030104-00-4 od 22. ožujka 2000. godine u iznosu od 50,00 kuna osoba/dan. Osim troškova organiziranog smještaja u dva organizirana kapaciteta, također se iz ove aktivnosti podmiruju troškovi za lijekove i sanitetski materijal za osobe sa posebnim potrebama u statusu (Kamenjak Pula i Dom Matija Babinec), stalna novčana pomoć, te pomoć za podmirenje drugih nužnih životnih potreba (prijevoz, pogrebi) za osobe koje su statusu prognanika, povratnika i izbjeglica.Također se financiraju i troškovi vezani za održavanje prognaničkih naselja, sanacije stambenih objekata i hitnih intervencija u prognaničkim naseljima.</w:t>
      </w:r>
    </w:p>
    <w:p w:rsidR="00AC0832" w:rsidRDefault="00AC0832">
      <w:pPr>
        <w:pStyle w:val="Heading6"/>
      </w:pPr>
      <w:r>
        <w:t>K549030 OBNOVA I IZGRADNJA U RATU OŠTEĆENIH STAMBENIH JEDINICA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K549030-OBNOVA I IZGRADNJA U RATU OŠTEĆENIH STAMBENIH JEDINICA</w:t>
            </w:r>
          </w:p>
        </w:tc>
        <w:tc>
          <w:tcPr>
            <w:tcW w:w="2322" w:type="dxa"/>
          </w:tcPr>
          <w:p w:rsidR="00AC0832" w:rsidRDefault="00AC0832">
            <w:pPr>
              <w:pStyle w:val="CellColumn"/>
            </w:pPr>
            <w:r>
              <w:t>110.000.000</w:t>
            </w:r>
          </w:p>
        </w:tc>
        <w:tc>
          <w:tcPr>
            <w:tcW w:w="2322" w:type="dxa"/>
          </w:tcPr>
          <w:p w:rsidR="00AC0832" w:rsidRDefault="00AC0832">
            <w:pPr>
              <w:pStyle w:val="CellColumn"/>
            </w:pPr>
            <w:r>
              <w:t>109.338.052</w:t>
            </w:r>
          </w:p>
        </w:tc>
        <w:tc>
          <w:tcPr>
            <w:tcW w:w="2322" w:type="dxa"/>
          </w:tcPr>
          <w:p w:rsidR="00AC0832" w:rsidRDefault="00AC0832">
            <w:pPr>
              <w:pStyle w:val="CellColumn"/>
            </w:pPr>
            <w:r>
              <w:t>99,4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Aktivnost obnova i izgradnja ratom oštećenih stambenih jedinica obuhvaća izradu i kontrolu projektne dokumentacije za sanaciju, organizirano izvođenje radova sanacije i izgradnje, stručni nadzor i opremanje najnužnijm predmetima kućanstva. </w:t>
      </w:r>
    </w:p>
    <w:p w:rsidR="00AC0832" w:rsidRDefault="00AC0832">
      <w:pPr>
        <w:pStyle w:val="Normal6"/>
      </w:pPr>
      <w:r>
        <w:t>U 2012. godini organiziranom obnovom obnovljeno je 255 ratom oštećenih obiteljskih kuća IV.-VI. stupnja oštećenja čime su stvoreni uvjeti za povratak oko 960 prognanih i izbjeglih osoba u svoja prijeratna prebivališta. Krajem godine započeti su i radovi organizirane obnove na dodatnih 168 kuća koje će biti završene u 2013. godini. Stvaranju uvjeta za povratak u obnovljene obiteljske kuća  pridonosi i opremanje najnužnijim predmetima kućanstva. U opremanje spada nabava i montaža osnovnog namještaja i bijele tehnike. U 2012. godini najnužnijim predmetima kućanstva opremljeno je 1214 organizirano obnovljenih i popravljenih stambenih jedinica.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17"/>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obnovljenih stambenih jedinica</w:t>
            </w:r>
          </w:p>
        </w:tc>
        <w:tc>
          <w:tcPr>
            <w:tcW w:w="1300" w:type="dxa"/>
          </w:tcPr>
          <w:p w:rsidR="00AC0832" w:rsidRDefault="00AC0832">
            <w:pPr>
              <w:pStyle w:val="CellColumn"/>
            </w:pPr>
            <w:r>
              <w:t>Broj organizirano obnovljenih stambenih jedinica   IV. – VI. stupnja oštećenja</w:t>
            </w:r>
          </w:p>
        </w:tc>
        <w:tc>
          <w:tcPr>
            <w:tcW w:w="1300" w:type="dxa"/>
          </w:tcPr>
          <w:p w:rsidR="00AC0832" w:rsidRDefault="00AC0832">
            <w:pPr>
              <w:pStyle w:val="CellColumn"/>
            </w:pPr>
            <w:r>
              <w:t>broj</w:t>
            </w:r>
          </w:p>
        </w:tc>
        <w:tc>
          <w:tcPr>
            <w:tcW w:w="1300" w:type="dxa"/>
          </w:tcPr>
          <w:p w:rsidR="00AC0832" w:rsidRDefault="00AC0832">
            <w:pPr>
              <w:pStyle w:val="CellColumn"/>
            </w:pPr>
            <w:r>
              <w:t>59.800</w:t>
            </w:r>
          </w:p>
        </w:tc>
        <w:tc>
          <w:tcPr>
            <w:tcW w:w="1300" w:type="dxa"/>
          </w:tcPr>
          <w:p w:rsidR="00AC0832" w:rsidRDefault="00AC0832">
            <w:pPr>
              <w:pStyle w:val="CellColumn"/>
            </w:pPr>
            <w:r>
              <w:t>MRRFEU ( baza podataka)</w:t>
            </w:r>
          </w:p>
        </w:tc>
        <w:tc>
          <w:tcPr>
            <w:tcW w:w="1300" w:type="dxa"/>
          </w:tcPr>
          <w:p w:rsidR="00AC0832" w:rsidRDefault="00AC0832">
            <w:pPr>
              <w:pStyle w:val="CellColumn"/>
            </w:pPr>
            <w:r>
              <w:t xml:space="preserve">60.300  </w:t>
            </w:r>
          </w:p>
          <w:p w:rsidR="00AC0832" w:rsidRDefault="00AC0832">
            <w:pPr>
              <w:pStyle w:val="CellColumn"/>
            </w:pPr>
            <w:r>
              <w:t xml:space="preserve">   (200)</w:t>
            </w:r>
          </w:p>
        </w:tc>
        <w:tc>
          <w:tcPr>
            <w:tcW w:w="1300" w:type="dxa"/>
          </w:tcPr>
          <w:p w:rsidR="00AC0832" w:rsidRDefault="00AC0832">
            <w:pPr>
              <w:pStyle w:val="CellColumn"/>
            </w:pPr>
            <w:r>
              <w:t xml:space="preserve">60.555 </w:t>
            </w:r>
          </w:p>
          <w:p w:rsidR="00AC0832" w:rsidRDefault="00AC0832">
            <w:pPr>
              <w:pStyle w:val="CellColumn"/>
            </w:pPr>
            <w:r>
              <w:t>(255)</w:t>
            </w:r>
          </w:p>
        </w:tc>
      </w:tr>
      <w:tr w:rsidR="00AC0832" w:rsidTr="00BE20ED">
        <w:trPr>
          <w:jc w:val="center"/>
        </w:trPr>
        <w:tc>
          <w:tcPr>
            <w:tcW w:w="1300" w:type="dxa"/>
          </w:tcPr>
          <w:p w:rsidR="00AC0832" w:rsidRDefault="00AC0832">
            <w:pPr>
              <w:pStyle w:val="CellColumn"/>
            </w:pPr>
            <w:r>
              <w:t xml:space="preserve">Financijske </w:t>
            </w:r>
          </w:p>
          <w:p w:rsidR="00AC0832" w:rsidRDefault="00AC0832">
            <w:pPr>
              <w:pStyle w:val="CellColumn"/>
            </w:pPr>
            <w:r>
              <w:t>vrijednosti obnovljenih stambenih jedinica</w:t>
            </w:r>
          </w:p>
        </w:tc>
        <w:tc>
          <w:tcPr>
            <w:tcW w:w="1300" w:type="dxa"/>
          </w:tcPr>
          <w:p w:rsidR="00AC0832" w:rsidRDefault="00AC0832">
            <w:pPr>
              <w:pStyle w:val="CellColumn"/>
            </w:pPr>
            <w:r>
              <w:t>Financijska vrijednost organizirano obnovljenih  stambenih jedinica</w:t>
            </w:r>
          </w:p>
        </w:tc>
        <w:tc>
          <w:tcPr>
            <w:tcW w:w="1300" w:type="dxa"/>
          </w:tcPr>
          <w:p w:rsidR="00AC0832" w:rsidRDefault="00AC0832">
            <w:pPr>
              <w:pStyle w:val="CellColumn"/>
            </w:pPr>
            <w:r>
              <w:t>HRK</w:t>
            </w:r>
          </w:p>
        </w:tc>
        <w:tc>
          <w:tcPr>
            <w:tcW w:w="1300" w:type="dxa"/>
          </w:tcPr>
          <w:p w:rsidR="00AC0832" w:rsidRDefault="00AC0832">
            <w:pPr>
              <w:pStyle w:val="CellColumn"/>
            </w:pPr>
            <w:r>
              <w:t>13,550 mlrd</w:t>
            </w:r>
          </w:p>
        </w:tc>
        <w:tc>
          <w:tcPr>
            <w:tcW w:w="1300" w:type="dxa"/>
          </w:tcPr>
          <w:p w:rsidR="00AC0832" w:rsidRDefault="00AC0832">
            <w:pPr>
              <w:pStyle w:val="CellColumn"/>
            </w:pPr>
            <w:r>
              <w:t>MRRFEU ( baza podataka)</w:t>
            </w:r>
          </w:p>
        </w:tc>
        <w:tc>
          <w:tcPr>
            <w:tcW w:w="1300" w:type="dxa"/>
          </w:tcPr>
          <w:p w:rsidR="00AC0832" w:rsidRDefault="00AC0832">
            <w:pPr>
              <w:pStyle w:val="CellColumn"/>
            </w:pPr>
            <w:r>
              <w:t xml:space="preserve">13.660 mlrd </w:t>
            </w:r>
          </w:p>
          <w:p w:rsidR="00AC0832" w:rsidRDefault="00AC0832">
            <w:pPr>
              <w:pStyle w:val="CellColumn"/>
            </w:pPr>
            <w:r>
              <w:t xml:space="preserve"> </w:t>
            </w:r>
          </w:p>
          <w:p w:rsidR="00AC0832" w:rsidRDefault="00AC0832">
            <w:pPr>
              <w:pStyle w:val="CellColumn"/>
            </w:pPr>
            <w:r>
              <w:t xml:space="preserve">   (44.mil)</w:t>
            </w:r>
          </w:p>
        </w:tc>
        <w:tc>
          <w:tcPr>
            <w:tcW w:w="1300" w:type="dxa"/>
          </w:tcPr>
          <w:p w:rsidR="00AC0832" w:rsidRDefault="00AC0832">
            <w:pPr>
              <w:pStyle w:val="CellColumn"/>
            </w:pPr>
            <w:r>
              <w:t xml:space="preserve">13.769.mlrd </w:t>
            </w:r>
          </w:p>
          <w:p w:rsidR="00AC0832" w:rsidRDefault="00AC0832">
            <w:pPr>
              <w:pStyle w:val="CellColumn"/>
            </w:pPr>
            <w:r>
              <w:t xml:space="preserve"> </w:t>
            </w:r>
          </w:p>
          <w:p w:rsidR="00AC0832" w:rsidRDefault="00AC0832">
            <w:pPr>
              <w:pStyle w:val="CellColumn"/>
            </w:pPr>
            <w:r>
              <w:t xml:space="preserve"> (109.mil)</w:t>
            </w:r>
          </w:p>
        </w:tc>
      </w:tr>
    </w:tbl>
    <w:p w:rsidR="00AC0832" w:rsidRDefault="00AC0832">
      <w:pPr>
        <w:jc w:val="left"/>
      </w:pPr>
    </w:p>
    <w:p w:rsidR="00AC0832" w:rsidRDefault="00AC0832">
      <w:pPr>
        <w:pStyle w:val="Heading6"/>
      </w:pPr>
      <w:r>
        <w:t>K570492 STAMBENO ZBRINJAVANJE NA PODRUČJIMA POSEBNE DRŽAVNE SKRBI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K570492-STAMBENO ZBRINJAVANJE NA PODRUČJIMA POSEBNE DRŽAVNE SKRBI</w:t>
            </w:r>
          </w:p>
        </w:tc>
        <w:tc>
          <w:tcPr>
            <w:tcW w:w="2322" w:type="dxa"/>
          </w:tcPr>
          <w:p w:rsidR="00AC0832" w:rsidRDefault="00AC0832">
            <w:pPr>
              <w:pStyle w:val="CellColumn"/>
            </w:pPr>
            <w:r>
              <w:t>240.367.000</w:t>
            </w:r>
          </w:p>
        </w:tc>
        <w:tc>
          <w:tcPr>
            <w:tcW w:w="2322" w:type="dxa"/>
          </w:tcPr>
          <w:p w:rsidR="00AC0832" w:rsidRDefault="00AC0832">
            <w:pPr>
              <w:pStyle w:val="CellColumn"/>
            </w:pPr>
            <w:r>
              <w:t>208.650.726</w:t>
            </w:r>
          </w:p>
        </w:tc>
        <w:tc>
          <w:tcPr>
            <w:tcW w:w="2322" w:type="dxa"/>
          </w:tcPr>
          <w:p w:rsidR="00AC0832" w:rsidRDefault="00AC0832">
            <w:pPr>
              <w:pStyle w:val="CellColumn"/>
            </w:pPr>
            <w:r>
              <w:t>86,8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Aktivnost se odnosilo na darovanje građevinskog materijala za izgradnju ili obnovu kuća u vlasništvu korisnika i na dodjelu građevinskog zemljišta u državnom vlasništvu kao i dodjelom građevinskog materijala - izgradnja naselja. Budući da je Republike Hrvatska aktivno sudjelovala u regionalnim procesima s ciljem rješavanja preostalih pitanja izbjeglica i interno raseljenih osoba. Prijedlog zajedničkog Regionalnog projekta/programa za iznalaženje trajnih rješenja za izbjeglice i raseljene osobe je završen, a projektom je obuhvaćeno 26.898 korisnika za što je ukupno potrebno 583.6 milijuna eura. Konačna potvrda Regionalnog projekta sastavni je dio Zajedničke ministarske izjave koja je potpisana 7. studenog 2011. godine u Beogradu. Na Donatorskoj konferenciji održanoj 24. travnja 2012. godine prikupljena su sredstva za provedbu Regionalnog projekta. Dio sredstava je bespovratan, dio će se osigurati kroz kreditne linije CEB-a te dio iz kontribucije svake zemlje partnera. Realizacija projekta u Republici Hrvatskoj trajat će u periodu od 2013 do 2017 godine.</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6"/>
        <w:gridCol w:w="1406"/>
        <w:gridCol w:w="1339"/>
        <w:gridCol w:w="1243"/>
        <w:gridCol w:w="1251"/>
        <w:gridCol w:w="1259"/>
        <w:gridCol w:w="138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isporučenih kompleta građevinskog materijala (tehnički pregledi)</w:t>
            </w:r>
          </w:p>
        </w:tc>
        <w:tc>
          <w:tcPr>
            <w:tcW w:w="1300" w:type="dxa"/>
          </w:tcPr>
          <w:p w:rsidR="00AC0832" w:rsidRDefault="00AC0832">
            <w:pPr>
              <w:pStyle w:val="CellColumn"/>
            </w:pPr>
            <w:r>
              <w:t>Broj isporučenih kompleta građevinskog materijala (izvršeni tehnički pregledi)</w:t>
            </w:r>
          </w:p>
        </w:tc>
        <w:tc>
          <w:tcPr>
            <w:tcW w:w="1300" w:type="dxa"/>
          </w:tcPr>
          <w:p w:rsidR="00AC0832" w:rsidRDefault="00AC0832">
            <w:pPr>
              <w:pStyle w:val="CellColumn"/>
            </w:pPr>
            <w:r>
              <w:t>broj isporučenih građevinskih materijala</w:t>
            </w:r>
          </w:p>
        </w:tc>
        <w:tc>
          <w:tcPr>
            <w:tcW w:w="1300" w:type="dxa"/>
          </w:tcPr>
          <w:p w:rsidR="00AC0832" w:rsidRDefault="00AC0832">
            <w:pPr>
              <w:pStyle w:val="CellColumn"/>
            </w:pPr>
            <w:r>
              <w:t xml:space="preserve">polazna: 9.110 </w:t>
            </w:r>
          </w:p>
          <w:p w:rsidR="00AC0832" w:rsidRDefault="00AC0832">
            <w:pPr>
              <w:pStyle w:val="CellColumn"/>
            </w:pPr>
            <w:r>
              <w:t xml:space="preserve">kraj 2010: 10.350 </w:t>
            </w:r>
          </w:p>
          <w:p w:rsidR="00AC0832" w:rsidRDefault="00AC0832">
            <w:pPr>
              <w:pStyle w:val="CellColumn"/>
            </w:pPr>
            <w:r>
              <w:t>trenutna: 10.690</w:t>
            </w:r>
          </w:p>
        </w:tc>
        <w:tc>
          <w:tcPr>
            <w:tcW w:w="1300" w:type="dxa"/>
          </w:tcPr>
          <w:p w:rsidR="00AC0832" w:rsidRDefault="00AC0832">
            <w:pPr>
              <w:pStyle w:val="CellColumn"/>
            </w:pPr>
            <w:r>
              <w:t xml:space="preserve">MRRFEU </w:t>
            </w:r>
          </w:p>
          <w:p w:rsidR="00AC0832" w:rsidRDefault="00AC0832">
            <w:pPr>
              <w:pStyle w:val="CellColumn"/>
            </w:pPr>
            <w:r>
              <w:t>(baza podataka)</w:t>
            </w:r>
          </w:p>
        </w:tc>
        <w:tc>
          <w:tcPr>
            <w:tcW w:w="1300" w:type="dxa"/>
          </w:tcPr>
          <w:p w:rsidR="00AC0832" w:rsidRDefault="00AC0832">
            <w:pPr>
              <w:pStyle w:val="CellColumn"/>
            </w:pPr>
            <w:r>
              <w:t xml:space="preserve">1.350 </w:t>
            </w:r>
          </w:p>
          <w:p w:rsidR="00AC0832" w:rsidRDefault="00AC0832">
            <w:pPr>
              <w:pStyle w:val="CellColumn"/>
            </w:pPr>
            <w:r>
              <w:t>(godišnja vrijednost)</w:t>
            </w:r>
          </w:p>
        </w:tc>
        <w:tc>
          <w:tcPr>
            <w:tcW w:w="1300" w:type="dxa"/>
          </w:tcPr>
          <w:p w:rsidR="00AC0832" w:rsidRDefault="00AC0832">
            <w:pPr>
              <w:pStyle w:val="CellColumn"/>
            </w:pPr>
            <w:r>
              <w:t>trenutna 11.332 (ostvareno u 2012. g. 642)</w:t>
            </w:r>
          </w:p>
        </w:tc>
      </w:tr>
      <w:tr w:rsidR="00AC0832" w:rsidTr="00BE20ED">
        <w:trPr>
          <w:jc w:val="center"/>
        </w:trPr>
        <w:tc>
          <w:tcPr>
            <w:tcW w:w="1300" w:type="dxa"/>
          </w:tcPr>
          <w:p w:rsidR="00AC0832" w:rsidRDefault="00AC0832">
            <w:pPr>
              <w:pStyle w:val="CellColumn"/>
            </w:pPr>
            <w:r>
              <w:t>Povećanje broja stambeno zbrinutih obitelji korisnika stambenog zbrinjavanja najmom stanova i kuća u državnom vlasništvu</w:t>
            </w:r>
          </w:p>
        </w:tc>
        <w:tc>
          <w:tcPr>
            <w:tcW w:w="1300" w:type="dxa"/>
          </w:tcPr>
          <w:p w:rsidR="00AC0832" w:rsidRDefault="00AC0832">
            <w:pPr>
              <w:pStyle w:val="CellColumn"/>
            </w:pPr>
            <w:r>
              <w:t>Broj stambeno zbrinutih obitelji korisnika stambenog zbrinjavanja najmom stanova i kuća u državnom vlasništvu</w:t>
            </w:r>
          </w:p>
        </w:tc>
        <w:tc>
          <w:tcPr>
            <w:tcW w:w="1300" w:type="dxa"/>
          </w:tcPr>
          <w:p w:rsidR="00AC0832" w:rsidRDefault="00AC0832">
            <w:pPr>
              <w:pStyle w:val="CellColumn"/>
            </w:pPr>
            <w:r>
              <w:t>broj korisnika / obitelji</w:t>
            </w:r>
          </w:p>
        </w:tc>
        <w:tc>
          <w:tcPr>
            <w:tcW w:w="1300" w:type="dxa"/>
          </w:tcPr>
          <w:p w:rsidR="00AC0832" w:rsidRDefault="00AC0832">
            <w:pPr>
              <w:pStyle w:val="CellColumn"/>
            </w:pPr>
            <w:r>
              <w:t xml:space="preserve">polazna: 15.500 </w:t>
            </w:r>
          </w:p>
          <w:p w:rsidR="00AC0832" w:rsidRDefault="00AC0832">
            <w:pPr>
              <w:pStyle w:val="CellColumn"/>
            </w:pPr>
            <w:r>
              <w:t xml:space="preserve">kraj 2010: 17.700 </w:t>
            </w:r>
          </w:p>
          <w:p w:rsidR="00AC0832" w:rsidRDefault="00AC0832">
            <w:pPr>
              <w:pStyle w:val="CellColumn"/>
            </w:pPr>
            <w:r>
              <w:t>trenutna: 18.500</w:t>
            </w:r>
          </w:p>
        </w:tc>
        <w:tc>
          <w:tcPr>
            <w:tcW w:w="1300" w:type="dxa"/>
          </w:tcPr>
          <w:p w:rsidR="00AC0832" w:rsidRDefault="00AC0832">
            <w:pPr>
              <w:pStyle w:val="CellColumn"/>
            </w:pPr>
            <w:r>
              <w:t xml:space="preserve">MRRFEU </w:t>
            </w:r>
          </w:p>
          <w:p w:rsidR="00AC0832" w:rsidRDefault="00AC0832">
            <w:pPr>
              <w:pStyle w:val="CellColumn"/>
            </w:pPr>
            <w:r>
              <w:t>(baza podataka)</w:t>
            </w:r>
          </w:p>
        </w:tc>
        <w:tc>
          <w:tcPr>
            <w:tcW w:w="1300" w:type="dxa"/>
          </w:tcPr>
          <w:p w:rsidR="00AC0832" w:rsidRDefault="00AC0832">
            <w:pPr>
              <w:pStyle w:val="CellColumn"/>
            </w:pPr>
            <w:r>
              <w:t xml:space="preserve">600 </w:t>
            </w:r>
          </w:p>
          <w:p w:rsidR="00AC0832" w:rsidRDefault="00AC0832">
            <w:pPr>
              <w:pStyle w:val="CellColumn"/>
            </w:pPr>
            <w:r>
              <w:t>(godišnja vrijednost)</w:t>
            </w:r>
          </w:p>
        </w:tc>
        <w:tc>
          <w:tcPr>
            <w:tcW w:w="1300" w:type="dxa"/>
          </w:tcPr>
          <w:p w:rsidR="00AC0832" w:rsidRDefault="00AC0832">
            <w:pPr>
              <w:pStyle w:val="CellColumn"/>
            </w:pPr>
            <w:r>
              <w:t>trenutna 18.860 (ostvareno u 2012. g. 360)</w:t>
            </w:r>
          </w:p>
        </w:tc>
      </w:tr>
      <w:tr w:rsidR="00AC0832" w:rsidTr="00BE20ED">
        <w:trPr>
          <w:jc w:val="center"/>
        </w:trPr>
        <w:tc>
          <w:tcPr>
            <w:tcW w:w="1300" w:type="dxa"/>
          </w:tcPr>
          <w:p w:rsidR="00AC0832" w:rsidRDefault="00AC0832">
            <w:pPr>
              <w:pStyle w:val="CellColumn"/>
            </w:pPr>
            <w:r>
              <w:t>Povećanje broja izgrađenih kuća u novim naseljima za stambeno zbrinjavanje</w:t>
            </w:r>
          </w:p>
        </w:tc>
        <w:tc>
          <w:tcPr>
            <w:tcW w:w="1300" w:type="dxa"/>
          </w:tcPr>
          <w:p w:rsidR="00AC0832" w:rsidRDefault="00AC0832">
            <w:pPr>
              <w:pStyle w:val="CellColumn"/>
            </w:pPr>
            <w:r>
              <w:t>Broj izgrađenih kuća u novim naseljima za stambeno zbrinjavanje izgrađenim na državnom zemljištu</w:t>
            </w:r>
          </w:p>
        </w:tc>
        <w:tc>
          <w:tcPr>
            <w:tcW w:w="1300" w:type="dxa"/>
          </w:tcPr>
          <w:p w:rsidR="00AC0832" w:rsidRDefault="00AC0832">
            <w:pPr>
              <w:pStyle w:val="CellColumn"/>
            </w:pPr>
            <w:r>
              <w:t>broj naselja i kuća</w:t>
            </w:r>
          </w:p>
        </w:tc>
        <w:tc>
          <w:tcPr>
            <w:tcW w:w="1300" w:type="dxa"/>
          </w:tcPr>
          <w:p w:rsidR="00AC0832" w:rsidRDefault="00AC0832">
            <w:pPr>
              <w:pStyle w:val="CellColumn"/>
            </w:pPr>
            <w:r>
              <w:t xml:space="preserve">polazna </w:t>
            </w:r>
          </w:p>
          <w:p w:rsidR="00AC0832" w:rsidRDefault="00AC0832">
            <w:pPr>
              <w:pStyle w:val="CellColumn"/>
            </w:pPr>
            <w:r>
              <w:t xml:space="preserve">22 naselja  </w:t>
            </w:r>
          </w:p>
          <w:p w:rsidR="00AC0832" w:rsidRDefault="00AC0832">
            <w:pPr>
              <w:pStyle w:val="CellColumn"/>
            </w:pPr>
            <w:r>
              <w:t xml:space="preserve">1.000 kuća </w:t>
            </w:r>
          </w:p>
          <w:p w:rsidR="00AC0832" w:rsidRDefault="00AC0832">
            <w:pPr>
              <w:pStyle w:val="CellColumn"/>
            </w:pPr>
            <w:r>
              <w:t>trenutna</w:t>
            </w:r>
          </w:p>
        </w:tc>
        <w:tc>
          <w:tcPr>
            <w:tcW w:w="1300" w:type="dxa"/>
          </w:tcPr>
          <w:p w:rsidR="00AC0832" w:rsidRDefault="00AC0832">
            <w:pPr>
              <w:pStyle w:val="CellColumn"/>
            </w:pPr>
            <w:r>
              <w:t xml:space="preserve">MRRFEU </w:t>
            </w:r>
          </w:p>
          <w:p w:rsidR="00AC0832" w:rsidRDefault="00AC0832">
            <w:pPr>
              <w:pStyle w:val="CellColumn"/>
            </w:pPr>
            <w:r>
              <w:t>(baza podataka)</w:t>
            </w:r>
          </w:p>
        </w:tc>
        <w:tc>
          <w:tcPr>
            <w:tcW w:w="1300" w:type="dxa"/>
          </w:tcPr>
          <w:p w:rsidR="00AC0832" w:rsidRDefault="00AC0832">
            <w:pPr>
              <w:pStyle w:val="CellColumn"/>
            </w:pPr>
            <w:r>
              <w:t xml:space="preserve">6 naselja  </w:t>
            </w:r>
          </w:p>
          <w:p w:rsidR="00AC0832" w:rsidRDefault="00AC0832">
            <w:pPr>
              <w:pStyle w:val="CellColumn"/>
            </w:pPr>
            <w:r>
              <w:t xml:space="preserve">- 150 kuća </w:t>
            </w:r>
          </w:p>
          <w:p w:rsidR="00AC0832" w:rsidRDefault="00AC0832">
            <w:pPr>
              <w:pStyle w:val="CellColumn"/>
            </w:pPr>
            <w:r>
              <w:t>(godišnja vrijednost)</w:t>
            </w:r>
          </w:p>
        </w:tc>
        <w:tc>
          <w:tcPr>
            <w:tcW w:w="1300" w:type="dxa"/>
          </w:tcPr>
          <w:p w:rsidR="00AC0832" w:rsidRDefault="00AC0832">
            <w:pPr>
              <w:pStyle w:val="CellColumn"/>
            </w:pPr>
            <w:r>
              <w:t>trenutna 1.041 (ostvareno u 2012. g. 41) Izgrađena infrastruktura u 2 naselja (za 140 kuća)</w:t>
            </w:r>
          </w:p>
        </w:tc>
      </w:tr>
    </w:tbl>
    <w:p w:rsidR="00AC0832" w:rsidRDefault="00AC0832">
      <w:pPr>
        <w:jc w:val="left"/>
      </w:pPr>
    </w:p>
    <w:p w:rsidR="00AC0832" w:rsidRDefault="00AC0832">
      <w:pPr>
        <w:pStyle w:val="Heading5"/>
      </w:pPr>
      <w:r>
        <w:t>4012 POBOLJŠANJE ŽIVOTNIH UVJETA STANOVNIŠTVA OTOKA I PRIOBALJA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4012-POBOLJŠANJE ŽIVOTNIH UVJETA STANOVNIŠTVA OTOKA I PRIOBALJA</w:t>
            </w:r>
          </w:p>
        </w:tc>
        <w:tc>
          <w:tcPr>
            <w:tcW w:w="2322" w:type="dxa"/>
          </w:tcPr>
          <w:p w:rsidR="00AC0832" w:rsidRDefault="00AC0832">
            <w:pPr>
              <w:pStyle w:val="CellColumn"/>
            </w:pPr>
            <w:r>
              <w:t>46.749.149</w:t>
            </w:r>
          </w:p>
        </w:tc>
        <w:tc>
          <w:tcPr>
            <w:tcW w:w="2322" w:type="dxa"/>
          </w:tcPr>
          <w:p w:rsidR="00AC0832" w:rsidRDefault="00AC0832">
            <w:pPr>
              <w:pStyle w:val="CellColumn"/>
            </w:pPr>
            <w:r>
              <w:t>45.789.527</w:t>
            </w:r>
          </w:p>
        </w:tc>
        <w:tc>
          <w:tcPr>
            <w:tcW w:w="2322" w:type="dxa"/>
          </w:tcPr>
          <w:p w:rsidR="00AC0832" w:rsidRDefault="00AC0832">
            <w:pPr>
              <w:pStyle w:val="CellColumn"/>
            </w:pPr>
            <w:r>
              <w:t>97,9</w:t>
            </w:r>
          </w:p>
        </w:tc>
      </w:tr>
    </w:tbl>
    <w:p w:rsidR="00AC0832" w:rsidRDefault="00AC0832">
      <w:pPr>
        <w:jc w:val="left"/>
      </w:pPr>
    </w:p>
    <w:p w:rsidR="00AC0832" w:rsidRDefault="00AC0832">
      <w:pPr>
        <w:pStyle w:val="Heading6"/>
      </w:pPr>
      <w:r>
        <w:t>Opis programa</w:t>
      </w:r>
    </w:p>
    <w:p w:rsidR="00AC0832" w:rsidRDefault="00AC0832">
      <w:pPr>
        <w:pStyle w:val="Normal5"/>
      </w:pPr>
      <w:r>
        <w:t>Program se provodi radi sprečavanja iseljavanja stanovništva s područja otoka i priobalja. Nužno je trajno poboljšavati kvalitetu života i životne uvjete na tim područjima, a to se nastoji kroz razne aktivnosti. Omogućava se da učenici, studenti, umirovljenici i osobe starije od 65 godina s prebivalištem na otocima ostvaruju pravo na besplatan javni otočni cestovni prijevoz, zatim se subvencionira dostava pitke vode brodovima vodonoscima ili autocisternama na način da je cijena 1m3  vode izjednačena s prosječnom cijenom vode u pripadajućoj županiji. Također se omogućava opskrba stanovništva na otocima i u priobalju energentima (ukapljeni naftni plin) po istim cijenama kao i u ostalim područjima Republike Hrvatske te korištenje besplatnih spremnika UNP-a.</w:t>
      </w:r>
    </w:p>
    <w:p w:rsidR="00AC0832" w:rsidRDefault="00AC0832">
      <w:pPr>
        <w:pStyle w:val="Heading6"/>
      </w:pPr>
      <w:r>
        <w:t>Zakonske i druge pravne osnove</w:t>
      </w:r>
    </w:p>
    <w:p w:rsidR="00AC0832" w:rsidRDefault="00AC0832">
      <w:pPr>
        <w:pStyle w:val="Normal5"/>
      </w:pPr>
      <w:r>
        <w:t>Nacionalni program razvitka otoka;  Zakon o otocima (Narodne novine 34/99, 149/99, 32/02, 33/06);  Naputak o postupku i načinu provedbe opskrbe otočnih domaćinstava pitkom vodom brodom vodonoscem ili cestovnim vozilom (Narodne novine 90/02);  Pravilnik o uvjetima, kriterijima i načinu ostvarivanju prava na besplatni javni otočni cestovni prijevoz (Narodne novine 82/07), Strategija korištenja ukapljenog naftnog plina (UNP) na otocima,  Program korištenja ukapljenog naftnog plina (UNP) na otocima (2008.-2012.); Pravilnik o uvjetima i načinu subvencioniranja cijene prijevoza ukapljenog naftnog plina na otoke te postupku obračuna neostvarenih prihoda distributerima ukapljenog naftnog plina (Narodne novine 74/08); Naputak o ostvarivanju prava na oslobođenje od plaćanja mostarine (Narodne novine 58/03).</w:t>
      </w:r>
    </w:p>
    <w:p w:rsidR="00AC0832" w:rsidRDefault="00AC0832">
      <w:pPr>
        <w:pStyle w:val="Heading7"/>
      </w:pPr>
      <w:r>
        <w:t xml:space="preserve">Cilj 1. Stvoriti uvjete za trajno zadržavanje stanovništva, a u budućnosti  i  bolji  demografski  razvoj  otoka  i  priobalja    </w:t>
      </w:r>
    </w:p>
    <w:p w:rsidR="00AC0832" w:rsidRDefault="00AC0832">
      <w:pPr>
        <w:pStyle w:val="Heading8"/>
        <w:jc w:val="left"/>
      </w:pPr>
      <w:r>
        <w:t>Opis provedbe cilja programa</w:t>
      </w:r>
    </w:p>
    <w:p w:rsidR="00AC0832" w:rsidRDefault="00AC0832">
      <w:pPr>
        <w:pStyle w:val="Normal6"/>
      </w:pPr>
      <w:r>
        <w:t>Provedba ovoga cilja bila je usmjerena prema razvoju gospodarstva čime se stvaraju uvjeti za ostanak i kvalitetan život stanovništva na području otoka i priobalja čime se omogućilo njihovo zapošljavanje i ostvarenje egzistencijalnih potreba. Svrha ovog cilja je bila poticanje i razvoj svih grana gospodarstva, a naročito tradicionalnih gospodarskih djelatnosti karakterističnih za navedena područja, koje se oslanjaju na njihove prirodne i geografske potencijale i komparativne prednosti.</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506"/>
        <w:gridCol w:w="1295"/>
        <w:gridCol w:w="1297"/>
        <w:gridCol w:w="1296"/>
        <w:gridCol w:w="1297"/>
        <w:gridCol w:w="129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Porast broja stanovnika na otocima</w:t>
            </w:r>
          </w:p>
        </w:tc>
        <w:tc>
          <w:tcPr>
            <w:tcW w:w="1300" w:type="dxa"/>
          </w:tcPr>
          <w:p w:rsidR="00AC0832" w:rsidRDefault="00AC0832">
            <w:pPr>
              <w:pStyle w:val="CellColumn"/>
            </w:pPr>
            <w:r>
              <w:t>Povećanjem razine izgrađenosti komunalne i društvene infrastrukture poboljšat će se uvjeti života na otocima što će rezultirati povećanjem broja stanovnika, odnosno smanjenom depopulacijom</w:t>
            </w:r>
          </w:p>
        </w:tc>
        <w:tc>
          <w:tcPr>
            <w:tcW w:w="1300" w:type="dxa"/>
          </w:tcPr>
          <w:p w:rsidR="00AC0832" w:rsidRDefault="00AC0832">
            <w:pPr>
              <w:pStyle w:val="CellColumn"/>
            </w:pPr>
            <w:r>
              <w:t>broj</w:t>
            </w:r>
          </w:p>
        </w:tc>
        <w:tc>
          <w:tcPr>
            <w:tcW w:w="1300" w:type="dxa"/>
          </w:tcPr>
          <w:p w:rsidR="00AC0832" w:rsidRDefault="00AC0832">
            <w:pPr>
              <w:pStyle w:val="CellColumn"/>
            </w:pPr>
            <w:r>
              <w:t>1.427.008</w:t>
            </w:r>
          </w:p>
        </w:tc>
        <w:tc>
          <w:tcPr>
            <w:tcW w:w="1300" w:type="dxa"/>
          </w:tcPr>
          <w:p w:rsidR="00AC0832" w:rsidRDefault="00AC0832">
            <w:pPr>
              <w:pStyle w:val="CellColumn"/>
            </w:pPr>
            <w:r>
              <w:t>DZS</w:t>
            </w:r>
          </w:p>
        </w:tc>
        <w:tc>
          <w:tcPr>
            <w:tcW w:w="1300" w:type="dxa"/>
          </w:tcPr>
          <w:p w:rsidR="00AC0832" w:rsidRDefault="00AC0832">
            <w:pPr>
              <w:pStyle w:val="CellColumn"/>
            </w:pPr>
            <w:r>
              <w:t>1.442.000</w:t>
            </w:r>
          </w:p>
        </w:tc>
        <w:tc>
          <w:tcPr>
            <w:tcW w:w="1300" w:type="dxa"/>
          </w:tcPr>
          <w:p w:rsidR="00AC0832" w:rsidRDefault="00AC0832">
            <w:pPr>
              <w:pStyle w:val="CellColumn"/>
            </w:pPr>
            <w:r>
              <w:t>1.413.328</w:t>
            </w:r>
          </w:p>
        </w:tc>
      </w:tr>
    </w:tbl>
    <w:p w:rsidR="00AC0832" w:rsidRDefault="00AC0832">
      <w:pPr>
        <w:jc w:val="left"/>
      </w:pPr>
    </w:p>
    <w:p w:rsidR="00AC0832" w:rsidRDefault="00AC0832">
      <w:pPr>
        <w:pStyle w:val="Heading6"/>
      </w:pPr>
      <w:r>
        <w:t>A570352 POTICANJE OTOČNOG JAVNOG CESTOVNOG PRIJEVOZA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A570352-POTICANJE OTOČNOG JAVNOG CESTOVNOG PRIJEVOZA</w:t>
            </w:r>
          </w:p>
        </w:tc>
        <w:tc>
          <w:tcPr>
            <w:tcW w:w="2322" w:type="dxa"/>
          </w:tcPr>
          <w:p w:rsidR="00AC0832" w:rsidRDefault="00AC0832">
            <w:pPr>
              <w:pStyle w:val="CellColumn"/>
            </w:pPr>
            <w:r>
              <w:t>30.129.149</w:t>
            </w:r>
          </w:p>
        </w:tc>
        <w:tc>
          <w:tcPr>
            <w:tcW w:w="2322" w:type="dxa"/>
          </w:tcPr>
          <w:p w:rsidR="00AC0832" w:rsidRDefault="00AC0832">
            <w:pPr>
              <w:pStyle w:val="CellColumn"/>
            </w:pPr>
            <w:r>
              <w:t>29.970.378</w:t>
            </w:r>
          </w:p>
        </w:tc>
        <w:tc>
          <w:tcPr>
            <w:tcW w:w="2322" w:type="dxa"/>
          </w:tcPr>
          <w:p w:rsidR="00AC0832" w:rsidRDefault="00AC0832">
            <w:pPr>
              <w:pStyle w:val="CellColumn"/>
            </w:pPr>
            <w:r>
              <w:t>99,5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Financiranjem iz navedene aktivnosti omogućilo se da učenici, studenti, umirovljenici i osobe starije od 65 godina s prebivalištem na otocima ostvaruju pravo na besplatan javni otočni cestovni prijevoz. Izvor za procjenu financijskih sredstava potrebnih za provođenje ove aktivnosti je bila procjena temeljena na prethodnoj godini, te popisi umirovljenika koje dostavlja MUP,te popisi učenika i studenata koje dostavlja prijevoznik za svaku godinu.Osnovni pokazatelj je broj prevezenih putnika (učenika, studenata, umirovljenika i osoba starijih od 65 godina).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prevezenih putnika</w:t>
            </w:r>
          </w:p>
        </w:tc>
        <w:tc>
          <w:tcPr>
            <w:tcW w:w="1300" w:type="dxa"/>
          </w:tcPr>
          <w:p w:rsidR="00AC0832" w:rsidRDefault="00AC0832">
            <w:pPr>
              <w:pStyle w:val="CellColumn"/>
            </w:pPr>
            <w:r>
              <w:t>Povećanje broja preveznih putnika</w:t>
            </w:r>
          </w:p>
        </w:tc>
        <w:tc>
          <w:tcPr>
            <w:tcW w:w="1300" w:type="dxa"/>
          </w:tcPr>
          <w:p w:rsidR="00AC0832" w:rsidRDefault="00AC0832">
            <w:pPr>
              <w:pStyle w:val="CellColumn"/>
            </w:pPr>
            <w:r>
              <w:t>broj</w:t>
            </w:r>
          </w:p>
        </w:tc>
        <w:tc>
          <w:tcPr>
            <w:tcW w:w="1300" w:type="dxa"/>
          </w:tcPr>
          <w:p w:rsidR="00AC0832" w:rsidRDefault="00AC0832">
            <w:pPr>
              <w:pStyle w:val="CellColumn"/>
            </w:pPr>
            <w:r>
              <w:t>44.580</w:t>
            </w:r>
          </w:p>
        </w:tc>
        <w:tc>
          <w:tcPr>
            <w:tcW w:w="1300" w:type="dxa"/>
          </w:tcPr>
          <w:p w:rsidR="00AC0832" w:rsidRDefault="00AC0832">
            <w:pPr>
              <w:pStyle w:val="CellColumn"/>
            </w:pPr>
            <w:r>
              <w:t>MRRFEU</w:t>
            </w:r>
          </w:p>
        </w:tc>
        <w:tc>
          <w:tcPr>
            <w:tcW w:w="1300" w:type="dxa"/>
          </w:tcPr>
          <w:p w:rsidR="00AC0832" w:rsidRDefault="00AC0832">
            <w:pPr>
              <w:pStyle w:val="CellColumn"/>
            </w:pPr>
            <w:r>
              <w:t>46.500</w:t>
            </w:r>
          </w:p>
        </w:tc>
        <w:tc>
          <w:tcPr>
            <w:tcW w:w="1300" w:type="dxa"/>
          </w:tcPr>
          <w:p w:rsidR="00AC0832" w:rsidRDefault="00AC0832">
            <w:pPr>
              <w:pStyle w:val="CellColumn"/>
            </w:pPr>
            <w:r>
              <w:t>47.000</w:t>
            </w:r>
          </w:p>
        </w:tc>
      </w:tr>
    </w:tbl>
    <w:p w:rsidR="00AC0832" w:rsidRDefault="00AC0832">
      <w:pPr>
        <w:jc w:val="left"/>
      </w:pPr>
    </w:p>
    <w:p w:rsidR="00AC0832" w:rsidRDefault="00AC0832">
      <w:pPr>
        <w:pStyle w:val="Heading6"/>
      </w:pPr>
      <w:r>
        <w:t>A820011 RAZVITAK ENERGETIKE NA OTOCIMA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A820011-RAZVITAK ENERGETIKE NA OTOCIMA</w:t>
            </w:r>
          </w:p>
        </w:tc>
        <w:tc>
          <w:tcPr>
            <w:tcW w:w="2322" w:type="dxa"/>
          </w:tcPr>
          <w:p w:rsidR="00AC0832" w:rsidRDefault="00AC0832">
            <w:pPr>
              <w:pStyle w:val="CellColumn"/>
            </w:pPr>
            <w:r>
              <w:t>500.000</w:t>
            </w:r>
          </w:p>
        </w:tc>
        <w:tc>
          <w:tcPr>
            <w:tcW w:w="2322" w:type="dxa"/>
          </w:tcPr>
          <w:p w:rsidR="00AC0832" w:rsidRDefault="00AC0832">
            <w:pPr>
              <w:pStyle w:val="CellColumn"/>
            </w:pPr>
            <w:r>
              <w:t>500.000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Financijska sredstva iz ove akivnosti su utrošena za instalaciju UNP-a u Spomen domu u Komiži.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28"/>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korisnika energetskih sustava</w:t>
            </w:r>
          </w:p>
        </w:tc>
        <w:tc>
          <w:tcPr>
            <w:tcW w:w="1300" w:type="dxa"/>
          </w:tcPr>
          <w:p w:rsidR="00AC0832" w:rsidRDefault="00AC0832">
            <w:pPr>
              <w:pStyle w:val="CellColumn"/>
            </w:pPr>
            <w:r>
              <w:t>Korištenje besplatnih spremnika UNP-a i povoljne cijene uporabe energetskih sustava jedan je od načina poboljšanja životnih uvjeta i smanjenja troškova života stanovništva na otocima</w:t>
            </w:r>
          </w:p>
        </w:tc>
        <w:tc>
          <w:tcPr>
            <w:tcW w:w="1300" w:type="dxa"/>
          </w:tcPr>
          <w:p w:rsidR="00AC0832" w:rsidRDefault="00AC0832">
            <w:pPr>
              <w:pStyle w:val="CellColumn"/>
            </w:pPr>
            <w:r>
              <w:t>broj</w:t>
            </w:r>
          </w:p>
        </w:tc>
        <w:tc>
          <w:tcPr>
            <w:tcW w:w="1300" w:type="dxa"/>
          </w:tcPr>
          <w:p w:rsidR="00AC0832" w:rsidRDefault="00AC0832">
            <w:pPr>
              <w:pStyle w:val="CellColumn"/>
            </w:pPr>
            <w:r>
              <w:t>247</w:t>
            </w:r>
          </w:p>
        </w:tc>
        <w:tc>
          <w:tcPr>
            <w:tcW w:w="1300" w:type="dxa"/>
          </w:tcPr>
          <w:p w:rsidR="00AC0832" w:rsidRDefault="00AC0832">
            <w:pPr>
              <w:pStyle w:val="CellColumn"/>
            </w:pPr>
            <w:r>
              <w:t>FZOEU</w:t>
            </w:r>
          </w:p>
        </w:tc>
        <w:tc>
          <w:tcPr>
            <w:tcW w:w="1300" w:type="dxa"/>
          </w:tcPr>
          <w:p w:rsidR="00AC0832" w:rsidRDefault="00AC0832">
            <w:pPr>
              <w:pStyle w:val="CellColumn"/>
            </w:pPr>
            <w:r>
              <w:t>300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2"/>
      </w:pPr>
      <w:r>
        <w:t>06120 Agencija za regionalni razvoj Republike Hrvatske</w:t>
      </w:r>
    </w:p>
    <w:p w:rsidR="00AC0832" w:rsidRDefault="00AC0832">
      <w:pPr>
        <w:pStyle w:val="Heading4"/>
      </w:pPr>
      <w:r>
        <w:t>Uvod</w:t>
      </w:r>
    </w:p>
    <w:p w:rsidR="00AC0832" w:rsidRDefault="00AC0832">
      <w:pPr>
        <w:pStyle w:val="Normal3"/>
      </w:pPr>
      <w:r>
        <w:t>Agencija za regionalni razvoj Republike Hrvatske osnovana je 24. prosinca 2008. godine Uredbom o osnivanju Agencije za regionalni razvoj Republike Hrvatske (NN 155/08). Uredbom je propisana i djelatnost Agencije, a to je financiranje, nabava, plaćanje i nadzor provedbe  projekata regionalne razvojne politike Republike Hrvatske. Provedba u navedenom kontekstu predstavlja financijsko upravljanje projektima, pripremu i izradu smjernica za na natječajne procedure, provođenje postupaka nabave vezano za prijave projekata za dodjelu sredstava iz pojedinih programa, ocjenjivanje projektnih ideja, odabir projekata kojima će se dodijeliti financijska sredstva, priprema i zaključenje ugovora, vršenje plaćanja prema utvrđenim kriterijima i sklopljenim ugovorima te praćenje tijekova financijskih sredstava. Dana 18. kolovoza 2010. Agencija za regionalni razvoj Republike Hrvatske akreditirana je od strane Europske Komisije (Commission Decision C (2010)5665 of 18 August 2010) te je postala potpuno operativna 29. rujna 2010. objavom Uredbe o objavi dodataka sporazumima o financiranju između Vlade Republike Hrvatske i Europske Komisije za programe u okviru IPA komponente Prekogranična suradnja u Narodnim novinama. Uredbom o izmjenama Uredbe i opsegu i sadržaju odgovornosti te ovlastima tijela nadležnih za upravljanje instrumentom pretpristupne pomoći (IPA) (NN 69/2011) u hrvatsko je zakonodavstvo translatirana Odluka Europske Komisije C (2010)5665. Po akreditaciji Agencija je preuzela odgovornost za obavljanje poslova provedbenog i ugovornog tijela u okviru IPA IIb komponente, koja uključuje 3 bilateralna programa prekogranične suradnje: Hrvatska – Bosna i Hercegovina, Hrvatska – Crna Gora i Hrvatska – Srbija, te 2 transnacionalna programa: Mediteran i Jugoistočna 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06120-Agencija za regionalni razvoj Republike Hrvatske</w:t>
            </w:r>
          </w:p>
        </w:tc>
        <w:tc>
          <w:tcPr>
            <w:tcW w:w="2322" w:type="dxa"/>
          </w:tcPr>
          <w:p w:rsidR="00AC0832" w:rsidRDefault="00AC0832">
            <w:pPr>
              <w:pStyle w:val="CellColumn"/>
            </w:pPr>
            <w:r>
              <w:t>7.459.000</w:t>
            </w:r>
          </w:p>
        </w:tc>
        <w:tc>
          <w:tcPr>
            <w:tcW w:w="2322" w:type="dxa"/>
          </w:tcPr>
          <w:p w:rsidR="00AC0832" w:rsidRDefault="00AC0832">
            <w:pPr>
              <w:pStyle w:val="CellColumn"/>
            </w:pPr>
            <w:r>
              <w:t>7.123.532</w:t>
            </w:r>
          </w:p>
        </w:tc>
        <w:tc>
          <w:tcPr>
            <w:tcW w:w="2322" w:type="dxa"/>
          </w:tcPr>
          <w:p w:rsidR="00AC0832" w:rsidRDefault="00AC0832">
            <w:pPr>
              <w:pStyle w:val="CellColumn"/>
            </w:pPr>
            <w:r>
              <w:t>95,5</w:t>
            </w:r>
          </w:p>
        </w:tc>
      </w:tr>
      <w:tr w:rsidR="00AC0832" w:rsidTr="00BE20ED">
        <w:trPr>
          <w:jc w:val="center"/>
        </w:trPr>
        <w:tc>
          <w:tcPr>
            <w:tcW w:w="2322" w:type="dxa"/>
          </w:tcPr>
          <w:p w:rsidR="00AC0832" w:rsidRDefault="00AC0832">
            <w:pPr>
              <w:pStyle w:val="CellColumnSmall"/>
            </w:pPr>
            <w:r>
              <w:t>2901-POTICANJE REGIONALNE INFRASTRUKTURE I GOSPODARSTVA</w:t>
            </w:r>
          </w:p>
        </w:tc>
        <w:tc>
          <w:tcPr>
            <w:tcW w:w="2322" w:type="dxa"/>
          </w:tcPr>
          <w:p w:rsidR="00AC0832" w:rsidRDefault="00AC0832">
            <w:pPr>
              <w:pStyle w:val="CellColumnSmall"/>
            </w:pPr>
            <w:r>
              <w:t>7.459.000</w:t>
            </w:r>
          </w:p>
        </w:tc>
        <w:tc>
          <w:tcPr>
            <w:tcW w:w="2322" w:type="dxa"/>
          </w:tcPr>
          <w:p w:rsidR="00AC0832" w:rsidRDefault="00AC0832">
            <w:pPr>
              <w:pStyle w:val="CellColumnSmall"/>
            </w:pPr>
            <w:r>
              <w:t>7.123.532</w:t>
            </w:r>
          </w:p>
        </w:tc>
        <w:tc>
          <w:tcPr>
            <w:tcW w:w="2322" w:type="dxa"/>
          </w:tcPr>
          <w:p w:rsidR="00AC0832" w:rsidRDefault="00AC0832">
            <w:pPr>
              <w:pStyle w:val="CellColumnSmall"/>
            </w:pPr>
            <w:r>
              <w:t>95,5</w:t>
            </w:r>
          </w:p>
        </w:tc>
      </w:tr>
    </w:tbl>
    <w:p w:rsidR="00AC0832" w:rsidRDefault="00AC0832">
      <w:pPr>
        <w:jc w:val="left"/>
      </w:pPr>
    </w:p>
    <w:p w:rsidR="00AC0832" w:rsidRDefault="00AC0832">
      <w:pPr>
        <w:pStyle w:val="Heading4"/>
      </w:pPr>
      <w:r>
        <w:t>OBRAZLOŽENJE PROGRAMA</w:t>
      </w:r>
    </w:p>
    <w:p w:rsidR="00AC0832" w:rsidRDefault="00AC0832">
      <w:pPr>
        <w:pStyle w:val="Heading5"/>
      </w:pPr>
      <w:r>
        <w:t>2901 POTICANJE REGIONALNE INFRASTRUKTURE I GOSPODARSTVA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2901-POTICANJE REGIONALNE INFRASTRUKTURE I GOSPODARSTVA</w:t>
            </w:r>
          </w:p>
        </w:tc>
        <w:tc>
          <w:tcPr>
            <w:tcW w:w="2322" w:type="dxa"/>
          </w:tcPr>
          <w:p w:rsidR="00AC0832" w:rsidRDefault="00AC0832">
            <w:pPr>
              <w:pStyle w:val="CellColumn"/>
            </w:pPr>
            <w:r>
              <w:t>7.459.000</w:t>
            </w:r>
          </w:p>
        </w:tc>
        <w:tc>
          <w:tcPr>
            <w:tcW w:w="2322" w:type="dxa"/>
          </w:tcPr>
          <w:p w:rsidR="00AC0832" w:rsidRDefault="00AC0832">
            <w:pPr>
              <w:pStyle w:val="CellColumn"/>
            </w:pPr>
            <w:r>
              <w:t>7.123.532</w:t>
            </w:r>
          </w:p>
        </w:tc>
        <w:tc>
          <w:tcPr>
            <w:tcW w:w="2322" w:type="dxa"/>
          </w:tcPr>
          <w:p w:rsidR="00AC0832" w:rsidRDefault="00AC0832">
            <w:pPr>
              <w:pStyle w:val="CellColumn"/>
            </w:pPr>
            <w:r>
              <w:t>95,5</w:t>
            </w:r>
          </w:p>
        </w:tc>
      </w:tr>
    </w:tbl>
    <w:p w:rsidR="00AC0832" w:rsidRDefault="00AC0832">
      <w:pPr>
        <w:jc w:val="left"/>
      </w:pPr>
    </w:p>
    <w:p w:rsidR="00AC0832" w:rsidRDefault="00AC0832">
      <w:pPr>
        <w:pStyle w:val="Heading6"/>
      </w:pPr>
      <w:r>
        <w:t>Opis programa</w:t>
      </w:r>
    </w:p>
    <w:p w:rsidR="00AC0832" w:rsidRDefault="00AC0832">
      <w:pPr>
        <w:pStyle w:val="Normal5"/>
      </w:pPr>
      <w:r>
        <w:t>Prekogranična suradnja - obuhvaća programe prekogranične suradnje sa zemljama nečlanicama (Hrvatska – Bosna i Hercegovina, Hrvatska – Crna Gora, Hrvatska – Srbija) kojima se nastoji poboljšati kvalitetu života u pograničnim područjima; razviti prekogranične mreže, partnerstva i aktivnosti kroz oživljavanje gospodarstva, očuvanje okoliša i stvaranje socijalne povezanosti; razviti gospodarske i dobrosusjedske odnose. Transnacionalna suradnja - obuhvaća programe Mediteran i Jugoistočna Europa. Program Mediteran obuhvaća 13 država : Cipar, Francusku (4 regije), Grčku, Italiju (18 regija), Maltu, Portugal (2 regije), Sloveniju, Španjolsku (6 autonomnih regija i 2 autonomna grada), UK (Gibraltar), Albaniju, Hrvatsku, Bosnu i Hercegovinu i Crnu Goru, a program Jugoistočna Europa 16 država: Hrvatsku, Rumunjsku, Bugarsku, Sloveniju, Mađarsku, Grčku, Albaniju, Crnu Goru, Srbiju, Bosnu i Hercegovinu, Makedoniju, Austriju, Slovačku, regije Italije, Ukrajinu i Moldaviju. Razvoj poslovne infrastrukture - razvoj poslovne infrastrukture, poboljšanje poduzetničke klime i jačanje poduzetništva i zaposlenosti, kako bi se doprinijelo ukupnom društvenogospodarskom razvoju. Administrativna koordinacija regionalnih razvojnih projekata: Propisuje sadržaj i način vođenja Upisnika s ciljem učinkovite koordinacije i poticanja regionalnog razvoja, uvjete za upis u Upisnik, postupak upisa u Upisnik, međusobnu koordinaciju uključenih subjekata, provedbu edukacije regionalnih koordinatora te obrasce koji se koriste u vođenju Upisnika; Propisuje osnivanje, sastav, djelokrug i način rada partnerskih vijeća statističkih regija u RH. Partnerska vijeća osnivaju se kao savjetodavna tijela s ciljem definiranja zajedničkih prioriteta jedinica lokalne i područne (regionalne) samouprave te predlaganja razvojnih projekata na razini statističkih regija</w:t>
      </w:r>
    </w:p>
    <w:p w:rsidR="00AC0832" w:rsidRDefault="00AC0832">
      <w:pPr>
        <w:pStyle w:val="Heading6"/>
      </w:pPr>
      <w:r>
        <w:t>Zakonske i druge pravne osnove</w:t>
      </w:r>
    </w:p>
    <w:p w:rsidR="00AC0832" w:rsidRDefault="00AC0832">
      <w:pPr>
        <w:pStyle w:val="Normal5"/>
      </w:pPr>
      <w:r>
        <w:t>Operativni program Hrvatska - Bosna i Hercegovina 2007.-2013. i pripadajući Financijski sporazumi za svaku godinu; Operativni program Hrvatska - Crna Gora 2007.-2013. i pripadajući Financijski sporazumi za svaku godinu; Operativni program Hrvatska - Srbija 2007.-2013. i pripadajući Financijski sporazumi za svaku godinu. Operativni program Jugoistočna Europa 2007.-2013. i pripadajući Financijski sporazumi za svaku godinu; Operativni program Mediteran 2007.-2013. i pripadajući Financijski sporazumi za svaku godinu; Operativni program regionalna konkurentnost 2012.-2013 Zakon o regionalnom razvoju (NN 153/09), Pravilnik o upisniku upravnih tijela jedinica lokalne i područne (regionalne) samouprave, agencija i drugih pravnih osoba osnovanih s ciljem učinkovite koordinacije i poticanja regionalnog razvoja (NN 53/10); Zakon o regionalnom razvoju (NN 153/09 ). Uredba o osnivanju partnerskih vijeća statističkih regija (NN 38/10)</w:t>
      </w:r>
    </w:p>
    <w:p w:rsidR="00AC0832" w:rsidRDefault="00AC0832">
      <w:pPr>
        <w:pStyle w:val="Heading7"/>
      </w:pPr>
    </w:p>
    <w:p w:rsidR="00AC0832" w:rsidRDefault="00AC0832">
      <w:pPr>
        <w:pStyle w:val="Heading7"/>
      </w:pPr>
    </w:p>
    <w:p w:rsidR="00AC0832" w:rsidRDefault="00AC0832">
      <w:pPr>
        <w:pStyle w:val="Heading7"/>
      </w:pPr>
      <w:r>
        <w:t>Cilj 1. Razvoj pograničnih i perifernih područja u Republici Hrvatskoj</w:t>
      </w:r>
    </w:p>
    <w:p w:rsidR="00AC0832" w:rsidRDefault="00AC0832">
      <w:pPr>
        <w:pStyle w:val="Heading8"/>
        <w:jc w:val="left"/>
      </w:pPr>
      <w:r>
        <w:t>Opis provedbe cilja programa</w:t>
      </w:r>
    </w:p>
    <w:p w:rsidR="00AC0832" w:rsidRDefault="00AC0832">
      <w:pPr>
        <w:pStyle w:val="Normal6"/>
      </w:pPr>
      <w:r>
        <w:t>Prekogranična suradnja sastavni je dio regionalne/kohezijske politike Europske unije, osmišljene zbog unapređenja ekonomske i socijalne kohezije te smanjenja razlika u stupnju razvoja različitih europskih regija. Započela je kao izdvojena inicijativa Zajednice financirana iz Europskog fonda za regionalni razvoj 1990. godine, te od tada do danas sve više dobiva na važnosti. U trenutnoj financijskoj perspektivi 2007. – 2013. godine predstavlja jedan od tri osnovna cilja kohezijske politike EU (Cilj 3 – Europska teritorijalna suradnja). S obzirom na oblik RH i izuzetnu duljinu njenih granica, prekogranična suradnja kroz programe EU ima važnu ulogu u regionalnom razvoju Republike Hrvatske. Od ukupno 21 županije čak 18 hrvatskih županija ima izravne granice s regijama susjednih država, koje čine prihvatljiva područja suradnje na osnovi čega se izrađuju zajednički programi prekogranične suradnje. Programi prekogranične suradnje funkcioniraju kroz sheme bespovratne pomoći koje se temelje na jedinstvenim pozivima na dostavu projektnih prijedloga, zajedničkom postupku odabira projekata te principu vodećeg partnera. Slijedeća specifičnost ovih programa je da predlagatelji projekta moraju biti neprofitne pravne osobe i moraju pripadati sljedećim kategorijama: udruge, ustanove javnog sektora, obrazovne i istraživačke ustanove, gospodarske i ostale komore, tijela regionalne i lokalne vlasti, regionalne razvojne agencije, centri za istraživanje i razvoj, poljoprivredne udruge itd. Osim toga, prijavitelji projekta obavezni su sufinancirati projekt vlastitim sredstvima (15% potrebno osigurati u vlastitom proračunu), te imati barem jednog prekograničnog partnera. Prekogranični karakter projekta mora biti jasno vidljiv te se mora provoditi i imati pozitivan utjecaj s obje strane granice.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Stopa ugovaranja po pojedinom programu</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90</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90</w:t>
            </w:r>
          </w:p>
        </w:tc>
        <w:tc>
          <w:tcPr>
            <w:tcW w:w="1300" w:type="dxa"/>
          </w:tcPr>
          <w:p w:rsidR="00AC0832" w:rsidRDefault="00AC0832">
            <w:pPr>
              <w:pStyle w:val="CellColumn"/>
            </w:pPr>
            <w:r>
              <w:t>99,37</w:t>
            </w:r>
          </w:p>
        </w:tc>
      </w:tr>
    </w:tbl>
    <w:p w:rsidR="00AC0832" w:rsidRDefault="00AC0832">
      <w:pPr>
        <w:jc w:val="left"/>
      </w:pPr>
    </w:p>
    <w:p w:rsidR="00AC0832" w:rsidRDefault="00AC0832">
      <w:pPr>
        <w:pStyle w:val="Heading7"/>
      </w:pPr>
      <w:r>
        <w:t>Cilj 2. Razvoj poslovne infrastrukture te poticanje učinkovite koordinacije regionalnog razvoja</w:t>
      </w:r>
    </w:p>
    <w:p w:rsidR="00AC0832" w:rsidRDefault="00AC0832">
      <w:pPr>
        <w:pStyle w:val="Heading8"/>
        <w:jc w:val="left"/>
      </w:pPr>
      <w:r>
        <w:t>Opis provedbe cilja programa</w:t>
      </w:r>
    </w:p>
    <w:p w:rsidR="00AC0832" w:rsidRDefault="00AC0832">
      <w:pPr>
        <w:pStyle w:val="Normal6"/>
      </w:pPr>
      <w:r>
        <w:t>Donošenjem Zakona o regionalnom razvoju, a potom i prihvaćanjem Strategije regionalnog razvoja RH, uspostavljeni su temelji upravljanja politikom regionalnog razvoja usmjereni izgradnji ukupnog razvojnog potencijala u Republici Hrvatskoj. Agencija za regionalni razvoj Republike Hrvatske  kroz  Službu za poslove regionalnog razvoja obavlja poslove administrativne koordinacije regionalnih razvojnih projekata kroz ustrojavanje i vođenje Upisnika upravnih tijela jedinica lokalne i područne (regionalne) samouprave, agencija i drugih pravnih osoba osnovanih s ciljem učinkovite koordinacije i poticanja regionalnog razvoja, te obavlja administrativne i stručne poslove za potrebe rada  Partnerskih vijeća statističkih regija. Agencija je ujedno  kontakt mjesto za svu komunikaciju s regionalnim koordinatorima te vrši sustavnu  edukaciju istih.</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Organizacija edukacija regionalnih koordinatora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5</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10</w:t>
            </w:r>
          </w:p>
        </w:tc>
        <w:tc>
          <w:tcPr>
            <w:tcW w:w="1300" w:type="dxa"/>
          </w:tcPr>
          <w:p w:rsidR="00AC0832" w:rsidRDefault="00AC0832">
            <w:pPr>
              <w:pStyle w:val="CellColumn"/>
            </w:pPr>
            <w:r>
              <w:t>10</w:t>
            </w:r>
          </w:p>
        </w:tc>
      </w:tr>
      <w:tr w:rsidR="00AC0832" w:rsidTr="00BE20ED">
        <w:trPr>
          <w:jc w:val="center"/>
        </w:trPr>
        <w:tc>
          <w:tcPr>
            <w:tcW w:w="1300" w:type="dxa"/>
          </w:tcPr>
          <w:p w:rsidR="00AC0832" w:rsidRDefault="00AC0832">
            <w:pPr>
              <w:pStyle w:val="CellColumn"/>
            </w:pPr>
            <w:r>
              <w:t>Održane sjednice partnerskih vijeća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3</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3</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A828030 ADMINISTRACIJA I UPRAVLJANJE AGENCIJE ZA REGIONALNI RAZVOJ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A828030-ADMINISTRACIJA I UPRAVLJANJE AGENCIJE ZA REGIONALNI RAZVOJ</w:t>
            </w:r>
          </w:p>
        </w:tc>
        <w:tc>
          <w:tcPr>
            <w:tcW w:w="2322" w:type="dxa"/>
          </w:tcPr>
          <w:p w:rsidR="00AC0832" w:rsidRDefault="00AC0832">
            <w:pPr>
              <w:pStyle w:val="CellColumn"/>
            </w:pPr>
            <w:r>
              <w:t>7.099.937</w:t>
            </w:r>
          </w:p>
        </w:tc>
        <w:tc>
          <w:tcPr>
            <w:tcW w:w="2322" w:type="dxa"/>
          </w:tcPr>
          <w:p w:rsidR="00AC0832" w:rsidRDefault="00AC0832">
            <w:pPr>
              <w:pStyle w:val="CellColumn"/>
            </w:pPr>
            <w:r>
              <w:t>6.765.305</w:t>
            </w:r>
          </w:p>
        </w:tc>
        <w:tc>
          <w:tcPr>
            <w:tcW w:w="2322" w:type="dxa"/>
          </w:tcPr>
          <w:p w:rsidR="00AC0832" w:rsidRDefault="00AC0832">
            <w:pPr>
              <w:pStyle w:val="CellColumn"/>
            </w:pPr>
            <w:r>
              <w:t>95,3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1.) Program prekogranične suradnje Hrvatska – Bosna i Hercegovina                            Prvi poziv na dostavu projektnih prijedloga bio je objavljen 17. srpnja 2009., a uključivao je alokacije za 2007. i 2008. u ukupnom iznosu od 3.600.000,00 EUR, od kojih je 1.800.000,00 EUR bilo predviđeno za hrvatske korisnike. Objava prvog poziva i ocjenjivanje ponuda izvršeni su od strane prethodnog ugovornog tijela, a Agencija za regionalni razvoj RH se uključila u fazi „čišćenja proračuna“ i ugovaranja. Ukupno je ugovoreno 14 projekata vrijednosti 1.796.639,96 EUR IPA sredstava (iz alokacije predviđene za Republiku Hrvatsku), od čega 8 iz alokacije za 2007. i 6 iz alokacije za 2008. Postotak ugovorenosti alokacije za 2007. iznosi 99,63%, a za 2008. godinu postotak ugovaranja iznosi 100,00%. Za sve ugovorene projekte izvršeno je plaćanje predujma, kao i međuplaćanje za 6 ugovora, sukladno ratama predviđenima u ugovoru. Od ukupno 14 projekata, 9 projekata je završilo s provedbom, od kojih je za tri projekta izvršeno završno plaćanje. Ostalih 5 projekata još je u fazi provedbe.  Drugi poziv na dostavu projektnih prijedloga objavljen je 5. rujna 2011. ukupnog iznosa 5.400.000,00 EUR od kojih je 2.700.000,00 EUR predviđeno za hrvatske korisnike, a uključuje alokacije za 2009., 2010. i 2011. Poziv je zatvoren 5. prosinca 2011. godine te je i proces ocjenjivanja projektnih prijedloga završen. Odabrani projektni prijedlozi su trenutno u procesu čišćenja proračuna i ugovaranja.  U 2012. godini je ugovoreno 7 ugovora iz alokacije IPA 2009 ukupnog iznosa 888.031,64 EUR što iznosi 98,67%. Osim sredstava koja se dodjeljuju putem poziva na dostavu projektnih prijedloga, u okviru programa predviđena su i sredstva za tehničku pomoć, i to u iznosu od 10% alokacija za pojedine godine. Do sada su provedena tri ugovora tehničke pomoći, za 2007., 2008. i 2009., a u srpnju 2012. sklopljen je i ugovor za 2010. te je za njega izvršeno plaćanje avansa u iznosu od 80.000,00 EUR.                                                                                                            2.) Program prekogranične suradnje Hrvatska – Crna Gora                                            Prvi poziv na dostavu projektnih prijedloga bio je objavljen 21. kolovoza 2009., a uključivao je alokacije za 2007. i 2008. u ukupnom iznosu od 1.620.000,00 EUR, od kojih je 720.000,00 EUR bilo predviđeno za hrvatske korisnike. Kao i kod programa prekogranične suradnje Hrvatska – Bosna i Hercegovina objava prvog poziva i ocjenjivanje ponuda izvršeni su od strane prethodnog ugovornog tijela, a Agencija za regionalni razvoj RH se uključila u fazi „čišćenja proračuna“ i ugovaranja. Ukupno je ugovoreno 5 projekata vrijednosti 716.631,11 EUR IPA sredstava (iz alokacije predviđene za Republiku Hrvatsku), od čega 3 iz alokacije za 2007. i 2 iz alokacije za 2008. Postotak ugovorenosti alokacije za 2007. iznosi 99,07%, a za 2008. 100%. Od 5 ugovorenih projekata, 4 su završila s provedbom te je za jedan projekt u 2012. godini isplaćena i završna rata. Osim isplaćenog predujma za sve projekte, za 2 su projekta u 2012. godini izvršena i međuplaćanja. Drugi poziv na dostavu projektnih prijedloga objavljen je 5. prosinca 2011. ukupnog iznosa 2.430.000,00 EUR od kojih je 1.080.000,00 EUR predviđeno za hrvatske korisnike, a uključuje alokacije za 2009., 2010. i 2011. Poziv je zatvoren 3. ožujka 2012. godine. te je do kraja 2012. godine trajao proces odabira projektnih prijedloga. I u okviru ovog Programa predviđena su sredstva za tehničku pomoć, također u iznosu od 10% alokacija za pojedine godine. Do sada su provedena tri ugovora tehničke pomoći, za 2007., 2008 i 2009. godinu.                                                                                                                    3.)   Program prekogranične suradnje Hrvatska – Srbija                                                Prvi poziv na dostavu projektnih prijedloga bio je objavljen 17. srpnja 2009., a uključivao je alokacije za 2007. i 2008. u ukupnom iznosu od 3.240.000,00 EUR, od kojih je 1.440.000,00 EUR bilo predviđeno za hrvatske korisnike. Kao i kod prethodno navedenih programa  Agencija za regionalni razvoj RH se uključila u fazi „čišćenja proračuna“ i ugovaranja. Ukupno je ugovoreno 11 projekata vrijednosti 1.439.930,01 EUR IPA sredstava (iz alokacije predviđene za Republiku Hrvatsku), od čega 5 iz alokacije za 2007. i 6 iz alokacije za 2008. Postotak ugovorenosti obje alokacije iznosi 100%. Za sve ugovorene projekte izvršeno je plaćanje predujma sukladno ratama predviđenim ugovorom kao i međuplaćanja za 9 ugovora, a za dva projekta  izvršeno je i završno plaćanje. Sveukupno je s provedbom završilo 8 ugovora. Drugi poziv na dostavu projektnih prijedloga objavljen je 18. kolovoza 2011. ukupnog iznosa 5.350.165,00 EUR od kojih je 2.160.000,00 EUR predviđeno za hrvatske korisnike, a uključuje alokacije za 2009., 2010. i 2011. Poziv je zatvoren 15. studenog 2011. godine. Ocjenjivanje projektnih prijedloga je završeno te su projektni prijedlozi u procesu čišćenja proračuna i ugovaranja. U 2012. godini sveukupno je  ugovoreno 8 ugovora iz alokacije IPA 2009 u ukupnom iznosu od 719.753,84 EUR (što iznosi 99,97%) te 2 ugovora iz alokacije IPA 2010 u ukupnom iznosu od 302.694,00 EUR.I u okviru ovog Programa predviđena su sredstva za tehničku pomoć, također u iznosu od 10% alokacija za pojedinu godinu. Do sada su provedena tri ugovora tehničke pomoći, za 2007., 2008. i 2009., a sklopljen je i ugovor za 2010. koji je u provedbi te za koji je izvršeno plaćanje predujma u iznosu od 64.000,00 EUR.                                                                                                       4.)  Transnacionalni program Mediteran (MED)                                                             Iz Transnacionalnog programa Mediteran ugovorena su tri ugovora iz prvog poziva, koji je uključivao alokacije za 2007. i 2008. Vrijednost sva tri ugovora je 151.963,83 EUR (IPA) što iznosi 95,5% (86,57% za 2007 i 99,98% za 2008) ukupno predviđenih sredstava za Republiku Hrvatsku, kao jednu od 13 učesnica u navedenom programu. Svi su ugovori završeni te je za sve ugovore izvršena terenska posjeta, a za dva ugovora je izvršeno završno plaćanje. Drugi poziv na dostavu projektnih prijedloga uključivao je samo alokaciju za 2009. Agencija za regionalni razvoj RH ugovorila je 3 projekta ukupne vrijednosti 133.195,23 EUR (IPA) ili 92,38% ukupno predviđenih sredstava za RH. Za sva tri ugovora izvršena su plaćanja predujma u  iznosu od 106.556,19 EUR. Jedan ugovor je završio s provedbom. Kao i kod prekograničnih programa prije samog ugovaranja bilo je potrebno provesti proces „čišćenja proračuna“.                                                                                                                    5.) Transnacionalni program Jugoistočna Europa (SEE)                                                U okviru programa Jugoistočna Europa iz prvog poziva koji je uključivao alokacije 2007. i 2008. ugovoreno je 9 projekata ukupne vrijednosti 743.473,57 EUR (IPA) ili 97,85% (87,09% za 2007 i 98,78% za 2008) ukupno predviđenih sredstava za RH. Svi ugovori su završili s provedbom te je za sve ugovore izvršena terenska posjeta, a za 3 ugovora je izvršeno završno plaćanje. Drugi poziv na dostavu projektnih prijedloga uključivao je samo alokaciju za 2009., u sklopu kojeg su ugovorena 3 projekta ukupne vrijednosti (IPA) 259.320,01 EUR (72,03%).  Za ugovorene projekte izvršeno je plaćanje predujma u iznosu 182.773,93 EUR.  Agencija za regionalni razvoj Republike Hrvatske  obvezna je s ciljem zaštite financijskih sredstava EU izvještavati o nepravilnostima koje su otkrivene tijekom provedbe projekata. Od III kvartala 2012. godine potrebno je izvještavati putem IMS sustava u slučajevima kada utvrđene nepravilnosti prelaze prag od 10.000 EUR dok izvješća o nepravilnostima ispod tog praga se šalju u skladu s dosadašnjom procedurom (koristi se papirnata verzija). U skladu s IPA Regulativom, Strategijom upravljanja rizicima u sustavu upravljanja i provedbe programa EU za razdoblje 2010. - 2012. kao i Priručnikom Agencije za regionalni razvoj RH, Agencija vodi i Registar rizika te sudjeluje na sastancima Vijeća za upravljanje rizicima. Prema Strategiji upravljanja rizicima u sustavu upravljanja i provedbe programa EU za razdoblje 2010.-2012., te preporuke Samostalnog odjela za unutarnju reviziju u registratoru rizika popisani su svi rizici po poslovnim procesima, te njihove vjerojatnosti pojavljivanja. Barem dva puta godišnje, neposredno prije samog RMP pozivaju se svi djelatnici, odnosno sudionici u poslovnim procesima da revidiraju „svoje“ rizike. Kako je Strategijom utvrđeno da se RAF-ovi ispunjavaju samo za rizike koji nisu predviđeni u Risk Registru, u ovoj godini prijavljen je samo jedan rizik, vezan za preuzimanje podataka pohranjenih na računalu prijašnje voditeljice Odjela za kontrolu dokumenata. Naime, računalo je proslijeđeno drugoj osobi na korištenje, a bez prethodno napravljenog „back up-a „. Gubitak podataka možda predstavlja velik rizik za daljnji rad Odjela za kontrolu dokumenata. Agencija za regionalni razvoj RH također vodi i Registar o iznimkama koji se sastoji od prijavljenih iznimkama zajedno s pripadajućom dokumentacijom. Registar iznimka vodi se od trenutka akreditacije, do sada je prijavljeno 7 iznimka, od toga 3 u 2012. godini. Iznimke su odobrene od ravnateljice Agencije. Izvješća o iznimkama šalju se kvartalno prema  Čelniku operativne strukture, najkasnije 15 dana od isteka kvartalnog razdoblja. Svake godine na polugodišnjoj i godišnjoj osnovi za svako funkcionalno područje kao što su kontrolno okruženje,upravljanje rizicima, kontrolne aktivnosti,  informacije i komunikacije te praćenje i procjena sustava testira se usklađenost s akreditacijskim kriterijima. U tu svrhu izrađena je  polugodišnja Izjava o jamstvu 7. srpnja 2012. godine  te poslana čelniku operativne strukture za nacionalnog dužnosnika za ovjeravanje. Agencija za regionalni razvoj RH priprema i izvješća o napretku (progress reports), izjave o izdacima (declaration of expenditures) i planove nabave (procurement plan) na zahtjev Nacionalnog fonda. U 2012. godini pripremljena su i Nacionalnom fondu dostavljena spomenuta izvješća za programe prekogranične suradnje Hrvatska - Crna Gora (alokacije 2008. i 2009.), Hrvatska - Bosna i Hercegovina (alokacije 2008. i 2010.), Hrvatska - Srbija (alokacija 2009.) te za transnacionalne programe Jugoistočna Europa i Mediteran (alokacija 2009.)</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 xml:space="preserve">Stopa  </w:t>
            </w:r>
          </w:p>
          <w:p w:rsidR="00AC0832" w:rsidRDefault="00AC0832">
            <w:pPr>
              <w:pStyle w:val="CellColumn"/>
            </w:pPr>
            <w:r>
              <w:t xml:space="preserve">ugovaranj </w:t>
            </w:r>
          </w:p>
          <w:p w:rsidR="00AC0832" w:rsidRDefault="00AC0832">
            <w:pPr>
              <w:pStyle w:val="CellColumn"/>
            </w:pPr>
            <w:r>
              <w:t xml:space="preserve">a po </w:t>
            </w:r>
          </w:p>
          <w:p w:rsidR="00AC0832" w:rsidRDefault="00AC0832">
            <w:pPr>
              <w:pStyle w:val="CellColumn"/>
            </w:pPr>
            <w:r>
              <w:t xml:space="preserve">navedeni </w:t>
            </w:r>
          </w:p>
          <w:p w:rsidR="00AC0832" w:rsidRDefault="00AC0832">
            <w:pPr>
              <w:pStyle w:val="CellColumn"/>
            </w:pPr>
            <w:r>
              <w:t xml:space="preserve">m </w:t>
            </w:r>
          </w:p>
          <w:p w:rsidR="00AC0832" w:rsidRDefault="00AC0832">
            <w:pPr>
              <w:pStyle w:val="CellColumn"/>
            </w:pPr>
            <w:r>
              <w:t xml:space="preserve">programima </w:t>
            </w:r>
          </w:p>
          <w:p w:rsidR="00AC0832" w:rsidRDefault="00AC0832">
            <w:pPr>
              <w:pStyle w:val="CellColumn"/>
            </w:pPr>
            <w:r>
              <w:t xml:space="preserve">prekogran </w:t>
            </w:r>
          </w:p>
          <w:p w:rsidR="00AC0832" w:rsidRDefault="00AC0832">
            <w:pPr>
              <w:pStyle w:val="CellColumn"/>
            </w:pPr>
            <w:r>
              <w:t xml:space="preserve">ične i </w:t>
            </w:r>
          </w:p>
          <w:p w:rsidR="00AC0832" w:rsidRDefault="00AC0832">
            <w:pPr>
              <w:pStyle w:val="CellColumn"/>
            </w:pPr>
            <w:r>
              <w:t xml:space="preserve">transnaci </w:t>
            </w:r>
          </w:p>
          <w:p w:rsidR="00AC0832" w:rsidRDefault="00AC0832">
            <w:pPr>
              <w:pStyle w:val="CellColumn"/>
            </w:pPr>
            <w:r>
              <w:t xml:space="preserve">onalne </w:t>
            </w:r>
          </w:p>
          <w:p w:rsidR="00AC0832" w:rsidRDefault="00AC0832">
            <w:pPr>
              <w:pStyle w:val="CellColumn"/>
            </w:pPr>
            <w:r>
              <w:t>suradnje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90</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90</w:t>
            </w:r>
          </w:p>
        </w:tc>
        <w:tc>
          <w:tcPr>
            <w:tcW w:w="1300" w:type="dxa"/>
          </w:tcPr>
          <w:p w:rsidR="00AC0832" w:rsidRDefault="00AC0832">
            <w:pPr>
              <w:pStyle w:val="CellColumn"/>
            </w:pPr>
            <w:r>
              <w:t>99,37</w:t>
            </w:r>
          </w:p>
        </w:tc>
      </w:tr>
      <w:tr w:rsidR="00AC0832" w:rsidTr="00BE20ED">
        <w:trPr>
          <w:jc w:val="center"/>
        </w:trPr>
        <w:tc>
          <w:tcPr>
            <w:tcW w:w="1300" w:type="dxa"/>
          </w:tcPr>
          <w:p w:rsidR="00AC0832" w:rsidRDefault="00AC0832">
            <w:pPr>
              <w:pStyle w:val="CellColumn"/>
            </w:pPr>
            <w:r>
              <w:t>Organizacija edukacija regionalnih koordinatora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5</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10</w:t>
            </w:r>
          </w:p>
        </w:tc>
        <w:tc>
          <w:tcPr>
            <w:tcW w:w="1300" w:type="dxa"/>
          </w:tcPr>
          <w:p w:rsidR="00AC0832" w:rsidRDefault="00AC0832">
            <w:pPr>
              <w:pStyle w:val="CellColumn"/>
            </w:pPr>
            <w:r>
              <w:t>10</w:t>
            </w:r>
          </w:p>
        </w:tc>
      </w:tr>
      <w:tr w:rsidR="00AC0832" w:rsidTr="00BE20ED">
        <w:trPr>
          <w:jc w:val="center"/>
        </w:trPr>
        <w:tc>
          <w:tcPr>
            <w:tcW w:w="1300" w:type="dxa"/>
          </w:tcPr>
          <w:p w:rsidR="00AC0832" w:rsidRDefault="00AC0832">
            <w:pPr>
              <w:pStyle w:val="CellColumn"/>
            </w:pPr>
            <w:r>
              <w:t>Održane sjednice Partnerskih vijeća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3</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3</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2"/>
      </w:pPr>
      <w:r>
        <w:t>06125 Središnja agencija za financiranje i ugovaranje programa i projekata Europske unije</w:t>
      </w:r>
    </w:p>
    <w:p w:rsidR="00AC0832" w:rsidRDefault="00AC0832">
      <w:pPr>
        <w:pStyle w:val="Heading4"/>
      </w:pPr>
      <w:r>
        <w:t>Uvod</w:t>
      </w:r>
    </w:p>
    <w:p w:rsidR="00AC0832" w:rsidRDefault="00AC0832">
      <w:pPr>
        <w:pStyle w:val="Normal3"/>
      </w:pPr>
      <w:r>
        <w:t xml:space="preserve">U decentraliziranom sustavu upravljanja fondovima Europske unije, SAFU ima ulogu provedbene agencije, što znači da je nadležna za financiranje, ugovaranje, plaćanje i nadzor provedbe programa i projekata Europske unije u kojima su upravljanje i odgovornost preneseni na Republiku Hrvatsku. SAFU je glavni promotor pravila i procedura  Europske  unije u  procesu  javne nabave  i  poveznica  između  Delegacije Europske unije u Hrvatskoj i drugih javnih tijela.  </w:t>
      </w:r>
    </w:p>
    <w:p w:rsidR="00AC0832" w:rsidRDefault="00AC0832">
      <w:pPr>
        <w:pStyle w:val="Normal3"/>
      </w:pPr>
      <w:r>
        <w:t xml:space="preserve"> </w:t>
      </w:r>
    </w:p>
    <w:p w:rsidR="00AC0832" w:rsidRDefault="00AC0832">
      <w:pPr>
        <w:pStyle w:val="Normal3"/>
      </w:pPr>
      <w:r>
        <w:t xml:space="preserve">Na temelju međunarodnog ugovora potpisanog između Republike Hrvatske i Europske komisije kao i Uredbe o opsegu i sadržaju odgovornosti te ovlastima tijela nadležnih za upravljanje Instrumentom pretpristupnih pomoći (IPA) koju je donijela Vlada Republike Hrvatske, SAFU je tijelo nadležno za provedbu prve (I.) komponente programa IPA te slijedećih prioriteta unutar treće (III.) komponente programa IPA: </w:t>
      </w:r>
    </w:p>
    <w:p w:rsidR="00AC0832" w:rsidRDefault="00AC0832">
      <w:pPr>
        <w:pStyle w:val="Normal3"/>
      </w:pPr>
      <w:r>
        <w:t>●</w:t>
      </w:r>
      <w:r>
        <w:tab/>
        <w:t xml:space="preserve">Prioritet 1. Unaprjeđenje razvojnog potencijala slabije razvijenih područja, prioritet 2. Jačanje konkurentnosti hrvatskoga gospodarstva i prioritet 3. Tehnička pomoć unutar komponente Regionalni razvoj – regionalna konkurentnost (III.c) </w:t>
      </w:r>
    </w:p>
    <w:p w:rsidR="00AC0832" w:rsidRDefault="00AC0832">
      <w:pPr>
        <w:pStyle w:val="Normal3"/>
      </w:pPr>
      <w:r>
        <w:t>●</w:t>
      </w:r>
      <w:r>
        <w:tab/>
        <w:t xml:space="preserve">Prioritet 2. Unaprjeđenje sustava unutarnje plovidbe u Hrvatskoj i prioritet 3. Tehnička pomoć unutar komponente Regionalni razvoj – promet (III.a) </w:t>
      </w:r>
    </w:p>
    <w:p w:rsidR="00AC0832" w:rsidRDefault="00AC0832">
      <w:pPr>
        <w:pStyle w:val="Normal3"/>
      </w:pPr>
      <w:r>
        <w:t>●</w:t>
      </w:r>
      <w:r>
        <w:tab/>
        <w:t xml:space="preserve">Prioritet 3. Tehnička pomoć unutar komponente Regionalni razvoj – zaštita okoliša (III.b) </w:t>
      </w:r>
    </w:p>
    <w:p w:rsidR="00AC0832" w:rsidRDefault="00AC0832">
      <w:pPr>
        <w:pStyle w:val="Normal3"/>
      </w:pPr>
      <w:r>
        <w:t xml:space="preserve"> </w:t>
      </w:r>
    </w:p>
    <w:p w:rsidR="00AC0832" w:rsidRDefault="00AC0832">
      <w:pPr>
        <w:pStyle w:val="Normal3"/>
      </w:pPr>
      <w:r>
        <w:t xml:space="preserve">Kroz provedbu programa i projekata koji su joj u nadležnosti, SAFU prihoduje novac iz europskog proračuna namijenjen modernizaciji državne administracije te omogućuje kapitalna ulaganja u hrvatsko gospodarstvo.  </w:t>
      </w:r>
    </w:p>
    <w:p w:rsidR="00AC0832" w:rsidRDefault="00AC0832">
      <w:pPr>
        <w:pStyle w:val="Normal3"/>
      </w:pPr>
      <w:r>
        <w:t xml:space="preserve"> </w:t>
      </w:r>
    </w:p>
    <w:p w:rsidR="00AC0832" w:rsidRDefault="00AC0832">
      <w:pPr>
        <w:pStyle w:val="Normal3"/>
      </w:pPr>
      <w:r>
        <w:t xml:space="preserve">Uz navedeno, SAFU sustavno provodi izobrazbu i diseminira stečena prema ključnim partnerskim i korisničkim institucijama u sustavu upravljanja fondovima Europske unije.  </w:t>
      </w:r>
    </w:p>
    <w:p w:rsidR="00AC0832" w:rsidRDefault="00AC0832">
      <w:pPr>
        <w:pStyle w:val="Normal3"/>
      </w:pPr>
      <w:r>
        <w:t xml:space="preserve"> </w:t>
      </w:r>
    </w:p>
    <w:p w:rsidR="00AC0832" w:rsidRDefault="00AC0832">
      <w:pPr>
        <w:pStyle w:val="Normal3"/>
      </w:pPr>
      <w:r>
        <w:t>Od 5. siječnja 2012. godine svoje financijsko poslovanje SAFU obavlja kroz sustav Državne riznice u okviru razdjela Ministarstva regionalnog razvoja i fondova Europske unije kao glava 06125.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06125-Središnja agencija za financiranje i ugovaranje programa i projekata Europske unije</w:t>
            </w:r>
          </w:p>
        </w:tc>
        <w:tc>
          <w:tcPr>
            <w:tcW w:w="2322" w:type="dxa"/>
          </w:tcPr>
          <w:p w:rsidR="00AC0832" w:rsidRDefault="00AC0832">
            <w:pPr>
              <w:pStyle w:val="CellColumn"/>
            </w:pPr>
            <w:r>
              <w:t>29.519.830</w:t>
            </w:r>
          </w:p>
        </w:tc>
        <w:tc>
          <w:tcPr>
            <w:tcW w:w="2322" w:type="dxa"/>
          </w:tcPr>
          <w:p w:rsidR="00AC0832" w:rsidRDefault="00AC0832">
            <w:pPr>
              <w:pStyle w:val="CellColumn"/>
            </w:pPr>
            <w:r>
              <w:t>29.099.591</w:t>
            </w:r>
          </w:p>
        </w:tc>
        <w:tc>
          <w:tcPr>
            <w:tcW w:w="2322" w:type="dxa"/>
          </w:tcPr>
          <w:p w:rsidR="00AC0832" w:rsidRDefault="00AC0832">
            <w:pPr>
              <w:pStyle w:val="CellColumn"/>
            </w:pPr>
            <w:r>
              <w:t>98,6</w:t>
            </w:r>
          </w:p>
        </w:tc>
      </w:tr>
      <w:tr w:rsidR="00AC0832" w:rsidTr="00BE20ED">
        <w:trPr>
          <w:jc w:val="center"/>
        </w:trPr>
        <w:tc>
          <w:tcPr>
            <w:tcW w:w="2322" w:type="dxa"/>
          </w:tcPr>
          <w:p w:rsidR="00AC0832" w:rsidRDefault="00AC0832">
            <w:pPr>
              <w:pStyle w:val="CellColumnSmall"/>
            </w:pPr>
            <w:r>
              <w:t>2210-FINANCIRANJE I UGOVARANJE PRETPRISTUPNIH I FONDOVA EU</w:t>
            </w:r>
          </w:p>
        </w:tc>
        <w:tc>
          <w:tcPr>
            <w:tcW w:w="2322" w:type="dxa"/>
          </w:tcPr>
          <w:p w:rsidR="00AC0832" w:rsidRDefault="00AC0832">
            <w:pPr>
              <w:pStyle w:val="CellColumnSmall"/>
            </w:pPr>
            <w:r>
              <w:t>29.519.830</w:t>
            </w:r>
          </w:p>
        </w:tc>
        <w:tc>
          <w:tcPr>
            <w:tcW w:w="2322" w:type="dxa"/>
          </w:tcPr>
          <w:p w:rsidR="00AC0832" w:rsidRDefault="00AC0832">
            <w:pPr>
              <w:pStyle w:val="CellColumnSmall"/>
            </w:pPr>
            <w:r>
              <w:t>29.099.591</w:t>
            </w:r>
          </w:p>
        </w:tc>
        <w:tc>
          <w:tcPr>
            <w:tcW w:w="2322" w:type="dxa"/>
          </w:tcPr>
          <w:p w:rsidR="00AC0832" w:rsidRDefault="00AC0832">
            <w:pPr>
              <w:pStyle w:val="CellColumnSmall"/>
            </w:pPr>
            <w:r>
              <w:t>98,6</w:t>
            </w:r>
          </w:p>
        </w:tc>
      </w:tr>
    </w:tbl>
    <w:p w:rsidR="00AC0832" w:rsidRDefault="00AC0832">
      <w:pPr>
        <w:jc w:val="left"/>
      </w:pPr>
    </w:p>
    <w:p w:rsidR="00AC0832" w:rsidRDefault="00AC0832">
      <w:pPr>
        <w:pStyle w:val="Heading4"/>
      </w:pPr>
      <w:r>
        <w:t>OBRAZLOŽENJE PROGRAMA</w:t>
      </w:r>
    </w:p>
    <w:p w:rsidR="00AC0832" w:rsidRDefault="00AC0832">
      <w:pPr>
        <w:pStyle w:val="Heading5"/>
      </w:pPr>
      <w:r>
        <w:t>2210 FINANCIRANJE I UGOVARANJE PRETPRISTUPNIH I FONDOVA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2210-FINANCIRANJE I UGOVARANJE PRETPRISTUPNIH I FONDOVA EU</w:t>
            </w:r>
          </w:p>
        </w:tc>
        <w:tc>
          <w:tcPr>
            <w:tcW w:w="2322" w:type="dxa"/>
          </w:tcPr>
          <w:p w:rsidR="00AC0832" w:rsidRDefault="00AC0832">
            <w:pPr>
              <w:pStyle w:val="CellColumn"/>
            </w:pPr>
            <w:r>
              <w:t>29.519.830</w:t>
            </w:r>
          </w:p>
        </w:tc>
        <w:tc>
          <w:tcPr>
            <w:tcW w:w="2322" w:type="dxa"/>
          </w:tcPr>
          <w:p w:rsidR="00AC0832" w:rsidRDefault="00AC0832">
            <w:pPr>
              <w:pStyle w:val="CellColumn"/>
            </w:pPr>
            <w:r>
              <w:t>29.099.591</w:t>
            </w:r>
          </w:p>
        </w:tc>
        <w:tc>
          <w:tcPr>
            <w:tcW w:w="2322" w:type="dxa"/>
          </w:tcPr>
          <w:p w:rsidR="00AC0832" w:rsidRDefault="00AC0832">
            <w:pPr>
              <w:pStyle w:val="CellColumn"/>
            </w:pPr>
            <w:r>
              <w:t>98,6</w:t>
            </w:r>
          </w:p>
        </w:tc>
      </w:tr>
    </w:tbl>
    <w:p w:rsidR="00AC0832" w:rsidRDefault="00AC0832">
      <w:pPr>
        <w:jc w:val="left"/>
      </w:pPr>
    </w:p>
    <w:p w:rsidR="00AC0832" w:rsidRDefault="00AC0832">
      <w:pPr>
        <w:pStyle w:val="Heading6"/>
      </w:pPr>
      <w:r>
        <w:t>Opis programa</w:t>
      </w:r>
    </w:p>
    <w:p w:rsidR="00AC0832" w:rsidRDefault="00AC0832">
      <w:pPr>
        <w:pStyle w:val="Normal5"/>
      </w:pPr>
      <w:r>
        <w:t xml:space="preserve">U skladu s dodijeljenim odgovornostima i ovlastima, SAFU je učinkovitim financijskim upravljanjem projektima i očuvanjem odgovarajućeg administrativnog kapaciteta osigurao održavanje visoke stope ugovorenosti EU programa iz njezine nadležnosti, a u cilju osiguranja visoke razine iskorištenosti navedenih sredstava. </w:t>
      </w:r>
    </w:p>
    <w:p w:rsidR="00AC0832" w:rsidRDefault="00AC0832">
      <w:pPr>
        <w:pStyle w:val="Normal5"/>
      </w:pPr>
      <w:r>
        <w:t xml:space="preserve">Također se nastavilo sa jačanjem administrativnog kapaciteta i diseminacijom stečenih znanja putem aktivnosti izobrazbe (seminari/radionice u okviru različitih programa za različite ciljne skupine) te tzv. on-the-job treninga odnosno učenja uz rad na konkretnim primjerima iz prakse kako za  pretpristupne programe tako i za programe koji će se financirati iz strukturnih instrumenata.  </w:t>
      </w:r>
    </w:p>
    <w:p w:rsidR="00AC0832" w:rsidRDefault="00AC0832">
      <w:pPr>
        <w:pStyle w:val="Normal5"/>
      </w:pPr>
      <w:r>
        <w:t>Sve aktivnosti u funkciji su ostvarenja općeg cilja Osiguranje visoke razine iskorištenosti sredstava iz fondova Europske unije s programom 2210 Financiranje i ugovaranje pretpristupnih i fondova EU kao njegova potpora.</w:t>
      </w:r>
    </w:p>
    <w:p w:rsidR="00AC0832" w:rsidRDefault="00AC0832">
      <w:pPr>
        <w:pStyle w:val="Heading6"/>
      </w:pPr>
      <w:r>
        <w:t>Zakonske i druge pravne osnove</w:t>
      </w:r>
    </w:p>
    <w:p w:rsidR="00AC0832" w:rsidRDefault="00AC0832">
      <w:pPr>
        <w:pStyle w:val="Normal5"/>
      </w:pPr>
      <w:r>
        <w:t>Uredba o osnivanju Središnje agencije za financiranje i ugovaranje programa i projekata Europske unije (Narodne novine broj 90/2007, 114/2007 i 29/2012), Okvirni sporazum između Vlade Republike Hrvatske i Komisije europskih zajednica o pravilima za suradnju u svezi financijske pomoći Europske zajednice Republici Hrvatskoj u provedbi pomoći u okviru Instrumenta pretpristupne pomoći (IPA) (MU 10/2007), Uredba o opsegu i sadržaju odgovornostu te ovlastima tijela nadležnih za unpravljanje Instrumenta pretpristupne pomoći (IPA) (Narodne novine broj 29/2012), Zakon o uspostavi institucionalnog okvira za korištenje strukturnih instrumenata Europske unije u Republici Hrvatskoj (NN 78/2012), Uredba o tijelima u sustavu upravljanja i kontrole korištenja strukturnih instrumenata Europske unije u Republici Hrvatskoj (NN 97/2012).</w:t>
      </w:r>
    </w:p>
    <w:p w:rsidR="00AC0832" w:rsidRDefault="00AC0832">
      <w:pPr>
        <w:pStyle w:val="Heading7"/>
      </w:pPr>
      <w:r>
        <w:t>Cilj 1. Učinkovito upravljanje sredstvima iz fondova EU u nadležnosti SAFU</w:t>
      </w:r>
    </w:p>
    <w:p w:rsidR="00AC0832" w:rsidRDefault="00AC0832">
      <w:pPr>
        <w:pStyle w:val="Heading8"/>
        <w:jc w:val="left"/>
      </w:pPr>
      <w:r>
        <w:t>Opis provedbe cilja programa</w:t>
      </w:r>
    </w:p>
    <w:p w:rsidR="00AC0832" w:rsidRDefault="00AC0832">
      <w:pPr>
        <w:pStyle w:val="Normal6"/>
      </w:pPr>
      <w:r>
        <w:t xml:space="preserve">Cilj programa ostvarivao se obavljanjem aktivnosti upravljanja sredstvima iz fondova EU u nadležnosti SAFU u skladu s relevantnim Financijskim sporazumima između Republike Hrvatske i Europske komisije, mjerilima zadanim za ispunjavanje uvjeta za provedbu programa bez prethodne (ex ante) kontrole Delegacije Europske unije u Republici Hrvatskoj te planovima nabave (procurement plans).   </w:t>
      </w:r>
    </w:p>
    <w:p w:rsidR="00AC0832" w:rsidRDefault="00AC0832">
      <w:pPr>
        <w:pStyle w:val="Normal6"/>
      </w:pPr>
      <w:r>
        <w:t>Cilj se provodio kroz dva podprograma: A825001 Administracija i upravljanje SAFU i K825004 Informatizacija.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7"/>
        <w:gridCol w:w="1372"/>
        <w:gridCol w:w="1299"/>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Uspješno ugovoreni svi projekti u nadležnosti SAFU sukladno globalnim rokovima postavljenim u relevantnim Financijskim sporazumima i planovima nabave (procurement plans)</w:t>
            </w:r>
          </w:p>
        </w:tc>
        <w:tc>
          <w:tcPr>
            <w:tcW w:w="1300" w:type="dxa"/>
          </w:tcPr>
          <w:p w:rsidR="00AC0832" w:rsidRDefault="00AC0832">
            <w:pPr>
              <w:pStyle w:val="CellColumn"/>
            </w:pPr>
            <w:r>
              <w:t>Razina iskorištenosti sredstava iz IPA programa u nadležnosti SAFU</w:t>
            </w:r>
          </w:p>
        </w:tc>
        <w:tc>
          <w:tcPr>
            <w:tcW w:w="1300" w:type="dxa"/>
          </w:tcPr>
          <w:p w:rsidR="00AC0832" w:rsidRDefault="00AC0832">
            <w:pPr>
              <w:pStyle w:val="CellColumn"/>
            </w:pPr>
            <w:r>
              <w:t>%</w:t>
            </w:r>
          </w:p>
        </w:tc>
        <w:tc>
          <w:tcPr>
            <w:tcW w:w="1300" w:type="dxa"/>
          </w:tcPr>
          <w:p w:rsidR="00AC0832" w:rsidRDefault="00AC0832">
            <w:pPr>
              <w:pStyle w:val="CellColumn"/>
            </w:pPr>
            <w:r>
              <w:t>n/a</w:t>
            </w:r>
          </w:p>
        </w:tc>
        <w:tc>
          <w:tcPr>
            <w:tcW w:w="1300" w:type="dxa"/>
          </w:tcPr>
          <w:p w:rsidR="00AC0832" w:rsidRDefault="00AC0832">
            <w:pPr>
              <w:pStyle w:val="CellColumn"/>
            </w:pPr>
            <w:r>
              <w:t>SAFU</w:t>
            </w:r>
          </w:p>
        </w:tc>
        <w:tc>
          <w:tcPr>
            <w:tcW w:w="1300" w:type="dxa"/>
          </w:tcPr>
          <w:p w:rsidR="00AC0832" w:rsidRDefault="00AC0832">
            <w:pPr>
              <w:pStyle w:val="CellColumn"/>
            </w:pPr>
            <w:r>
              <w:t>90%</w:t>
            </w:r>
          </w:p>
        </w:tc>
        <w:tc>
          <w:tcPr>
            <w:tcW w:w="1300" w:type="dxa"/>
          </w:tcPr>
          <w:p w:rsidR="00AC0832" w:rsidRDefault="00AC0832">
            <w:pPr>
              <w:pStyle w:val="CellColumn"/>
            </w:pPr>
            <w:r>
              <w:t>90%</w:t>
            </w:r>
          </w:p>
        </w:tc>
      </w:tr>
      <w:tr w:rsidR="00AC0832" w:rsidTr="00BE20ED">
        <w:trPr>
          <w:jc w:val="center"/>
        </w:trPr>
        <w:tc>
          <w:tcPr>
            <w:tcW w:w="1300" w:type="dxa"/>
          </w:tcPr>
          <w:p w:rsidR="00AC0832" w:rsidRDefault="00AC0832">
            <w:pPr>
              <w:pStyle w:val="CellColumn"/>
            </w:pPr>
            <w:r>
              <w:t>Plaćanje svih prihvatljivih troškova po svakom sklopljenom ugovoru u ugovorenim rokovima</w:t>
            </w:r>
          </w:p>
        </w:tc>
        <w:tc>
          <w:tcPr>
            <w:tcW w:w="1300" w:type="dxa"/>
          </w:tcPr>
          <w:p w:rsidR="00AC0832" w:rsidRDefault="00AC0832">
            <w:pPr>
              <w:pStyle w:val="CellColumn"/>
            </w:pPr>
            <w:r>
              <w:t>Razina plaćanja svih troškova po svakom sklopljenom ugovoru u ugovorenim rokovima</w:t>
            </w:r>
          </w:p>
        </w:tc>
        <w:tc>
          <w:tcPr>
            <w:tcW w:w="1300" w:type="dxa"/>
          </w:tcPr>
          <w:p w:rsidR="00AC0832" w:rsidRDefault="00AC0832">
            <w:pPr>
              <w:pStyle w:val="CellColumn"/>
            </w:pPr>
            <w:r>
              <w:t>%</w:t>
            </w:r>
          </w:p>
        </w:tc>
        <w:tc>
          <w:tcPr>
            <w:tcW w:w="1300" w:type="dxa"/>
          </w:tcPr>
          <w:p w:rsidR="00AC0832" w:rsidRDefault="00AC0832">
            <w:pPr>
              <w:pStyle w:val="CellColumn"/>
            </w:pPr>
            <w:r>
              <w:t>n/a</w:t>
            </w:r>
          </w:p>
        </w:tc>
        <w:tc>
          <w:tcPr>
            <w:tcW w:w="1300" w:type="dxa"/>
          </w:tcPr>
          <w:p w:rsidR="00AC0832" w:rsidRDefault="00AC0832">
            <w:pPr>
              <w:pStyle w:val="CellColumn"/>
            </w:pPr>
            <w:r>
              <w:t>SAFU</w:t>
            </w:r>
          </w:p>
        </w:tc>
        <w:tc>
          <w:tcPr>
            <w:tcW w:w="1300" w:type="dxa"/>
          </w:tcPr>
          <w:p w:rsidR="00AC0832" w:rsidRDefault="00AC0832">
            <w:pPr>
              <w:pStyle w:val="CellColumn"/>
            </w:pPr>
            <w:r>
              <w:t>100%</w:t>
            </w:r>
          </w:p>
        </w:tc>
        <w:tc>
          <w:tcPr>
            <w:tcW w:w="1300" w:type="dxa"/>
          </w:tcPr>
          <w:p w:rsidR="00AC0832" w:rsidRDefault="00AC0832">
            <w:pPr>
              <w:pStyle w:val="CellColumn"/>
            </w:pPr>
            <w:r>
              <w:t>100%</w:t>
            </w:r>
          </w:p>
        </w:tc>
      </w:tr>
    </w:tbl>
    <w:p w:rsidR="00AC0832" w:rsidRDefault="00AC0832">
      <w:pPr>
        <w:jc w:val="left"/>
      </w:pPr>
    </w:p>
    <w:p w:rsidR="00AC0832" w:rsidRDefault="00AC0832">
      <w:pPr>
        <w:pStyle w:val="Heading6"/>
      </w:pPr>
      <w:r>
        <w:t>A825001 ADMINISTRACIJA I UPRAVLJANJE SREDIŠNJE AGENCIJE ZA FINANCIRANJE I UGOVARANJE PROGRAMA I PROJEKATA EUROPSKE UNIJE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A825001-ADMINISTRACIJA I UPRAVLJANJE SREDIŠNJE AGENCIJE ZA FINANCIRANJE I UGOVARANJE PROGRAMA I PROJEKATA EUROPSKE UNIJE</w:t>
            </w:r>
          </w:p>
        </w:tc>
        <w:tc>
          <w:tcPr>
            <w:tcW w:w="2322" w:type="dxa"/>
          </w:tcPr>
          <w:p w:rsidR="00AC0832" w:rsidRDefault="00AC0832">
            <w:pPr>
              <w:pStyle w:val="CellColumn"/>
            </w:pPr>
            <w:r>
              <w:t>29.170.630</w:t>
            </w:r>
          </w:p>
        </w:tc>
        <w:tc>
          <w:tcPr>
            <w:tcW w:w="2322" w:type="dxa"/>
          </w:tcPr>
          <w:p w:rsidR="00AC0832" w:rsidRDefault="00AC0832">
            <w:pPr>
              <w:pStyle w:val="CellColumn"/>
            </w:pPr>
            <w:r>
              <w:t>28.760.929</w:t>
            </w:r>
          </w:p>
        </w:tc>
        <w:tc>
          <w:tcPr>
            <w:tcW w:w="2322" w:type="dxa"/>
          </w:tcPr>
          <w:p w:rsidR="00AC0832" w:rsidRDefault="00AC0832">
            <w:pPr>
              <w:pStyle w:val="CellColumn"/>
            </w:pPr>
            <w:r>
              <w:t>98,6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SAFU obavlja aktivnosti potpore korisničkim institucijama u pripremi projektne i natječajne dokumentacije i kontroli kvalitete iste. Obavlja poslove ugovaranja, plaćanja, računovodstva te izvještavanja o financiranju cjelokupne nabave za projekte iz svoje nadležnosti. Nadalje, organizira i provodi edukacijske aktivnosti kroz organizaciju seminara i radionica iz područja pripreme i upravljanja projektima financiranim iz programa EU za korisnike projekata središnje državne i javne uprave. Provodi aktivnosti prijenosa znanja i vještina vezano uz kvalitetno upravljanje sredstvima iz EU programa na druge institucije koje se bave provedbom   kroz pružanje konzultacija i uključivanje u radne aktivnosti i rad na konkretnim slučajevima zaposlenih u drugim provedbenim tijelima.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0"/>
        <w:gridCol w:w="1417"/>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Ugovorenost sukladno planovima nabave</w:t>
            </w:r>
          </w:p>
        </w:tc>
        <w:tc>
          <w:tcPr>
            <w:tcW w:w="1300" w:type="dxa"/>
          </w:tcPr>
          <w:p w:rsidR="00AC0832" w:rsidRDefault="00AC0832">
            <w:pPr>
              <w:pStyle w:val="CellColumn"/>
            </w:pPr>
            <w:r>
              <w:t>Uspješno ugovoreni i provedeni svi projekti u nadležnosti SAFU sukladno globalnim rokovima postavljenim u relevantnim Financijskim sporazumima i planovima nabave (procurement plans)</w:t>
            </w:r>
          </w:p>
        </w:tc>
        <w:tc>
          <w:tcPr>
            <w:tcW w:w="1300" w:type="dxa"/>
          </w:tcPr>
          <w:p w:rsidR="00AC0832" w:rsidRDefault="00AC0832">
            <w:pPr>
              <w:pStyle w:val="CellColumn"/>
            </w:pPr>
            <w:r>
              <w:t>%</w:t>
            </w:r>
          </w:p>
        </w:tc>
        <w:tc>
          <w:tcPr>
            <w:tcW w:w="1300" w:type="dxa"/>
          </w:tcPr>
          <w:p w:rsidR="00AC0832" w:rsidRDefault="00AC0832">
            <w:pPr>
              <w:pStyle w:val="CellColumn"/>
            </w:pPr>
            <w:r>
              <w:t>n/a</w:t>
            </w:r>
          </w:p>
        </w:tc>
        <w:tc>
          <w:tcPr>
            <w:tcW w:w="1300" w:type="dxa"/>
          </w:tcPr>
          <w:p w:rsidR="00AC0832" w:rsidRDefault="00AC0832">
            <w:pPr>
              <w:pStyle w:val="CellColumn"/>
            </w:pPr>
            <w:r>
              <w:t>SAFU</w:t>
            </w:r>
          </w:p>
        </w:tc>
        <w:tc>
          <w:tcPr>
            <w:tcW w:w="1300" w:type="dxa"/>
          </w:tcPr>
          <w:p w:rsidR="00AC0832" w:rsidRDefault="00AC0832">
            <w:pPr>
              <w:pStyle w:val="CellColumn"/>
            </w:pPr>
            <w:r>
              <w:t>90%</w:t>
            </w:r>
          </w:p>
        </w:tc>
        <w:tc>
          <w:tcPr>
            <w:tcW w:w="1300" w:type="dxa"/>
          </w:tcPr>
          <w:p w:rsidR="00AC0832" w:rsidRDefault="00AC0832">
            <w:pPr>
              <w:pStyle w:val="CellColumn"/>
            </w:pPr>
            <w:r>
              <w:t>90%</w:t>
            </w:r>
          </w:p>
        </w:tc>
      </w:tr>
      <w:tr w:rsidR="00AC0832" w:rsidTr="00BE20ED">
        <w:trPr>
          <w:jc w:val="center"/>
        </w:trPr>
        <w:tc>
          <w:tcPr>
            <w:tcW w:w="1300" w:type="dxa"/>
          </w:tcPr>
          <w:p w:rsidR="00AC0832" w:rsidRDefault="00AC0832">
            <w:pPr>
              <w:pStyle w:val="CellColumn"/>
            </w:pPr>
            <w:r>
              <w:t>Stopa odbijenica u procesu ex-ante kontrole Delegacije Europske unije u Republici Hrvatskoj</w:t>
            </w:r>
          </w:p>
        </w:tc>
        <w:tc>
          <w:tcPr>
            <w:tcW w:w="1300" w:type="dxa"/>
          </w:tcPr>
          <w:p w:rsidR="00AC0832" w:rsidRDefault="00AC0832">
            <w:pPr>
              <w:pStyle w:val="CellColumn"/>
            </w:pPr>
            <w:r>
              <w:t>Uspješna apsorbcija sredstava u rokovima definiranim strateškim dokumentima i planovima</w:t>
            </w:r>
          </w:p>
        </w:tc>
        <w:tc>
          <w:tcPr>
            <w:tcW w:w="1300" w:type="dxa"/>
          </w:tcPr>
          <w:p w:rsidR="00AC0832" w:rsidRDefault="00AC0832">
            <w:pPr>
              <w:pStyle w:val="CellColumn"/>
            </w:pPr>
            <w:r>
              <w:t>%</w:t>
            </w:r>
          </w:p>
        </w:tc>
        <w:tc>
          <w:tcPr>
            <w:tcW w:w="1300" w:type="dxa"/>
          </w:tcPr>
          <w:p w:rsidR="00AC0832" w:rsidRDefault="00AC0832">
            <w:pPr>
              <w:pStyle w:val="CellColumn"/>
            </w:pPr>
            <w:r>
              <w:t>4%</w:t>
            </w:r>
          </w:p>
        </w:tc>
        <w:tc>
          <w:tcPr>
            <w:tcW w:w="1300" w:type="dxa"/>
          </w:tcPr>
          <w:p w:rsidR="00AC0832" w:rsidRDefault="00AC0832">
            <w:pPr>
              <w:pStyle w:val="CellColumn"/>
            </w:pPr>
            <w:r>
              <w:t>SAFU</w:t>
            </w:r>
          </w:p>
        </w:tc>
        <w:tc>
          <w:tcPr>
            <w:tcW w:w="1300" w:type="dxa"/>
          </w:tcPr>
          <w:p w:rsidR="00AC0832" w:rsidRDefault="00AC0832">
            <w:pPr>
              <w:pStyle w:val="CellColumn"/>
            </w:pPr>
            <w:r>
              <w:t>2%</w:t>
            </w:r>
          </w:p>
        </w:tc>
        <w:tc>
          <w:tcPr>
            <w:tcW w:w="1300" w:type="dxa"/>
          </w:tcPr>
          <w:p w:rsidR="00AC0832" w:rsidRDefault="00AC0832">
            <w:pPr>
              <w:pStyle w:val="CellColumn"/>
            </w:pPr>
            <w:r>
              <w:t>2%</w:t>
            </w:r>
          </w:p>
        </w:tc>
      </w:tr>
    </w:tbl>
    <w:p w:rsidR="00AC0832" w:rsidRDefault="00AC0832">
      <w:pPr>
        <w:jc w:val="left"/>
      </w:pPr>
    </w:p>
    <w:p w:rsidR="00AC0832" w:rsidRDefault="00AC0832">
      <w:pPr>
        <w:pStyle w:val="Heading1"/>
      </w:pPr>
      <w:r>
        <w:t>065 MINISTARSTVO POMORSTVA, PROMETA I INFRASTRUKTURE</w:t>
      </w:r>
    </w:p>
    <w:p w:rsidR="00AC0832" w:rsidRDefault="00AC0832">
      <w:pPr>
        <w:pStyle w:val="Heading4"/>
      </w:pPr>
      <w:r>
        <w:t>Uvod</w:t>
      </w:r>
    </w:p>
    <w:p w:rsidR="00AC0832" w:rsidRDefault="00AC0832">
      <w:pPr>
        <w:pStyle w:val="Normal3"/>
      </w:pPr>
      <w:r>
        <w:t xml:space="preserve">Ministarstvo pomorstva, prometa i infrastrukture ustrojeno je temeljem Zakona o ustrojstvu i djelokrugu ministarstava i drugih središnjih tijela državne uprave (N.N. br. 150/11), kojeg je Hrvatski sabor donio na sjednici 22. prosinca 2011. godine.  </w:t>
      </w:r>
    </w:p>
    <w:p w:rsidR="00AC0832" w:rsidRDefault="00AC0832">
      <w:pPr>
        <w:pStyle w:val="Normal3"/>
      </w:pPr>
      <w:r>
        <w:t xml:space="preserve">Ministarstvo pomorstva, prometa i infrastrukture obavlja upravne i druge poslove koji se odnose na: unutarnji međunarodni pomorski, nautički, cestovni, željeznički, zračni i poštanski promet; sustav prometa žičarama, uspinjačama i vučnicama te promet na unutarnjim vodama s infrastrukturom tih vidova prometa; planiranje, izradu i provedbu strateških dokumenata i projekata prometne infrastrukture, predlaže strategiju razvoja svih vidova prometa; zaštitu mora od onečišćenja s brodova; morske luke, pomorsko dobro i utvrđivanje granica pomorskog dobra, pomorsko osiguranje i pomorske agencije; luke na unutarnjim plovnim putovima; kopnene robno-transportne centre; zračne luke; prijevozna sredstva osim onih poslova koje ulaze u djelokrug rada drugih ministarstava; elektroničke komunikacije (telekomunikacije i radijske komunikacije) i poštu; inspekcijske poslove: sigurnosti plovidbe na moru, unutarnjeg i međunarodnog cestovnog prometa i cesta, osim poslova iz djelokruga Ministarstva unutarnjih poslova, sigurnosti željezničkog prometa, sigurnosti prometa žičarama, uspinjačama i vučnicama, sigurnosti zračne plovidbe i sigurnosti plovidbe na unutarnjim vodama. </w:t>
      </w:r>
    </w:p>
    <w:p w:rsidR="00AC0832" w:rsidRDefault="00AC0832">
      <w:pPr>
        <w:pStyle w:val="Normal3"/>
      </w:pPr>
      <w:r>
        <w:t xml:space="preserve">Ministarstvo obavlja upravne i druge poslove koji se odnose na: elektroničke komunikacije (telekomunikacije i radijske komunikacije) i poštu, informacijsko društvo i poštanske usluge, pripremanje nacrta prijedloga zakona i drugih propisa iz područja elektroničkih komunikacija i poštanskih usluga, osiguravanje i provođenje utvrđene politike i primjenu zakona i drugih propisa iz područja elektroničkih komunikacija i poštanskih usluga, predlaganje strategija, studija, smjernica i programa razvoja elektroničkih komunikacija i poštanskih usluga u Republici Hrvatskoj te predlaganje akcijskih planova za njihovu provedbu, izradu analiza i izvješća o stanju u području elektroničkih komunikacijskih mreža i usluga te poštanskih usluga, prijedloga mjera i planova za razvoj i poboljšanje stanja u području elektroničkih komunikacija, informacijskog društva i nacionalne informacijske infrastrukture te poštanskih usluga, suradnju u praćenju, utvrđivanju i analizi pokazatelja razvoja informacijskog društva, predlaganje projekata i programa razvoja informacijske i komunikacijske tehnologije (lCT) i usluga informacijskog društva, suradnju u planiranju, usklađivanju i provedbi aktivnosti razvoja nacionalne informacijske infrastrukture, pripremu prijedloga mjera i planova za poticanje razvoja i poboljšanje stanja na tržištu ICT usluga, aplikacija i proizvoda te u ICT infrastrukturi, pružanje stručne potpore u analitičkom pregledu i ocjeni usklađenosti zakonodavstva Republike Hrvatske s pravnom stečevinom Europske unije te sudjelovanje u radu europskih i međunarodnih organizacija i institucija u području elektroničkih komunikacija, informacijskog društva i poštanskih usluga, te njihovih upravnih i radnih tijela i stručnih skupina, sudjelovanje na međudržavnim sastancima i pregovorima iz područja elektroničkih komunikacija, informacijskog društva i poštanskih usluga; inspekcijske poslove: elektroničkih komunikacija (telekomunikacija i radijskih komunikacija) i pošte, unutarnjeg i međunarodnoga poštanskog prometa. </w:t>
      </w:r>
    </w:p>
    <w:p w:rsidR="00AC0832" w:rsidRDefault="00AC0832">
      <w:pPr>
        <w:pStyle w:val="Normal3"/>
      </w:pPr>
      <w:r>
        <w:t xml:space="preserve">Ministarstvo obavlja upravne, stručne i druge poslove koji se odnose na organiziranje izrade strateških infrastrukturnih projekata i investicijskih programa za sve vidove prometa, od posebnog značenja za Republiku Hrvatsku i pripremanje prijedloga Vladi Republike Hrvatske za njihovo odobravanje i provedbu; organiziranje odgovarajućih velikih infrastrukturnih investicijskih radova u izgradnji objekata i uređaja prometne infrastrukture, osim njihove rekonstrukcije i održavanja, i drugih odgovarajućih krupnih infrastrukturnih radova od značaja za održivi razvitak Republike Hrvatske koji se u cijelosti ili u većoj mjeri financiraju sredstvima državnog proračuna, te usklađuje aktivnosti drugih subjekata u izgradnji takvih objekata i prati i kontrolira te investicije, te obavlja stručne poslove koji se odnose na pokretanje, usklađivanje i nadzor poslova određenih aktima i propisima kojima se uređuje ukupni razvitak prometa. </w:t>
      </w:r>
    </w:p>
    <w:p w:rsidR="00AC0832" w:rsidRDefault="00AC0832">
      <w:pPr>
        <w:pStyle w:val="Normal3"/>
      </w:pPr>
      <w:r>
        <w:t>Unutar Razdjela Ministarstva pomorstva, prometa i infrastrukture nalaze se slijedeća tijela: Agencija za obalni linijski promet, Agencija za vodne putove, Hrvatski hidrografski institut, Agencija za istraživanje nesreća i ozbiljnih nezgoda zrakoplova, Agencija za sigurnost željezničkog prometa i Agencija za regulaciju tržišta željezničkih usluga (samo do donošenja proračuna za 2012. godinu, kada je postala samostalni razdjel u državnom proračunu).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06505-Ministarstvo pomorstva, prometa i infrastrukture</w:t>
            </w:r>
          </w:p>
        </w:tc>
        <w:tc>
          <w:tcPr>
            <w:tcW w:w="2322" w:type="dxa"/>
          </w:tcPr>
          <w:p w:rsidR="00AC0832" w:rsidRDefault="00AC0832">
            <w:pPr>
              <w:pStyle w:val="CellColumn"/>
            </w:pPr>
            <w:r>
              <w:t>5.379.945.264</w:t>
            </w:r>
          </w:p>
        </w:tc>
        <w:tc>
          <w:tcPr>
            <w:tcW w:w="2322" w:type="dxa"/>
          </w:tcPr>
          <w:p w:rsidR="00AC0832" w:rsidRDefault="00AC0832">
            <w:pPr>
              <w:pStyle w:val="CellColumn"/>
            </w:pPr>
            <w:r>
              <w:t>5.322.195.898</w:t>
            </w:r>
          </w:p>
        </w:tc>
        <w:tc>
          <w:tcPr>
            <w:tcW w:w="2322" w:type="dxa"/>
          </w:tcPr>
          <w:p w:rsidR="00AC0832" w:rsidRDefault="00AC0832">
            <w:pPr>
              <w:pStyle w:val="CellColumn"/>
            </w:pPr>
            <w:r>
              <w:t>98,9</w:t>
            </w:r>
          </w:p>
        </w:tc>
      </w:tr>
      <w:tr w:rsidR="00AC0832" w:rsidTr="00BE20ED">
        <w:trPr>
          <w:jc w:val="center"/>
        </w:trPr>
        <w:tc>
          <w:tcPr>
            <w:tcW w:w="2322" w:type="dxa"/>
          </w:tcPr>
          <w:p w:rsidR="00AC0832" w:rsidRDefault="00AC0832">
            <w:pPr>
              <w:pStyle w:val="CellColumn"/>
            </w:pPr>
            <w:r>
              <w:t>06545-Agencija za obalni linijski promet</w:t>
            </w:r>
          </w:p>
        </w:tc>
        <w:tc>
          <w:tcPr>
            <w:tcW w:w="2322" w:type="dxa"/>
          </w:tcPr>
          <w:p w:rsidR="00AC0832" w:rsidRDefault="00AC0832">
            <w:pPr>
              <w:pStyle w:val="CellColumn"/>
            </w:pPr>
            <w:r>
              <w:t>378.059.700</w:t>
            </w:r>
          </w:p>
        </w:tc>
        <w:tc>
          <w:tcPr>
            <w:tcW w:w="2322" w:type="dxa"/>
          </w:tcPr>
          <w:p w:rsidR="00AC0832" w:rsidRDefault="00AC0832">
            <w:pPr>
              <w:pStyle w:val="CellColumn"/>
            </w:pPr>
            <w:r>
              <w:t>378.012.479</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
            </w:pPr>
            <w:r>
              <w:t>06550-Agencija za vodne putove</w:t>
            </w:r>
          </w:p>
        </w:tc>
        <w:tc>
          <w:tcPr>
            <w:tcW w:w="2322" w:type="dxa"/>
          </w:tcPr>
          <w:p w:rsidR="00AC0832" w:rsidRDefault="00AC0832">
            <w:pPr>
              <w:pStyle w:val="CellColumn"/>
            </w:pPr>
            <w:r>
              <w:t>21.636.674</w:t>
            </w:r>
          </w:p>
        </w:tc>
        <w:tc>
          <w:tcPr>
            <w:tcW w:w="2322" w:type="dxa"/>
          </w:tcPr>
          <w:p w:rsidR="00AC0832" w:rsidRDefault="00AC0832">
            <w:pPr>
              <w:pStyle w:val="CellColumn"/>
            </w:pPr>
            <w:r>
              <w:t>20.064.873</w:t>
            </w:r>
          </w:p>
        </w:tc>
        <w:tc>
          <w:tcPr>
            <w:tcW w:w="2322" w:type="dxa"/>
          </w:tcPr>
          <w:p w:rsidR="00AC0832" w:rsidRDefault="00AC0832">
            <w:pPr>
              <w:pStyle w:val="CellColumn"/>
            </w:pPr>
            <w:r>
              <w:t>92,7</w:t>
            </w:r>
          </w:p>
        </w:tc>
      </w:tr>
      <w:tr w:rsidR="00AC0832" w:rsidTr="00BE20ED">
        <w:trPr>
          <w:jc w:val="center"/>
        </w:trPr>
        <w:tc>
          <w:tcPr>
            <w:tcW w:w="2322" w:type="dxa"/>
          </w:tcPr>
          <w:p w:rsidR="00AC0832" w:rsidRDefault="00AC0832">
            <w:pPr>
              <w:pStyle w:val="CellColumn"/>
            </w:pPr>
            <w:r>
              <w:t>06551-Agencije u prometu i infrastrukturi</w:t>
            </w:r>
          </w:p>
        </w:tc>
        <w:tc>
          <w:tcPr>
            <w:tcW w:w="2322" w:type="dxa"/>
          </w:tcPr>
          <w:p w:rsidR="00AC0832" w:rsidRDefault="00AC0832">
            <w:pPr>
              <w:pStyle w:val="CellColumn"/>
            </w:pPr>
            <w:r>
              <w:t>18.319.380</w:t>
            </w:r>
          </w:p>
        </w:tc>
        <w:tc>
          <w:tcPr>
            <w:tcW w:w="2322" w:type="dxa"/>
          </w:tcPr>
          <w:p w:rsidR="00AC0832" w:rsidRDefault="00AC0832">
            <w:pPr>
              <w:pStyle w:val="CellColumn"/>
            </w:pPr>
            <w:r>
              <w:t>9.184.347</w:t>
            </w:r>
          </w:p>
        </w:tc>
        <w:tc>
          <w:tcPr>
            <w:tcW w:w="2322" w:type="dxa"/>
          </w:tcPr>
          <w:p w:rsidR="00AC0832" w:rsidRDefault="00AC0832">
            <w:pPr>
              <w:pStyle w:val="CellColumn"/>
            </w:pPr>
            <w:r>
              <w:t>50,1</w:t>
            </w:r>
          </w:p>
        </w:tc>
      </w:tr>
      <w:tr w:rsidR="00AC0832" w:rsidTr="00BE20ED">
        <w:trPr>
          <w:jc w:val="center"/>
        </w:trPr>
        <w:tc>
          <w:tcPr>
            <w:tcW w:w="2322" w:type="dxa"/>
          </w:tcPr>
          <w:p w:rsidR="00AC0832" w:rsidRDefault="00AC0832">
            <w:pPr>
              <w:pStyle w:val="CellColumn"/>
            </w:pPr>
            <w:r>
              <w:t>06560-Hrvatski hidrografski institut</w:t>
            </w:r>
          </w:p>
        </w:tc>
        <w:tc>
          <w:tcPr>
            <w:tcW w:w="2322" w:type="dxa"/>
          </w:tcPr>
          <w:p w:rsidR="00AC0832" w:rsidRDefault="00AC0832">
            <w:pPr>
              <w:pStyle w:val="CellColumn"/>
            </w:pPr>
            <w:r>
              <w:t>11.476.808</w:t>
            </w:r>
          </w:p>
        </w:tc>
        <w:tc>
          <w:tcPr>
            <w:tcW w:w="2322" w:type="dxa"/>
          </w:tcPr>
          <w:p w:rsidR="00AC0832" w:rsidRDefault="00AC0832">
            <w:pPr>
              <w:pStyle w:val="CellColumn"/>
            </w:pPr>
            <w:r>
              <w:t>10.960.904</w:t>
            </w:r>
          </w:p>
        </w:tc>
        <w:tc>
          <w:tcPr>
            <w:tcW w:w="2322" w:type="dxa"/>
          </w:tcPr>
          <w:p w:rsidR="00AC0832" w:rsidRDefault="00AC0832">
            <w:pPr>
              <w:pStyle w:val="CellColumn"/>
            </w:pPr>
            <w:r>
              <w:t>95,5</w:t>
            </w:r>
          </w:p>
        </w:tc>
      </w:tr>
      <w:tr w:rsidR="00AC0832" w:rsidTr="00BE20ED">
        <w:trPr>
          <w:jc w:val="center"/>
        </w:trPr>
        <w:tc>
          <w:tcPr>
            <w:tcW w:w="2322" w:type="dxa"/>
            <w:shd w:val="clear" w:color="auto" w:fill="B5C0D8"/>
          </w:tcPr>
          <w:p w:rsidR="00AC0832" w:rsidRDefault="00AC0832">
            <w:pPr>
              <w:pStyle w:val="CellColumn"/>
            </w:pPr>
            <w:r>
              <w:t>Ukupno 065-MINISTARSTVO POMORSTVA, PROMETA I INFRASTRUKTURE</w:t>
            </w:r>
          </w:p>
        </w:tc>
        <w:tc>
          <w:tcPr>
            <w:tcW w:w="2322" w:type="dxa"/>
            <w:shd w:val="clear" w:color="auto" w:fill="B5C0D8"/>
          </w:tcPr>
          <w:p w:rsidR="00AC0832" w:rsidRDefault="00AC0832">
            <w:pPr>
              <w:pStyle w:val="CellColumn"/>
            </w:pPr>
            <w:r>
              <w:t>5.809.437.826</w:t>
            </w:r>
          </w:p>
        </w:tc>
        <w:tc>
          <w:tcPr>
            <w:tcW w:w="2322" w:type="dxa"/>
            <w:shd w:val="clear" w:color="auto" w:fill="B5C0D8"/>
          </w:tcPr>
          <w:p w:rsidR="00AC0832" w:rsidRDefault="00AC0832">
            <w:pPr>
              <w:pStyle w:val="CellColumn"/>
            </w:pPr>
            <w:r>
              <w:t>5.740.418.501</w:t>
            </w:r>
          </w:p>
        </w:tc>
        <w:tc>
          <w:tcPr>
            <w:tcW w:w="2322" w:type="dxa"/>
            <w:shd w:val="clear" w:color="auto" w:fill="B5C0D8"/>
          </w:tcPr>
          <w:p w:rsidR="00AC0832" w:rsidRDefault="00AC0832">
            <w:pPr>
              <w:pStyle w:val="CellColumn"/>
            </w:pPr>
            <w:r>
              <w:t>98,8</w:t>
            </w:r>
          </w:p>
        </w:tc>
      </w:tr>
    </w:tbl>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pStyle w:val="Heading2"/>
      </w:pPr>
      <w:r>
        <w:t>06505 Ministarstvo pomorstva, prometa i infrastrukture</w:t>
      </w:r>
    </w:p>
    <w:p w:rsidR="00AC0832" w:rsidRDefault="00AC0832">
      <w:pPr>
        <w:pStyle w:val="Heading4"/>
      </w:pPr>
      <w:r>
        <w:t>Uvod</w:t>
      </w:r>
    </w:p>
    <w:p w:rsidR="00AC0832" w:rsidRDefault="00AC0832">
      <w:pPr>
        <w:pStyle w:val="Normal3"/>
      </w:pPr>
      <w:r>
        <w:t>Najznačajniji poslovi i zadaci na razini Glave Ministarstva pomorstva, prometa i infrastrukture su stvaranje uvjeta i izgradnja kapaciteta koji će osigurati izradu kvalitetnih zakona i ostalih propisa te njihovo provođenje vezano uz zaštitu mora, pomorskog dobra i vodnih putova unutarnjih voda, osiguranje prometne povezanosti otoka međusobno i s kopnom, postizanje visoke razvijenosti elektroničkih komunikacija i tržišta poštanskih usluga, organiziranje izrade strateških infrastrukturnih projekata i investicijskih programa od posebnog značaja za Republiku Hrvatsku, organiziranje radova na izgradnji suvremene prometne infrastrukture, koja će  prometno povezati sve regije i razviti sve vidova prometa uz visok stupanj profesionalnosti i sigurnosti u pružanju prijevoznih usluga te poduzimanje svih mjera zaštite okoliša u transportu.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06505-Ministarstvo pomorstva, prometa i infrastrukture</w:t>
            </w:r>
          </w:p>
        </w:tc>
        <w:tc>
          <w:tcPr>
            <w:tcW w:w="2322" w:type="dxa"/>
          </w:tcPr>
          <w:p w:rsidR="00AC0832" w:rsidRDefault="00AC0832">
            <w:pPr>
              <w:pStyle w:val="CellColumn"/>
            </w:pPr>
            <w:r>
              <w:t>5.379.945.264</w:t>
            </w:r>
          </w:p>
        </w:tc>
        <w:tc>
          <w:tcPr>
            <w:tcW w:w="2322" w:type="dxa"/>
          </w:tcPr>
          <w:p w:rsidR="00AC0832" w:rsidRDefault="00AC0832">
            <w:pPr>
              <w:pStyle w:val="CellColumn"/>
            </w:pPr>
            <w:r>
              <w:t>5.322.195.898</w:t>
            </w:r>
          </w:p>
        </w:tc>
        <w:tc>
          <w:tcPr>
            <w:tcW w:w="2322" w:type="dxa"/>
          </w:tcPr>
          <w:p w:rsidR="00AC0832" w:rsidRDefault="00AC0832">
            <w:pPr>
              <w:pStyle w:val="CellColumn"/>
            </w:pPr>
            <w:r>
              <w:t>98,9</w:t>
            </w:r>
          </w:p>
        </w:tc>
      </w:tr>
      <w:tr w:rsidR="00AC0832" w:rsidTr="00BE20ED">
        <w:trPr>
          <w:jc w:val="center"/>
        </w:trPr>
        <w:tc>
          <w:tcPr>
            <w:tcW w:w="2322" w:type="dxa"/>
          </w:tcPr>
          <w:p w:rsidR="00AC0832" w:rsidRDefault="00AC0832">
            <w:pPr>
              <w:pStyle w:val="CellColumnSmall"/>
            </w:pPr>
            <w:r>
              <w:t>3101-UPRAVLJANJE NA PODRUČJU PROMETNE POLITIKE</w:t>
            </w:r>
          </w:p>
        </w:tc>
        <w:tc>
          <w:tcPr>
            <w:tcW w:w="2322" w:type="dxa"/>
          </w:tcPr>
          <w:p w:rsidR="00AC0832" w:rsidRDefault="00AC0832">
            <w:pPr>
              <w:pStyle w:val="CellColumnSmall"/>
            </w:pPr>
            <w:r>
              <w:t>148.807.100</w:t>
            </w:r>
          </w:p>
        </w:tc>
        <w:tc>
          <w:tcPr>
            <w:tcW w:w="2322" w:type="dxa"/>
          </w:tcPr>
          <w:p w:rsidR="00AC0832" w:rsidRDefault="00AC0832">
            <w:pPr>
              <w:pStyle w:val="CellColumnSmall"/>
            </w:pPr>
            <w:r>
              <w:t>141.204.411</w:t>
            </w:r>
          </w:p>
        </w:tc>
        <w:tc>
          <w:tcPr>
            <w:tcW w:w="2322" w:type="dxa"/>
          </w:tcPr>
          <w:p w:rsidR="00AC0832" w:rsidRDefault="00AC0832">
            <w:pPr>
              <w:pStyle w:val="CellColumnSmall"/>
            </w:pPr>
            <w:r>
              <w:t>94,9</w:t>
            </w:r>
          </w:p>
        </w:tc>
      </w:tr>
      <w:tr w:rsidR="00AC0832" w:rsidTr="00BE20ED">
        <w:trPr>
          <w:jc w:val="center"/>
        </w:trPr>
        <w:tc>
          <w:tcPr>
            <w:tcW w:w="2322" w:type="dxa"/>
          </w:tcPr>
          <w:p w:rsidR="00AC0832" w:rsidRDefault="00AC0832">
            <w:pPr>
              <w:pStyle w:val="CellColumnSmall"/>
            </w:pPr>
            <w:r>
              <w:t>3102-RAZVOJ I SIGURNOST ŽELJEZNIČKOG PROMETA, INFRASTRUKTURE I ŽIČARA</w:t>
            </w:r>
          </w:p>
        </w:tc>
        <w:tc>
          <w:tcPr>
            <w:tcW w:w="2322" w:type="dxa"/>
          </w:tcPr>
          <w:p w:rsidR="00AC0832" w:rsidRDefault="00AC0832">
            <w:pPr>
              <w:pStyle w:val="CellColumnSmall"/>
            </w:pPr>
            <w:r>
              <w:t>1.621.122.242</w:t>
            </w:r>
          </w:p>
        </w:tc>
        <w:tc>
          <w:tcPr>
            <w:tcW w:w="2322" w:type="dxa"/>
          </w:tcPr>
          <w:p w:rsidR="00AC0832" w:rsidRDefault="00AC0832">
            <w:pPr>
              <w:pStyle w:val="CellColumnSmall"/>
            </w:pPr>
            <w:r>
              <w:t>1.594.347.367</w:t>
            </w:r>
          </w:p>
        </w:tc>
        <w:tc>
          <w:tcPr>
            <w:tcW w:w="2322" w:type="dxa"/>
          </w:tcPr>
          <w:p w:rsidR="00AC0832" w:rsidRDefault="00AC0832">
            <w:pPr>
              <w:pStyle w:val="CellColumnSmall"/>
            </w:pPr>
            <w:r>
              <w:t>98,3</w:t>
            </w:r>
          </w:p>
        </w:tc>
      </w:tr>
      <w:tr w:rsidR="00AC0832" w:rsidTr="00BE20ED">
        <w:trPr>
          <w:jc w:val="center"/>
        </w:trPr>
        <w:tc>
          <w:tcPr>
            <w:tcW w:w="2322" w:type="dxa"/>
          </w:tcPr>
          <w:p w:rsidR="00AC0832" w:rsidRDefault="00AC0832">
            <w:pPr>
              <w:pStyle w:val="CellColumnSmall"/>
            </w:pPr>
            <w:r>
              <w:t>3103-RAZVOJ I SIGURNOST CESTOVNOG PROMETA I INFRASTRUKTURE</w:t>
            </w:r>
          </w:p>
        </w:tc>
        <w:tc>
          <w:tcPr>
            <w:tcW w:w="2322" w:type="dxa"/>
          </w:tcPr>
          <w:p w:rsidR="00AC0832" w:rsidRDefault="00AC0832">
            <w:pPr>
              <w:pStyle w:val="CellColumnSmall"/>
            </w:pPr>
            <w:r>
              <w:t>3.123.971.306</w:t>
            </w:r>
          </w:p>
        </w:tc>
        <w:tc>
          <w:tcPr>
            <w:tcW w:w="2322" w:type="dxa"/>
          </w:tcPr>
          <w:p w:rsidR="00AC0832" w:rsidRDefault="00AC0832">
            <w:pPr>
              <w:pStyle w:val="CellColumnSmall"/>
            </w:pPr>
            <w:r>
              <w:t>3.121.391.791</w:t>
            </w:r>
          </w:p>
        </w:tc>
        <w:tc>
          <w:tcPr>
            <w:tcW w:w="2322" w:type="dxa"/>
          </w:tcPr>
          <w:p w:rsidR="00AC0832" w:rsidRDefault="00AC0832">
            <w:pPr>
              <w:pStyle w:val="CellColumnSmall"/>
            </w:pPr>
            <w:r>
              <w:t>99,9</w:t>
            </w:r>
          </w:p>
        </w:tc>
      </w:tr>
      <w:tr w:rsidR="00AC0832" w:rsidTr="00BE20ED">
        <w:trPr>
          <w:jc w:val="center"/>
        </w:trPr>
        <w:tc>
          <w:tcPr>
            <w:tcW w:w="2322" w:type="dxa"/>
          </w:tcPr>
          <w:p w:rsidR="00AC0832" w:rsidRDefault="00AC0832">
            <w:pPr>
              <w:pStyle w:val="CellColumnSmall"/>
            </w:pPr>
            <w:r>
              <w:t>3104-RAZVOJ I SIGURNOST POMORSKOG PROMETA I LUČKE INFRASTRUKTURE</w:t>
            </w:r>
          </w:p>
        </w:tc>
        <w:tc>
          <w:tcPr>
            <w:tcW w:w="2322" w:type="dxa"/>
          </w:tcPr>
          <w:p w:rsidR="00AC0832" w:rsidRDefault="00AC0832">
            <w:pPr>
              <w:pStyle w:val="CellColumnSmall"/>
            </w:pPr>
            <w:r>
              <w:t>336.112.580</w:t>
            </w:r>
          </w:p>
        </w:tc>
        <w:tc>
          <w:tcPr>
            <w:tcW w:w="2322" w:type="dxa"/>
          </w:tcPr>
          <w:p w:rsidR="00AC0832" w:rsidRDefault="00AC0832">
            <w:pPr>
              <w:pStyle w:val="CellColumnSmall"/>
            </w:pPr>
            <w:r>
              <w:t>318.593.100</w:t>
            </w:r>
          </w:p>
        </w:tc>
        <w:tc>
          <w:tcPr>
            <w:tcW w:w="2322" w:type="dxa"/>
          </w:tcPr>
          <w:p w:rsidR="00AC0832" w:rsidRDefault="00AC0832">
            <w:pPr>
              <w:pStyle w:val="CellColumnSmall"/>
            </w:pPr>
            <w:r>
              <w:t>94,8</w:t>
            </w:r>
          </w:p>
        </w:tc>
      </w:tr>
      <w:tr w:rsidR="00AC0832" w:rsidTr="00BE20ED">
        <w:trPr>
          <w:jc w:val="center"/>
        </w:trPr>
        <w:tc>
          <w:tcPr>
            <w:tcW w:w="2322" w:type="dxa"/>
          </w:tcPr>
          <w:p w:rsidR="00AC0832" w:rsidRDefault="00AC0832">
            <w:pPr>
              <w:pStyle w:val="CellColumnSmall"/>
            </w:pPr>
            <w:r>
              <w:t>3105-RAZVOJ I SIGURNOST UNUTARNJE PLOVIDBE, LUČKE INFRASTRUKTURE I PLOVNIH PUTOVA UNUTARNJIH VODA</w:t>
            </w:r>
          </w:p>
        </w:tc>
        <w:tc>
          <w:tcPr>
            <w:tcW w:w="2322" w:type="dxa"/>
          </w:tcPr>
          <w:p w:rsidR="00AC0832" w:rsidRDefault="00AC0832">
            <w:pPr>
              <w:pStyle w:val="CellColumnSmall"/>
            </w:pPr>
            <w:r>
              <w:t>31.062.036</w:t>
            </w:r>
          </w:p>
        </w:tc>
        <w:tc>
          <w:tcPr>
            <w:tcW w:w="2322" w:type="dxa"/>
          </w:tcPr>
          <w:p w:rsidR="00AC0832" w:rsidRDefault="00AC0832">
            <w:pPr>
              <w:pStyle w:val="CellColumnSmall"/>
            </w:pPr>
            <w:r>
              <w:t>30.060.639</w:t>
            </w:r>
          </w:p>
        </w:tc>
        <w:tc>
          <w:tcPr>
            <w:tcW w:w="2322" w:type="dxa"/>
          </w:tcPr>
          <w:p w:rsidR="00AC0832" w:rsidRDefault="00AC0832">
            <w:pPr>
              <w:pStyle w:val="CellColumnSmall"/>
            </w:pPr>
            <w:r>
              <w:t>96,8</w:t>
            </w:r>
          </w:p>
        </w:tc>
      </w:tr>
      <w:tr w:rsidR="00AC0832" w:rsidTr="00BE20ED">
        <w:trPr>
          <w:jc w:val="center"/>
        </w:trPr>
        <w:tc>
          <w:tcPr>
            <w:tcW w:w="2322" w:type="dxa"/>
          </w:tcPr>
          <w:p w:rsidR="00AC0832" w:rsidRDefault="00AC0832">
            <w:pPr>
              <w:pStyle w:val="CellColumnSmall"/>
            </w:pPr>
            <w:r>
              <w:t>3106-RAZVOJ I SIGURNOST ZRAČNOG PROMETA I INFRASTRUKTURE</w:t>
            </w:r>
          </w:p>
        </w:tc>
        <w:tc>
          <w:tcPr>
            <w:tcW w:w="2322" w:type="dxa"/>
          </w:tcPr>
          <w:p w:rsidR="00AC0832" w:rsidRDefault="00AC0832">
            <w:pPr>
              <w:pStyle w:val="CellColumnSmall"/>
            </w:pPr>
            <w:r>
              <w:t>108.610.000</w:t>
            </w:r>
          </w:p>
        </w:tc>
        <w:tc>
          <w:tcPr>
            <w:tcW w:w="2322" w:type="dxa"/>
          </w:tcPr>
          <w:p w:rsidR="00AC0832" w:rsidRDefault="00AC0832">
            <w:pPr>
              <w:pStyle w:val="CellColumnSmall"/>
            </w:pPr>
            <w:r>
              <w:t>107.369.992</w:t>
            </w:r>
          </w:p>
        </w:tc>
        <w:tc>
          <w:tcPr>
            <w:tcW w:w="2322" w:type="dxa"/>
          </w:tcPr>
          <w:p w:rsidR="00AC0832" w:rsidRDefault="00AC0832">
            <w:pPr>
              <w:pStyle w:val="CellColumnSmall"/>
            </w:pPr>
            <w:r>
              <w:t>98,9</w:t>
            </w:r>
          </w:p>
        </w:tc>
      </w:tr>
      <w:tr w:rsidR="00AC0832" w:rsidTr="00BE20ED">
        <w:trPr>
          <w:jc w:val="center"/>
        </w:trPr>
        <w:tc>
          <w:tcPr>
            <w:tcW w:w="2322" w:type="dxa"/>
          </w:tcPr>
          <w:p w:rsidR="00AC0832" w:rsidRDefault="00AC0832">
            <w:pPr>
              <w:pStyle w:val="CellColumnSmall"/>
            </w:pPr>
            <w:r>
              <w:t>3107-RAZVOJ TRŽIŠTA POŠTANSKIH USLUGA I ELEKTRONIČKIH KOMUNIKACIJA</w:t>
            </w:r>
          </w:p>
        </w:tc>
        <w:tc>
          <w:tcPr>
            <w:tcW w:w="2322" w:type="dxa"/>
          </w:tcPr>
          <w:p w:rsidR="00AC0832" w:rsidRDefault="00AC0832">
            <w:pPr>
              <w:pStyle w:val="CellColumnSmall"/>
            </w:pPr>
            <w:r>
              <w:t>3.930.000</w:t>
            </w:r>
          </w:p>
        </w:tc>
        <w:tc>
          <w:tcPr>
            <w:tcW w:w="2322" w:type="dxa"/>
          </w:tcPr>
          <w:p w:rsidR="00AC0832" w:rsidRDefault="00AC0832">
            <w:pPr>
              <w:pStyle w:val="CellColumnSmall"/>
            </w:pPr>
            <w:r>
              <w:t>3.326.341</w:t>
            </w:r>
          </w:p>
        </w:tc>
        <w:tc>
          <w:tcPr>
            <w:tcW w:w="2322" w:type="dxa"/>
          </w:tcPr>
          <w:p w:rsidR="00AC0832" w:rsidRDefault="00AC0832">
            <w:pPr>
              <w:pStyle w:val="CellColumnSmall"/>
            </w:pPr>
            <w:r>
              <w:t>84,6</w:t>
            </w:r>
          </w:p>
        </w:tc>
      </w:tr>
      <w:tr w:rsidR="00AC0832" w:rsidTr="00BE20ED">
        <w:trPr>
          <w:jc w:val="center"/>
        </w:trPr>
        <w:tc>
          <w:tcPr>
            <w:tcW w:w="2322" w:type="dxa"/>
          </w:tcPr>
          <w:p w:rsidR="00AC0832" w:rsidRDefault="00AC0832">
            <w:pPr>
              <w:pStyle w:val="CellColumnSmall"/>
            </w:pPr>
            <w:r>
              <w:t>3403-ZAŠTITA OKOLIŠA U TRANSPORTU</w:t>
            </w:r>
          </w:p>
        </w:tc>
        <w:tc>
          <w:tcPr>
            <w:tcW w:w="2322" w:type="dxa"/>
          </w:tcPr>
          <w:p w:rsidR="00AC0832" w:rsidRDefault="00AC0832">
            <w:pPr>
              <w:pStyle w:val="CellColumnSmall"/>
            </w:pPr>
            <w:r>
              <w:t>6.330.000</w:t>
            </w:r>
          </w:p>
        </w:tc>
        <w:tc>
          <w:tcPr>
            <w:tcW w:w="2322" w:type="dxa"/>
          </w:tcPr>
          <w:p w:rsidR="00AC0832" w:rsidRDefault="00AC0832">
            <w:pPr>
              <w:pStyle w:val="CellColumnSmall"/>
            </w:pPr>
            <w:r>
              <w:t>5.902.257</w:t>
            </w:r>
          </w:p>
        </w:tc>
        <w:tc>
          <w:tcPr>
            <w:tcW w:w="2322" w:type="dxa"/>
          </w:tcPr>
          <w:p w:rsidR="00AC0832" w:rsidRDefault="00AC0832">
            <w:pPr>
              <w:pStyle w:val="CellColumnSmall"/>
            </w:pPr>
            <w:r>
              <w:t>93,2</w:t>
            </w:r>
          </w:p>
        </w:tc>
      </w:tr>
    </w:tbl>
    <w:p w:rsidR="00AC0832" w:rsidRDefault="00AC0832">
      <w:pPr>
        <w:jc w:val="left"/>
      </w:pPr>
    </w:p>
    <w:p w:rsidR="00AC0832" w:rsidRDefault="00AC0832">
      <w:pPr>
        <w:pStyle w:val="Heading4"/>
      </w:pPr>
      <w:r>
        <w:t>OBRAZLOŽENJE PROGRAMA</w:t>
      </w:r>
    </w:p>
    <w:p w:rsidR="00AC0832" w:rsidRDefault="00AC0832">
      <w:pPr>
        <w:pStyle w:val="Heading5"/>
      </w:pPr>
      <w:r>
        <w:t>3101 UPRAVLJANJE NA PODRUČJU PROMETNE POLITIKE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3101-UPRAVLJANJE NA PODRUČJU PROMETNE POLITIKE</w:t>
            </w:r>
          </w:p>
        </w:tc>
        <w:tc>
          <w:tcPr>
            <w:tcW w:w="2322" w:type="dxa"/>
          </w:tcPr>
          <w:p w:rsidR="00AC0832" w:rsidRDefault="00AC0832">
            <w:pPr>
              <w:pStyle w:val="CellColumn"/>
            </w:pPr>
            <w:r>
              <w:t>148.807.100</w:t>
            </w:r>
          </w:p>
        </w:tc>
        <w:tc>
          <w:tcPr>
            <w:tcW w:w="2322" w:type="dxa"/>
          </w:tcPr>
          <w:p w:rsidR="00AC0832" w:rsidRDefault="00AC0832">
            <w:pPr>
              <w:pStyle w:val="CellColumn"/>
            </w:pPr>
            <w:r>
              <w:t>141.204.411</w:t>
            </w:r>
          </w:p>
        </w:tc>
        <w:tc>
          <w:tcPr>
            <w:tcW w:w="2322" w:type="dxa"/>
          </w:tcPr>
          <w:p w:rsidR="00AC0832" w:rsidRDefault="00AC0832">
            <w:pPr>
              <w:pStyle w:val="CellColumn"/>
            </w:pPr>
            <w:r>
              <w:t>94,9</w:t>
            </w:r>
          </w:p>
        </w:tc>
      </w:tr>
    </w:tbl>
    <w:p w:rsidR="00AC0832" w:rsidRDefault="00AC0832">
      <w:pPr>
        <w:jc w:val="left"/>
      </w:pPr>
    </w:p>
    <w:p w:rsidR="00AC0832" w:rsidRDefault="00AC0832">
      <w:pPr>
        <w:pStyle w:val="Heading6"/>
      </w:pPr>
      <w:r>
        <w:t>Opis programa</w:t>
      </w:r>
    </w:p>
    <w:p w:rsidR="00AC0832" w:rsidRDefault="00AC0832">
      <w:pPr>
        <w:pStyle w:val="Normal5"/>
      </w:pPr>
      <w:r>
        <w:t xml:space="preserve">Sredstva planirana u okviru   ovog programa koristila su se za financiranje obavljanja redovite djelatnosti Ministarstva i to:  rashodi za zaposlene, materijalni troškovi, opremanje namještajem, informatičkom i ostalom opremom, informatizacija Ministarstva, stručno usavršavanje zaposlenika, obnova voznog parka, rekonstrukcija, obnova i održavanje poslovnih zgrada Ministarstva, te financiranje tajništva SEETO-a.  </w:t>
      </w:r>
    </w:p>
    <w:p w:rsidR="00AC0832" w:rsidRDefault="00AC0832">
      <w:pPr>
        <w:pStyle w:val="Normal5"/>
      </w:pPr>
      <w:r>
        <w:t>Unutar ovog programa predviđena su i sredstva za tri IPA programa i to za pomoć operativnoj strukturi za promet, sredstva za suradnju na prometnim osima u jugoistočnoj Europi i za izradu Strategije prometnog razvitka.</w:t>
      </w:r>
    </w:p>
    <w:p w:rsidR="00AC0832" w:rsidRDefault="00AC0832">
      <w:pPr>
        <w:pStyle w:val="Heading6"/>
      </w:pPr>
      <w:r>
        <w:t>Zakonske i druge pravne osnove</w:t>
      </w:r>
    </w:p>
    <w:p w:rsidR="00AC0832" w:rsidRDefault="00AC0832">
      <w:pPr>
        <w:pStyle w:val="Normal5"/>
      </w:pPr>
      <w:r>
        <w:t xml:space="preserve">Uredba o unutarnjem ustrojstvu Ministarstva pomorstva, prometa i infrastrukture (NN 27/12, 36/12) </w:t>
      </w:r>
    </w:p>
    <w:p w:rsidR="00AC0832" w:rsidRDefault="00AC0832">
      <w:pPr>
        <w:pStyle w:val="Normal5"/>
      </w:pPr>
      <w:r>
        <w:t xml:space="preserve">Kolektivni ugovor za državne službenike i namještenike (NN 89/12) </w:t>
      </w:r>
    </w:p>
    <w:p w:rsidR="00AC0832" w:rsidRDefault="00AC0832">
      <w:pPr>
        <w:pStyle w:val="Normal5"/>
      </w:pPr>
      <w:r>
        <w:t>Zakon o javnoj nabavi („Narodne novine“ br. 110/07, 125/08, 90/11)</w:t>
      </w:r>
    </w:p>
    <w:p w:rsidR="00AC0832" w:rsidRDefault="00AC0832">
      <w:pPr>
        <w:pStyle w:val="Heading7"/>
      </w:pPr>
      <w:r>
        <w:t xml:space="preserve">Cilj 1. Povećanje kvalitete obavljanja poslova redovite djelatnosti Ministarstva  </w:t>
      </w:r>
    </w:p>
    <w:p w:rsidR="00AC0832" w:rsidRDefault="00AC0832">
      <w:pPr>
        <w:pStyle w:val="Heading8"/>
        <w:jc w:val="left"/>
      </w:pPr>
      <w:r>
        <w:t>Opis provedbe cilja programa</w:t>
      </w:r>
    </w:p>
    <w:p w:rsidR="00AC0832" w:rsidRDefault="00AC0832">
      <w:pPr>
        <w:pStyle w:val="Normal6"/>
      </w:pPr>
      <w:r>
        <w:t>Cilj programa je povećati kvalitetu obavljanja poslova racionalnim i ekonomičnim trošenjem proračunskih sredstava te skraćivanjem rokova izvršenja zadataka.</w:t>
      </w:r>
    </w:p>
    <w:p w:rsidR="00AC0832" w:rsidRDefault="00AC0832">
      <w:pPr>
        <w:pStyle w:val="Heading6"/>
      </w:pPr>
    </w:p>
    <w:p w:rsidR="00AC0832" w:rsidRDefault="00AC0832">
      <w:pPr>
        <w:pStyle w:val="Heading6"/>
      </w:pPr>
    </w:p>
    <w:p w:rsidR="00AC0832" w:rsidRDefault="00AC0832">
      <w:pPr>
        <w:pStyle w:val="Heading6"/>
      </w:pPr>
      <w:r>
        <w:t>A250997 OBVEZE PO SUDSKIM SPOROVIMA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A250997-OBVEZE PO SUDSKIM SPOROVIMA</w:t>
            </w:r>
          </w:p>
        </w:tc>
        <w:tc>
          <w:tcPr>
            <w:tcW w:w="2322" w:type="dxa"/>
          </w:tcPr>
          <w:p w:rsidR="00AC0832" w:rsidRDefault="00AC0832">
            <w:pPr>
              <w:pStyle w:val="CellColumn"/>
            </w:pPr>
            <w:r>
              <w:t>285.340</w:t>
            </w:r>
          </w:p>
        </w:tc>
        <w:tc>
          <w:tcPr>
            <w:tcW w:w="2322" w:type="dxa"/>
          </w:tcPr>
          <w:p w:rsidR="00AC0832" w:rsidRDefault="00AC0832">
            <w:pPr>
              <w:pStyle w:val="CellColumn"/>
            </w:pPr>
            <w:r>
              <w:t>143.937</w:t>
            </w:r>
          </w:p>
        </w:tc>
        <w:tc>
          <w:tcPr>
            <w:tcW w:w="2322" w:type="dxa"/>
          </w:tcPr>
          <w:p w:rsidR="00AC0832" w:rsidRDefault="00AC0832">
            <w:pPr>
              <w:pStyle w:val="CellColumn"/>
            </w:pPr>
            <w:r>
              <w:t>50,4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Sredstva su utrošena na temelju sudskih presuda i to: presude Općinskog suda u Krku gdje je Ministarstvo isplatilo naknadu za stjecanje bez naknade i pripadajuće zatezne kamate, a na temelju presude Općinskog suda u Opatiji naknadu štete i zatezne kamate. S obzirom da je potrebna sredstva na ovoj aktivnosti nemoguće točno planirati zbog dugotrajnosti sudskih postupaka kao i neizvjesnosti njihova ishoda, utrošeno je tek nešto više od 50 % planiranih sredstava.</w:t>
      </w:r>
    </w:p>
    <w:p w:rsidR="00AC0832" w:rsidRDefault="00AC0832">
      <w:pPr>
        <w:pStyle w:val="Heading6"/>
      </w:pPr>
      <w:r>
        <w:t>A570000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A570000-ADMINISTRACIJA I UPRAVLJANJE</w:t>
            </w:r>
          </w:p>
        </w:tc>
        <w:tc>
          <w:tcPr>
            <w:tcW w:w="2322" w:type="dxa"/>
          </w:tcPr>
          <w:p w:rsidR="00AC0832" w:rsidRDefault="00AC0832">
            <w:pPr>
              <w:pStyle w:val="CellColumn"/>
            </w:pPr>
            <w:r>
              <w:t>128.775.460</w:t>
            </w:r>
          </w:p>
        </w:tc>
        <w:tc>
          <w:tcPr>
            <w:tcW w:w="2322" w:type="dxa"/>
          </w:tcPr>
          <w:p w:rsidR="00AC0832" w:rsidRDefault="00AC0832">
            <w:pPr>
              <w:pStyle w:val="CellColumn"/>
            </w:pPr>
            <w:r>
              <w:t>122.940.310</w:t>
            </w:r>
          </w:p>
        </w:tc>
        <w:tc>
          <w:tcPr>
            <w:tcW w:w="2322" w:type="dxa"/>
          </w:tcPr>
          <w:p w:rsidR="00AC0832" w:rsidRDefault="00AC0832">
            <w:pPr>
              <w:pStyle w:val="CellColumn"/>
            </w:pPr>
            <w:r>
              <w:t>95,5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Sredstva sa ove aktivnosti utrošena su za rashode za zaposlene i materijalne rashode nužne za obavljanje redovite djelatnosti Ministarstva. Planirana sredstva za materijalne rashode nisu u potpunosti izvršena iz razloga što je došlo do smanjenja potrošnje energenata u odnosu na plan, te zbog napuštanja frame-relay tehnologije u okviru komunikacijskog sustava Ministarstva. Državni ured za središnju javnu nabavu tijekom 2012.  godine nije sklopio Okvirni sporazum/ugovor za nabavu uredske opreme i namještaja te su većim dijelom ostala nutrošena sredstva. Za troškove službene, radne i zaštitne odjeće i obuće sredstva nisu utošena u cilju štednje, te je nabavljena najnužnija zaštitna odjeća i obuća.</w:t>
      </w:r>
    </w:p>
    <w:p w:rsidR="00AC0832" w:rsidRDefault="00AC0832">
      <w:pPr>
        <w:pStyle w:val="Heading6"/>
      </w:pPr>
      <w:r>
        <w:t>A570497 SEETO-FINANCIRANJE TAJNIŠTVA SEETO-A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A570497-SEETO-FINANCIRANJE TAJNIŠTVA SEETO-A</w:t>
            </w:r>
          </w:p>
        </w:tc>
        <w:tc>
          <w:tcPr>
            <w:tcW w:w="2322" w:type="dxa"/>
          </w:tcPr>
          <w:p w:rsidR="00AC0832" w:rsidRDefault="00AC0832">
            <w:pPr>
              <w:pStyle w:val="CellColumn"/>
            </w:pPr>
            <w:r>
              <w:t>520.000</w:t>
            </w:r>
          </w:p>
        </w:tc>
        <w:tc>
          <w:tcPr>
            <w:tcW w:w="2322" w:type="dxa"/>
          </w:tcPr>
          <w:p w:rsidR="00AC0832" w:rsidRDefault="00AC0832">
            <w:pPr>
              <w:pStyle w:val="CellColumn"/>
            </w:pPr>
            <w:r>
              <w:t>479.818</w:t>
            </w:r>
          </w:p>
        </w:tc>
        <w:tc>
          <w:tcPr>
            <w:tcW w:w="2322" w:type="dxa"/>
          </w:tcPr>
          <w:p w:rsidR="00AC0832" w:rsidRDefault="00AC0832">
            <w:pPr>
              <w:pStyle w:val="CellColumn"/>
            </w:pPr>
            <w:r>
              <w:t>92,3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Članarina RH za članstvo u SEETO Opservatoriju za pola 2013.g., kada RH stupanjem u EU prestaje biti članom SEETO-a.</w:t>
      </w:r>
    </w:p>
    <w:p w:rsidR="00AC0832" w:rsidRDefault="00AC0832">
      <w:pPr>
        <w:pStyle w:val="Heading6"/>
      </w:pPr>
      <w:r>
        <w:t>K570319 OBNOVA VOZNOG PARKA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K570319-OBNOVA VOZNOG PARKA</w:t>
            </w:r>
          </w:p>
        </w:tc>
        <w:tc>
          <w:tcPr>
            <w:tcW w:w="2322" w:type="dxa"/>
          </w:tcPr>
          <w:p w:rsidR="00AC0832" w:rsidRDefault="00AC0832">
            <w:pPr>
              <w:pStyle w:val="CellColumn"/>
            </w:pPr>
            <w:r>
              <w:t>2.700.000</w:t>
            </w:r>
          </w:p>
        </w:tc>
        <w:tc>
          <w:tcPr>
            <w:tcW w:w="2322" w:type="dxa"/>
          </w:tcPr>
          <w:p w:rsidR="00AC0832" w:rsidRDefault="00AC0832">
            <w:pPr>
              <w:pStyle w:val="CellColumn"/>
            </w:pPr>
            <w:r>
              <w:t>2.368.904</w:t>
            </w:r>
          </w:p>
        </w:tc>
        <w:tc>
          <w:tcPr>
            <w:tcW w:w="2322" w:type="dxa"/>
          </w:tcPr>
          <w:p w:rsidR="00AC0832" w:rsidRDefault="00AC0832">
            <w:pPr>
              <w:pStyle w:val="CellColumn"/>
            </w:pPr>
            <w:r>
              <w:t>87,7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2012. godini sredstva su utrošena za otplatu leasing obroka po važećim ugovorima o operativnom leasingu, te za sklapanje polica osiguranja i tekuće održavanje vozila. S obzirom na zabranu nabave novih automobila od 2009. godine, nije bila moguća redovna obnova voznog parka, te je bilo nužno ulagati u održavanje postojećih vozila u vlasništvu Ministarstva, što je rezultiralo relativno visokim troškovima održavanja voznog parka. Ujedno zabrana nabave novih automobila rezultirala je i znatno većom eksploatacijom vozila u vlasništvu Ministarstva kao i vozila koje Ministarstvo koristi temeljem ugovora o operativnom leasingu, a to će imati za posljedicu plaćanje visokih penala “leasing kući” zbog više prijeđenih kilometara.</w:t>
      </w:r>
    </w:p>
    <w:p w:rsidR="00AC0832" w:rsidRDefault="00AC0832">
      <w:pPr>
        <w:pStyle w:val="Heading6"/>
      </w:pPr>
      <w:r>
        <w:t>K570321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K570321-INFORMATIZACIJA</w:t>
            </w:r>
          </w:p>
        </w:tc>
        <w:tc>
          <w:tcPr>
            <w:tcW w:w="2322" w:type="dxa"/>
          </w:tcPr>
          <w:p w:rsidR="00AC0832" w:rsidRDefault="00AC0832">
            <w:pPr>
              <w:pStyle w:val="CellColumn"/>
            </w:pPr>
            <w:r>
              <w:t>10.575.000</w:t>
            </w:r>
          </w:p>
        </w:tc>
        <w:tc>
          <w:tcPr>
            <w:tcW w:w="2322" w:type="dxa"/>
          </w:tcPr>
          <w:p w:rsidR="00AC0832" w:rsidRDefault="00AC0832">
            <w:pPr>
              <w:pStyle w:val="CellColumn"/>
            </w:pPr>
            <w:r>
              <w:t>9.637.531</w:t>
            </w:r>
          </w:p>
        </w:tc>
        <w:tc>
          <w:tcPr>
            <w:tcW w:w="2322" w:type="dxa"/>
          </w:tcPr>
          <w:p w:rsidR="00AC0832" w:rsidRDefault="00AC0832">
            <w:pPr>
              <w:pStyle w:val="CellColumn"/>
            </w:pPr>
            <w:r>
              <w:t>91,1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Sredstva proračuna su utrošena na minimalno održavanje informatičke opreme kojoj je isteklo jamstvo, na održavanje aplikacija informatičkog sustava, na nužna informatička unapređenja, posebice u dijelu uredskog poslovanja, te nabavu licenci. </w:t>
      </w:r>
    </w:p>
    <w:p w:rsidR="00AC0832" w:rsidRDefault="00AC0832">
      <w:pPr>
        <w:pStyle w:val="Normal6"/>
      </w:pPr>
      <w:r>
        <w:t>U tijeku 2012. godine Državni ured za središnju javnu nabavu nije sklopio Okvirni sporazum/ugovor za nabavu računalne opreme, već je Ministarstvo kao samostalni naručitelj provelo postupak, što je omogućilo da se nakon više godina zamijeni najkritičnija oprema. Dio sredstava planiranih za ulaganje u računalne programe ostao je neutrošen iz razloga što je razvoj aplikacije za skladišno poslovanje odgođen za 2013. godinu, jer se tijekom pripreme projekta pokazalo da je i za razvoj nove aplikacije potrebno nadograditi postojeće aplikacije za javnu nabavu (SPIN) i računovodstvo (KONTO), a što iziskuje detaljniju pripremu projektnog zadatka. To bi u konačnici trebalo rezultirati integracijom podataka.</w:t>
      </w:r>
    </w:p>
    <w:p w:rsidR="00AC0832" w:rsidRDefault="00AC0832">
      <w:pPr>
        <w:pStyle w:val="Heading6"/>
      </w:pPr>
      <w:r>
        <w:t>K810016 REKONSTRUKCIJA, OBNOVA I ODRŽAVANJE POSLOVNIH ZGRADA MINISTARSTVA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K810016-REKONSTRUKCIJA, OBNOVA I ODRŽAVANJE POSLOVNIH ZGRADA MINISTARSTVA</w:t>
            </w:r>
          </w:p>
        </w:tc>
        <w:tc>
          <w:tcPr>
            <w:tcW w:w="2322" w:type="dxa"/>
          </w:tcPr>
          <w:p w:rsidR="00AC0832" w:rsidRDefault="00AC0832">
            <w:pPr>
              <w:pStyle w:val="CellColumn"/>
            </w:pPr>
            <w:r>
              <w:t>740.000</w:t>
            </w:r>
          </w:p>
        </w:tc>
        <w:tc>
          <w:tcPr>
            <w:tcW w:w="2322" w:type="dxa"/>
          </w:tcPr>
          <w:p w:rsidR="00AC0832" w:rsidRDefault="00AC0832">
            <w:pPr>
              <w:pStyle w:val="CellColumn"/>
            </w:pPr>
            <w:r>
              <w:t>555.498</w:t>
            </w:r>
          </w:p>
        </w:tc>
        <w:tc>
          <w:tcPr>
            <w:tcW w:w="2322" w:type="dxa"/>
          </w:tcPr>
          <w:p w:rsidR="00AC0832" w:rsidRDefault="00AC0832">
            <w:pPr>
              <w:pStyle w:val="CellColumn"/>
            </w:pPr>
            <w:r>
              <w:t>75,1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Sredstva su utrošena za održavanje objekta na lokaciji Prisavlje 14 (Kockica) i Krležin Gvozd 1a, koje koristi Ministarstvo. S obzirom na specifičnost poslovnog objekta Kockica, kao i nemogućnosti sustavnog održavanja zgrade unazad više godina, zbog proračunskih ograničenja, sredstva osigurana u 2012. godini bila su nedostatna za provedbu značajnijih investicijskih ulaganja u objekt. Provedena je sanacija najkritičnijeg dijela ravnog krova zgrade, čime je spriječen prodor vode s krova u najvišim dijelovima zgrade. Planirana je izmjena dijela vanjskih stakala na objektu Kockica, ali zbog nedostatnih sredstava se nije pristupilo izmjeni. Za provedbu ovakvog zahvata potrebno je osigurati značajna sredstva jer je zbog lošeg stanja pročelja zamjena samo pojedinih stakala povezana s brojnim rizicima.</w:t>
      </w:r>
    </w:p>
    <w:p w:rsidR="00AC0832" w:rsidRDefault="00AC0832">
      <w:pPr>
        <w:pStyle w:val="Heading6"/>
      </w:pPr>
      <w:r>
        <w:t>K820035 IPA IIIA 2007-POTPORA OPERATIVNOJ STRUKTURI ZA PROMET U SAMOSTALNOJ IDENTIFIKACIJI, OCJENJIVANJU I PRIPREMI PROJEKATA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K820035-IPA IIIA 2007-POTPORA OPERATIVNOJ STRUKTURI ZA PROMET U SAMOSTALNOJ IDENTIFIKACIJI, OCJENJIVANJU I PRIPREMI PROJEKATA</w:t>
            </w:r>
          </w:p>
        </w:tc>
        <w:tc>
          <w:tcPr>
            <w:tcW w:w="2322" w:type="dxa"/>
          </w:tcPr>
          <w:p w:rsidR="00AC0832" w:rsidRDefault="00AC0832">
            <w:pPr>
              <w:pStyle w:val="CellColumn"/>
            </w:pPr>
            <w:r>
              <w:t>2.700.000</w:t>
            </w:r>
          </w:p>
        </w:tc>
        <w:tc>
          <w:tcPr>
            <w:tcW w:w="2322" w:type="dxa"/>
          </w:tcPr>
          <w:p w:rsidR="00AC0832" w:rsidRDefault="00AC0832">
            <w:pPr>
              <w:pStyle w:val="CellColumn"/>
            </w:pPr>
            <w:r>
              <w:t>2.638.329</w:t>
            </w:r>
          </w:p>
        </w:tc>
        <w:tc>
          <w:tcPr>
            <w:tcW w:w="2322" w:type="dxa"/>
          </w:tcPr>
          <w:p w:rsidR="00AC0832" w:rsidRDefault="00AC0832">
            <w:pPr>
              <w:pStyle w:val="CellColumn"/>
            </w:pPr>
            <w:r>
              <w:t>97,7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Projekt je započeo u veljači 2012 godine. Cilj projekta je jačanje kapaciteta operativne strukture za promet u identifikaciji i ocjeni projekata. Provedba je u tijeku, a sastoji se od niza formalnih treninga provedenih tijekom zadnjeg tromjesečja 2012. godine, te provedbom svakodnevnih „treninga" na radnom mjestu.</w:t>
      </w:r>
    </w:p>
    <w:p w:rsidR="00AC0832" w:rsidRDefault="00AC0832">
      <w:pPr>
        <w:pStyle w:val="Heading6"/>
      </w:pPr>
      <w:r>
        <w:t>K821029 IZRADA OPERATIVNOG PROGRAMA (OP) ZA PROMET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K821029-IZRADA OPERATIVNOG PROGRAMA (OP) ZA PROMET</w:t>
            </w:r>
          </w:p>
        </w:tc>
        <w:tc>
          <w:tcPr>
            <w:tcW w:w="2322" w:type="dxa"/>
          </w:tcPr>
          <w:p w:rsidR="00AC0832" w:rsidRDefault="00AC0832">
            <w:pPr>
              <w:pStyle w:val="CellColumn"/>
            </w:pPr>
            <w:r>
              <w:t>15.000</w:t>
            </w:r>
          </w:p>
        </w:tc>
        <w:tc>
          <w:tcPr>
            <w:tcW w:w="2322" w:type="dxa"/>
          </w:tcPr>
          <w:p w:rsidR="00AC0832" w:rsidRDefault="00AC0832">
            <w:pPr>
              <w:pStyle w:val="CellColumn"/>
            </w:pPr>
            <w:r>
              <w:t>12.484</w:t>
            </w:r>
          </w:p>
        </w:tc>
        <w:tc>
          <w:tcPr>
            <w:tcW w:w="2322" w:type="dxa"/>
          </w:tcPr>
          <w:p w:rsidR="00AC0832" w:rsidRDefault="00AC0832">
            <w:pPr>
              <w:pStyle w:val="CellColumn"/>
            </w:pPr>
            <w:r>
              <w:t>83,2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Za Operativni program Promet 2007.-2013. izrađena je strateška Studija utjecaja na okoliš. Studiju je po provedenom javnom natječaju izradila tvrtka Dvokut Ecro d.o.o. Ukupna vrijednost ugovora je 122.846,25 kn (s PDV-om). 2011.g. je uplaćeno 90% vrijednosti ugovora, a preostalih 10%  krajem 2012.g. nakon predaje Studije.</w:t>
      </w:r>
    </w:p>
    <w:p w:rsidR="00AC0832" w:rsidRDefault="00AC0832">
      <w:pPr>
        <w:pStyle w:val="Heading6"/>
      </w:pPr>
      <w:r>
        <w:t>K821035 IPA IIIA 2007-TEHNIČKA POMOĆ OPERATIVNOJ STRUKTURI ZA PROMET ZA UPRAVLJANJE OPERATIVNIM PROGRAMOM I PROVEDBU PROJEKATA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K821035-IPA IIIA 2007-TEHNIČKA POMOĆ OPERATIVNOJ STRUKTURI ZA PROMET ZA UPRAVLJANJE OPERATIVNIM PROGRAMOM I PROVEDBU PROJEKATA</w:t>
            </w:r>
          </w:p>
        </w:tc>
        <w:tc>
          <w:tcPr>
            <w:tcW w:w="2322" w:type="dxa"/>
          </w:tcPr>
          <w:p w:rsidR="00AC0832" w:rsidRDefault="00AC0832">
            <w:pPr>
              <w:pStyle w:val="CellColumn"/>
            </w:pPr>
            <w:r>
              <w:t>1.590.300</w:t>
            </w:r>
          </w:p>
        </w:tc>
        <w:tc>
          <w:tcPr>
            <w:tcW w:w="2322" w:type="dxa"/>
          </w:tcPr>
          <w:p w:rsidR="00AC0832" w:rsidRDefault="00AC0832">
            <w:pPr>
              <w:pStyle w:val="CellColumn"/>
            </w:pPr>
            <w:r>
              <w:t>1.541.376</w:t>
            </w:r>
          </w:p>
        </w:tc>
        <w:tc>
          <w:tcPr>
            <w:tcW w:w="2322" w:type="dxa"/>
          </w:tcPr>
          <w:p w:rsidR="00AC0832" w:rsidRDefault="00AC0832">
            <w:pPr>
              <w:pStyle w:val="CellColumn"/>
            </w:pPr>
            <w:r>
              <w:t>96,9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Projekt je formalno završio 18.05. 2012 g. , a do kraja godine  nije zaprimljen zahtjev za završno plaćanje iako su sve aktivnosti provedene u rokovima. Cilj projekta bio je povećanje kapaciteta operativne strukture IPA IIIA na nivou operativnog upravljanja, upravljanja prioritetima . Provedene su edukacije, te je pružena pomoć u organizaciji i pripremi SMC sastanaka u skladu s planiranim aktivnostima čime su ostvareni planirani ciljevi.</w:t>
      </w:r>
    </w:p>
    <w:p w:rsidR="00AC0832" w:rsidRDefault="00AC0832">
      <w:pPr>
        <w:pStyle w:val="Heading6"/>
      </w:pPr>
      <w:r>
        <w:t>T819036 IPA IIIA 2010-STRATEGIJA PROMETNOG RAZVITKA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T819036-IPA IIIA 2010-STRATEGIJA PROMETNOG RAZVITKA</w:t>
            </w:r>
          </w:p>
        </w:tc>
        <w:tc>
          <w:tcPr>
            <w:tcW w:w="2322" w:type="dxa"/>
          </w:tcPr>
          <w:p w:rsidR="00AC0832" w:rsidRDefault="00AC0832">
            <w:pPr>
              <w:pStyle w:val="CellColumn"/>
            </w:pPr>
            <w:r>
              <w:t>906.000</w:t>
            </w:r>
          </w:p>
        </w:tc>
        <w:tc>
          <w:tcPr>
            <w:tcW w:w="2322" w:type="dxa"/>
          </w:tcPr>
          <w:p w:rsidR="00AC0832" w:rsidRDefault="00AC0832">
            <w:pPr>
              <w:pStyle w:val="CellColumn"/>
            </w:pPr>
            <w:r>
              <w:t>858.736</w:t>
            </w:r>
          </w:p>
        </w:tc>
        <w:tc>
          <w:tcPr>
            <w:tcW w:w="2322" w:type="dxa"/>
          </w:tcPr>
          <w:p w:rsidR="00AC0832" w:rsidRDefault="00AC0832">
            <w:pPr>
              <w:pStyle w:val="CellColumn"/>
            </w:pPr>
            <w:r>
              <w:t>94,8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Operacija „Potpora u pripremi Strategije prometnog razvitka RH“ provodi se u okviru Operativnog programa za promet, prioritetna os 3. -  Tehnička pomoć. Ova operacija provodi se kroz tri ugovora. Prvi ugovor je okvirni ugovor – Tehnička pomoć pri osnivanju Tehničkog tajništva za organizaciju i upravljanje. Projekt je u provedbi, ugovor je potpisan 7. studenoga 2012. godine u vrijednosti 190.320,00 EUR, isplaćen je avans u vrijednosti 60%. Ugovorom su angažirani stručnjaci za rad sa sektorskim radnim grupama zaduženima za pripremu sektorskih analiza i podloga. Osnovano je 6 sektorskih radnih grupa – za cestovni promet, željeznički promet, pomorski promet, unutarnju plovidbu, zračni promet te javnu gradsku, prigradsku i regionalnu mobilnost. Drugi ugovor je ugovor o uslugama – Strategija prometnog razvitka Republike Hrvatske, a treći ugovor je ugovor o uslugama – Prometni model za Republiku Hrvatsku.</w:t>
      </w:r>
    </w:p>
    <w:p w:rsidR="00AC0832" w:rsidRDefault="00AC0832">
      <w:pPr>
        <w:pStyle w:val="Heading5"/>
      </w:pPr>
    </w:p>
    <w:p w:rsidR="00AC0832" w:rsidRDefault="00AC0832">
      <w:pPr>
        <w:pStyle w:val="Heading5"/>
      </w:pPr>
    </w:p>
    <w:p w:rsidR="00AC0832" w:rsidRDefault="00AC0832">
      <w:pPr>
        <w:pStyle w:val="Heading5"/>
      </w:pPr>
      <w:r>
        <w:t>3102 RAZVOJ I SIGURNOST ŽELJEZNIČKOG PROMETA, INFRASTRUKTURE I ŽIČARA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3102-RAZVOJ I SIGURNOST ŽELJEZNIČKOG PROMETA, INFRASTRUKTURE I ŽIČARA</w:t>
            </w:r>
          </w:p>
        </w:tc>
        <w:tc>
          <w:tcPr>
            <w:tcW w:w="2322" w:type="dxa"/>
          </w:tcPr>
          <w:p w:rsidR="00AC0832" w:rsidRDefault="00AC0832">
            <w:pPr>
              <w:pStyle w:val="CellColumn"/>
            </w:pPr>
            <w:r>
              <w:t>1.621.122.242</w:t>
            </w:r>
          </w:p>
        </w:tc>
        <w:tc>
          <w:tcPr>
            <w:tcW w:w="2322" w:type="dxa"/>
          </w:tcPr>
          <w:p w:rsidR="00AC0832" w:rsidRDefault="00AC0832">
            <w:pPr>
              <w:pStyle w:val="CellColumn"/>
            </w:pPr>
            <w:r>
              <w:t>1.594.347.367</w:t>
            </w:r>
          </w:p>
        </w:tc>
        <w:tc>
          <w:tcPr>
            <w:tcW w:w="2322" w:type="dxa"/>
          </w:tcPr>
          <w:p w:rsidR="00AC0832" w:rsidRDefault="00AC0832">
            <w:pPr>
              <w:pStyle w:val="CellColumn"/>
            </w:pPr>
            <w:r>
              <w:t>98,3</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Programom Razvoj sigurnosti željezničkog prometa, infrastrukture i žičara ostvarilo se razvijanje prometne infrastrukture u Republici Hrvatskoj, s naglaskom na međupovezanost i interoperabilnost nacionalnih mreža i s transeuropskim mrežama, a navedeno je povezano s Općim ciljem 5. Ravnomjerni regionalni razvoj, Posebnim ciljem5.5. Razvijanje prometnog sustava, načinima ostvarenja: 5.5.1. Razvijena prometna infrastruktura, 5.5.2. Visoka kvaliteta i razvijeno tržište prometnih usluga, 5.5.3. Visoka razina sigurnosti u prometu Strategije Vladinih programa za razdoblje 2012.-2014. Ulaganjima u modernizaciju i održavanje željezničke infrastrukture, omogućilo se nesmetano i sigurno obavljanje željezničkog prometa, a subvencioniranjem usluga željezničkog putničkog prijevoza omogućilo se održavanje željezničkog prijevoza putnika te su se zadovoljile šire društvene potrebe prometne povezanosti svih dijelova RH, kao i međusobne povezanosti na regionalnoj i lokalnoj razini.    </w:t>
      </w:r>
    </w:p>
    <w:p w:rsidR="00AC0832" w:rsidRDefault="00AC0832">
      <w:pPr>
        <w:pStyle w:val="Normal5"/>
      </w:pPr>
      <w:r>
        <w:t xml:space="preserve">Primatelji sredstava osiguranih proračunom su uglavnom upravitelj infrastrukture i željeznički putnički prijevoznik, a primatelji usluga koje oni pružaju su gospodarski subjekti i putnici. Sredstva koja su se uložila u područje željezničke infrastrukture odnosila su se na financiranje aktivnosti održavanja i regulacije prometa na postojećoj mreži željezničkih prometnica.  </w:t>
      </w:r>
    </w:p>
    <w:p w:rsidR="00AC0832" w:rsidRDefault="00AC0832">
      <w:pPr>
        <w:pStyle w:val="Normal5"/>
      </w:pPr>
      <w:r>
        <w:t xml:space="preserve">U narednom razdoblju namjerava se sufinancirati željeznički putnički prijevoz budući ova vrsta usluge ima tretman usluge od općeg gospodarskog interesa te je Zakonom o željeznici propisano da se sredstva za ovu namjenu osiguravaju u proračunu.  </w:t>
      </w:r>
    </w:p>
    <w:p w:rsidR="00AC0832" w:rsidRDefault="00AC0832">
      <w:pPr>
        <w:pStyle w:val="Normal5"/>
      </w:pPr>
      <w:r>
        <w:t>IPA 2010 PPF - Razvoj standardiziranog prikupljanja podataka u prometu u Republici Hrvatskoj je projekt odobren od strane SDURF i EK vezano za izradu studije i standardizacije prikupljanja podataka kao temelja za izradu strateških dokumenata.</w:t>
      </w:r>
    </w:p>
    <w:p w:rsidR="00AC0832" w:rsidRDefault="00AC0832">
      <w:pPr>
        <w:pStyle w:val="Heading6"/>
      </w:pPr>
      <w:r>
        <w:t>Zakonske i druge pravne osnove</w:t>
      </w:r>
    </w:p>
    <w:p w:rsidR="00AC0832" w:rsidRDefault="00AC0832">
      <w:pPr>
        <w:pStyle w:val="Normal5"/>
      </w:pPr>
      <w:r>
        <w:t xml:space="preserve">Zakon o dopuni Zakona o podjeli trgovačkog društva HŽ-Hrvatske željeznice d.o.o. (NN 57/12), </w:t>
      </w:r>
    </w:p>
    <w:p w:rsidR="00AC0832" w:rsidRDefault="00AC0832">
      <w:pPr>
        <w:pStyle w:val="Normal5"/>
      </w:pPr>
      <w:r>
        <w:t xml:space="preserve">Zakon o podjeli trgovačkog društva HŽ - Hrvatske željeznice d.o.o. (NN 153/05), </w:t>
      </w:r>
    </w:p>
    <w:p w:rsidR="00AC0832" w:rsidRDefault="00AC0832">
      <w:pPr>
        <w:pStyle w:val="Normal5"/>
      </w:pPr>
      <w:r>
        <w:t xml:space="preserve">Zakon o željeznici (NN 123/03), </w:t>
      </w:r>
    </w:p>
    <w:p w:rsidR="00AC0832" w:rsidRDefault="00AC0832">
      <w:pPr>
        <w:pStyle w:val="Normal5"/>
      </w:pPr>
      <w:r>
        <w:t xml:space="preserve">Uredba o izmjeni Zakona o željeznici (NN 194/03), </w:t>
      </w:r>
    </w:p>
    <w:p w:rsidR="00AC0832" w:rsidRDefault="00AC0832">
      <w:pPr>
        <w:pStyle w:val="Normal5"/>
      </w:pPr>
      <w:r>
        <w:t xml:space="preserve">Zakon o izmjenama Zakona o željeznici (NN 30/04) , </w:t>
      </w:r>
    </w:p>
    <w:p w:rsidR="00AC0832" w:rsidRDefault="00AC0832">
      <w:pPr>
        <w:pStyle w:val="Normal5"/>
      </w:pPr>
      <w:r>
        <w:t xml:space="preserve">Zakon o izmjenama Zakona o željeznici (NN 79/07), </w:t>
      </w:r>
    </w:p>
    <w:p w:rsidR="00AC0832" w:rsidRDefault="00AC0832">
      <w:pPr>
        <w:pStyle w:val="Normal5"/>
      </w:pPr>
      <w:r>
        <w:t xml:space="preserve">Zakon o izmjenama Zakona o željeznici (NN 75/09), </w:t>
      </w:r>
    </w:p>
    <w:p w:rsidR="00AC0832" w:rsidRDefault="00AC0832">
      <w:pPr>
        <w:pStyle w:val="Normal5"/>
      </w:pPr>
      <w:r>
        <w:t xml:space="preserve">Zakon o sigurnosti u željezničkom prometu (NN 40/07), </w:t>
      </w:r>
    </w:p>
    <w:p w:rsidR="00AC0832" w:rsidRDefault="00AC0832">
      <w:pPr>
        <w:pStyle w:val="Normal5"/>
      </w:pPr>
      <w:r>
        <w:t xml:space="preserve">Zakon o Agenciji za sigurnost željezničkog prometa (NN 120/08), </w:t>
      </w:r>
    </w:p>
    <w:p w:rsidR="00AC0832" w:rsidRDefault="00AC0832">
      <w:pPr>
        <w:pStyle w:val="Normal5"/>
      </w:pPr>
      <w:r>
        <w:t xml:space="preserve">Zakon o izmjenama Zakona o sigurnosti u željezničkom prometu (NN 61/11), </w:t>
      </w:r>
    </w:p>
    <w:p w:rsidR="00AC0832" w:rsidRDefault="00AC0832">
      <w:pPr>
        <w:pStyle w:val="Normal5"/>
      </w:pPr>
      <w:r>
        <w:t xml:space="preserve">Zakon o Agenciji za regulaciju tržišta željezničkih usluga (NN 79/07), </w:t>
      </w:r>
    </w:p>
    <w:p w:rsidR="00AC0832" w:rsidRDefault="00AC0832">
      <w:pPr>
        <w:pStyle w:val="Normal5"/>
      </w:pPr>
      <w:r>
        <w:t xml:space="preserve">Zakon o izmjenama i dopunama Zakona o Agenciji za regulaciju tržišta željezničkih usluga (NN 75/09), </w:t>
      </w:r>
    </w:p>
    <w:p w:rsidR="00AC0832" w:rsidRDefault="00AC0832">
      <w:pPr>
        <w:pStyle w:val="Normal5"/>
      </w:pPr>
      <w:r>
        <w:t xml:space="preserve">Zakon o izmjenama Zakona o Agenciji za regulaciju tržišta željezničkih usluga (NN 61/11), </w:t>
      </w:r>
    </w:p>
    <w:p w:rsidR="00AC0832" w:rsidRDefault="00AC0832">
      <w:pPr>
        <w:pStyle w:val="Normal5"/>
      </w:pPr>
      <w:r>
        <w:t xml:space="preserve">Zakon o žičarama za prijevoz osoba (79/07,75/09,76/11), </w:t>
      </w:r>
    </w:p>
    <w:p w:rsidR="00AC0832" w:rsidRDefault="00AC0832">
      <w:pPr>
        <w:pStyle w:val="Normal5"/>
      </w:pPr>
      <w:r>
        <w:t xml:space="preserve">Nacionalna Strategija Republike Hrvatske za ISPA programe u sektoru prometa iz 2004.god., </w:t>
      </w:r>
    </w:p>
    <w:p w:rsidR="00AC0832" w:rsidRDefault="00AC0832">
      <w:pPr>
        <w:pStyle w:val="Normal5"/>
      </w:pPr>
      <w:r>
        <w:t xml:space="preserve">Operativni program za promet 2007 - 2011, </w:t>
      </w:r>
    </w:p>
    <w:p w:rsidR="00AC0832" w:rsidRDefault="00AC0832">
      <w:pPr>
        <w:pStyle w:val="Normal5"/>
      </w:pPr>
      <w:r>
        <w:t>Zakon o potvrđivanju Sporazuma između Vlade Republike Hrvatske i Europske komisije kojim se mijenja Sporazum o financiranju između Vlade Republike Hrvatske i Europske komisije  za   višegodišnji  Operativni  program  »Promet«  za   pomoć   Zajednice  iz Instrumenta pretpristupne pomoći u sklopu komponente »Regionalni razvoj« od 24.prosinca 2010.g. (NN MU 11/2010).</w:t>
      </w:r>
    </w:p>
    <w:p w:rsidR="00AC0832" w:rsidRDefault="00AC0832">
      <w:pPr>
        <w:pStyle w:val="Heading7"/>
      </w:pPr>
      <w:r>
        <w:t xml:space="preserve">Cilj 1. Postupno povećati kvalitetu željezničkog sustava u Hrvatskoj, prvenstveno kroz povećanje prosječne konvencionalne brzine pruga </w:t>
      </w:r>
    </w:p>
    <w:p w:rsidR="00AC0832" w:rsidRDefault="00AC0832">
      <w:pPr>
        <w:pStyle w:val="Heading8"/>
        <w:jc w:val="left"/>
      </w:pPr>
      <w:r>
        <w:t>Opis provedbe cilja programa</w:t>
      </w:r>
    </w:p>
    <w:p w:rsidR="00AC0832" w:rsidRDefault="00AC0832">
      <w:pPr>
        <w:pStyle w:val="Normal6"/>
      </w:pPr>
      <w:r>
        <w:t xml:space="preserve">Namjena osiguranih sredstava za ovaj projekt bila je podmirivanje potreba vezanih za održavanje postojeće željezničke infrastrukture prateći indikatore sigurnosti i redovite elemente održavanja željezničkih pruga, te regulacija željezničkog prometa na željezničkoj infrastrukturi kako bi se omogućilo sigurno vođenje prometa. </w:t>
      </w:r>
    </w:p>
    <w:p w:rsidR="00AC0832" w:rsidRDefault="00AC0832">
      <w:pPr>
        <w:pStyle w:val="Normal6"/>
      </w:pPr>
      <w:r>
        <w:t>Komercijalna brzina vlakova u teretnom prijevozu u 2012. godini iznosila je 21,3 km/h, a u putničkom prometu 45,8 km/h. Pokazatelj prosječne konvencionalne brzine pruga u 2012. godini ciljano je iznosio 69,72 km/h, koliko je stvarno i ostvarena brzina, budući tijekom 2012. nije došlo do povećanja brzine, niti su uvedena nova ograničenja brzine.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7"/>
        <w:gridCol w:w="1606"/>
        <w:gridCol w:w="1179"/>
        <w:gridCol w:w="1221"/>
        <w:gridCol w:w="1210"/>
        <w:gridCol w:w="1221"/>
        <w:gridCol w:w="124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prosječne konvencionalne brzine pruga</w:t>
            </w:r>
          </w:p>
        </w:tc>
        <w:tc>
          <w:tcPr>
            <w:tcW w:w="1300" w:type="dxa"/>
          </w:tcPr>
          <w:p w:rsidR="00AC0832" w:rsidRDefault="00AC0832">
            <w:pPr>
              <w:pStyle w:val="CellColumn"/>
            </w:pPr>
            <w:r>
              <w:t>Prosječna konvencionalna brzina pruga je pokazatelj kvalitete rada pruga. Posljedica je ulaganja u aktivnosti održavanja, remonta i modernizacija pruga.</w:t>
            </w:r>
          </w:p>
        </w:tc>
        <w:tc>
          <w:tcPr>
            <w:tcW w:w="1300" w:type="dxa"/>
          </w:tcPr>
          <w:p w:rsidR="00AC0832" w:rsidRDefault="00AC0832">
            <w:pPr>
              <w:pStyle w:val="CellColumn"/>
            </w:pPr>
            <w:r>
              <w:t>km/h</w:t>
            </w:r>
          </w:p>
        </w:tc>
        <w:tc>
          <w:tcPr>
            <w:tcW w:w="1300" w:type="dxa"/>
          </w:tcPr>
          <w:p w:rsidR="00AC0832" w:rsidRDefault="00AC0832">
            <w:pPr>
              <w:pStyle w:val="CellColumn"/>
            </w:pPr>
            <w:r>
              <w:t>61,87</w:t>
            </w:r>
          </w:p>
        </w:tc>
        <w:tc>
          <w:tcPr>
            <w:tcW w:w="1300" w:type="dxa"/>
          </w:tcPr>
          <w:p w:rsidR="00AC0832" w:rsidRDefault="00AC0832">
            <w:pPr>
              <w:pStyle w:val="CellColumn"/>
            </w:pPr>
            <w:r>
              <w:t>MPPI</w:t>
            </w:r>
          </w:p>
        </w:tc>
        <w:tc>
          <w:tcPr>
            <w:tcW w:w="1300" w:type="dxa"/>
          </w:tcPr>
          <w:p w:rsidR="00AC0832" w:rsidRDefault="00AC0832">
            <w:pPr>
              <w:pStyle w:val="CellColumn"/>
            </w:pPr>
            <w:r>
              <w:t>69,72</w:t>
            </w:r>
          </w:p>
        </w:tc>
        <w:tc>
          <w:tcPr>
            <w:tcW w:w="1300" w:type="dxa"/>
          </w:tcPr>
          <w:p w:rsidR="00AC0832" w:rsidRDefault="00AC0832">
            <w:pPr>
              <w:pStyle w:val="CellColumn"/>
            </w:pPr>
            <w:r>
              <w:t>69,72</w:t>
            </w:r>
          </w:p>
        </w:tc>
      </w:tr>
    </w:tbl>
    <w:p w:rsidR="00AC0832" w:rsidRDefault="00AC0832">
      <w:pPr>
        <w:jc w:val="left"/>
      </w:pPr>
    </w:p>
    <w:p w:rsidR="00AC0832" w:rsidRDefault="00AC0832">
      <w:pPr>
        <w:pStyle w:val="Heading6"/>
      </w:pPr>
      <w:r>
        <w:t>A570334 ODRŽAVANJE ŽELJEZNIČKE INFRASTRUKTURE I REGULACIJA PROMETA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A570334-ODRŽAVANJE ŽELJEZNIČKE INFRASTRUKTURE I REGULACIJA PROMETA</w:t>
            </w:r>
          </w:p>
        </w:tc>
        <w:tc>
          <w:tcPr>
            <w:tcW w:w="2322" w:type="dxa"/>
          </w:tcPr>
          <w:p w:rsidR="00AC0832" w:rsidRDefault="00AC0832">
            <w:pPr>
              <w:pStyle w:val="CellColumn"/>
            </w:pPr>
            <w:r>
              <w:t>855.000.000</w:t>
            </w:r>
          </w:p>
        </w:tc>
        <w:tc>
          <w:tcPr>
            <w:tcW w:w="2322" w:type="dxa"/>
          </w:tcPr>
          <w:p w:rsidR="00AC0832" w:rsidRDefault="00AC0832">
            <w:pPr>
              <w:pStyle w:val="CellColumn"/>
            </w:pPr>
            <w:r>
              <w:t>855.000.000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Proračunska sredstva utrošena su za podmirenje troškova željezničke infrastrukture i to za građevinski infrastrukturni podsustav, elektroenergetski infrastrukturni podsustav i signalno-sigurnosni infrastrukturni podsustav i  ostale  funkcionalne dijelove i opremu za  željezničku infrastrukturu. Od ukupno doznačenih sredstava društvu HŽ Infrastruktura d.o.o. za navedene namjene, iznos od 780.577.990,30 kn utrošen je za podmirenje troškova radnika koji obavljaju navedene djelatnosti. Iznos od 74.422.009,70 kn iskorišten je za podmirivanje obveza prema dobavljačima u čemu je 17.674.362,71 kn za troškove materijala, 23.750.664,95 za troškove energije i 32.996.982,04 za troškove usluga.  </w:t>
      </w:r>
    </w:p>
    <w:p w:rsidR="00AC0832" w:rsidRDefault="00AC0832">
      <w:pPr>
        <w:pStyle w:val="Normal6"/>
      </w:pPr>
      <w:r>
        <w:t xml:space="preserve">U okvirima upravljanja i regulacije prometom otpremljeno je 62.937 teretnih vlakova koji su ostvarili 5,1 milijuna teretnih vlak kilometara i prevezli 11,4 milijuna tona robe. U putničkom prijevozu otpremljeno je 263.739 putničkih vlakova koji su ostvarili 18,0 milijun vlak kilometara. Tijekom 2012. godine prosječno kašnjenje za teretne vlakove iznosilo je 106 minuta, a za putničke vlakove 3 minute. Tijekom 2012.god. nastavljene su redovite aktivnosti održavanja pruga na 2.722,3 kilometara pruga u uporabi, 962,2 km kolodvorskih i drugih kolosijeka, na 4.413 skretnica i križišta, na 109 tunela, na 568 mostova i na 1.459 željezničko-cestovna prijelaza. </w:t>
      </w:r>
    </w:p>
    <w:p w:rsidR="00AC0832" w:rsidRDefault="00AC0832">
      <w:pPr>
        <w:pStyle w:val="Normal6"/>
      </w:pPr>
      <w:r>
        <w:t>Tijekom 2012.god došlo je do promjene Pravilnika o izvanrednim događajima u željezničkom prometu. Planirano je 3.982 izvanredna događaja, dok je ostvareni broj izvanrednih događaja iznosio 5.406. Međutim najveći dio 5161, odnosi se na manje poremećaje, a 18 je ozbiljnih nesreća, 108 nesreća i 96 izbjegnutih nesreća. U 2012. godini komercijalna brzina u teretnom prijevozu iznosila je 21,3 km/satu, a u putničkom prometu 45,8 km/satu. Pokazatelj prosječne konvencionalne brzine pruga u 2012. ciljano je iznosio 69,72 km/h, koliko je stvarno i ostvarena brzina, budući tijekom 2012. nije došlo do povećanja brzine, niti su uvedena nova ograničenja brzine.</w:t>
      </w:r>
    </w:p>
    <w:p w:rsidR="00AC0832" w:rsidRDefault="00AC0832">
      <w:pPr>
        <w:pStyle w:val="Heading6"/>
      </w:pPr>
      <w:r>
        <w:t>A761010 POTICANJE ŽELJEZNIČKOG KOMBINIRANOG PRIJEVOZA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A761010-POTICANJE ŽELJEZNIČKOG KOMBINIRANOG PRIJEVOZA</w:t>
            </w:r>
          </w:p>
        </w:tc>
        <w:tc>
          <w:tcPr>
            <w:tcW w:w="2322" w:type="dxa"/>
          </w:tcPr>
          <w:p w:rsidR="00AC0832" w:rsidRDefault="00AC0832">
            <w:pPr>
              <w:pStyle w:val="CellColumn"/>
            </w:pPr>
            <w:r>
              <w:t>1.000.000</w:t>
            </w:r>
          </w:p>
        </w:tc>
        <w:tc>
          <w:tcPr>
            <w:tcW w:w="2322" w:type="dxa"/>
          </w:tcPr>
          <w:p w:rsidR="00AC0832" w:rsidRDefault="00AC0832">
            <w:pPr>
              <w:pStyle w:val="CellColumn"/>
            </w:pPr>
            <w:r>
              <w:t>1.000.000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Proračunska sredstva utrošena su za potrebe organizacije i izvođenja kombiniranog prijevoza na prugama Republike Hrvatske da se osiguraju potrebni prijevozni kapaciteti : vlakovi, vagoni, pretovarna mehanizacija i oprema. Iznos od 800.000,00 kuna utrošena na usluge vuče vlakova  i manevriranja u teretnom prijevozu. Za informatičke usluge utrošeno je 200.000,00 kuna.</w:t>
      </w:r>
    </w:p>
    <w:p w:rsidR="00AC0832" w:rsidRDefault="00AC0832">
      <w:pPr>
        <w:pStyle w:val="Heading6"/>
      </w:pPr>
      <w:r>
        <w:t>A761011 POTICANJE ŽELJEZNIČKOG PUTNIČKOG PRIJEVOZA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A761011-POTICANJE ŽELJEZNIČKOG PUTNIČKOG PRIJEVOZA</w:t>
            </w:r>
          </w:p>
        </w:tc>
        <w:tc>
          <w:tcPr>
            <w:tcW w:w="2322" w:type="dxa"/>
          </w:tcPr>
          <w:p w:rsidR="00AC0832" w:rsidRDefault="00AC0832">
            <w:pPr>
              <w:pStyle w:val="CellColumn"/>
            </w:pPr>
            <w:r>
              <w:t>350.600.000</w:t>
            </w:r>
          </w:p>
        </w:tc>
        <w:tc>
          <w:tcPr>
            <w:tcW w:w="2322" w:type="dxa"/>
          </w:tcPr>
          <w:p w:rsidR="00AC0832" w:rsidRDefault="00AC0832">
            <w:pPr>
              <w:pStyle w:val="CellColumn"/>
            </w:pPr>
            <w:r>
              <w:t>350.600.000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Proračunska sredstva utrošena su za usluge željezničkog putničkog prijevoza u 2012.godini  u domaćem prijevozu po redovitoj i povlaštenoj tarifi sa svrhom osiguranja redovitosti i urednosti pružanja usluga u javnom putničkom prijevozu na prugama Republike Hrvatske. Troškovi se odnose na čišćenje i njega putničkih vagona u iznosu od 21.178.172,31 kuna, tekuće održavanje putničkih vagona u iznosu od 11.173.173,04 kuna, tekuće održavanje vučnih vozila u iznosu od 10.977.008,44 kuna, tekuće održavanje u iznosu od 15.381.937,08 kuna, usluga vuče u iznosu od 168.559.811,71 kuna, pristup željezničkoj trasi i struja u iznosu od 18.500.000,00 kuna, manevra, tehnički pregled vozila (TPV) u iznosu 24.784.138,87 kuna, gorivo u iznosu od 3.500.000,00 kuna  i plaće radnika u iznosu od 76.545.758,55 kuna.</w:t>
      </w:r>
    </w:p>
    <w:p w:rsidR="00AC0832" w:rsidRDefault="00AC0832">
      <w:pPr>
        <w:pStyle w:val="Heading6"/>
      </w:pPr>
      <w:r>
        <w:t>K761009 OSUVREMENJIVANJE I IZGRADNJA ŽELJEZNIČKE INFRASTRUKTURE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K761009-OSUVREMENJIVANJE I IZGRADNJA ŽELJEZNIČKE INFRASTRUKTURE</w:t>
            </w:r>
          </w:p>
        </w:tc>
        <w:tc>
          <w:tcPr>
            <w:tcW w:w="2322" w:type="dxa"/>
          </w:tcPr>
          <w:p w:rsidR="00AC0832" w:rsidRDefault="00AC0832">
            <w:pPr>
              <w:pStyle w:val="CellColumn"/>
            </w:pPr>
            <w:r>
              <w:t>92.152.200</w:t>
            </w:r>
          </w:p>
        </w:tc>
        <w:tc>
          <w:tcPr>
            <w:tcW w:w="2322" w:type="dxa"/>
          </w:tcPr>
          <w:p w:rsidR="00AC0832" w:rsidRDefault="00AC0832">
            <w:pPr>
              <w:pStyle w:val="CellColumn"/>
            </w:pPr>
            <w:r>
              <w:t>95.518.278</w:t>
            </w:r>
          </w:p>
        </w:tc>
        <w:tc>
          <w:tcPr>
            <w:tcW w:w="2322" w:type="dxa"/>
          </w:tcPr>
          <w:p w:rsidR="00AC0832" w:rsidRDefault="00AC0832">
            <w:pPr>
              <w:pStyle w:val="CellColumn"/>
            </w:pPr>
            <w:r>
              <w:t>103,7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Proračunska sredstva koja su doznačena društvu HŽ Infrastruktura iskorištena su za osuvremenjivanje postojećih pruga i to uglavnom po pravcima koridora. Na ogranku Vb koridora uložena su proračunska sredstva za sanaciju 3 AB podvožnjaka, zamjenu skretnica, izmjenu sustava električne vuče Moravice-Rijeka-Šapjane i Škrljevo-Bakar, te remont KM u kolodvoru Ogulinski Hreljin i Vrbovsko. Na pruzi Oštarije-Knin-Split utrošeno je za remont i rekonstrukciju pruge Oštarije - Knin - Split, ulaganje u elektroenergetiku, te modernizaciju SS i TK uređaja. Na ogranku Vc koridora uložena su proračunska sredstva za rekonstrukciju kolodvora Darda. Na X koridoru  obavljena su sljedeća značajnija ulaganja: uklanjanje armirano betonskih nadstrešnica Vinkovci i Slavonski Brod, zamjena mosta Buna u  km 389+422 pruge M 104 Zagreb GK - Sisak, rekonstrukcija elektrovučne podstanice  Resnik 110/25kV, te remont kontaktne mreže sustava  25kV, 50 Hz. U programu obnove i osuvremenjivanja pruga od značaja za regionalni promet utrošeno je za izgradnju industrijskog kolosijeka "Našicecement" , te za osiguranje kolodvora Đurđevac, Virje, Suhopolje. U programu osuvremenjivanja željezničkog čvorišta Zagreb značajnija ulaganja su bila u revitalizaciju CDU Zagreb, za remont kolosiječnih kočnica na RK i ugradnju displeja na Zagreb GK. Po pitanju aktivnosti u funkciji infrastrukture i prometa na mreži kao cjeline ulaganja su realizirana za osiguranje željezničko-cestovnih prijelaza (ŽCP) na prugama HŽ Infrastrukture, ugradnju video nadzora na ŽCP, zamjenu magnetskih kontakata, nabavu motaka polubranika i branika za ŽCP, nabavu pričuvne opreme ŽCP, sanaciju odvodnje otpadnih voda Zagreb RK, sanaciju odvodnog sustava kolodvora Rijeka, zamjena skretnica na mreži kao cjelini, inspekcijske nalaze GPO, uređenje površina u kolodvorima, napojne uređaje. Ulaganja u nekretnine odnose se na rekonstrukciju dijela zgrade na Zagreb RK, sanaciju krovišta i pročelja zgrade UIS-a Zagreb RK, izvođenje radova na sanaciji oborinske i fekalne odvodnje kolodvorske zgrade Bjelovar prema napravljenoj tehničkoj dokumentaciji – projektu, izvođenje radova prema inspekcijskim nalazima, te rješenje grijanja u kolodvorima. Značajna ulaganja su bila na izradi studijske, investicijske i tehničke dokumentacije. Za izgradnju novih pruga najznačajniji dio odlazi na pripremu, odnosno za projektnu dokumentaciju za projekte željeznička obilaznica Bibinja, izgradnja pruge Gradec - Sveti Ivan Žabno, izgradnja pruge Podsused-Samobor-Bregana, rekonstrukcija i izgradnja drugog kolosijeka Dugo Selo - Botovo, te rekonstrukcija i izgradnja drugog kolosijeka, odnosno izgradnja nove dvokolosiječne pruge na dijelovima dionice Hrvatski Leskovac  - Krasica. </w:t>
      </w:r>
    </w:p>
    <w:p w:rsidR="00AC0832" w:rsidRDefault="00AC0832">
      <w:pPr>
        <w:pStyle w:val="Normal6"/>
      </w:pPr>
      <w:r>
        <w:t>Izvršenje od 3,7% iznad planiranog iznosa u 2012. godini odnosi se na rashode pokrivene sredstvima zajma EIB iz ranijih godina. Naime, zatražena je i dobivena suglasnost Ministarstva financija za trošenje neiskorištenog dijela navedenog zajma, a za potrebe financiranja modernizacije željezničkih pruga (ugradnja skretnica). Iznos utrošenih, a ne planiranih sredstava zajma u 2012. godini (izvor 83) iznosi 3.366.078,12 kuna i taj iznos odgovara prekoračenju sredstava planiranih pri izradi proračuna za 3,7%.</w:t>
      </w:r>
    </w:p>
    <w:p w:rsidR="00AC0832" w:rsidRDefault="00AC0832">
      <w:pPr>
        <w:pStyle w:val="Heading6"/>
      </w:pPr>
      <w:r>
        <w:t>K761029 IPA IIIA 2007-REHABILITACIJA DIONICE PRUGE OKUČANI-NOVSKA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K761029-IPA IIIA 2007-REHABILITACIJA DIONICE PRUGE OKUČANI-NOVSKA</w:t>
            </w:r>
          </w:p>
        </w:tc>
        <w:tc>
          <w:tcPr>
            <w:tcW w:w="2322" w:type="dxa"/>
          </w:tcPr>
          <w:p w:rsidR="00AC0832" w:rsidRDefault="00AC0832">
            <w:pPr>
              <w:pStyle w:val="CellColumn"/>
            </w:pPr>
            <w:r>
              <w:t>92.966.736</w:t>
            </w:r>
          </w:p>
        </w:tc>
        <w:tc>
          <w:tcPr>
            <w:tcW w:w="2322" w:type="dxa"/>
          </w:tcPr>
          <w:p w:rsidR="00AC0832" w:rsidRDefault="00AC0832">
            <w:pPr>
              <w:pStyle w:val="CellColumn"/>
            </w:pPr>
            <w:r>
              <w:t>86.322.360</w:t>
            </w:r>
          </w:p>
        </w:tc>
        <w:tc>
          <w:tcPr>
            <w:tcW w:w="2322" w:type="dxa"/>
          </w:tcPr>
          <w:p w:rsidR="00AC0832" w:rsidRDefault="00AC0832">
            <w:pPr>
              <w:pStyle w:val="CellColumn"/>
            </w:pPr>
            <w:r>
              <w:t>92,9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Ugovaranje svih radova je dovršeno, a u IX mjesecu 2012. se otpočelo s izvođenjem radova na samom terenu. Do kraja 2012. godine dovršeni su svi građevinski radovi na sjevernom kolosijeku na otvorenoj pruzi (oko 17,00 km). Ovi radovi obuhvaćanju demontažu starog kolosijeka s donjim ustrojem i na njegovom mjestu izgradnju novog. Do kraja provedbe projekta u narednim godinama ostaje izgradnja južnog kolosijeka, kolodvora Okučani i stajališta Rajić zajedno s pratećim signalno-sigurnosnim i telekomunikacijskim radovima. Svim izvoditeljima je plaćen avans od 20%, a izvoditelju građevinskih radova povrh toga i dvije privremene situacije. </w:t>
      </w:r>
    </w:p>
    <w:p w:rsidR="00AC0832" w:rsidRDefault="00AC0832">
      <w:pPr>
        <w:pStyle w:val="Normal6"/>
      </w:pPr>
      <w:r>
        <w:t xml:space="preserve">Do sada izvedeni radovi izvršeni u skladu s ugovorenim planom radova. Od kontrolnih aktivnosti provode se redovni obilasci gradilišta, a za sada nisu uočeni rizici za provedbu projekta. </w:t>
      </w:r>
    </w:p>
    <w:p w:rsidR="00AC0832" w:rsidRDefault="00AC0832">
      <w:pPr>
        <w:pStyle w:val="Normal6"/>
      </w:pPr>
      <w:r>
        <w:t xml:space="preserve">Tehnologija izvođenja građevinskih radova u sklopu ovog projekta je da se radovi izvode u fazama na cijeloj dužini dionice (cca 20 km). To znači da se prvo vrši demontaža jednog postoječeg kolosijeka na cijeloj dužini, zatim iskop na cijeloj dužini, nakon toga postavljanje nove kolosiječne konstrukcije pa sve tako do ugradnje signalno-sigurnosnih i telekomunikacijskih uređaja. </w:t>
      </w:r>
    </w:p>
    <w:p w:rsidR="00AC0832" w:rsidRDefault="00AC0832">
      <w:pPr>
        <w:pStyle w:val="Normal6"/>
      </w:pPr>
      <w:r>
        <w:t>Zbog ovakvog načina rada ciljana vrijednost u 2012 je 0,00 jer iako su gotovi građevinski radovi na jednom kolosijeku nije u potpunosti rehabilitiran ni jedan kilometar pruge jer da bi bilo tako mora se rehabilitirati i drugi kolosijek, ugraditi signalno-sigurmosna i telekomunikacijska oprema na oba kolosijeka, ispitati je, obaviti tehnički pregled i ishoditi uporadnu dozvolu.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7"/>
        <w:gridCol w:w="1595"/>
        <w:gridCol w:w="1239"/>
        <w:gridCol w:w="1260"/>
        <w:gridCol w:w="1255"/>
        <w:gridCol w:w="1260"/>
        <w:gridCol w:w="127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potpuno  rehabilitiranih kilometara pruge</w:t>
            </w:r>
          </w:p>
        </w:tc>
        <w:tc>
          <w:tcPr>
            <w:tcW w:w="1300" w:type="dxa"/>
          </w:tcPr>
          <w:p w:rsidR="00AC0832" w:rsidRDefault="00AC0832">
            <w:pPr>
              <w:pStyle w:val="CellColumn"/>
            </w:pPr>
            <w:r>
              <w:t>Obnovljenim i rekonstruiranim km pruge postići će se maksimalna dopuštena  brzina vlaka 160 km/h</w:t>
            </w:r>
          </w:p>
        </w:tc>
        <w:tc>
          <w:tcPr>
            <w:tcW w:w="1300" w:type="dxa"/>
          </w:tcPr>
          <w:p w:rsidR="00AC0832" w:rsidRDefault="00AC0832">
            <w:pPr>
              <w:pStyle w:val="CellColumn"/>
            </w:pPr>
            <w:r>
              <w:t>km</w:t>
            </w:r>
          </w:p>
        </w:tc>
        <w:tc>
          <w:tcPr>
            <w:tcW w:w="1300" w:type="dxa"/>
          </w:tcPr>
          <w:p w:rsidR="00AC0832" w:rsidRDefault="00AC0832">
            <w:pPr>
              <w:pStyle w:val="CellColumn"/>
            </w:pPr>
            <w:r>
              <w:t>0</w:t>
            </w:r>
          </w:p>
        </w:tc>
        <w:tc>
          <w:tcPr>
            <w:tcW w:w="1300" w:type="dxa"/>
          </w:tcPr>
          <w:p w:rsidR="00AC0832" w:rsidRDefault="00AC0832">
            <w:pPr>
              <w:pStyle w:val="CellColumn"/>
            </w:pPr>
            <w:r>
              <w:t>MPPI</w:t>
            </w:r>
          </w:p>
        </w:tc>
        <w:tc>
          <w:tcPr>
            <w:tcW w:w="1300" w:type="dxa"/>
          </w:tcPr>
          <w:p w:rsidR="00AC0832" w:rsidRDefault="00AC0832">
            <w:pPr>
              <w:pStyle w:val="CellColumn"/>
            </w:pPr>
            <w:r>
              <w:t>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K810029 IPA IIIa 2007-IZGRADNJA DRUGOG KOLOSIJEKA I REKONSTRUKCIJA DIONICE PRUGE DUGO SELO-KRIŽEVCI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K810029-IPA IIIa 2007-IZGRADNJA DRUGOG KOLOSIJEKA I REKONSTRUKCIJA DIONICE PRUGE DUGO SELO-KRIŽEVCI</w:t>
            </w:r>
          </w:p>
        </w:tc>
        <w:tc>
          <w:tcPr>
            <w:tcW w:w="2322" w:type="dxa"/>
          </w:tcPr>
          <w:p w:rsidR="00AC0832" w:rsidRDefault="00AC0832">
            <w:pPr>
              <w:pStyle w:val="CellColumn"/>
            </w:pPr>
            <w:r>
              <w:t>10.000.000</w:t>
            </w:r>
          </w:p>
        </w:tc>
        <w:tc>
          <w:tcPr>
            <w:tcW w:w="2322" w:type="dxa"/>
          </w:tcPr>
          <w:p w:rsidR="00AC0832" w:rsidRDefault="00AC0832">
            <w:pPr>
              <w:pStyle w:val="CellColumn"/>
            </w:pPr>
            <w:r>
              <w:t>10.000.000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Projekt je u fazi izrade projektne dokumentacije i ishođenja svih potrebnih dozvola za gradnju, uz kontinuirano rješavanje imovinsko-pravnih odnosa, tako da su sva financijska sredstva u 2012. g. i bila namijenjena upravo za rješavanje imovinsko-pravnih odnosa i potrebe plaćanja komunalnih doprinosa prilikom izdavanja građevinskih dozvola.  </w:t>
      </w:r>
    </w:p>
    <w:p w:rsidR="00AC0832" w:rsidRDefault="00AC0832">
      <w:pPr>
        <w:pStyle w:val="Normal6"/>
      </w:pPr>
      <w:r>
        <w:t xml:space="preserve">Projekt je apliciran prema EK za sufinanciranje iz strukturnih fondova EU koji će Republici Hrvatskoj biti otvoreni nakon pristupanja u EU (očekivani datum 1.7.2013.) te se u razdoblju nakon toga očekuje odobrenje navedenog sufinanciranja. Javna nabava za odabir izvođača radova i nadzor nad građenjem planira se započeti tijekom srpnja 2013. g, a početak implementacije početkom 2014. g. Prije početka gradnje trebali bi svi postupci rješavanja imovinsko-pravnih odnosa biti gotovi. </w:t>
      </w:r>
    </w:p>
    <w:p w:rsidR="00AC0832" w:rsidRDefault="00AC0832">
      <w:pPr>
        <w:pStyle w:val="Normal6"/>
      </w:pPr>
      <w:r>
        <w:t xml:space="preserve">Tijekom 2012. godine ukupno je utrošeno 3.483.411,75 kuna od doznačenih 10.000.000,00 kuna. Temeljem čl.20 st.6 Zakona o izvlaštenju HŽI je dužan imati osigurana sredstva na posebnom računu za otkup zemljišta, te je na kraju 2012. godine iznos osiguranih sredstava na računu HŽI-a iznosio 3.483.411,75 kuna. Izvršen je otkup zemljišta u vrijednosti 3.034.451,75 kuna (što je za ovaj projekt cca. 10% ukupno potrebne površine zemljišta kod kojeg treba urediti imovinsko-pravne odnose) i plaćen je komunalni doprinos za rekonstrukciju i dogradnju postojeće ceste I.G. Kovačić, Vrbovec, temeljem Rješenja Upravnog odjela za komunalne djelatnosti i gospodarstvo, Grad Vrbovec, u vrijednosti 448.960,00 kuna. </w:t>
      </w:r>
    </w:p>
    <w:p w:rsidR="00AC0832" w:rsidRDefault="00AC0832">
      <w:pPr>
        <w:pStyle w:val="Normal6"/>
      </w:pPr>
      <w:r>
        <w:t xml:space="preserve">Napomena: Ministarstvo financija dalo je Ministarstvu pomorstva, prometa i infrastrukture suglasnost (dopisom zaprimljenim 27.12.2012.) da se navedena sredstva za potrebe ovog projekta mogu sukcesivno trošiti temeljem postignutih nagodbi stranaka vezano za otkup zemljišta, te za plaćanje ostalih troškova izdavanja građevinskih dozvola i nakon 31. prosinca 2012, a sve sa svrhom stvaranja preduvjeta za realizaciju ovog projekta. </w:t>
      </w:r>
    </w:p>
    <w:p w:rsidR="00AC0832" w:rsidRDefault="00AC0832">
      <w:pPr>
        <w:pStyle w:val="Normal6"/>
      </w:pPr>
      <w:r>
        <w:t>Od kontrolnih aktivnosti prate se redovna izvješća o doznačavanju i realizaciji doznačenih sredstava Državnog proračuna RH, uz priložene nagodbe stranaka kod otkupa zemljišta, koje HŽI dostavlja Ministarstvu najmanje jednom mjesečno, a predstavnici MPPI, Uprave za prometnu infrastrukturu izvršili su i provjeru na licu mjesta 7.12.2012. sa svrhom kontrole trošenja proračunskih sredstava za ovaj projekt.</w:t>
      </w:r>
    </w:p>
    <w:p w:rsidR="00AC0832" w:rsidRDefault="00AC0832">
      <w:pPr>
        <w:pStyle w:val="Heading6"/>
      </w:pPr>
      <w:r>
        <w:t>K810038 IPA IIIa 2007-IZRADA PROJEKTNO TEHNIČKE DOKUMENTACIJE ZA PROJEKT: IZGRADNJA DRUGOG KOLOSIJEKA I REKONSTRUKCIJA DIONICE PRUGE KRIŽEVCI-KOPRIVNICA-DRŽAVNA GRANICA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K810038-IPA IIIa 2007-IZRADA PROJEKTNO TEHNIČKE DOKUMENTACIJE ZA PROJEKT: IZGRADNJA DRUGOG KOLOSIJEKA I REKONSTRUKCIJA DIONICE PRUGE KRIŽEVCI-KOPRIVNICA-DRŽAVNA GRANICA</w:t>
            </w:r>
          </w:p>
        </w:tc>
        <w:tc>
          <w:tcPr>
            <w:tcW w:w="2322" w:type="dxa"/>
          </w:tcPr>
          <w:p w:rsidR="00AC0832" w:rsidRDefault="00AC0832">
            <w:pPr>
              <w:pStyle w:val="CellColumn"/>
            </w:pPr>
            <w:r>
              <w:t>27.900.000</w:t>
            </w:r>
          </w:p>
        </w:tc>
        <w:tc>
          <w:tcPr>
            <w:tcW w:w="2322" w:type="dxa"/>
          </w:tcPr>
          <w:p w:rsidR="00AC0832" w:rsidRDefault="00AC0832">
            <w:pPr>
              <w:pStyle w:val="CellColumn"/>
            </w:pPr>
            <w:r>
              <w:t>23.961.990</w:t>
            </w:r>
          </w:p>
        </w:tc>
        <w:tc>
          <w:tcPr>
            <w:tcW w:w="2322" w:type="dxa"/>
          </w:tcPr>
          <w:p w:rsidR="00AC0832" w:rsidRDefault="00AC0832">
            <w:pPr>
              <w:pStyle w:val="CellColumn"/>
            </w:pPr>
            <w:r>
              <w:t>85,9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Planirana vrijednost ovog IPA projekta je bila 6.200.000€, a ugovoreno je u vrijednosti od 5.300.000,00€  u prosincu 2012.g.  U prosincu 2012.g. je, nakon isplate avansa od 60 % (Global price) vrijednosti ugovora, preostalo iznos od 3,98 milijuna kuna radi manje ugovorene vrijednosti projekta. </w:t>
      </w:r>
    </w:p>
    <w:p w:rsidR="00AC0832" w:rsidRDefault="00AC0832">
      <w:pPr>
        <w:pStyle w:val="Normal6"/>
      </w:pPr>
      <w:r>
        <w:t>Postignuti rezultat: potpisivanje ugovora o projektiranju, te provedba prema planu.</w:t>
      </w:r>
    </w:p>
    <w:p w:rsidR="00AC0832" w:rsidRDefault="00AC0832">
      <w:pPr>
        <w:pStyle w:val="Heading6"/>
      </w:pPr>
      <w:r>
        <w:t>T570365 ISPA 2005-REHABILITACIJA ŽELJEZNIČKE PRUGE VINKOVCI-TOVARNIK-DRŽAVNA GRANICA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T570365-ISPA 2005-REHABILITACIJA ŽELJEZNIČKE PRUGE VINKOVCI-TOVARNIK-DRŽAVNA GRANICA</w:t>
            </w:r>
          </w:p>
        </w:tc>
        <w:tc>
          <w:tcPr>
            <w:tcW w:w="2322" w:type="dxa"/>
          </w:tcPr>
          <w:p w:rsidR="00AC0832" w:rsidRDefault="00AC0832">
            <w:pPr>
              <w:pStyle w:val="CellColumn"/>
            </w:pPr>
            <w:r>
              <w:t>6.907.840</w:t>
            </w:r>
          </w:p>
        </w:tc>
        <w:tc>
          <w:tcPr>
            <w:tcW w:w="2322" w:type="dxa"/>
          </w:tcPr>
          <w:p w:rsidR="00AC0832" w:rsidRDefault="00AC0832">
            <w:pPr>
              <w:pStyle w:val="CellColumn"/>
            </w:pPr>
            <w:r>
              <w:t>6.907.840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Ovaj ISPA projekt uključuje 3 ugovora (civil works, signaling works, works supervision) ukupne vrijednosti  60.199.702,31 €. Građevinski radovi (civil works contract) započeli su u rujnu 2008, a preuzimanje završenih radova teklo je u periodu svibanj-prosinac 2010. U prosincu 2010. su izdane uporabne dozvole po sekcijama pruge i izvršena su završna plaćanja (civil works). Radovi obnove sustava signalizacije (signaling works contract)  završeni su u studenom 2011. a preuzimanje završenih radova bilo je u prosincu 2011. Uporabne dozvole po sekcijama pruge izdane su u prosincu 2011. i izvršena su završna plaćanja (signaling works). Sufinanciranje iz ISPA fonda (48%)  i iz Državnog proračuna Republike Hrvatske (52%) apsorbirano je u potpunosti.  </w:t>
      </w:r>
    </w:p>
    <w:p w:rsidR="00AC0832" w:rsidRDefault="00AC0832">
      <w:pPr>
        <w:pStyle w:val="Normal6"/>
      </w:pPr>
      <w:r>
        <w:t xml:space="preserve">Ministarstvo je u 2012. godini financiralo nabavu zamjenskih detektora uređaja za osiguranje 9 križanja pruge Vinkovci- Tovarnik- državna granica, u ukupnom iznosu od 5.600.000,00 kn.  </w:t>
      </w:r>
    </w:p>
    <w:p w:rsidR="00AC0832" w:rsidRDefault="00AC0832">
      <w:pPr>
        <w:pStyle w:val="Normal6"/>
      </w:pPr>
      <w:r>
        <w:t>Temeljem Ugovora o prijenosu sredstava SAFU iz državnog proračuna, izvršeno je i plaćanje dodatnih troškova nastalih sukladno Dodatku br.7 Ugovora o nadzoru ISPA2005/PT/001-020101 u sklopu provedbe projekta ISPA2005-Rehabilitacija željezničke pruge Vinkovci-Tovarnik-državna granica od 1.307.839,50 kn.</w:t>
      </w:r>
    </w:p>
    <w:p w:rsidR="00AC0832" w:rsidRDefault="00AC0832">
      <w:pPr>
        <w:pStyle w:val="Heading6"/>
      </w:pPr>
      <w:r>
        <w:t>T761012 MODERNIZACIJA ŽELJEZNIČKIH VOZILA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T761012-MODERNIZACIJA ŽELJEZNIČKIH VOZILA</w:t>
            </w:r>
          </w:p>
        </w:tc>
        <w:tc>
          <w:tcPr>
            <w:tcW w:w="2322" w:type="dxa"/>
          </w:tcPr>
          <w:p w:rsidR="00AC0832" w:rsidRDefault="00AC0832">
            <w:pPr>
              <w:pStyle w:val="CellColumn"/>
            </w:pPr>
            <w:r>
              <w:t>54.500.000</w:t>
            </w:r>
          </w:p>
        </w:tc>
        <w:tc>
          <w:tcPr>
            <w:tcW w:w="2322" w:type="dxa"/>
          </w:tcPr>
          <w:p w:rsidR="00AC0832" w:rsidRDefault="00AC0832">
            <w:pPr>
              <w:pStyle w:val="CellColumn"/>
            </w:pPr>
            <w:r>
              <w:t>54.236.105</w:t>
            </w:r>
          </w:p>
        </w:tc>
        <w:tc>
          <w:tcPr>
            <w:tcW w:w="2322" w:type="dxa"/>
          </w:tcPr>
          <w:p w:rsidR="00AC0832" w:rsidRDefault="00AC0832">
            <w:pPr>
              <w:pStyle w:val="CellColumn"/>
            </w:pPr>
            <w:r>
              <w:t>99,5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Proračunska sredstva utrošena su za modernizaciju devet putničkih vagona serije 21-00 brzine vožnje do 120km/h u iznosu od 15.799.894,20 kuna, za razvoj i izradu prototipa dizelelektričnog motornog vlaka za regionalni promet (DMV RP) u iznosu od 1.646.775,00 kuna,  za investicijsko ulaganje novčanih sredstava za obavljanje usluge srednjeg popravka putničkih vagona iznos od 5.053.330,80 kuna, za modernizaciju i redoviti popravak 102 vagona iz serije EAS-z iznos od 10.000.000,00 kuna, za modernizaciju dvije diesel lokomotive, četiri elektro lokomotive i jedan diesel motorni vlak iznos od 12.934.211,87 kuna, a društvu HŽ Cargo d.o.o. prenesen je iznos od 9.500.000,00 kuna.</w:t>
      </w:r>
    </w:p>
    <w:p w:rsidR="00AC0832" w:rsidRDefault="00AC0832">
      <w:pPr>
        <w:pStyle w:val="Heading6"/>
      </w:pPr>
      <w:r>
        <w:t>T810026 IPA IIIA 2007-PRIPREMA PROJEKTNE DOKUMENTACIJE ZA PROJEKT REKONSTRUKCIJA PRUGE HRVATSKI LESKOVAC-KARLOVAC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T810026-IPA IIIA 2007-PRIPREMA PROJEKTNE DOKUMENTACIJE ZA PROJEKT REKONSTRUKCIJA PRUGE HRVATSKI LESKOVAC-KARLOVAC</w:t>
            </w:r>
          </w:p>
        </w:tc>
        <w:tc>
          <w:tcPr>
            <w:tcW w:w="2322" w:type="dxa"/>
          </w:tcPr>
          <w:p w:rsidR="00AC0832" w:rsidRDefault="00AC0832">
            <w:pPr>
              <w:pStyle w:val="CellColumn"/>
            </w:pPr>
            <w:r>
              <w:t>32.850.000</w:t>
            </w:r>
          </w:p>
        </w:tc>
        <w:tc>
          <w:tcPr>
            <w:tcW w:w="2322" w:type="dxa"/>
          </w:tcPr>
          <w:p w:rsidR="00AC0832" w:rsidRDefault="00AC0832">
            <w:pPr>
              <w:pStyle w:val="CellColumn"/>
            </w:pPr>
            <w:r>
              <w:t>24.823.197</w:t>
            </w:r>
          </w:p>
        </w:tc>
        <w:tc>
          <w:tcPr>
            <w:tcW w:w="2322" w:type="dxa"/>
          </w:tcPr>
          <w:p w:rsidR="00AC0832" w:rsidRDefault="00AC0832">
            <w:pPr>
              <w:pStyle w:val="CellColumn"/>
            </w:pPr>
            <w:r>
              <w:t>75,6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Planirana vrijednost ovog IPA projekta bila je 54.750.000.000 kn (protuvrijednost 7,3mil €), a u studenom 2012. god. ugovorena je vrijednost od 41.250.000,00 kn.  U prosincu 2012. god. plaćen je avans od 60 % vrijednosti ugovora, te je preostao iznos od 8 milijuna kuna.</w:t>
      </w:r>
    </w:p>
    <w:p w:rsidR="00AC0832" w:rsidRDefault="00AC0832">
      <w:pPr>
        <w:pStyle w:val="Heading6"/>
      </w:pPr>
      <w:r>
        <w:t>T810027 IPA IIIA 2007-PRIPREMA PROJEKTNE DOKUMENTACIJE ZA PROJEKT IZGRADNJE DRUGOG ŽELJEZNIČKOG KOLOSIJEKA GOLJAK-SKRADNIK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T810027-IPA IIIA 2007-PRIPREMA PROJEKTNE DOKUMENTACIJE ZA PROJEKT IZGRADNJE DRUGOG ŽELJEZNIČKOG KOLOSIJEKA GOLJAK-SKRADNIK</w:t>
            </w:r>
          </w:p>
        </w:tc>
        <w:tc>
          <w:tcPr>
            <w:tcW w:w="2322" w:type="dxa"/>
          </w:tcPr>
          <w:p w:rsidR="00AC0832" w:rsidRDefault="00AC0832">
            <w:pPr>
              <w:pStyle w:val="CellColumn"/>
            </w:pPr>
            <w:r>
              <w:t>48.000.351</w:t>
            </w:r>
          </w:p>
        </w:tc>
        <w:tc>
          <w:tcPr>
            <w:tcW w:w="2322" w:type="dxa"/>
          </w:tcPr>
          <w:p w:rsidR="00AC0832" w:rsidRDefault="00AC0832">
            <w:pPr>
              <w:pStyle w:val="CellColumn"/>
            </w:pPr>
            <w:r>
              <w:t>47.976.022</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Ugovorena vrijednost ovog IPA projekta je 68.250.000,00 kn.  U listopadu 2012. god. plaćen je avans od 60 % vrijednosti ugovora, a sredstva sa osigurana u Državnom proračunu za 2012. godinu utrošena su za razminiranje dijela trase. Sva planirana sredstva za ovaj projekt utrošena su tijekom 2012. godine.</w:t>
      </w:r>
    </w:p>
    <w:p w:rsidR="00AC0832" w:rsidRDefault="00AC0832">
      <w:pPr>
        <w:pStyle w:val="Heading6"/>
      </w:pPr>
      <w:r>
        <w:t>T821028 IPA IIIA 2007-SUSTAV SIGNALNOSIGURNOSNIH UREĐAJA NA ZAGREBAČKOM GLAVNOM KOLODVORU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1"/>
        <w:gridCol w:w="2201"/>
        <w:gridCol w:w="2201"/>
        <w:gridCol w:w="2225"/>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T821028-IPA IIIA 2007-SUSTAV SIGNALNOSIGURNOSNIH UREĐAJA NA ZAGREBAČKOM GLAVNOM KOLODVORU</w:t>
            </w:r>
          </w:p>
        </w:tc>
        <w:tc>
          <w:tcPr>
            <w:tcW w:w="2322" w:type="dxa"/>
          </w:tcPr>
          <w:p w:rsidR="00AC0832" w:rsidRDefault="00AC0832">
            <w:pPr>
              <w:pStyle w:val="CellColumn"/>
            </w:pPr>
            <w:r>
              <w:t>48.671.115</w:t>
            </w:r>
          </w:p>
        </w:tc>
        <w:tc>
          <w:tcPr>
            <w:tcW w:w="2322" w:type="dxa"/>
          </w:tcPr>
          <w:p w:rsidR="00AC0832" w:rsidRDefault="00AC0832">
            <w:pPr>
              <w:pStyle w:val="CellColumn"/>
            </w:pPr>
            <w:r>
              <w:t>37.826.289</w:t>
            </w:r>
          </w:p>
        </w:tc>
        <w:tc>
          <w:tcPr>
            <w:tcW w:w="2322" w:type="dxa"/>
          </w:tcPr>
          <w:p w:rsidR="00AC0832" w:rsidRDefault="00AC0832">
            <w:pPr>
              <w:pStyle w:val="CellColumn"/>
            </w:pPr>
            <w:r>
              <w:t>77,7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Financijski plan za 2012. godinu pripremljen je na temelju plana da će se projekt većim dijelom završiti do kraja 2012. godine. Temeljom tog plana u 2013. godini trebala je biti plaćena samo zadnja rata Ugovora o nadzoru nad radovima. Zbog kašnjenja radova od cca 3 mjeseca nastala je razlika između planiranih sredstava i izvršenih plaćanja. </w:t>
      </w:r>
    </w:p>
    <w:p w:rsidR="00AC0832" w:rsidRDefault="00AC0832">
      <w:pPr>
        <w:pStyle w:val="Normal6"/>
      </w:pPr>
      <w:r>
        <w:t xml:space="preserve">Projekt se odvija kroz 3 ugovora. </w:t>
      </w:r>
    </w:p>
    <w:p w:rsidR="00AC0832" w:rsidRDefault="00AC0832">
      <w:pPr>
        <w:pStyle w:val="Normal6"/>
      </w:pPr>
      <w:r>
        <w:t xml:space="preserve">Ugovor o radovima potpisan je sa konzorcijem Siemens – Elektrokem u vrijednosti 10.371.900,00 €. Do kraja godine završeni su svi građevinski radovi, te je ugrađeno oko 95% potrebne opreme. 5% opreme biti će ugrađeno prije i tijekom perioda zatvaranja za promet zagrebačkog Glavnog kolodvora. Ugovor je trebao biti završen do 02.11.2012 godine, no Dodatkom je produžen do 02.02.2013 godine, odnosno do 31.03.2013. </w:t>
      </w:r>
    </w:p>
    <w:p w:rsidR="00AC0832" w:rsidRDefault="00AC0832">
      <w:pPr>
        <w:pStyle w:val="Normal6"/>
      </w:pPr>
      <w:r>
        <w:t xml:space="preserve">Ugovor o nadzoru nad radovima potpisan je sa tvrtkom Typsa u vrijednost 1.085.500,00 €, a provodi se kontinuirano. Zbog produžetka Ugovora o radovima, i ovaj ugovor je produžen do 31.05.2013.. </w:t>
      </w:r>
    </w:p>
    <w:p w:rsidR="00AC0832" w:rsidRDefault="00AC0832">
      <w:pPr>
        <w:pStyle w:val="Normal6"/>
      </w:pPr>
      <w:r>
        <w:t xml:space="preserve">Ugovor o isporuci roba (Nabava skretnica) potpisan je sa tvrtkom Vossloh u vrijednosti 187.360,00 €. Ugovor je završio, a roba isporučena. Zbog nepravilnosti u isporuci skretnica, nepriznati je trošak od 4.308,00 € refundiran od strane dobavljača. Ugovor o isporuci roba isplaćen je u cijelosti.  </w:t>
      </w:r>
    </w:p>
    <w:p w:rsidR="00AC0832" w:rsidRDefault="00AC0832">
      <w:pPr>
        <w:pStyle w:val="Normal6"/>
      </w:pPr>
      <w:r>
        <w:t>Sredstvima Državnog proračuna RH za 2012. godinu financirani su dodatni troškovi tijekom realizacije projekta u iznosu od 2.650.463026 kn, a  nisu bili predmet osnovnog IPA ugovora.</w:t>
      </w:r>
    </w:p>
    <w:p w:rsidR="00AC0832" w:rsidRDefault="00AC0832">
      <w:pPr>
        <w:pStyle w:val="Heading5"/>
      </w:pPr>
      <w:r>
        <w:t>3103 RAZVOJ I SIGURNOST CESTOVNOG PROMETA I INFRASTRUKTURE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3103-RAZVOJ I SIGURNOST CESTOVNOG PROMETA I INFRASTRUKTURE</w:t>
            </w:r>
          </w:p>
        </w:tc>
        <w:tc>
          <w:tcPr>
            <w:tcW w:w="2322" w:type="dxa"/>
          </w:tcPr>
          <w:p w:rsidR="00AC0832" w:rsidRDefault="00AC0832">
            <w:pPr>
              <w:pStyle w:val="CellColumn"/>
            </w:pPr>
            <w:r>
              <w:t>3.123.971.306</w:t>
            </w:r>
          </w:p>
        </w:tc>
        <w:tc>
          <w:tcPr>
            <w:tcW w:w="2322" w:type="dxa"/>
          </w:tcPr>
          <w:p w:rsidR="00AC0832" w:rsidRDefault="00AC0832">
            <w:pPr>
              <w:pStyle w:val="CellColumn"/>
            </w:pPr>
            <w:r>
              <w:t>3.121.391.791</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6"/>
      </w:pPr>
      <w:r>
        <w:t>Opis programa</w:t>
      </w:r>
    </w:p>
    <w:p w:rsidR="00AC0832" w:rsidRDefault="00AC0832">
      <w:pPr>
        <w:pStyle w:val="Normal5"/>
      </w:pPr>
      <w:r>
        <w:t xml:space="preserve">Zadaća ovog programa je kontinuirani razvoj i sigurnost cestovnog prometa, a ostvaruje se održavanjem stupnja sigurnosti, zaštite i učinkovitosti cestovnog prometa, izgradnjom autocesta i državnih cesta, održavanjem, rekonstrukcijom i modernizacijom javnih cesta u cilju boljeg međuregionalnog povezivanja unutar hrvatskog prostora te bržeg i učinkovitijeg integriranja hrvatske cestovne mreže s europskim glavnim pravcima. Programom se osigurava i inspekcijski nadzor provedbe propisanih mjera sigurnosti u području prometa te se uređuje tržište prijevozničkih usluga u cestovnom prometu, tj. povećava se konkurentnost domaćih cestovnih prijevoznika i sprečava nelegalno obavljanje prijevozničkih usluga. </w:t>
      </w:r>
    </w:p>
    <w:p w:rsidR="00AC0832" w:rsidRDefault="00AC0832">
      <w:pPr>
        <w:pStyle w:val="Normal5"/>
      </w:pPr>
      <w:r>
        <w:t>U Strategiji Vladinih programa za razdoblje 2012.-2014. ovaj je program povezan s Općim ciljem: 5. Ravnomjerni regionalni razvoj, Posebnim ciljem: 5.5. Razvijanje prometnog sustava, a načini ostvarivanja posebnog cilja su: 5.5.1. Razvijena prometna infrastruktura; 5.5.2. Visoka kvaliteta i razvijeno tržište prometnih usluga i 5.5.3. Visoka razina sigurnosti u prometu.</w:t>
      </w:r>
    </w:p>
    <w:p w:rsidR="00AC0832" w:rsidRDefault="00AC0832">
      <w:pPr>
        <w:pStyle w:val="Heading6"/>
      </w:pPr>
      <w:r>
        <w:t>Zakonske i druge pravne osnove</w:t>
      </w:r>
    </w:p>
    <w:p w:rsidR="00AC0832" w:rsidRDefault="00AC0832">
      <w:pPr>
        <w:pStyle w:val="Normal5"/>
      </w:pPr>
      <w:r>
        <w:t xml:space="preserve">Zakon o prijevozu u cestovnom prometu (NN 178/04, 48/05, 111/06, 63/08, 124/09, 91/10, 112/10), </w:t>
      </w:r>
    </w:p>
    <w:p w:rsidR="00AC0832" w:rsidRDefault="00AC0832">
      <w:pPr>
        <w:pStyle w:val="Normal5"/>
      </w:pPr>
      <w:r>
        <w:t xml:space="preserve">Zakon o prijevozu opasnih tvari (NN 79/07), </w:t>
      </w:r>
    </w:p>
    <w:p w:rsidR="00AC0832" w:rsidRDefault="00AC0832">
      <w:pPr>
        <w:pStyle w:val="Normal5"/>
      </w:pPr>
      <w:r>
        <w:t xml:space="preserve">Zakon o inspekciji cestovnog prometa i cesta (NN 77/09), </w:t>
      </w:r>
    </w:p>
    <w:p w:rsidR="00AC0832" w:rsidRDefault="00AC0832">
      <w:pPr>
        <w:pStyle w:val="Normal5"/>
      </w:pPr>
      <w:r>
        <w:t xml:space="preserve">Zakon o radnom vremenu, obveznim odmorima mobilnih radnika i uređajima za bilježenje o cestovnom prijevozu (NN 60/08), </w:t>
      </w:r>
    </w:p>
    <w:p w:rsidR="00AC0832" w:rsidRDefault="00AC0832">
      <w:pPr>
        <w:pStyle w:val="Normal5"/>
      </w:pPr>
      <w:r>
        <w:t xml:space="preserve">Zakon o sigurnosti prometa na cestama (NN 67/08), </w:t>
      </w:r>
    </w:p>
    <w:p w:rsidR="00AC0832" w:rsidRDefault="00AC0832">
      <w:pPr>
        <w:pStyle w:val="Normal5"/>
      </w:pPr>
      <w:r>
        <w:t xml:space="preserve">Program građenja i održavanja javnih cesta za razdoblje 2009.-2012.godine (NN 147/09), </w:t>
      </w:r>
    </w:p>
    <w:p w:rsidR="00AC0832" w:rsidRDefault="00AC0832">
      <w:pPr>
        <w:pStyle w:val="Normal5"/>
      </w:pPr>
      <w:r>
        <w:t xml:space="preserve">Strategija održivog razvitka Republike Hrvatske (NN 30/09), </w:t>
      </w:r>
    </w:p>
    <w:p w:rsidR="00AC0832" w:rsidRDefault="00AC0832">
      <w:pPr>
        <w:pStyle w:val="Normal5"/>
      </w:pPr>
      <w:r>
        <w:t xml:space="preserve">Zakon o javnim cestama (NN 180/04, 82/06; 138/06; 146/08; 38/09, 73/10), </w:t>
      </w:r>
    </w:p>
    <w:p w:rsidR="00AC0832" w:rsidRDefault="00AC0832">
      <w:pPr>
        <w:pStyle w:val="Normal5"/>
      </w:pPr>
      <w:r>
        <w:t xml:space="preserve">Zakon o cestama (NN 84/11), </w:t>
      </w:r>
    </w:p>
    <w:p w:rsidR="00AC0832" w:rsidRDefault="00AC0832">
      <w:pPr>
        <w:pStyle w:val="Normal5"/>
      </w:pPr>
      <w:r>
        <w:t xml:space="preserve">Ugovor  o  koncesiji  za  financiranje,  građenje,  upravljanje  i  održavanje  "Jadranske autoceste" dionica: Dragonja-Pula i Kanfanar-Pazin-Matulji (Prva i druga faza), sklopljen 25. rujna 1995. godine, zadnje izmjene ugovor br. 4, od 25. kolovoza 2008. </w:t>
      </w:r>
    </w:p>
    <w:p w:rsidR="00AC0832" w:rsidRDefault="00AC0832">
      <w:pPr>
        <w:pStyle w:val="Normal5"/>
      </w:pPr>
      <w:r>
        <w:t xml:space="preserve">Ugovor o Koncesiji između Republike Hrvatske i Autoceste Zagreb-Macelj od 11. srpnja 2003. godine, zadnje izmjene (treće izmjene) od 30. lipnja 2008. godine, </w:t>
      </w:r>
    </w:p>
    <w:p w:rsidR="00AC0832" w:rsidRDefault="00AC0832">
      <w:pPr>
        <w:pStyle w:val="Normal5"/>
      </w:pPr>
      <w:r>
        <w:t>Ugovor o koncesiji za građenje i gospodarenje autocestom Rijeka-Zagreb, potpisan 28. lipnja 1998. godine, zadnje izmjene (IV izmjene), potpisane 23. kolovoza 2007. godine.</w:t>
      </w:r>
    </w:p>
    <w:p w:rsidR="00AC0832" w:rsidRDefault="00AC0832">
      <w:pPr>
        <w:pStyle w:val="Heading7"/>
      </w:pPr>
      <w:r>
        <w:t>Cilj 1. Povećanje izgrađenosti autocesta na važnim europskim koridorima u Hrvatskoj</w:t>
      </w:r>
    </w:p>
    <w:p w:rsidR="00AC0832" w:rsidRDefault="00AC0832">
      <w:pPr>
        <w:pStyle w:val="Heading8"/>
        <w:jc w:val="left"/>
      </w:pPr>
      <w:r>
        <w:t>Opis provedbe cilja programa</w:t>
      </w:r>
    </w:p>
    <w:p w:rsidR="00AC0832" w:rsidRDefault="00AC0832">
      <w:pPr>
        <w:pStyle w:val="Normal6"/>
      </w:pPr>
      <w:r>
        <w:t xml:space="preserve">Planom građenja Hrvatskih autocesta d.o.o. za 2012. godinu bili su  predviđeni radovi na sljedećim pravcima autocesta na važnim europskim koridorima: </w:t>
      </w:r>
    </w:p>
    <w:p w:rsidR="00AC0832" w:rsidRDefault="00AC0832">
      <w:pPr>
        <w:pStyle w:val="Normal6"/>
      </w:pPr>
      <w:r>
        <w:t xml:space="preserve">-Na pravcu Granica R. Mađarske - Beli Manastir - Osijek, koji je sastavni dio Vc koridora, u skladu s planom, odvijale su se pripremne aktivnosti  na dionici Osijek - Beli Manastir te na izgradnji mosta Drava koja se financira iz dugoročnog kredita njemačke razvojne banke KfW. Također su se odvijali radovi na izgradnji dionice Sredanci - granica BiH što se financira dugoročnim kreditima EIB-a i EBRD-a. </w:t>
      </w:r>
    </w:p>
    <w:p w:rsidR="00AC0832" w:rsidRDefault="00AC0832">
      <w:pPr>
        <w:pStyle w:val="Normal6"/>
      </w:pPr>
      <w:r>
        <w:t xml:space="preserve">-Radovi izgradnje na pravcu Granica BiH - Metković - čvor Ploče ( južni dio Vc koridora) također su financirani iz dugoročnih kredita EIB-a i EBRD-a. U 2012. bio je planiran doršetak izgradnje platoa graničnog prijelaza Metković i spoja na državnu cestu D62 duljine 1,5 km. Dovršetak i puštanje u promet nije realizirano prema planu zbog produženog postupka javne nabave odnosno ugovaranja radova. Završetak ove dionice planiran je u 2013. godini. </w:t>
      </w:r>
    </w:p>
    <w:p w:rsidR="00AC0832" w:rsidRDefault="00AC0832">
      <w:pPr>
        <w:pStyle w:val="Normal6"/>
      </w:pPr>
      <w:r>
        <w:t>-Na pravcu Bregana - Zagreb - Lipovac koji je sastavni dio koridora  X odvijali su se planirani radovi na izgradnji novog cestarinskog prolaza Ivanja Reka i novog čvora "IKEA".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3"/>
        <w:gridCol w:w="1395"/>
        <w:gridCol w:w="1248"/>
        <w:gridCol w:w="1267"/>
        <w:gridCol w:w="1262"/>
        <w:gridCol w:w="1267"/>
        <w:gridCol w:w="127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novoizgrađenih autocesta</w:t>
            </w:r>
          </w:p>
        </w:tc>
        <w:tc>
          <w:tcPr>
            <w:tcW w:w="1300" w:type="dxa"/>
          </w:tcPr>
          <w:p w:rsidR="00AC0832" w:rsidRDefault="00AC0832">
            <w:pPr>
              <w:pStyle w:val="CellColumn"/>
            </w:pPr>
            <w:r>
              <w:t>Boljom prometnom povezanošću omogućit će se brži gospodarski razvoj</w:t>
            </w:r>
          </w:p>
        </w:tc>
        <w:tc>
          <w:tcPr>
            <w:tcW w:w="1300" w:type="dxa"/>
          </w:tcPr>
          <w:p w:rsidR="00AC0832" w:rsidRDefault="00AC0832">
            <w:pPr>
              <w:pStyle w:val="CellColumn"/>
            </w:pPr>
            <w:r>
              <w:t>km</w:t>
            </w:r>
          </w:p>
        </w:tc>
        <w:tc>
          <w:tcPr>
            <w:tcW w:w="1300" w:type="dxa"/>
          </w:tcPr>
          <w:p w:rsidR="00AC0832" w:rsidRDefault="00AC0832">
            <w:pPr>
              <w:pStyle w:val="CellColumn"/>
            </w:pPr>
            <w:r>
              <w:t>858</w:t>
            </w:r>
          </w:p>
        </w:tc>
        <w:tc>
          <w:tcPr>
            <w:tcW w:w="1300" w:type="dxa"/>
          </w:tcPr>
          <w:p w:rsidR="00AC0832" w:rsidRDefault="00AC0832">
            <w:pPr>
              <w:pStyle w:val="CellColumn"/>
            </w:pPr>
            <w:r>
              <w:t>HAC</w:t>
            </w:r>
          </w:p>
        </w:tc>
        <w:tc>
          <w:tcPr>
            <w:tcW w:w="1300" w:type="dxa"/>
          </w:tcPr>
          <w:p w:rsidR="00AC0832" w:rsidRDefault="00AC0832">
            <w:pPr>
              <w:pStyle w:val="CellColumn"/>
            </w:pPr>
            <w:r>
              <w:t>868</w:t>
            </w:r>
          </w:p>
        </w:tc>
        <w:tc>
          <w:tcPr>
            <w:tcW w:w="1300" w:type="dxa"/>
          </w:tcPr>
          <w:p w:rsidR="00AC0832" w:rsidRDefault="00AC0832">
            <w:pPr>
              <w:pStyle w:val="CellColumn"/>
            </w:pPr>
            <w:r>
              <w:t>868</w:t>
            </w:r>
          </w:p>
        </w:tc>
      </w:tr>
    </w:tbl>
    <w:p w:rsidR="00AC0832" w:rsidRDefault="00AC0832">
      <w:pPr>
        <w:jc w:val="left"/>
      </w:pPr>
    </w:p>
    <w:p w:rsidR="00AC0832" w:rsidRDefault="00AC0832">
      <w:pPr>
        <w:pStyle w:val="Heading7"/>
      </w:pPr>
    </w:p>
    <w:p w:rsidR="00AC0832" w:rsidRDefault="00AC0832">
      <w:pPr>
        <w:pStyle w:val="Heading7"/>
      </w:pPr>
    </w:p>
    <w:p w:rsidR="00AC0832" w:rsidRDefault="00AC0832">
      <w:pPr>
        <w:pStyle w:val="Heading7"/>
      </w:pPr>
      <w:r>
        <w:t>Cilj 2. Povećanje izgrađenosti i modernizacija državnih cesta</w:t>
      </w:r>
    </w:p>
    <w:p w:rsidR="00AC0832" w:rsidRDefault="00AC0832">
      <w:pPr>
        <w:pStyle w:val="Heading8"/>
        <w:jc w:val="left"/>
      </w:pPr>
      <w:r>
        <w:t>Opis provedbe cilja programa</w:t>
      </w:r>
    </w:p>
    <w:p w:rsidR="00AC0832" w:rsidRDefault="00AC0832">
      <w:pPr>
        <w:pStyle w:val="Normal6"/>
      </w:pPr>
      <w:r>
        <w:t xml:space="preserve">Stanje izgrađenosti državnih cesta u nadležnosti HC-a s 31.12. 2011. bilo je 6.850,36 km. Ciljanu vrijednost za 2012. godinu od 6.883,74 km državnih cesta HC nije realizirana jer nije dovršena izgradnja dionica Majdan-Jamani-Klis (Grlo), Plano-Kaštel Stari, Sveti Kuzam-Križišće i II. faza Obilaznice Velike Gorice. Završetak radova na ovim dionicama planiran je u 2013. godini. </w:t>
      </w:r>
    </w:p>
    <w:p w:rsidR="00AC0832" w:rsidRDefault="00AC0832">
      <w:pPr>
        <w:pStyle w:val="Normal6"/>
      </w:pPr>
      <w:r>
        <w:t xml:space="preserve">Važno je ukazati na činjenicu da je u NN 44/12 od 18.4.2012. godine donešena Odluka o razvrstavanju javnih cesta kojojm su državne ceste prekategorizirane u ceste skupine nižeg ranga te smo njihovu vrijednost i kilometražu isknjižili iz naših poslovnih knjiga i predali drugim subjektima na upravljanje. Stanje kilometara državnih cesta na dan 18.04.2012. iznosi 6.584,50 km. </w:t>
      </w:r>
    </w:p>
    <w:p w:rsidR="00AC0832" w:rsidRDefault="00AC0832">
      <w:pPr>
        <w:pStyle w:val="Normal6"/>
      </w:pPr>
      <w:r>
        <w:t>Moderniziranost državnih cesta u nadležnosti HC-a s 31.12. 2011.  bila je 783 km. Ciljanu vrijednost za 2012. godinu od 853 km državnih cesta HC je realizirao s 35,3 km izvanrednog održavanja i 46 km na dionicama Turčin-N.Marof, Čvor Sv.Rok, Knin-Biskupija, V.Gorica-Mala Buna, Čvor Zaprešić, a za ostale dionice planiran je završetak u 2013. godini.</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3"/>
        <w:gridCol w:w="1317"/>
        <w:gridCol w:w="1271"/>
        <w:gridCol w:w="1281"/>
        <w:gridCol w:w="1278"/>
        <w:gridCol w:w="1281"/>
        <w:gridCol w:w="128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km novoizgrađenih državnih cesta</w:t>
            </w:r>
          </w:p>
        </w:tc>
        <w:tc>
          <w:tcPr>
            <w:tcW w:w="1300" w:type="dxa"/>
          </w:tcPr>
          <w:p w:rsidR="00AC0832" w:rsidRDefault="00AC0832">
            <w:pPr>
              <w:pStyle w:val="CellColumn"/>
            </w:pPr>
            <w:r>
              <w:t xml:space="preserve">Povećanjem broja km </w:t>
            </w:r>
          </w:p>
          <w:p w:rsidR="00AC0832" w:rsidRDefault="00AC0832">
            <w:pPr>
              <w:pStyle w:val="CellColumn"/>
            </w:pPr>
            <w:r>
              <w:t xml:space="preserve">novoizgrađe </w:t>
            </w:r>
          </w:p>
          <w:p w:rsidR="00AC0832" w:rsidRDefault="00AC0832">
            <w:pPr>
              <w:pStyle w:val="CellColumn"/>
            </w:pPr>
            <w:r>
              <w:t xml:space="preserve">nih državnih </w:t>
            </w:r>
          </w:p>
          <w:p w:rsidR="00AC0832" w:rsidRDefault="00AC0832">
            <w:pPr>
              <w:pStyle w:val="CellColumn"/>
            </w:pPr>
            <w:r>
              <w:t xml:space="preserve">cesta </w:t>
            </w:r>
          </w:p>
          <w:p w:rsidR="00AC0832" w:rsidRDefault="00AC0832">
            <w:pPr>
              <w:pStyle w:val="CellColumn"/>
            </w:pPr>
            <w:r>
              <w:t xml:space="preserve">značajno će </w:t>
            </w:r>
          </w:p>
          <w:p w:rsidR="00AC0832" w:rsidRDefault="00AC0832">
            <w:pPr>
              <w:pStyle w:val="CellColumn"/>
            </w:pPr>
            <w:r>
              <w:t xml:space="preserve">se </w:t>
            </w:r>
          </w:p>
          <w:p w:rsidR="00AC0832" w:rsidRDefault="00AC0832">
            <w:pPr>
              <w:pStyle w:val="CellColumn"/>
            </w:pPr>
            <w:r>
              <w:t xml:space="preserve">poboljšati </w:t>
            </w:r>
          </w:p>
          <w:p w:rsidR="00AC0832" w:rsidRDefault="00AC0832">
            <w:pPr>
              <w:pStyle w:val="CellColumn"/>
            </w:pPr>
            <w:r>
              <w:t xml:space="preserve">prometna </w:t>
            </w:r>
          </w:p>
          <w:p w:rsidR="00AC0832" w:rsidRDefault="00AC0832">
            <w:pPr>
              <w:pStyle w:val="CellColumn"/>
            </w:pPr>
            <w:r>
              <w:t xml:space="preserve">povezanost </w:t>
            </w:r>
          </w:p>
          <w:p w:rsidR="00AC0832" w:rsidRDefault="00AC0832">
            <w:pPr>
              <w:pStyle w:val="CellColumn"/>
            </w:pPr>
            <w:r>
              <w:t xml:space="preserve">koja je </w:t>
            </w:r>
          </w:p>
          <w:p w:rsidR="00AC0832" w:rsidRDefault="00AC0832">
            <w:pPr>
              <w:pStyle w:val="CellColumn"/>
            </w:pPr>
            <w:r>
              <w:t xml:space="preserve">preduvijet </w:t>
            </w:r>
          </w:p>
          <w:p w:rsidR="00AC0832" w:rsidRDefault="00AC0832">
            <w:pPr>
              <w:pStyle w:val="CellColumn"/>
            </w:pPr>
            <w:r>
              <w:t xml:space="preserve">za veći </w:t>
            </w:r>
          </w:p>
          <w:p w:rsidR="00AC0832" w:rsidRDefault="00AC0832">
            <w:pPr>
              <w:pStyle w:val="CellColumn"/>
            </w:pPr>
            <w:r>
              <w:t xml:space="preserve">gospodarski </w:t>
            </w:r>
          </w:p>
          <w:p w:rsidR="00AC0832" w:rsidRDefault="00AC0832">
            <w:pPr>
              <w:pStyle w:val="CellColumn"/>
            </w:pPr>
            <w:r>
              <w:t>razvoj</w:t>
            </w:r>
          </w:p>
        </w:tc>
        <w:tc>
          <w:tcPr>
            <w:tcW w:w="1300" w:type="dxa"/>
          </w:tcPr>
          <w:p w:rsidR="00AC0832" w:rsidRDefault="00AC0832">
            <w:pPr>
              <w:pStyle w:val="CellColumn"/>
            </w:pPr>
            <w:r>
              <w:t>km</w:t>
            </w:r>
          </w:p>
        </w:tc>
        <w:tc>
          <w:tcPr>
            <w:tcW w:w="1300" w:type="dxa"/>
          </w:tcPr>
          <w:p w:rsidR="00AC0832" w:rsidRDefault="00AC0832">
            <w:pPr>
              <w:pStyle w:val="CellColumn"/>
            </w:pPr>
            <w:r>
              <w:t>6.850,36</w:t>
            </w:r>
          </w:p>
        </w:tc>
        <w:tc>
          <w:tcPr>
            <w:tcW w:w="1300" w:type="dxa"/>
          </w:tcPr>
          <w:p w:rsidR="00AC0832" w:rsidRDefault="00AC0832">
            <w:pPr>
              <w:pStyle w:val="CellColumn"/>
            </w:pPr>
            <w:r>
              <w:t>HC</w:t>
            </w:r>
          </w:p>
        </w:tc>
        <w:tc>
          <w:tcPr>
            <w:tcW w:w="1300" w:type="dxa"/>
          </w:tcPr>
          <w:p w:rsidR="00AC0832" w:rsidRDefault="00AC0832">
            <w:pPr>
              <w:pStyle w:val="CellColumn"/>
            </w:pPr>
            <w:r>
              <w:t>6.883,74</w:t>
            </w:r>
          </w:p>
        </w:tc>
        <w:tc>
          <w:tcPr>
            <w:tcW w:w="1300" w:type="dxa"/>
          </w:tcPr>
          <w:p w:rsidR="00AC0832" w:rsidRDefault="00AC0832">
            <w:pPr>
              <w:pStyle w:val="CellColumn"/>
            </w:pPr>
            <w:r>
              <w:t>6584,50</w:t>
            </w:r>
          </w:p>
        </w:tc>
      </w:tr>
      <w:tr w:rsidR="00AC0832" w:rsidTr="00BE20ED">
        <w:trPr>
          <w:jc w:val="center"/>
        </w:trPr>
        <w:tc>
          <w:tcPr>
            <w:tcW w:w="1300" w:type="dxa"/>
          </w:tcPr>
          <w:p w:rsidR="00AC0832" w:rsidRDefault="00AC0832">
            <w:pPr>
              <w:pStyle w:val="CellColumn"/>
            </w:pPr>
            <w:r>
              <w:t>Povećanje broja   km moderniziranih državnih cesta</w:t>
            </w:r>
          </w:p>
        </w:tc>
        <w:tc>
          <w:tcPr>
            <w:tcW w:w="1300" w:type="dxa"/>
          </w:tcPr>
          <w:p w:rsidR="00AC0832" w:rsidRDefault="00AC0832">
            <w:pPr>
              <w:pStyle w:val="CellColumn"/>
            </w:pPr>
            <w:r>
              <w:t xml:space="preserve">Povećanjem </w:t>
            </w:r>
          </w:p>
          <w:p w:rsidR="00AC0832" w:rsidRDefault="00AC0832">
            <w:pPr>
              <w:pStyle w:val="CellColumn"/>
            </w:pPr>
            <w:r>
              <w:t xml:space="preserve">broja km </w:t>
            </w:r>
          </w:p>
          <w:p w:rsidR="00AC0832" w:rsidRDefault="00AC0832">
            <w:pPr>
              <w:pStyle w:val="CellColumn"/>
            </w:pPr>
            <w:r>
              <w:t xml:space="preserve">modernizira </w:t>
            </w:r>
          </w:p>
          <w:p w:rsidR="00AC0832" w:rsidRDefault="00AC0832">
            <w:pPr>
              <w:pStyle w:val="CellColumn"/>
            </w:pPr>
            <w:r>
              <w:t xml:space="preserve">nih državnih </w:t>
            </w:r>
          </w:p>
          <w:p w:rsidR="00AC0832" w:rsidRDefault="00AC0832">
            <w:pPr>
              <w:pStyle w:val="CellColumn"/>
            </w:pPr>
            <w:r>
              <w:t xml:space="preserve">cesta </w:t>
            </w:r>
          </w:p>
          <w:p w:rsidR="00AC0832" w:rsidRDefault="00AC0832">
            <w:pPr>
              <w:pStyle w:val="CellColumn"/>
            </w:pPr>
            <w:r>
              <w:t xml:space="preserve">značajno će </w:t>
            </w:r>
          </w:p>
          <w:p w:rsidR="00AC0832" w:rsidRDefault="00AC0832">
            <w:pPr>
              <w:pStyle w:val="CellColumn"/>
            </w:pPr>
            <w:r>
              <w:t xml:space="preserve">se </w:t>
            </w:r>
          </w:p>
          <w:p w:rsidR="00AC0832" w:rsidRDefault="00AC0832">
            <w:pPr>
              <w:pStyle w:val="CellColumn"/>
            </w:pPr>
            <w:r>
              <w:t xml:space="preserve">poboljšati </w:t>
            </w:r>
          </w:p>
          <w:p w:rsidR="00AC0832" w:rsidRDefault="00AC0832">
            <w:pPr>
              <w:pStyle w:val="CellColumn"/>
            </w:pPr>
            <w:r>
              <w:t xml:space="preserve">sigurnost </w:t>
            </w:r>
          </w:p>
          <w:p w:rsidR="00AC0832" w:rsidRDefault="00AC0832">
            <w:pPr>
              <w:pStyle w:val="CellColumn"/>
            </w:pPr>
            <w:r>
              <w:t xml:space="preserve">cestovnog </w:t>
            </w:r>
          </w:p>
          <w:p w:rsidR="00AC0832" w:rsidRDefault="00AC0832">
            <w:pPr>
              <w:pStyle w:val="CellColumn"/>
            </w:pPr>
            <w:r>
              <w:t>prometa</w:t>
            </w:r>
          </w:p>
        </w:tc>
        <w:tc>
          <w:tcPr>
            <w:tcW w:w="1300" w:type="dxa"/>
          </w:tcPr>
          <w:p w:rsidR="00AC0832" w:rsidRDefault="00AC0832">
            <w:pPr>
              <w:pStyle w:val="CellColumn"/>
            </w:pPr>
            <w:r>
              <w:t>km</w:t>
            </w:r>
          </w:p>
        </w:tc>
        <w:tc>
          <w:tcPr>
            <w:tcW w:w="1300" w:type="dxa"/>
          </w:tcPr>
          <w:p w:rsidR="00AC0832" w:rsidRDefault="00AC0832">
            <w:pPr>
              <w:pStyle w:val="CellColumn"/>
            </w:pPr>
            <w:r>
              <w:t>783</w:t>
            </w:r>
          </w:p>
        </w:tc>
        <w:tc>
          <w:tcPr>
            <w:tcW w:w="1300" w:type="dxa"/>
          </w:tcPr>
          <w:p w:rsidR="00AC0832" w:rsidRDefault="00AC0832">
            <w:pPr>
              <w:pStyle w:val="CellColumn"/>
            </w:pPr>
            <w:r>
              <w:t>HC</w:t>
            </w:r>
          </w:p>
        </w:tc>
        <w:tc>
          <w:tcPr>
            <w:tcW w:w="1300" w:type="dxa"/>
          </w:tcPr>
          <w:p w:rsidR="00AC0832" w:rsidRDefault="00AC0832">
            <w:pPr>
              <w:pStyle w:val="CellColumn"/>
            </w:pPr>
            <w:r>
              <w:t>853</w:t>
            </w:r>
          </w:p>
        </w:tc>
        <w:tc>
          <w:tcPr>
            <w:tcW w:w="1300" w:type="dxa"/>
          </w:tcPr>
          <w:p w:rsidR="00AC0832" w:rsidRDefault="00AC0832">
            <w:pPr>
              <w:pStyle w:val="CellColumn"/>
            </w:pPr>
            <w:r>
              <w:t>864,30</w:t>
            </w:r>
          </w:p>
        </w:tc>
      </w:tr>
    </w:tbl>
    <w:p w:rsidR="00AC0832" w:rsidRDefault="00AC0832">
      <w:pPr>
        <w:jc w:val="left"/>
      </w:pPr>
    </w:p>
    <w:p w:rsidR="00AC0832" w:rsidRDefault="00AC0832">
      <w:pPr>
        <w:pStyle w:val="Heading6"/>
      </w:pPr>
      <w:r>
        <w:t>A570504 NAKNADA U CIJENI GORIVA ZA HAC D.O.O.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A570504-NAKNADA U CIJENI GORIVA ZA HAC D.O.O.</w:t>
            </w:r>
          </w:p>
        </w:tc>
        <w:tc>
          <w:tcPr>
            <w:tcW w:w="2322" w:type="dxa"/>
          </w:tcPr>
          <w:p w:rsidR="00AC0832" w:rsidRDefault="00AC0832">
            <w:pPr>
              <w:pStyle w:val="CellColumn"/>
            </w:pPr>
            <w:r>
              <w:t>1.395.400.000</w:t>
            </w:r>
          </w:p>
        </w:tc>
        <w:tc>
          <w:tcPr>
            <w:tcW w:w="2322" w:type="dxa"/>
          </w:tcPr>
          <w:p w:rsidR="00AC0832" w:rsidRDefault="00AC0832">
            <w:pPr>
              <w:pStyle w:val="CellColumn"/>
            </w:pPr>
            <w:r>
              <w:t>1.395.400.000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Proračunska sredstva u cijelosti su utrošena za podmirenje obveza po kreditima kojima se financira građenje autocesta, sukladno Članku 94. Zakona o cestama (NN 84/11). Investicijska ulaganja u autoceste HAC je financirao kreditima banaka. Stanje izgrađenosti autocesta u nadležnosti HAC-a s 31.12. 2011. bilo je 868 km. Ciljanu vrijednost za 2012. godinu od 869,5 km autocesta HAC nije realizirao jer nije dovršena izgradnja dionice Granica BiH - spoj Metković duljine 1,5 km zbog produženog postupka javne nabave. Završetak ove dionice planiran je u 2013. godini.</w:t>
      </w:r>
    </w:p>
    <w:p w:rsidR="00AC0832" w:rsidRDefault="00AC0832">
      <w:pPr>
        <w:pStyle w:val="Heading6"/>
      </w:pPr>
      <w:r>
        <w:t>A570506 NAKNADA U CIJENI GORIVA ZA HC D.O.O.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A570506-NAKNADA U CIJENI GORIVA ZA HC D.O.O.</w:t>
            </w:r>
          </w:p>
        </w:tc>
        <w:tc>
          <w:tcPr>
            <w:tcW w:w="2322" w:type="dxa"/>
          </w:tcPr>
          <w:p w:rsidR="00AC0832" w:rsidRDefault="00AC0832">
            <w:pPr>
              <w:pStyle w:val="CellColumn"/>
            </w:pPr>
            <w:r>
              <w:t>1.395.400.000</w:t>
            </w:r>
          </w:p>
        </w:tc>
        <w:tc>
          <w:tcPr>
            <w:tcW w:w="2322" w:type="dxa"/>
          </w:tcPr>
          <w:p w:rsidR="00AC0832" w:rsidRDefault="00AC0832">
            <w:pPr>
              <w:pStyle w:val="CellColumn"/>
            </w:pPr>
            <w:r>
              <w:t>1.395.400.000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Proračunska sredstva utrošena su za programe građenje državnih cesta, program Betterment, redovno i izvanredno održavanje državnih cesta te za podmirenje obveza po kreditima kojima se financira građenje državnih cesta, sukladno Članku 94. Zakona o cestama (NN 84/11).</w:t>
      </w:r>
    </w:p>
    <w:p w:rsidR="00AC0832" w:rsidRDefault="00AC0832">
      <w:pPr>
        <w:pStyle w:val="Heading6"/>
      </w:pPr>
    </w:p>
    <w:p w:rsidR="00AC0832" w:rsidRDefault="00AC0832">
      <w:pPr>
        <w:pStyle w:val="Heading6"/>
      </w:pPr>
    </w:p>
    <w:p w:rsidR="00AC0832" w:rsidRDefault="00AC0832">
      <w:pPr>
        <w:pStyle w:val="Heading6"/>
      </w:pPr>
    </w:p>
    <w:p w:rsidR="00AC0832" w:rsidRDefault="00AC0832">
      <w:pPr>
        <w:pStyle w:val="Heading6"/>
      </w:pPr>
      <w:r>
        <w:t>A810020 VOĐENJE JEDINSTVENOG REGISTRA PRIJEVOZNIKA U DOMAĆEM CESTOVNOM PRIJEVOZU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1476"/>
        <w:gridCol w:w="2322"/>
        <w:gridCol w:w="2322"/>
      </w:tblGrid>
      <w:tr w:rsidR="00AC0832" w:rsidTr="007173C2">
        <w:trPr>
          <w:jc w:val="center"/>
        </w:trPr>
        <w:tc>
          <w:tcPr>
            <w:tcW w:w="3168" w:type="dxa"/>
            <w:shd w:val="clear" w:color="auto" w:fill="B5C0D8"/>
          </w:tcPr>
          <w:p w:rsidR="00AC0832" w:rsidRDefault="00AC0832">
            <w:pPr>
              <w:pStyle w:val="CellHeader"/>
            </w:pPr>
            <w:r>
              <w:t>Naziv aktivnosti</w:t>
            </w:r>
          </w:p>
        </w:tc>
        <w:tc>
          <w:tcPr>
            <w:tcW w:w="1476"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7173C2">
        <w:trPr>
          <w:jc w:val="center"/>
        </w:trPr>
        <w:tc>
          <w:tcPr>
            <w:tcW w:w="3168" w:type="dxa"/>
          </w:tcPr>
          <w:p w:rsidR="00AC0832" w:rsidRDefault="00AC0832">
            <w:pPr>
              <w:pStyle w:val="CellColumn"/>
            </w:pPr>
            <w:r>
              <w:t>A810020-VOĐENJE JEDINSTVENOG REGISTRA PRIJEVOZNIKA U DOMAĆEM CESTOVNOM PRIJEVOZU</w:t>
            </w:r>
          </w:p>
        </w:tc>
        <w:tc>
          <w:tcPr>
            <w:tcW w:w="1476" w:type="dxa"/>
          </w:tcPr>
          <w:p w:rsidR="00AC0832" w:rsidRDefault="00AC0832">
            <w:pPr>
              <w:pStyle w:val="CellColumn"/>
            </w:pPr>
            <w:r>
              <w:t>174.000</w:t>
            </w:r>
          </w:p>
        </w:tc>
        <w:tc>
          <w:tcPr>
            <w:tcW w:w="2322" w:type="dxa"/>
          </w:tcPr>
          <w:p w:rsidR="00AC0832" w:rsidRDefault="00AC0832">
            <w:pPr>
              <w:pStyle w:val="CellColumn"/>
            </w:pPr>
            <w:r>
              <w:t>172.490</w:t>
            </w:r>
          </w:p>
        </w:tc>
        <w:tc>
          <w:tcPr>
            <w:tcW w:w="2322" w:type="dxa"/>
          </w:tcPr>
          <w:p w:rsidR="00AC0832" w:rsidRDefault="00AC0832">
            <w:pPr>
              <w:pStyle w:val="CellColumn"/>
            </w:pPr>
            <w:r>
              <w:t>99,1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Sredstva su utrošena na zadnju fazu izrade Registra cestovnih prijevoznika, odnosno na pojačano održavanje aplikacijske opreme nakon produkcijskog početka.  </w:t>
      </w:r>
    </w:p>
    <w:p w:rsidR="00AC0832" w:rsidRDefault="00AC0832">
      <w:pPr>
        <w:pStyle w:val="Normal6"/>
      </w:pPr>
      <w:r>
        <w:t xml:space="preserve">Navedenom aktivnošću u potpunosti su postignuti zacrtani ciljevi, uspostavljena je elektronička evidencija podataka o izdanim licencijama za unutarnji i međunarodni cestovni prijevoz, te je omogućeno svim uredima državnih uprava u županijama i Gradu Zagrebu spajanje putem interneta na aplikacijski server. </w:t>
      </w:r>
    </w:p>
    <w:p w:rsidR="00AC0832" w:rsidRDefault="00AC0832">
      <w:pPr>
        <w:pStyle w:val="Normal6"/>
      </w:pPr>
      <w:r>
        <w:t>U provedbi aktivnosti nisu uočene nikakve nepravilnosti.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0"/>
        <w:gridCol w:w="1450"/>
        <w:gridCol w:w="1298"/>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Stupanj izrađenosti jedinstvenog registra prijevoznika</w:t>
            </w:r>
          </w:p>
        </w:tc>
        <w:tc>
          <w:tcPr>
            <w:tcW w:w="1300" w:type="dxa"/>
          </w:tcPr>
          <w:p w:rsidR="00AC0832" w:rsidRDefault="00AC0832">
            <w:pPr>
              <w:pStyle w:val="CellColumn"/>
            </w:pPr>
            <w:r>
              <w:t>Registar prijevoznika je jedinstvena nacionalna evidencija prijevoznika koju u elektroničkom obliku vodi Ministarstvo</w:t>
            </w:r>
          </w:p>
        </w:tc>
        <w:tc>
          <w:tcPr>
            <w:tcW w:w="1300" w:type="dxa"/>
          </w:tcPr>
          <w:p w:rsidR="00AC0832" w:rsidRDefault="00AC0832">
            <w:pPr>
              <w:pStyle w:val="CellColumn"/>
            </w:pPr>
            <w:r>
              <w:t>%</w:t>
            </w:r>
          </w:p>
        </w:tc>
        <w:tc>
          <w:tcPr>
            <w:tcW w:w="1300" w:type="dxa"/>
          </w:tcPr>
          <w:p w:rsidR="00AC0832" w:rsidRDefault="00AC0832">
            <w:pPr>
              <w:pStyle w:val="CellColumn"/>
            </w:pPr>
            <w:r>
              <w:t>40</w:t>
            </w:r>
          </w:p>
        </w:tc>
        <w:tc>
          <w:tcPr>
            <w:tcW w:w="1300" w:type="dxa"/>
          </w:tcPr>
          <w:p w:rsidR="00AC0832" w:rsidRDefault="00AC0832">
            <w:pPr>
              <w:pStyle w:val="CellColumn"/>
            </w:pPr>
            <w:r>
              <w:t>MPPI</w:t>
            </w:r>
          </w:p>
        </w:tc>
        <w:tc>
          <w:tcPr>
            <w:tcW w:w="1300" w:type="dxa"/>
          </w:tcPr>
          <w:p w:rsidR="00AC0832" w:rsidRDefault="00AC0832">
            <w:pPr>
              <w:pStyle w:val="CellColumn"/>
            </w:pPr>
            <w:r>
              <w:t>100</w:t>
            </w:r>
          </w:p>
        </w:tc>
        <w:tc>
          <w:tcPr>
            <w:tcW w:w="1300" w:type="dxa"/>
          </w:tcPr>
          <w:p w:rsidR="00AC0832" w:rsidRDefault="00AC0832">
            <w:pPr>
              <w:pStyle w:val="CellColumn"/>
            </w:pPr>
            <w:r>
              <w:t>100</w:t>
            </w:r>
          </w:p>
        </w:tc>
      </w:tr>
    </w:tbl>
    <w:p w:rsidR="00AC0832" w:rsidRDefault="00AC0832">
      <w:pPr>
        <w:jc w:val="left"/>
      </w:pPr>
    </w:p>
    <w:p w:rsidR="00AC0832" w:rsidRDefault="00AC0832">
      <w:pPr>
        <w:pStyle w:val="Heading6"/>
      </w:pPr>
      <w:r>
        <w:t>A819031 PROVEDBA UGOVORA O KONCESIJI - BINA-ISTRA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A819031-PROVEDBA UGOVORA O KONCESIJI - BINA-ISTRA</w:t>
            </w:r>
          </w:p>
        </w:tc>
        <w:tc>
          <w:tcPr>
            <w:tcW w:w="2322" w:type="dxa"/>
          </w:tcPr>
          <w:p w:rsidR="00AC0832" w:rsidRDefault="00AC0832">
            <w:pPr>
              <w:pStyle w:val="CellColumn"/>
            </w:pPr>
            <w:r>
              <w:t>165.000.000</w:t>
            </w:r>
          </w:p>
        </w:tc>
        <w:tc>
          <w:tcPr>
            <w:tcW w:w="2322" w:type="dxa"/>
          </w:tcPr>
          <w:p w:rsidR="00AC0832" w:rsidRDefault="00AC0832">
            <w:pPr>
              <w:pStyle w:val="CellColumn"/>
            </w:pPr>
            <w:r>
              <w:t>165.000.000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Na temelju Ugovora o izmjenama i dopunama br.4 Ugovora o koncesiji za financiranje, građenje, upravljanje i održavanje „Jadranske autoceste“, dionica Dragonja – Pula i Kanfanar – Pazin – Matulji (prva i druga faza)  od 25. kolovoza 2008. godine, Vlada Republike Hrvatske kao davatelj koncesije ima obvezu plaćanja financijskog doprinosa koncesionaru koji se utvrđuje  sukladno člancima 25.2 i 26.2 poglavlja 5 i članka 6.  dodatka 18. </w:t>
      </w:r>
    </w:p>
    <w:p w:rsidR="00AC0832" w:rsidRDefault="00AC0832">
      <w:pPr>
        <w:pStyle w:val="Normal6"/>
      </w:pPr>
      <w:r>
        <w:t xml:space="preserve">Mehanizmom izračuna financijskog doprinosa svake godine, koncesionar utvrđuje iznos prihoda i rashoda za sljedeću godinu. U slučaju da predviđeni prihodi od cestarina procijenjeni od strane neovisnog prometnog savjetnika nisu dovoljni da pokriju ugovorom definirane fiksne troškove, (trošak upravljanja i održavanja autoceste, izvanredni troškovi održavanja, otplata kredita) u tom slučaju Republika Hrvatska kao davatelj koncesije ima obavezu platiti koncesionaru razliku kroz mjesečno uplaćivanje financijskog doprinosa. Na kraju svake godine, koncesionar izračunava stvarnu razliku između prihoda i troškova te svaki višak vraća davatelju koncesije. Financijski doprinos izravno ovisi o visini prihoda od cestarine. Povećanjem prometa i prihoda od cestarina financijski doprinos se umanjuje. </w:t>
      </w:r>
    </w:p>
    <w:p w:rsidR="00AC0832" w:rsidRDefault="00AC0832">
      <w:pPr>
        <w:pStyle w:val="Normal6"/>
      </w:pPr>
      <w:r>
        <w:t xml:space="preserve">Plaćanje financijskog doprinosa nužno je za uredno funkcioniranje i realizaciju projekta koji nije u mogućnosti samostalno snositi sve troškove poslovanja, redovnog i investicijskog održavanja i otplate kredita. Neizvršavanje ili značajnije kašnjenje izvršavanja preuzetih obaveza moglo bi uzrokovati zahtjevom banaka za trenutnom otplatom  ukupnog kreditnog zaduženje koncesionara stoga je izuzetno važno da se sredstva detaljno planiraju i uredno plaćaju prema koncesionaru. </w:t>
      </w:r>
    </w:p>
    <w:p w:rsidR="00AC0832" w:rsidRDefault="00AC0832">
      <w:pPr>
        <w:pStyle w:val="Normal6"/>
      </w:pPr>
      <w:r>
        <w:t>Ispunjenjem obaveza planiranim za 2012. godinu Republika Hrvatska je doprinijela da koncesionar uspješno izvrši sve planirane radove na investicijskom i redovnom održavanju kao i pripremne radnje za nastavak gradnje punog profila autoceste na dionici od Kanfanara do Matulja.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5"/>
        <w:gridCol w:w="1299"/>
        <w:gridCol w:w="1298"/>
        <w:gridCol w:w="1299"/>
        <w:gridCol w:w="1299"/>
        <w:gridCol w:w="1299"/>
        <w:gridCol w:w="129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Novoizgrađeni km drugog  traka autoceste istarskog ipsilona  u  punom profilu</w:t>
            </w:r>
          </w:p>
        </w:tc>
        <w:tc>
          <w:tcPr>
            <w:tcW w:w="1300" w:type="dxa"/>
          </w:tcPr>
          <w:p w:rsidR="00AC0832" w:rsidRDefault="00AC0832">
            <w:pPr>
              <w:pStyle w:val="CellColumn"/>
            </w:pPr>
            <w:r>
              <w:t xml:space="preserve">Novoizgrađ </w:t>
            </w:r>
          </w:p>
          <w:p w:rsidR="00AC0832" w:rsidRDefault="00AC0832">
            <w:pPr>
              <w:pStyle w:val="CellColumn"/>
            </w:pPr>
            <w:r>
              <w:t xml:space="preserve">ene dionice </w:t>
            </w:r>
          </w:p>
          <w:p w:rsidR="00AC0832" w:rsidRDefault="00AC0832">
            <w:pPr>
              <w:pStyle w:val="CellColumn"/>
            </w:pPr>
            <w:r>
              <w:t xml:space="preserve">drugog </w:t>
            </w:r>
          </w:p>
          <w:p w:rsidR="00AC0832" w:rsidRDefault="00AC0832">
            <w:pPr>
              <w:pStyle w:val="CellColumn"/>
            </w:pPr>
            <w:r>
              <w:t xml:space="preserve">traka </w:t>
            </w:r>
          </w:p>
          <w:p w:rsidR="00AC0832" w:rsidRDefault="00AC0832">
            <w:pPr>
              <w:pStyle w:val="CellColumn"/>
            </w:pPr>
            <w:r>
              <w:t xml:space="preserve">autoceste </w:t>
            </w:r>
          </w:p>
          <w:p w:rsidR="00AC0832" w:rsidRDefault="00AC0832">
            <w:pPr>
              <w:pStyle w:val="CellColumn"/>
            </w:pPr>
            <w:r>
              <w:t xml:space="preserve">istarskog </w:t>
            </w:r>
          </w:p>
          <w:p w:rsidR="00AC0832" w:rsidRDefault="00AC0832">
            <w:pPr>
              <w:pStyle w:val="CellColumn"/>
            </w:pPr>
            <w:r>
              <w:t xml:space="preserve">ipsilona </w:t>
            </w:r>
          </w:p>
          <w:p w:rsidR="00AC0832" w:rsidRDefault="00AC0832">
            <w:pPr>
              <w:pStyle w:val="CellColumn"/>
            </w:pPr>
            <w:r>
              <w:t xml:space="preserve">značajno će </w:t>
            </w:r>
          </w:p>
          <w:p w:rsidR="00AC0832" w:rsidRDefault="00AC0832">
            <w:pPr>
              <w:pStyle w:val="CellColumn"/>
            </w:pPr>
            <w:r>
              <w:t xml:space="preserve">povećati </w:t>
            </w:r>
          </w:p>
          <w:p w:rsidR="00AC0832" w:rsidRDefault="00AC0832">
            <w:pPr>
              <w:pStyle w:val="CellColumn"/>
            </w:pPr>
            <w:r>
              <w:t xml:space="preserve">prometnu </w:t>
            </w:r>
          </w:p>
          <w:p w:rsidR="00AC0832" w:rsidRDefault="00AC0832">
            <w:pPr>
              <w:pStyle w:val="CellColumn"/>
            </w:pPr>
            <w:r>
              <w:t xml:space="preserve">povezanost </w:t>
            </w:r>
          </w:p>
          <w:p w:rsidR="00AC0832" w:rsidRDefault="00AC0832">
            <w:pPr>
              <w:pStyle w:val="CellColumn"/>
            </w:pPr>
            <w:r>
              <w:t xml:space="preserve">i sigurnost </w:t>
            </w:r>
          </w:p>
          <w:p w:rsidR="00AC0832" w:rsidRDefault="00AC0832">
            <w:pPr>
              <w:pStyle w:val="CellColumn"/>
            </w:pPr>
            <w:r>
              <w:t xml:space="preserve">prometa koji </w:t>
            </w:r>
          </w:p>
          <w:p w:rsidR="00AC0832" w:rsidRDefault="00AC0832">
            <w:pPr>
              <w:pStyle w:val="CellColumn"/>
            </w:pPr>
            <w:r>
              <w:t xml:space="preserve">će značajno </w:t>
            </w:r>
          </w:p>
          <w:p w:rsidR="00AC0832" w:rsidRDefault="00AC0832">
            <w:pPr>
              <w:pStyle w:val="CellColumn"/>
            </w:pPr>
            <w:r>
              <w:t xml:space="preserve">doprinjeti </w:t>
            </w:r>
          </w:p>
          <w:p w:rsidR="00AC0832" w:rsidRDefault="00AC0832">
            <w:pPr>
              <w:pStyle w:val="CellColumn"/>
            </w:pPr>
            <w:r>
              <w:t xml:space="preserve">razvoju </w:t>
            </w:r>
          </w:p>
          <w:p w:rsidR="00AC0832" w:rsidRDefault="00AC0832">
            <w:pPr>
              <w:pStyle w:val="CellColumn"/>
            </w:pPr>
            <w:r>
              <w:t xml:space="preserve">turizma u </w:t>
            </w:r>
          </w:p>
          <w:p w:rsidR="00AC0832" w:rsidRDefault="00AC0832">
            <w:pPr>
              <w:pStyle w:val="CellColumn"/>
            </w:pPr>
            <w:r>
              <w:t>Istri</w:t>
            </w:r>
          </w:p>
        </w:tc>
        <w:tc>
          <w:tcPr>
            <w:tcW w:w="1300" w:type="dxa"/>
          </w:tcPr>
          <w:p w:rsidR="00AC0832" w:rsidRDefault="00AC0832">
            <w:pPr>
              <w:pStyle w:val="CellColumn"/>
            </w:pPr>
            <w:r>
              <w:t>km</w:t>
            </w:r>
          </w:p>
        </w:tc>
        <w:tc>
          <w:tcPr>
            <w:tcW w:w="1300" w:type="dxa"/>
          </w:tcPr>
          <w:p w:rsidR="00AC0832" w:rsidRDefault="00AC0832">
            <w:pPr>
              <w:pStyle w:val="CellColumn"/>
            </w:pPr>
            <w:r>
              <w:t>0</w:t>
            </w:r>
          </w:p>
        </w:tc>
        <w:tc>
          <w:tcPr>
            <w:tcW w:w="1300" w:type="dxa"/>
          </w:tcPr>
          <w:p w:rsidR="00AC0832" w:rsidRDefault="00AC0832">
            <w:pPr>
              <w:pStyle w:val="CellColumn"/>
            </w:pPr>
            <w:r>
              <w:t>društvo Bina-Istra</w:t>
            </w:r>
          </w:p>
        </w:tc>
        <w:tc>
          <w:tcPr>
            <w:tcW w:w="1300" w:type="dxa"/>
          </w:tcPr>
          <w:p w:rsidR="00AC0832" w:rsidRDefault="00AC0832">
            <w:pPr>
              <w:pStyle w:val="CellColumn"/>
            </w:pPr>
            <w:r>
              <w:t>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A820029 NAKNADA CESTARINA ZA NATO I EUFOR VOZILA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A820029-NAKNADA CESTARINA ZA NATO I EUFOR VOZILA</w:t>
            </w:r>
          </w:p>
        </w:tc>
        <w:tc>
          <w:tcPr>
            <w:tcW w:w="2322" w:type="dxa"/>
          </w:tcPr>
          <w:p w:rsidR="00AC0832" w:rsidRDefault="00AC0832">
            <w:pPr>
              <w:pStyle w:val="CellColumn"/>
            </w:pPr>
            <w:r>
              <w:t>550.000</w:t>
            </w:r>
          </w:p>
        </w:tc>
        <w:tc>
          <w:tcPr>
            <w:tcW w:w="2322" w:type="dxa"/>
          </w:tcPr>
          <w:p w:rsidR="00AC0832" w:rsidRDefault="00AC0832">
            <w:pPr>
              <w:pStyle w:val="CellColumn"/>
            </w:pPr>
            <w:r>
              <w:t>535.246</w:t>
            </w:r>
          </w:p>
        </w:tc>
        <w:tc>
          <w:tcPr>
            <w:tcW w:w="2322" w:type="dxa"/>
          </w:tcPr>
          <w:p w:rsidR="00AC0832" w:rsidRDefault="00AC0832">
            <w:pPr>
              <w:pStyle w:val="CellColumn"/>
            </w:pPr>
            <w:r>
              <w:t>97,3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Sredstva planirana na ovoj aktivnosti predstavljaju planirani trošak nenaplaćene cestarine EUFOR i NATO vozila, sukladno  postupnom pravilu za propuštanje vozila NATO-a i EUFOR-a i vozila kojima upravljaju djelatnici NATO-a i EUFOR-a kroz naplatne postaje na autocestama u Republici Hrvatskoj. Naknada se obračunava prema stvarno evidentiranim prolascima i nadoknađuje se Hrvatskim autocestama, Autocesti Rijeka-Zagreb, Autocesti Zagreb-Macelj, i društvu Bina Istra. Planirana sredstva su bila dostatna za nadoknađivanje ukupnog stvarnog troška kojeg su, odlukom Vlade da se Vozilima NATO-a i EUFOR-a dozvoli korištenje autocesta bez naknade, pretrpjela navedena društva. Cilj mjere za naknadom troška za korištenje autocesta bez naknade za vozila NATO-a i EUFOR-a navedenim društvima u potpunosti je realiziran.</w:t>
      </w:r>
    </w:p>
    <w:p w:rsidR="00AC0832" w:rsidRDefault="00AC0832">
      <w:pPr>
        <w:pStyle w:val="Heading6"/>
      </w:pPr>
      <w:r>
        <w:t>A821001 PROVEDBA UGOVORA O KONCESIJI - AUTOCESTA RIJEKA-ZAGREB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A821001-PROVEDBA UGOVORA O KONCESIJI - AUTOCESTA RIJEKA-ZAGREB</w:t>
            </w:r>
          </w:p>
        </w:tc>
        <w:tc>
          <w:tcPr>
            <w:tcW w:w="2322" w:type="dxa"/>
          </w:tcPr>
          <w:p w:rsidR="00AC0832" w:rsidRDefault="00AC0832">
            <w:pPr>
              <w:pStyle w:val="CellColumn"/>
            </w:pPr>
            <w:r>
              <w:t>105.192.880</w:t>
            </w:r>
          </w:p>
        </w:tc>
        <w:tc>
          <w:tcPr>
            <w:tcW w:w="2322" w:type="dxa"/>
          </w:tcPr>
          <w:p w:rsidR="00AC0832" w:rsidRDefault="00AC0832">
            <w:pPr>
              <w:pStyle w:val="CellColumn"/>
            </w:pPr>
            <w:r>
              <w:t>105.192.880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Na temelju IV Ugovora o izmjenama i dopunama Ugovora o koncesiji za financiranje, građenje i upravljanje autocestom Autocesta Rijeka-Zagreb od 23. kolovoza 2007.  godine, kojeg je Republika Hrvatska sklopila s društvom Autocesta Rijeka-Zagreb d.d., Republika Hrvatska kao davatelj koncesije je preuzela obvezu  nadoknade  troškova otkupa zemljišta koncesionaru sukladno članku 16. st. 7, i članka 17. st. 1.  </w:t>
      </w:r>
    </w:p>
    <w:p w:rsidR="00AC0832" w:rsidRDefault="00AC0832">
      <w:pPr>
        <w:pStyle w:val="Normal6"/>
      </w:pPr>
      <w:r>
        <w:t xml:space="preserve">Planirani iznos predstavlja višegodišnji dug davatelja koncesije na ime refundiranja troškova otkupa zemljišta koji su obaveza davatelja koncesije, a koji nisu bili podmireni u roku.  Plaćanjem navedenog iznosa tijekom 2012. godine Republika Hrvatska je u cijelosti podmirila dospjelu obavezu prema koncesijskom društvu po osnovi troškova otkupa zemljišta. </w:t>
      </w:r>
    </w:p>
    <w:p w:rsidR="00AC0832" w:rsidRDefault="00AC0832">
      <w:pPr>
        <w:pStyle w:val="Normal6"/>
      </w:pPr>
      <w:r>
        <w:t>Ispunjenjem obaveza planiranim za 2012. godinu Republika Hrvatska je doprinijela da koncesionar uspješno izvrši sve planirane radove na investicijskom i redovnom održavanju.</w:t>
      </w:r>
    </w:p>
    <w:p w:rsidR="00AC0832" w:rsidRDefault="00AC0832">
      <w:pPr>
        <w:pStyle w:val="Heading6"/>
      </w:pPr>
      <w:r>
        <w:t>K570344 PROVEDBA UGOVORA O KONCESIJI - AUTOCESTA ZAGREB-MACELJ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K570344-PROVEDBA UGOVORA O KONCESIJI - AUTOCESTA ZAGREB-MACELJ</w:t>
            </w:r>
          </w:p>
        </w:tc>
        <w:tc>
          <w:tcPr>
            <w:tcW w:w="2322" w:type="dxa"/>
          </w:tcPr>
          <w:p w:rsidR="00AC0832" w:rsidRDefault="00AC0832">
            <w:pPr>
              <w:pStyle w:val="CellColumn"/>
            </w:pPr>
            <w:r>
              <w:t>54.000.000</w:t>
            </w:r>
          </w:p>
        </w:tc>
        <w:tc>
          <w:tcPr>
            <w:tcW w:w="2322" w:type="dxa"/>
          </w:tcPr>
          <w:p w:rsidR="00AC0832" w:rsidRDefault="00AC0832">
            <w:pPr>
              <w:pStyle w:val="CellColumn"/>
            </w:pPr>
            <w:r>
              <w:t>53.698.822</w:t>
            </w:r>
          </w:p>
        </w:tc>
        <w:tc>
          <w:tcPr>
            <w:tcW w:w="2322" w:type="dxa"/>
          </w:tcPr>
          <w:p w:rsidR="00AC0832" w:rsidRDefault="00AC0832">
            <w:pPr>
              <w:pStyle w:val="CellColumn"/>
            </w:pPr>
            <w:r>
              <w:t>99,4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Na temelju Ugovora o koncesiji za financiranje, građenje i upravljanje autocestom Zagreb-Macelj, kojeg je Republika Hrvatska sklopila s društvom Autocesta Zagreb-Macelj d.o.o., 11. srpnja 2003. godine, a koji je izmijenjen 27. studenoga 2003. godine, 20. srpnja 2004. godine, te  20. srpnja 2008., davatelj koncesije ima obvezu plaćanja financijskog doprinosa koncesionaru (članak 30.8). Temeljem sporazuma od 03. veljače 2006. godine davatelj koncesije ima obvezu plaćanja naknade za popust na visinu cestarine na dionici Mokrice- Krapina. </w:t>
      </w:r>
    </w:p>
    <w:p w:rsidR="00AC0832" w:rsidRDefault="00AC0832">
      <w:pPr>
        <w:pStyle w:val="Normal6"/>
      </w:pPr>
      <w:r>
        <w:t xml:space="preserve">Plaćanje financijskog doprinosa nužno je za uredno funkcioniranje i realizaciju projekta koji nije u mogućnosti samostalno snositi sve troškove poslovanja, redovnog i investicijskog održavanja i otplate kredita. Neizvršavanje ili značajnije kašnjenje izvršavanja preuzetih obaveza moglo bi uzrokovati zahtjevom banaka za trenutnom otplatom  ukupnog kreditnog zaduženje koncesionara.  </w:t>
      </w:r>
    </w:p>
    <w:p w:rsidR="00AC0832" w:rsidRDefault="00AC0832">
      <w:pPr>
        <w:pStyle w:val="Normal6"/>
      </w:pPr>
      <w:r>
        <w:t>Ispunjenjem obaveza planiranim za 2012. godinu Republika Hrvatska je doprinijela da koncesionar uspješno izvrši sve planirane radove na investicijskom i redovnom održavanju.</w:t>
      </w:r>
    </w:p>
    <w:p w:rsidR="00AC0832" w:rsidRDefault="00AC0832">
      <w:pPr>
        <w:pStyle w:val="Heading6"/>
      </w:pPr>
      <w:r>
        <w:t>K761028 OPREMANJE INSPEKCIJE OPREMOM I OSTALIM UREĐAJIMA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K761028-OPREMANJE INSPEKCIJE OPREMOM I OSTALIM UREĐAJIMA</w:t>
            </w:r>
          </w:p>
        </w:tc>
        <w:tc>
          <w:tcPr>
            <w:tcW w:w="2322" w:type="dxa"/>
          </w:tcPr>
          <w:p w:rsidR="00AC0832" w:rsidRDefault="00AC0832">
            <w:pPr>
              <w:pStyle w:val="CellColumn"/>
            </w:pPr>
            <w:r>
              <w:t>360.000</w:t>
            </w:r>
          </w:p>
        </w:tc>
        <w:tc>
          <w:tcPr>
            <w:tcW w:w="2322" w:type="dxa"/>
          </w:tcPr>
          <w:p w:rsidR="00AC0832" w:rsidRDefault="00AC0832">
            <w:pPr>
              <w:pStyle w:val="CellColumn"/>
            </w:pPr>
            <w:r>
              <w:t>247.257</w:t>
            </w:r>
          </w:p>
        </w:tc>
        <w:tc>
          <w:tcPr>
            <w:tcW w:w="2322" w:type="dxa"/>
          </w:tcPr>
          <w:p w:rsidR="00AC0832" w:rsidRDefault="00AC0832">
            <w:pPr>
              <w:pStyle w:val="CellColumn"/>
            </w:pPr>
            <w:r>
              <w:t>68,7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Planirana sredstva su utrošena na redovna održavanja i nabave uređaja za potrebe inspekcijskih nadzora u cestovnom prometu što je rezultiralo urednim radom opreme, a to je omogućilo ostvarenje godišnjeg plana broja pregleda radnih dana vozača u cestovnom prijevozu tereta i putnika.</w:t>
      </w:r>
    </w:p>
    <w:p w:rsidR="00AC0832" w:rsidRDefault="00AC0832">
      <w:pPr>
        <w:pStyle w:val="Heading6"/>
      </w:pPr>
    </w:p>
    <w:p w:rsidR="00AC0832" w:rsidRDefault="00AC0832">
      <w:pPr>
        <w:pStyle w:val="Heading6"/>
      </w:pPr>
      <w:r>
        <w:t>K819028 IPA I 2008-UČINKOVITO DJELOVANJE SUSTAVA INSPEKCIJE CESTOVNOG PROMETA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K819028-IPA I 2008-UČINKOVITO DJELOVANJE SUSTAVA INSPEKCIJE CESTOVNOG PROMETA</w:t>
            </w:r>
          </w:p>
        </w:tc>
        <w:tc>
          <w:tcPr>
            <w:tcW w:w="2322" w:type="dxa"/>
          </w:tcPr>
          <w:p w:rsidR="00AC0832" w:rsidRDefault="00AC0832">
            <w:pPr>
              <w:pStyle w:val="CellColumn"/>
            </w:pPr>
            <w:r>
              <w:t>7.744.426</w:t>
            </w:r>
          </w:p>
        </w:tc>
        <w:tc>
          <w:tcPr>
            <w:tcW w:w="2322" w:type="dxa"/>
          </w:tcPr>
          <w:p w:rsidR="00AC0832" w:rsidRDefault="00AC0832">
            <w:pPr>
              <w:pStyle w:val="CellColumn"/>
            </w:pPr>
            <w:r>
              <w:t>5.655.043</w:t>
            </w:r>
          </w:p>
        </w:tc>
        <w:tc>
          <w:tcPr>
            <w:tcW w:w="2322" w:type="dxa"/>
          </w:tcPr>
          <w:p w:rsidR="00AC0832" w:rsidRDefault="00AC0832">
            <w:pPr>
              <w:pStyle w:val="CellColumn"/>
            </w:pPr>
            <w:r>
              <w:t>73,0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Provođenjem ovog projekta rad inspekcije cestovnog prometa i inspekcije cesta se postavio na kvalitativno i kvantitativno višu razinu i to kroz: </w:t>
      </w:r>
    </w:p>
    <w:p w:rsidR="00AC0832" w:rsidRDefault="00AC0832">
      <w:pPr>
        <w:pStyle w:val="Normal6"/>
      </w:pPr>
      <w:r>
        <w:t xml:space="preserve">-Usklađivanje hrvatskog zakonodavstva o sigurnosti na cestama i digitalnim tahografima s relevantnim EU direktivama i preporukama za efikasnu provedbu zakonodavstva </w:t>
      </w:r>
    </w:p>
    <w:p w:rsidR="00AC0832" w:rsidRDefault="00AC0832">
      <w:pPr>
        <w:pStyle w:val="Normal6"/>
      </w:pPr>
      <w:r>
        <w:t xml:space="preserve">-Izradu preporuke prilagodbe institucionalnog okvira zahtjevima provedbe zakona i razraditi procedure </w:t>
      </w:r>
    </w:p>
    <w:p w:rsidR="00AC0832" w:rsidRDefault="00AC0832">
      <w:pPr>
        <w:pStyle w:val="Normal6"/>
      </w:pPr>
      <w:r>
        <w:t xml:space="preserve">-Provedbu prilagodbe u sustavu za prikupljanje podataka od inspektora na cesti kako bi se postigla potpuna kompatibilnost sa EUROCARIS mrežom </w:t>
      </w:r>
    </w:p>
    <w:p w:rsidR="00AC0832" w:rsidRDefault="00AC0832">
      <w:pPr>
        <w:pStyle w:val="Normal6"/>
      </w:pPr>
      <w:r>
        <w:t xml:space="preserve">-Izradu provedbi strategije o jačanju kapaciteta institucija nadležnih za kontrolu prometa i drugih relevantnih dionika kako bi se osigurala odgovarajuća provedba usklađenih direktiva </w:t>
      </w:r>
    </w:p>
    <w:p w:rsidR="00AC0832" w:rsidRDefault="00AC0832">
      <w:pPr>
        <w:pStyle w:val="Normal6"/>
      </w:pPr>
      <w:r>
        <w:t xml:space="preserve">-Izradu i provedbu strategije podizanja svijesti o sigurnosti na cestama za relevantne institucije i korisnike u cijeloj zemlji </w:t>
      </w:r>
    </w:p>
    <w:p w:rsidR="00AC0832" w:rsidRDefault="00AC0832">
      <w:pPr>
        <w:pStyle w:val="Normal6"/>
      </w:pPr>
      <w:r>
        <w:t xml:space="preserve">-Nabavu opreme u svrhu provedbe inspekcijskih poslova. </w:t>
      </w:r>
    </w:p>
    <w:p w:rsidR="00AC0832" w:rsidRDefault="00AC0832">
      <w:pPr>
        <w:pStyle w:val="Normal6"/>
      </w:pPr>
      <w:r>
        <w:t xml:space="preserve">Cilj provedbe ovog projekta je u povećanju stupanja usklađenosti sustava inspekcijskog nadzora RH s EU standardima te u povećanju sigurnosti i zaštite zdravlja mobilnih radnika u cestovnom  prijevozu, a time i sigurnosti prijevoza u cestovnom prometu. Dinamika ostvarenja ciljeva ovog projekta ide prema predviđenom planu kao što je prikazano prema dolje navedenim pokazateljima rezultata i učincima navedenim u strateškom planu za 2012-2014 (u postotcima).  </w:t>
      </w:r>
    </w:p>
    <w:p w:rsidR="00AC0832" w:rsidRDefault="00AC0832">
      <w:pPr>
        <w:pStyle w:val="Normal6"/>
      </w:pPr>
      <w:r>
        <w:t xml:space="preserve">Razlika u preostalim sredstvima odnosi se na završnu isplatu ugovora za nabavu opreme jer je isporučuitelj opreme kasnio s aktivnostima te je završna ispalata prebačena na 2013. godinu. Također, neizvršeni dio odnosi se na Twinning ugovor za koji pružatelj usluge nije izvršio sve planirane aktivnosti u 2012. godini te su prebačene u 2013. godinu. Sukladno tome nije izvršena isplata u cjelokupnom planiranom opsegu. </w:t>
      </w:r>
    </w:p>
    <w:p w:rsidR="00AC0832" w:rsidRDefault="00AC0832">
      <w:pPr>
        <w:pStyle w:val="Normal6"/>
      </w:pPr>
      <w:r>
        <w:t>U provedbi svih aktivnosti u 2012 godini nisu uočene nikakve nepravilnosti.</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6"/>
        <w:gridCol w:w="1406"/>
        <w:gridCol w:w="1292"/>
        <w:gridCol w:w="1296"/>
        <w:gridCol w:w="1295"/>
        <w:gridCol w:w="1296"/>
        <w:gridCol w:w="129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Stupanj usklađenosti sustava inspekcijskog nadzora RH s EU standardima</w:t>
            </w:r>
          </w:p>
        </w:tc>
        <w:tc>
          <w:tcPr>
            <w:tcW w:w="1300" w:type="dxa"/>
          </w:tcPr>
          <w:p w:rsidR="00AC0832" w:rsidRDefault="00AC0832">
            <w:pPr>
              <w:pStyle w:val="CellColumn"/>
            </w:pPr>
            <w:r>
              <w:t>Usklađivanje sustava inspekcijskog nadzora RH s EU standardima</w:t>
            </w:r>
          </w:p>
        </w:tc>
        <w:tc>
          <w:tcPr>
            <w:tcW w:w="1300" w:type="dxa"/>
          </w:tcPr>
          <w:p w:rsidR="00AC0832" w:rsidRDefault="00AC0832">
            <w:pPr>
              <w:pStyle w:val="CellColumn"/>
            </w:pPr>
            <w:r>
              <w:t>%</w:t>
            </w:r>
          </w:p>
        </w:tc>
        <w:tc>
          <w:tcPr>
            <w:tcW w:w="1300" w:type="dxa"/>
          </w:tcPr>
          <w:p w:rsidR="00AC0832" w:rsidRDefault="00AC0832">
            <w:pPr>
              <w:pStyle w:val="CellColumn"/>
            </w:pPr>
            <w:r>
              <w:t>60</w:t>
            </w:r>
          </w:p>
        </w:tc>
        <w:tc>
          <w:tcPr>
            <w:tcW w:w="1300" w:type="dxa"/>
          </w:tcPr>
          <w:p w:rsidR="00AC0832" w:rsidRDefault="00AC0832">
            <w:pPr>
              <w:pStyle w:val="CellColumn"/>
            </w:pPr>
            <w:r>
              <w:t>MPPI</w:t>
            </w:r>
          </w:p>
        </w:tc>
        <w:tc>
          <w:tcPr>
            <w:tcW w:w="1300" w:type="dxa"/>
          </w:tcPr>
          <w:p w:rsidR="00AC0832" w:rsidRDefault="00AC0832">
            <w:pPr>
              <w:pStyle w:val="CellColumn"/>
            </w:pPr>
            <w:r>
              <w:t>80</w:t>
            </w:r>
          </w:p>
        </w:tc>
        <w:tc>
          <w:tcPr>
            <w:tcW w:w="1300" w:type="dxa"/>
          </w:tcPr>
          <w:p w:rsidR="00AC0832" w:rsidRDefault="00AC0832">
            <w:pPr>
              <w:pStyle w:val="CellColumn"/>
            </w:pPr>
            <w:r>
              <w:t>80</w:t>
            </w:r>
          </w:p>
        </w:tc>
      </w:tr>
    </w:tbl>
    <w:p w:rsidR="00AC0832" w:rsidRDefault="00AC0832">
      <w:pPr>
        <w:jc w:val="left"/>
      </w:pPr>
    </w:p>
    <w:p w:rsidR="00AC0832" w:rsidRDefault="00AC0832">
      <w:pPr>
        <w:pStyle w:val="Heading5"/>
      </w:pPr>
      <w:r>
        <w:t>3104 RAZVOJ I SIGURNOST POMORSKOG PROMETA I LUČKE INFRASTRUKTURE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3104-RAZVOJ I SIGURNOST POMORSKOG PROMETA I LUČKE INFRASTRUKTURE</w:t>
            </w:r>
          </w:p>
        </w:tc>
        <w:tc>
          <w:tcPr>
            <w:tcW w:w="2322" w:type="dxa"/>
          </w:tcPr>
          <w:p w:rsidR="00AC0832" w:rsidRDefault="00AC0832">
            <w:pPr>
              <w:pStyle w:val="CellColumn"/>
            </w:pPr>
            <w:r>
              <w:t>336.112.580</w:t>
            </w:r>
          </w:p>
        </w:tc>
        <w:tc>
          <w:tcPr>
            <w:tcW w:w="2322" w:type="dxa"/>
          </w:tcPr>
          <w:p w:rsidR="00AC0832" w:rsidRDefault="00AC0832">
            <w:pPr>
              <w:pStyle w:val="CellColumn"/>
            </w:pPr>
            <w:r>
              <w:t>318.593.100</w:t>
            </w:r>
          </w:p>
        </w:tc>
        <w:tc>
          <w:tcPr>
            <w:tcW w:w="2322" w:type="dxa"/>
          </w:tcPr>
          <w:p w:rsidR="00AC0832" w:rsidRDefault="00AC0832">
            <w:pPr>
              <w:pStyle w:val="CellColumn"/>
            </w:pPr>
            <w:r>
              <w:t>94,8</w:t>
            </w:r>
          </w:p>
        </w:tc>
      </w:tr>
    </w:tbl>
    <w:p w:rsidR="00AC0832" w:rsidRDefault="00AC0832">
      <w:pPr>
        <w:jc w:val="left"/>
      </w:pPr>
    </w:p>
    <w:p w:rsidR="00AC0832" w:rsidRDefault="00AC0832">
      <w:pPr>
        <w:pStyle w:val="Heading6"/>
      </w:pPr>
      <w:r>
        <w:t>Opis programa</w:t>
      </w:r>
    </w:p>
    <w:p w:rsidR="00AC0832" w:rsidRDefault="00AC0832">
      <w:pPr>
        <w:pStyle w:val="Normal5"/>
      </w:pPr>
      <w:r>
        <w:t xml:space="preserve">Pomorski promet je najefikasniji, najsigurniji i ekološki najprihvatljiviji oblik prometa koji predstavlja značajnu komponentu razvijanja hrvatskog gospodarstva. </w:t>
      </w:r>
    </w:p>
    <w:p w:rsidR="00AC0832" w:rsidRDefault="00AC0832">
      <w:pPr>
        <w:pStyle w:val="Normal5"/>
      </w:pPr>
      <w:r>
        <w:t xml:space="preserve">Razvoj hrvatskog pomorskog brodarstva temelji se na zahtjevnom svjetskom tržištu uz uvjete poslovanja za hrvatske brodare da budu izjednačeni s uvjetima poslovanja drugih europskih  brodara  uz  postizanje  najviših  standarda  sigurnosti  plovidbe  i  zaštite pomorskog okoliša. </w:t>
      </w:r>
    </w:p>
    <w:p w:rsidR="00AC0832" w:rsidRDefault="00AC0832">
      <w:pPr>
        <w:pStyle w:val="Normal5"/>
      </w:pPr>
      <w:r>
        <w:t xml:space="preserve">Ulaganjem u obnovu i razvoj trgovačke i putničke flote smanjuje se prosječna starost flote, čime se jača konkurentnost brodara na međunarodnom pomorskom tržištu. </w:t>
      </w:r>
    </w:p>
    <w:p w:rsidR="00AC0832" w:rsidRDefault="00AC0832">
      <w:pPr>
        <w:pStyle w:val="Normal5"/>
      </w:pPr>
      <w:r>
        <w:t xml:space="preserve">Svi hrvatski brodovi ispunjavaju najviše IMO-ve sigurnosne i ekološke norme, posjeduju svjedodžbe o sigurnosti izdane od strane Hrvatskog registra brodova sukladno međunarodnim standardima i nacionalnim propisima, čime se potvrđuje Republika Hrvatska kao pomorska država koja ima ljudsku i tehničku infrastrukturu za razvoj brodarstva. </w:t>
      </w:r>
    </w:p>
    <w:p w:rsidR="00AC0832" w:rsidRDefault="00AC0832">
      <w:pPr>
        <w:pStyle w:val="Normal5"/>
      </w:pPr>
      <w:r>
        <w:t xml:space="preserve">Program gradnje brodova za hrvatske brodare do 2012. godine, koji je donijela hrvatska Vlada početkom 2009. godine, temelji se na usuglašenim planovima gradnje brodarskih tvrtki, članica Udruge „Mare Nostrum“, radi podizanja konkurentnosti na svjetskom pomorskom tržištu, veće sigurnosti plovidbe, te zaštite ljudi i okoliša. Programom se nastoji postići postupno povlačenje jednostavnih tipova brodova- tankera s jednostrukom oplatom, čime se operacionaliziraju glavne smjernice pomorske politike EU naročito u povećanju broja brodova, veće sigurnosti plovidbe, zaštite ljudi i okoliša. Programom gradnje brodova obavljaju se dodatna ulaganja u tankere s jednostrukom oplatom, gradnju tankera s dvostrukom oplatom, kao i ostalih tehničkih zahvata kod brodova za rasute terete kroz primjenu ekološki prihvatljivih premaza podvodnog dijela broda. </w:t>
      </w:r>
    </w:p>
    <w:p w:rsidR="00AC0832" w:rsidRDefault="00AC0832">
      <w:pPr>
        <w:pStyle w:val="Normal5"/>
      </w:pPr>
      <w:r>
        <w:t xml:space="preserve">Razvijena prometna lučka infrastruktura temeljna je pretpostavka razvoja prometnog sustava, čime se nastoji izjednačiti razvijenost, kvaliteta i sigurnost prometnog sustava u cjelini. </w:t>
      </w:r>
    </w:p>
    <w:p w:rsidR="00AC0832" w:rsidRDefault="00AC0832">
      <w:pPr>
        <w:pStyle w:val="Normal5"/>
      </w:pPr>
      <w:r>
        <w:t xml:space="preserve">U 2012. godini nastavljeni su započeti projekti izgradnje i modernizacije infrastrukture u morskim lukama od državnog značaja (Rijeka, Zadar, Šibenik, Split, Ploče i Dubrovnik). </w:t>
      </w:r>
    </w:p>
    <w:p w:rsidR="00AC0832" w:rsidRDefault="00AC0832">
      <w:pPr>
        <w:pStyle w:val="Normal5"/>
      </w:pPr>
      <w:r>
        <w:t xml:space="preserve">U području unapređenja lučkog sustava, temeljni ciljevi se odnose na modernizaciju luke Rijeka  radi  povećanja  tranzitnog  tereta  (posebice  kontejnerskog  i  Ro-Ro  prometa), gradnju terminala u luci Ploče u cilju povećanja rasutih tereta i kontejnera kroz luku Ploče, za potrebe gravitacijskog područja i potrebe ostalih država na Vc prometnom koridoru, dovršetak izgradnje obalne infrastrukture i započinjanje postupka koncesioniranja radi izgradnje putničkog terminala u luci Dubrovnik - Gruž, izgradnju novoga putničkog i RO-Ro terminala u luci Zadar, izgradnju operativne obale za prihvat putničkih brodova u luci Šibenik, te modernizaciju lučke infrastrukture u luci Split. </w:t>
      </w:r>
    </w:p>
    <w:p w:rsidR="00AC0832" w:rsidRDefault="00AC0832">
      <w:pPr>
        <w:pStyle w:val="Normal5"/>
      </w:pPr>
      <w:r>
        <w:t xml:space="preserve">Gradnja   infrastrukture morskih luka temelji se na kvalitativnoj i tehnološkoj modernizaciji, prometnom povezivanju s glavnim cestovnim i željezničkim koridorima u cilju ostvarenja bolje integracije s gospodarskim zaleđem, povećanju prometa, a time i preduvjeta za razvitak intermodalnog prometa. </w:t>
      </w:r>
    </w:p>
    <w:p w:rsidR="00AC0832" w:rsidRDefault="00AC0832">
      <w:pPr>
        <w:pStyle w:val="Normal5"/>
      </w:pPr>
      <w:r>
        <w:t xml:space="preserve">U okviru ovog programa pokrenut je čitav niz aktivnosti i projekata usmjerenih prema podizanje razine sigurnosti plovidbe i zaštite ljudskih života i imovine na moru, na način da se primjenom novih tehnologija osigurava nadzor odvijanja prometa u realnom vremenu kao osnovna pretpostavka za efikasno upravljanje plovidbom. Samim tim spriječile bi se moguće plovidbene nezgode, gubitak ljudskih života i eventualne ekološke katastrofe.  </w:t>
      </w:r>
    </w:p>
    <w:p w:rsidR="00AC0832" w:rsidRDefault="00AC0832">
      <w:pPr>
        <w:pStyle w:val="Normal5"/>
      </w:pPr>
      <w:r>
        <w:t>U Strategiji Vladinih programa za razdoblje 2012.-2014. ovaj je program povezan s Općim ciljem: 5. Ravnomjerni regionalni razvoj, Posebnim ciljem: 5.5. Razvijanje prometnog sustava, a načini ostvarivanja Posebnog cilja su: 5.5.1. Razvijena prometna infrastruktura; 5.5.2. Visoka kvaliteta i razvijeno tržište prometnih usluga i 5.5.3. Visoka razina sigurnosti u prometu.</w:t>
      </w:r>
    </w:p>
    <w:p w:rsidR="00AC0832" w:rsidRDefault="00AC0832">
      <w:pPr>
        <w:pStyle w:val="Heading6"/>
      </w:pPr>
      <w:r>
        <w:t>Zakonske i druge pravne osnove</w:t>
      </w:r>
    </w:p>
    <w:p w:rsidR="00AC0832" w:rsidRDefault="00AC0832">
      <w:pPr>
        <w:pStyle w:val="Normal5"/>
      </w:pPr>
      <w:r>
        <w:t xml:space="preserve">Strategija prometnog razvitka Republike Hrvatske iz 1999. godine, </w:t>
      </w:r>
    </w:p>
    <w:p w:rsidR="00AC0832" w:rsidRDefault="00AC0832">
      <w:pPr>
        <w:pStyle w:val="Normal5"/>
      </w:pPr>
      <w:r>
        <w:t xml:space="preserve">Pomorski zakonik (NN 181/04., 76/07. i 146/08.), </w:t>
      </w:r>
    </w:p>
    <w:p w:rsidR="00AC0832" w:rsidRDefault="00AC0832">
      <w:pPr>
        <w:pStyle w:val="Normal5"/>
      </w:pPr>
      <w:r>
        <w:t xml:space="preserve">Zakon o prijevozu u linijskom i povremenom obalnom pomorskom prometu (NN 33/06, 38/09 i 87/09. i 18/11), </w:t>
      </w:r>
    </w:p>
    <w:p w:rsidR="00AC0832" w:rsidRDefault="00AC0832">
      <w:pPr>
        <w:pStyle w:val="Normal5"/>
      </w:pPr>
      <w:r>
        <w:t xml:space="preserve">Zakon o pomorskom dobru i morskim lukama (NN br.158/03.,100/04., 141/06. i 38/09.), </w:t>
      </w:r>
    </w:p>
    <w:p w:rsidR="00AC0832" w:rsidRDefault="00AC0832">
      <w:pPr>
        <w:pStyle w:val="Normal5"/>
      </w:pPr>
      <w:r>
        <w:t xml:space="preserve">Naredba o najvišoj dopuštenoj starosti brodova koji se mogu upisati u upisnik brodova u Republici Hrvatskoj (NN 38/08.), </w:t>
      </w:r>
    </w:p>
    <w:p w:rsidR="00AC0832" w:rsidRDefault="00AC0832">
      <w:pPr>
        <w:pStyle w:val="Normal5"/>
      </w:pPr>
      <w:r>
        <w:t xml:space="preserve">Zakon o postupnom isključenju iz plovidbe tankera bez dvostruke oplate (NN 48/04.), </w:t>
      </w:r>
    </w:p>
    <w:p w:rsidR="00AC0832" w:rsidRDefault="00AC0832">
      <w:pPr>
        <w:pStyle w:val="Normal5"/>
      </w:pPr>
      <w:r>
        <w:t>Pravilnik o uvjetima koje mora ispunjavati brod i brodar za obavljanje javnog prijevoza u linijskom obalnom pomorskom prometu (NN 130/06, 132/06., 141/08., 143/10).</w:t>
      </w:r>
    </w:p>
    <w:p w:rsidR="00AC0832" w:rsidRDefault="00AC0832">
      <w:pPr>
        <w:pStyle w:val="Heading7"/>
      </w:pPr>
      <w:r>
        <w:t xml:space="preserve">Cilj 1. Izgradnja tankera sa dvostrukom oplatom i brodova za rasute terete s posebnim  tankovima i tehničkim zahvatima </w:t>
      </w:r>
    </w:p>
    <w:p w:rsidR="00AC0832" w:rsidRDefault="00AC0832">
      <w:pPr>
        <w:pStyle w:val="Heading8"/>
        <w:jc w:val="left"/>
      </w:pPr>
      <w:r>
        <w:t>Opis provedbe cilja programa</w:t>
      </w:r>
    </w:p>
    <w:p w:rsidR="00AC0832" w:rsidRDefault="00AC0832">
      <w:pPr>
        <w:pStyle w:val="Normal6"/>
      </w:pPr>
      <w:r>
        <w:t xml:space="preserve">Provedba Programa je sukladna ciljevima Strateškog plana Ministarstva pomorstva, prometa i infrastrukture za razdoblje  2012. – 2014.godine.  U kolovozu 2012. godine izgrađen je i isporučen  zadnji  tanker (novogradnja) od planiranih 11  iz Programa.  Izgradnjom tankera sa dvostrukom oplatom i brodova za rasute terete s posebnim tankovima i tehničkim zahvatima namjera je bila  spriječiti velike biološke i ekološke katastrofe.  Do takvih negativnih učinaka (onečišćenja mora s brodova), što je predstavljalo i određeni rizik,  nije došlo. </w:t>
      </w:r>
    </w:p>
    <w:p w:rsidR="00AC0832" w:rsidRDefault="00AC0832">
      <w:pPr>
        <w:pStyle w:val="Normal6"/>
      </w:pPr>
      <w:r>
        <w:t>U 2012. godini se naišlo na rizik koji je predstavljao prijetnju izvršenju zacrtanog cilja i postizanja očekivanih rezultata vezano za  podmirenje nedostajućih  pripadajućih sredstava državne potpore s osnova dugovanja Ministarstva pomorstva, prometa i infrastrukture prema  brodarima (Jadroplov d.d., Split i Tankerska plovidba d.d., Zadar) za gradnju brodova u Brodosplit-Brodogradilištu d.o.o. iz Splita, a time i nastavku provedbe Programa. Izmjenama i dopuna financijskog plana Ministarstva pomorstva, prometa i infrastrukture za 2012. godinu iz listopada 2012. godine otklonjen je taj rizik na način da su povećana proračunska sredstva  za 9.500.000 kuna (prvobitni plan 25.000.000 kuna) za rečenu namjenu.</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37"/>
        <w:gridCol w:w="1417"/>
        <w:gridCol w:w="1281"/>
        <w:gridCol w:w="1288"/>
        <w:gridCol w:w="1286"/>
        <w:gridCol w:w="1288"/>
        <w:gridCol w:w="1291"/>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Izbjegavanje mogućeg broja</w:t>
            </w:r>
            <w:r>
              <w:tab/>
              <w:t>ekscesnih situacija koje bi mogle prouzrokovati onečišćenje mora</w:t>
            </w:r>
          </w:p>
        </w:tc>
        <w:tc>
          <w:tcPr>
            <w:tcW w:w="1300" w:type="dxa"/>
          </w:tcPr>
          <w:p w:rsidR="00AC0832" w:rsidRDefault="00AC0832">
            <w:pPr>
              <w:pStyle w:val="CellColumn"/>
            </w:pPr>
            <w:r>
              <w:t xml:space="preserve">Povećanjem </w:t>
            </w:r>
          </w:p>
          <w:p w:rsidR="00AC0832" w:rsidRDefault="00AC0832">
            <w:pPr>
              <w:pStyle w:val="CellColumn"/>
            </w:pPr>
            <w:r>
              <w:t xml:space="preserve">sigurnosti </w:t>
            </w:r>
          </w:p>
          <w:p w:rsidR="00AC0832" w:rsidRDefault="00AC0832">
            <w:pPr>
              <w:pStyle w:val="CellColumn"/>
            </w:pPr>
            <w:r>
              <w:t xml:space="preserve">plovidbe i </w:t>
            </w:r>
          </w:p>
          <w:p w:rsidR="00AC0832" w:rsidRDefault="00AC0832">
            <w:pPr>
              <w:pStyle w:val="CellColumn"/>
            </w:pPr>
            <w:r>
              <w:t xml:space="preserve">ostvarenjem </w:t>
            </w:r>
          </w:p>
          <w:p w:rsidR="00AC0832" w:rsidRDefault="00AC0832">
            <w:pPr>
              <w:pStyle w:val="CellColumn"/>
            </w:pPr>
            <w:r>
              <w:t xml:space="preserve">višeg stupnja </w:t>
            </w:r>
          </w:p>
          <w:p w:rsidR="00AC0832" w:rsidRDefault="00AC0832">
            <w:pPr>
              <w:pStyle w:val="CellColumn"/>
            </w:pPr>
            <w:r>
              <w:t xml:space="preserve">zaštite mora i </w:t>
            </w:r>
          </w:p>
          <w:p w:rsidR="00AC0832" w:rsidRDefault="00AC0832">
            <w:pPr>
              <w:pStyle w:val="CellColumn"/>
            </w:pPr>
            <w:r>
              <w:t xml:space="preserve">morskog </w:t>
            </w:r>
          </w:p>
          <w:p w:rsidR="00AC0832" w:rsidRDefault="00AC0832">
            <w:pPr>
              <w:pStyle w:val="CellColumn"/>
            </w:pPr>
            <w:r>
              <w:t xml:space="preserve">okoliša </w:t>
            </w:r>
          </w:p>
          <w:p w:rsidR="00AC0832" w:rsidRDefault="00AC0832">
            <w:pPr>
              <w:pStyle w:val="CellColumn"/>
            </w:pPr>
            <w:r>
              <w:t xml:space="preserve">nastoje se </w:t>
            </w:r>
          </w:p>
          <w:p w:rsidR="00AC0832" w:rsidRDefault="00AC0832">
            <w:pPr>
              <w:pStyle w:val="CellColumn"/>
            </w:pPr>
            <w:r>
              <w:t xml:space="preserve">izbjeći </w:t>
            </w:r>
          </w:p>
          <w:p w:rsidR="00AC0832" w:rsidRDefault="00AC0832">
            <w:pPr>
              <w:pStyle w:val="CellColumn"/>
            </w:pPr>
            <w:r>
              <w:t xml:space="preserve">moguće </w:t>
            </w:r>
          </w:p>
          <w:p w:rsidR="00AC0832" w:rsidRDefault="00AC0832">
            <w:pPr>
              <w:pStyle w:val="CellColumn"/>
            </w:pPr>
            <w:r>
              <w:t xml:space="preserve">ekscesne </w:t>
            </w:r>
          </w:p>
          <w:p w:rsidR="00AC0832" w:rsidRDefault="00AC0832">
            <w:pPr>
              <w:pStyle w:val="CellColumn"/>
            </w:pPr>
            <w:r>
              <w:t xml:space="preserve">situacije koje </w:t>
            </w:r>
          </w:p>
          <w:p w:rsidR="00AC0832" w:rsidRDefault="00AC0832">
            <w:pPr>
              <w:pStyle w:val="CellColumn"/>
            </w:pPr>
            <w:r>
              <w:t xml:space="preserve">bi mogle </w:t>
            </w:r>
          </w:p>
          <w:p w:rsidR="00AC0832" w:rsidRDefault="00AC0832">
            <w:pPr>
              <w:pStyle w:val="CellColumn"/>
            </w:pPr>
            <w:r>
              <w:t xml:space="preserve">prouzrokovati </w:t>
            </w:r>
          </w:p>
          <w:p w:rsidR="00AC0832" w:rsidRDefault="00AC0832">
            <w:pPr>
              <w:pStyle w:val="CellColumn"/>
            </w:pPr>
            <w:r>
              <w:t xml:space="preserve">onečišćenje </w:t>
            </w:r>
          </w:p>
          <w:p w:rsidR="00AC0832" w:rsidRDefault="00AC0832">
            <w:pPr>
              <w:pStyle w:val="CellColumn"/>
            </w:pPr>
            <w:r>
              <w:t xml:space="preserve">mora, tj. </w:t>
            </w:r>
          </w:p>
          <w:p w:rsidR="00AC0832" w:rsidRDefault="00AC0832">
            <w:pPr>
              <w:pStyle w:val="CellColumn"/>
            </w:pPr>
            <w:r>
              <w:t xml:space="preserve">potpuno </w:t>
            </w:r>
          </w:p>
          <w:p w:rsidR="00AC0832" w:rsidRDefault="00AC0832">
            <w:pPr>
              <w:pStyle w:val="CellColumn"/>
            </w:pPr>
            <w:r>
              <w:t xml:space="preserve">spriječiti </w:t>
            </w:r>
          </w:p>
          <w:p w:rsidR="00AC0832" w:rsidRDefault="00AC0832">
            <w:pPr>
              <w:pStyle w:val="CellColumn"/>
            </w:pPr>
            <w:r>
              <w:t xml:space="preserve">njihovo </w:t>
            </w:r>
          </w:p>
          <w:p w:rsidR="00AC0832" w:rsidRDefault="00AC0832">
            <w:pPr>
              <w:pStyle w:val="CellColumn"/>
            </w:pPr>
            <w:r>
              <w:t>nastajanje</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MPPI</w:t>
            </w:r>
          </w:p>
        </w:tc>
        <w:tc>
          <w:tcPr>
            <w:tcW w:w="1300" w:type="dxa"/>
          </w:tcPr>
          <w:p w:rsidR="00AC0832" w:rsidRDefault="00AC0832">
            <w:pPr>
              <w:pStyle w:val="CellColumn"/>
            </w:pPr>
            <w:r>
              <w:t>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7"/>
      </w:pPr>
      <w:r>
        <w:t xml:space="preserve">Cilj 2. Porast prometa i povećanje konkurentnosti luke Rijeka </w:t>
      </w:r>
    </w:p>
    <w:p w:rsidR="00AC0832" w:rsidRDefault="00AC0832">
      <w:pPr>
        <w:pStyle w:val="Heading8"/>
        <w:jc w:val="left"/>
      </w:pPr>
      <w:r>
        <w:t>Opis provedbe cilja programa</w:t>
      </w:r>
    </w:p>
    <w:p w:rsidR="00AC0832" w:rsidRDefault="00AC0832">
      <w:pPr>
        <w:pStyle w:val="Normal6"/>
      </w:pPr>
      <w:r>
        <w:t>Ostvareni promet riječke luke za 2012. godinu iznosio  je 8.554.001 tonu, te je za 16,2 % niži od ciljane vrijednosti, koja je iznosila 10.205.000 tona tereta.  Polazna vrijednost je ovdje izražena u iznosu 9.390.380 t, te predstavlja ostvareni promet u 2011. godini. Najveći podbačaj u ostvarenom prometu bilježi nafta, čemu je svakako pridonijela svjetska kriza koja je zahvatila i ovaj prometni pravac.</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73"/>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Porast prometa roba u riječkoj luci</w:t>
            </w:r>
          </w:p>
        </w:tc>
        <w:tc>
          <w:tcPr>
            <w:tcW w:w="1300" w:type="dxa"/>
          </w:tcPr>
          <w:p w:rsidR="00AC0832" w:rsidRDefault="00AC0832">
            <w:pPr>
              <w:pStyle w:val="CellColumn"/>
            </w:pPr>
            <w:r>
              <w:t xml:space="preserve">Porastom </w:t>
            </w:r>
          </w:p>
          <w:p w:rsidR="00AC0832" w:rsidRDefault="00AC0832">
            <w:pPr>
              <w:pStyle w:val="CellColumn"/>
            </w:pPr>
            <w:r>
              <w:t xml:space="preserve">prometa roba </w:t>
            </w:r>
          </w:p>
          <w:p w:rsidR="00AC0832" w:rsidRDefault="00AC0832">
            <w:pPr>
              <w:pStyle w:val="CellColumn"/>
            </w:pPr>
            <w:r>
              <w:t xml:space="preserve">povećat će se </w:t>
            </w:r>
          </w:p>
          <w:p w:rsidR="00AC0832" w:rsidRDefault="00AC0832">
            <w:pPr>
              <w:pStyle w:val="CellColumn"/>
            </w:pPr>
            <w:r>
              <w:t xml:space="preserve">konkurentnost </w:t>
            </w:r>
          </w:p>
          <w:p w:rsidR="00AC0832" w:rsidRDefault="00AC0832">
            <w:pPr>
              <w:pStyle w:val="CellColumn"/>
            </w:pPr>
            <w:r>
              <w:t xml:space="preserve">i efikasnost </w:t>
            </w:r>
          </w:p>
          <w:p w:rsidR="00AC0832" w:rsidRDefault="00AC0832">
            <w:pPr>
              <w:pStyle w:val="CellColumn"/>
            </w:pPr>
            <w:r>
              <w:t>luke Rijeka</w:t>
            </w:r>
          </w:p>
        </w:tc>
        <w:tc>
          <w:tcPr>
            <w:tcW w:w="1300" w:type="dxa"/>
          </w:tcPr>
          <w:p w:rsidR="00AC0832" w:rsidRDefault="00AC0832">
            <w:pPr>
              <w:pStyle w:val="CellColumn"/>
            </w:pPr>
            <w:r>
              <w:t>tona</w:t>
            </w:r>
          </w:p>
        </w:tc>
        <w:tc>
          <w:tcPr>
            <w:tcW w:w="1300" w:type="dxa"/>
          </w:tcPr>
          <w:p w:rsidR="00AC0832" w:rsidRDefault="00AC0832">
            <w:pPr>
              <w:pStyle w:val="CellColumn"/>
            </w:pPr>
            <w:r>
              <w:t>9.390.380</w:t>
            </w:r>
          </w:p>
        </w:tc>
        <w:tc>
          <w:tcPr>
            <w:tcW w:w="1300" w:type="dxa"/>
          </w:tcPr>
          <w:p w:rsidR="00AC0832" w:rsidRDefault="00AC0832">
            <w:pPr>
              <w:pStyle w:val="CellColumn"/>
            </w:pPr>
            <w:r>
              <w:t>MPPI</w:t>
            </w:r>
          </w:p>
        </w:tc>
        <w:tc>
          <w:tcPr>
            <w:tcW w:w="1300" w:type="dxa"/>
          </w:tcPr>
          <w:p w:rsidR="00AC0832" w:rsidRDefault="00AC0832">
            <w:pPr>
              <w:pStyle w:val="CellColumn"/>
            </w:pPr>
            <w:r>
              <w:t>10.205.000</w:t>
            </w:r>
          </w:p>
        </w:tc>
        <w:tc>
          <w:tcPr>
            <w:tcW w:w="1300" w:type="dxa"/>
          </w:tcPr>
          <w:p w:rsidR="00AC0832" w:rsidRDefault="00AC0832">
            <w:pPr>
              <w:pStyle w:val="CellColumn"/>
            </w:pPr>
            <w:r>
              <w:t>8.554.001</w:t>
            </w:r>
          </w:p>
        </w:tc>
      </w:tr>
    </w:tbl>
    <w:p w:rsidR="00AC0832" w:rsidRDefault="00AC0832">
      <w:pPr>
        <w:jc w:val="left"/>
      </w:pPr>
    </w:p>
    <w:p w:rsidR="00AC0832" w:rsidRDefault="00AC0832">
      <w:pPr>
        <w:pStyle w:val="Heading7"/>
      </w:pPr>
      <w:r>
        <w:t>Cilj 3. Podizanje razine sigurnosti plovidbe i zaštita ljudskih života i imovine</w:t>
      </w:r>
    </w:p>
    <w:p w:rsidR="00AC0832" w:rsidRDefault="00AC0832">
      <w:pPr>
        <w:pStyle w:val="Heading8"/>
        <w:jc w:val="left"/>
      </w:pPr>
      <w:r>
        <w:t>Opis provedbe cilja programa</w:t>
      </w:r>
    </w:p>
    <w:p w:rsidR="00AC0832" w:rsidRDefault="00AC0832">
      <w:pPr>
        <w:pStyle w:val="Normal6"/>
      </w:pPr>
      <w:r>
        <w:t>U 2012. godini, sukladno preuzetim obvezama i standardima EU, unutar Ministarstva pomorstva, prometa i infrastrukture je ustrojena posebna služba za tehničku ispravnost hrvatske flote. Jačanje administrativnih kapaciteta ove službe kao i u cjelokupnom segmentu sigurnosti plovidbe rješavat će se u narednom trogodišnjem razdoblju sukladno planiranim mjerama i aktivnostima u okviru  raspoloživih sredstava. Veći broj zabilježenih plovidbenih nezgoda od ciljane vrijednosti posljedica je vremenskih nepogoda koje su zabilježene tijekom ljetnih mjeseci 2012. godine kada je evidentirano veći broj oštećenja brodica u lokalnim lučicama. Tijekom 2013. godine nastaviti će se aktivnosti na primjeni novih tehnologija kako bi se osigurao nadzor odvijanja prometa u realnom vremenu kao osnovna pretpostavka za efikasno upravljanje plovidbom na moru kao jedan od preduvjeta za podizanje razine sigurnosti plovidbe i zaštite ljudskih života i imovine na moru. U tom smislu nastavljen je daljnji razvoj VTS sustava i to posebno u njegovom komunikacijskom segmentu.</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06"/>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Smanjen broj plovidbenih nezgoda</w:t>
            </w:r>
          </w:p>
        </w:tc>
        <w:tc>
          <w:tcPr>
            <w:tcW w:w="1300" w:type="dxa"/>
          </w:tcPr>
          <w:p w:rsidR="00AC0832" w:rsidRDefault="00AC0832">
            <w:pPr>
              <w:pStyle w:val="CellColumn"/>
            </w:pPr>
            <w:r>
              <w:t>Smanjenje  broja evidentiranih  pomorskih nezgoda , u promatranom razdoblju ukazuje na povećanje razine sigurnosti plovidbe</w:t>
            </w:r>
          </w:p>
        </w:tc>
        <w:tc>
          <w:tcPr>
            <w:tcW w:w="1300" w:type="dxa"/>
          </w:tcPr>
          <w:p w:rsidR="00AC0832" w:rsidRDefault="00AC0832">
            <w:pPr>
              <w:pStyle w:val="CellColumn"/>
            </w:pPr>
            <w:r>
              <w:t>Broj</w:t>
            </w:r>
          </w:p>
        </w:tc>
        <w:tc>
          <w:tcPr>
            <w:tcW w:w="1300" w:type="dxa"/>
          </w:tcPr>
          <w:p w:rsidR="00AC0832" w:rsidRDefault="00AC0832">
            <w:pPr>
              <w:pStyle w:val="CellColumn"/>
            </w:pPr>
            <w:r>
              <w:t>1.380</w:t>
            </w:r>
          </w:p>
        </w:tc>
        <w:tc>
          <w:tcPr>
            <w:tcW w:w="1300" w:type="dxa"/>
          </w:tcPr>
          <w:p w:rsidR="00AC0832" w:rsidRDefault="00AC0832">
            <w:pPr>
              <w:pStyle w:val="CellColumn"/>
            </w:pPr>
            <w:r>
              <w:t>MPPI</w:t>
            </w:r>
          </w:p>
        </w:tc>
        <w:tc>
          <w:tcPr>
            <w:tcW w:w="1300" w:type="dxa"/>
          </w:tcPr>
          <w:p w:rsidR="00AC0832" w:rsidRDefault="00AC0832">
            <w:pPr>
              <w:pStyle w:val="CellColumn"/>
            </w:pPr>
            <w:r>
              <w:t>&lt;1.240</w:t>
            </w:r>
          </w:p>
        </w:tc>
        <w:tc>
          <w:tcPr>
            <w:tcW w:w="1300" w:type="dxa"/>
          </w:tcPr>
          <w:p w:rsidR="00AC0832" w:rsidRDefault="00AC0832">
            <w:pPr>
              <w:pStyle w:val="CellColumn"/>
            </w:pPr>
            <w:r>
              <w:t>1.354</w:t>
            </w:r>
          </w:p>
        </w:tc>
      </w:tr>
    </w:tbl>
    <w:p w:rsidR="00AC0832" w:rsidRDefault="00AC0832">
      <w:pPr>
        <w:jc w:val="left"/>
      </w:pPr>
    </w:p>
    <w:p w:rsidR="00AC0832" w:rsidRDefault="00AC0832">
      <w:pPr>
        <w:pStyle w:val="Heading6"/>
      </w:pPr>
      <w:r>
        <w:t>A570017 SIGURNOST PLOVIDBE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A570017-SIGURNOST PLOVIDBE</w:t>
            </w:r>
          </w:p>
        </w:tc>
        <w:tc>
          <w:tcPr>
            <w:tcW w:w="2322" w:type="dxa"/>
          </w:tcPr>
          <w:p w:rsidR="00AC0832" w:rsidRDefault="00AC0832">
            <w:pPr>
              <w:pStyle w:val="CellColumn"/>
            </w:pPr>
            <w:r>
              <w:t>14.012.500</w:t>
            </w:r>
          </w:p>
        </w:tc>
        <w:tc>
          <w:tcPr>
            <w:tcW w:w="2322" w:type="dxa"/>
          </w:tcPr>
          <w:p w:rsidR="00AC0832" w:rsidRDefault="00AC0832">
            <w:pPr>
              <w:pStyle w:val="CellColumn"/>
            </w:pPr>
            <w:r>
              <w:t>13.427.258</w:t>
            </w:r>
          </w:p>
        </w:tc>
        <w:tc>
          <w:tcPr>
            <w:tcW w:w="2322" w:type="dxa"/>
          </w:tcPr>
          <w:p w:rsidR="00AC0832" w:rsidRDefault="00AC0832">
            <w:pPr>
              <w:pStyle w:val="CellColumn"/>
            </w:pPr>
            <w:r>
              <w:t>95,8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Najveći rashodi na ovoj aktivnosti odnose se na troškove goriva za službene brodove i brodice lučkih kapetanija utrošenih tijekom inspekcijskog nadzora sigurnosti plovidbe i akcija traganja i spašavanja na moru te na naknade za rad ispitnih povjerenstava za izdavanja svjedodžbi i uvjerenja o osposobljenosti pomoraca. Tijekom 2012. godine obavljeno je 425 intervencija traganja i spašavanja tijekom kojih je spašeno 679 osoba i 172 plovna objekta. U istom periodu obavljeno je i 3.512 inspekcijskih pregleda na moru.</w:t>
      </w:r>
    </w:p>
    <w:p w:rsidR="00AC0832" w:rsidRDefault="00AC0832">
      <w:pPr>
        <w:pStyle w:val="Heading6"/>
      </w:pPr>
      <w:r>
        <w:t>A570219 SANACIJA I REKONSTRUKCIJA OBJEKATA PODGRADNJE U LUKAMA OTVORENIM ZA JAVNI PROMET OD ŽUPANIJSKOG I LOKALNOG ZNAČAJA TE MODERNIZACIJA, OBNOVA I IZGRADNJA RIBARSKE INFRASTRUKTURE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A570219-SANACIJA I REKONSTRUKCIJA OBJEKATA PODGRADNJE U LUKAMA OTVORENIM ZA JAVNI PROMET OD ŽUPANIJSKOG I LOKALNOG ZNAČAJA TE MODERNIZACIJA, OBNOVA I IZGRADNJA RIBARSKE INFRASTRUKTURE</w:t>
            </w:r>
          </w:p>
        </w:tc>
        <w:tc>
          <w:tcPr>
            <w:tcW w:w="2322" w:type="dxa"/>
          </w:tcPr>
          <w:p w:rsidR="00AC0832" w:rsidRDefault="00AC0832">
            <w:pPr>
              <w:pStyle w:val="CellColumn"/>
            </w:pPr>
            <w:r>
              <w:t>26.500.000</w:t>
            </w:r>
          </w:p>
        </w:tc>
        <w:tc>
          <w:tcPr>
            <w:tcW w:w="2322" w:type="dxa"/>
          </w:tcPr>
          <w:p w:rsidR="00AC0832" w:rsidRDefault="00AC0832">
            <w:pPr>
              <w:pStyle w:val="CellColumn"/>
            </w:pPr>
            <w:r>
              <w:t>26.392.542</w:t>
            </w:r>
          </w:p>
        </w:tc>
        <w:tc>
          <w:tcPr>
            <w:tcW w:w="2322" w:type="dxa"/>
          </w:tcPr>
          <w:p w:rsidR="00AC0832" w:rsidRDefault="00AC0832">
            <w:pPr>
              <w:pStyle w:val="CellColumn"/>
            </w:pPr>
            <w:r>
              <w:t>99,6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Iz  proračunske stavke sufinancirana je osnovna infrastruktura važnijih građevina u lukama otvorenim za javni promet od županijskog i lokalnog značaja s ciljem razvoja i modernizacije pomorskog linijskog prometa tj. povećanje sigurnosti i unapređenje kvalitete javnog pomorskog prijevoza na povezivanju otoka s kopnom i otoka međusobno. </w:t>
      </w:r>
    </w:p>
    <w:p w:rsidR="00AC0832" w:rsidRDefault="00AC0832">
      <w:pPr>
        <w:pStyle w:val="Normal6"/>
      </w:pPr>
      <w:r>
        <w:t xml:space="preserve">U 2012. godini od strane ovog Ministarstva sufinancirano je 12 projekta (građevina) u nadležnosti županijskih lučkih uprava i to: </w:t>
      </w:r>
    </w:p>
    <w:p w:rsidR="00AC0832" w:rsidRDefault="00AC0832">
      <w:pPr>
        <w:pStyle w:val="Normal6"/>
      </w:pPr>
      <w:r>
        <w:t>1.</w:t>
      </w:r>
      <w:r>
        <w:tab/>
        <w:t xml:space="preserve">Izgradnja trajektnog pristaništa Stinica, I.faza, LU Senj  </w:t>
      </w:r>
    </w:p>
    <w:p w:rsidR="00AC0832" w:rsidRDefault="00AC0832">
      <w:pPr>
        <w:pStyle w:val="Normal6"/>
      </w:pPr>
      <w:r>
        <w:t>2.</w:t>
      </w:r>
      <w:r>
        <w:tab/>
        <w:t xml:space="preserve">Sufinanciranje dogradnje luke Ilovik, otok Ilovik, ŽLU Mali Lošinj  </w:t>
      </w:r>
    </w:p>
    <w:p w:rsidR="00AC0832" w:rsidRDefault="00AC0832">
      <w:pPr>
        <w:pStyle w:val="Normal6"/>
      </w:pPr>
      <w:r>
        <w:t>3.</w:t>
      </w:r>
      <w:r>
        <w:tab/>
        <w:t xml:space="preserve">Rekonstrukcija i proširenje luke Mišnjak, otok Rab, ŽLU Rab  </w:t>
      </w:r>
    </w:p>
    <w:p w:rsidR="00AC0832" w:rsidRDefault="00AC0832">
      <w:pPr>
        <w:pStyle w:val="Normal6"/>
      </w:pPr>
      <w:r>
        <w:t>4.</w:t>
      </w:r>
      <w:r>
        <w:tab/>
        <w:t xml:space="preserve">Rekonstrukcija trajektnog pristaništa u luci Sobra, otok Mljet, LU DNŽ  </w:t>
      </w:r>
    </w:p>
    <w:p w:rsidR="00AC0832" w:rsidRDefault="00AC0832">
      <w:pPr>
        <w:pStyle w:val="Normal6"/>
      </w:pPr>
      <w:r>
        <w:t>5.</w:t>
      </w:r>
      <w:r>
        <w:tab/>
        <w:t xml:space="preserve">Glavni lukobran luke Makarska, LU DNŽ  </w:t>
      </w:r>
    </w:p>
    <w:p w:rsidR="00AC0832" w:rsidRDefault="00AC0832">
      <w:pPr>
        <w:pStyle w:val="Normal6"/>
      </w:pPr>
      <w:r>
        <w:t>6.</w:t>
      </w:r>
      <w:r>
        <w:tab/>
        <w:t xml:space="preserve">Sufinanciranje izrade projektno-tehničke dokumentacije za I.fazu izgradnje luke Tkon, otok Pašman, ŽLU Zadar.  </w:t>
      </w:r>
    </w:p>
    <w:p w:rsidR="00AC0832" w:rsidRDefault="00AC0832">
      <w:pPr>
        <w:pStyle w:val="Normal6"/>
      </w:pPr>
      <w:r>
        <w:t>7.</w:t>
      </w:r>
      <w:r>
        <w:tab/>
        <w:t xml:space="preserve">Produžetak pristanišnog mula u luci Martinšćica, otok Cres, ŽLU Cres  </w:t>
      </w:r>
    </w:p>
    <w:p w:rsidR="00AC0832" w:rsidRDefault="00AC0832">
      <w:pPr>
        <w:pStyle w:val="Normal6"/>
      </w:pPr>
      <w:r>
        <w:t>8.</w:t>
      </w:r>
      <w:r>
        <w:tab/>
        <w:t xml:space="preserve">Rekonstrukcija rive „Cons“ u Cresu, otok Cres, ŽLU Cres  </w:t>
      </w:r>
    </w:p>
    <w:p w:rsidR="00AC0832" w:rsidRDefault="00AC0832">
      <w:pPr>
        <w:pStyle w:val="Normal6"/>
      </w:pPr>
      <w:r>
        <w:t>9.</w:t>
      </w:r>
      <w:r>
        <w:tab/>
        <w:t xml:space="preserve">Dogradnja trajektnog pristaništa Valbiska, otok Krk, ŽLU Krk  </w:t>
      </w:r>
    </w:p>
    <w:p w:rsidR="00AC0832" w:rsidRDefault="00AC0832">
      <w:pPr>
        <w:pStyle w:val="Normal6"/>
      </w:pPr>
      <w:r>
        <w:t>10.</w:t>
      </w:r>
      <w:r>
        <w:tab/>
        <w:t xml:space="preserve">Sufinanciranje izrade projektne dokumentacije za luku Opatija, ŽLU Opatija  </w:t>
      </w:r>
    </w:p>
    <w:p w:rsidR="00AC0832" w:rsidRDefault="00AC0832">
      <w:pPr>
        <w:pStyle w:val="Normal6"/>
      </w:pPr>
      <w:r>
        <w:t>11.</w:t>
      </w:r>
      <w:r>
        <w:tab/>
        <w:t xml:space="preserve">Izgradnja lukobrana Njivice, otok Krk, ŽLU Krk  </w:t>
      </w:r>
    </w:p>
    <w:p w:rsidR="00AC0832" w:rsidRDefault="00AC0832">
      <w:pPr>
        <w:pStyle w:val="Normal6"/>
      </w:pPr>
      <w:r>
        <w:t>12.</w:t>
      </w:r>
      <w:r>
        <w:tab/>
        <w:t>Sanacija ribarske luke Rogoznica, LU ŠKŽ</w:t>
      </w:r>
    </w:p>
    <w:p w:rsidR="00AC0832" w:rsidRDefault="00AC0832">
      <w:pPr>
        <w:pStyle w:val="Heading6"/>
      </w:pPr>
      <w:r>
        <w:t>A570288 POTICANJE GRADNJE BRODOVA ZA HRVATSKE BRODARE TE IZGRADNJA I REKONSTRUKCIJA PLOVNIH OBJEKATA U HRVATSKIM BRODOGRADILIŠTIMA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1"/>
        <w:gridCol w:w="2308"/>
        <w:gridCol w:w="2308"/>
        <w:gridCol w:w="2311"/>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A570288-POTICANJE GRADNJE BRODOVA ZA HRVATSKE BRODARE TE IZGRADNJA I REKONSTRUKCIJA PLOVNIH OBJEKATA U HRVATSKIM BRODOGRADILIŠTIMA</w:t>
            </w:r>
          </w:p>
        </w:tc>
        <w:tc>
          <w:tcPr>
            <w:tcW w:w="2322" w:type="dxa"/>
          </w:tcPr>
          <w:p w:rsidR="00AC0832" w:rsidRDefault="00AC0832">
            <w:pPr>
              <w:pStyle w:val="CellColumn"/>
            </w:pPr>
            <w:r>
              <w:t>38.800.000</w:t>
            </w:r>
          </w:p>
        </w:tc>
        <w:tc>
          <w:tcPr>
            <w:tcW w:w="2322" w:type="dxa"/>
          </w:tcPr>
          <w:p w:rsidR="00AC0832" w:rsidRDefault="00AC0832">
            <w:pPr>
              <w:pStyle w:val="CellColumn"/>
            </w:pPr>
            <w:r>
              <w:t>38.143.462</w:t>
            </w:r>
          </w:p>
        </w:tc>
        <w:tc>
          <w:tcPr>
            <w:tcW w:w="2322" w:type="dxa"/>
          </w:tcPr>
          <w:p w:rsidR="00AC0832" w:rsidRDefault="00AC0832">
            <w:pPr>
              <w:pStyle w:val="CellColumn"/>
            </w:pPr>
            <w:r>
              <w:t>98,3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Proračunska aktivnost obuhvaća dva Programa: </w:t>
      </w:r>
    </w:p>
    <w:p w:rsidR="00AC0832" w:rsidRDefault="00AC0832">
      <w:pPr>
        <w:pStyle w:val="Normal6"/>
      </w:pPr>
      <w:r>
        <w:t xml:space="preserve">1)  Program gradnje brodova za hrvatske brodare do 2011. godine (izvršenje za 2012.g. - 34.500.000 kuna) i </w:t>
      </w:r>
    </w:p>
    <w:p w:rsidR="00AC0832" w:rsidRDefault="00AC0832">
      <w:pPr>
        <w:pStyle w:val="Normal6"/>
      </w:pPr>
      <w:r>
        <w:t xml:space="preserve">2)  Program izgradnje i rekonstrukcije putničke i izletničke flote za potrebe hrvatskih privatnih brodara – malih poduzetnika za razdoblje 2010.-2012. godine (izvršenje za 2012. godinu   – 3.643.461,65 kuna). </w:t>
      </w:r>
    </w:p>
    <w:p w:rsidR="00AC0832" w:rsidRDefault="00AC0832">
      <w:pPr>
        <w:pStyle w:val="Normal6"/>
      </w:pPr>
      <w:r>
        <w:t xml:space="preserve">1.  Program gradnje brodova za hrvatske brodare do 2011. godine. </w:t>
      </w:r>
    </w:p>
    <w:p w:rsidR="00AC0832" w:rsidRDefault="00AC0832">
      <w:pPr>
        <w:pStyle w:val="Normal6"/>
      </w:pPr>
      <w:r>
        <w:tab/>
        <w:t xml:space="preserve">Po predmetnom Programu utrošena su sredstva državne potpore u ukupno planiranom iznosu od 34.500.000 kuna, čime  su rezultati  u potpunosti ostvareni u 2012. godini (Indeks 100,00). Temeljem sklopljenih Sporazuma o uređenju međusobnih odnosa između Ministarstva pomorstva, prometa i infrastrukture i Jadroplova d.d., Split kao i između Ministarstva pomorstva, prometa i infrastrukture i Tankerske plovidbe d.d., Zadar (u listopadu i prosincu 2012. godine), a koji se  odnose na nastavak provedbe Programa gradnje brodova za hrvatske brodare do 2011. godine koji je donesen temeljem Zaključka Vlade RH od 22. siječnja  2009. godine, podmirena su u 2012. godini  od strane ovoga Ministarstva potraživanja  po osnovi neisplaćene pripadajuće državne potpore, temeljem Ugovora o potpori za gradnju broda, brodaru Jadroplov d.d., Split za gradnju Nov. 466 „Peristil“ i Nov. 467 „Sv. Dujam“ u ukupnom iznosu od 16.500.00,00 kuna, te temeljem Ugovora o potpori za gradnju broda, brodaru Tankerskoj plovidbi d.d., Zadar za gradnju Nov. 460 „Dugi Otok“ i Nov. 461 „Olib“ u iznosu od 18.000.000,00 kuna.  Od ukupno 11 planiranih novogradnji temeljem Programa, do konca 2012. godine izgrađeno je i  isporučeno Brodarima svih  11 brodova i to za potrebe Tankerske plovidbe d.d. Zadar, četiri, za potrebe Uljanik plovidbe d.d. Pula četiri tankera, za potrebe Jadroplova d.d. Split dva broda za rasute terete, te za Jadranski pomorski servis jedna teglenica. </w:t>
      </w:r>
    </w:p>
    <w:p w:rsidR="00AC0832" w:rsidRDefault="00AC0832">
      <w:pPr>
        <w:pStyle w:val="Normal6"/>
      </w:pPr>
      <w:r>
        <w:t>2.  Programom izgradnje i rekonstrukcije putničke i izletničke flote za potrebe hrvatskih privatnih brodara – malih poduzetnika za razdoblje 2010.-2012. godine, realizirana su sredstva u ukupnom iznosu od 3.643.461,65 kuna, i to kao poticajna državna sredstva za gradnju trupa i rekonstrukciju postojećih brodova / brodica u domaćim brodogradilištima. Ukupno utrošena sredstva u 2012. godini namijenjena su kao sredstva državne potpore brodarima za gradnju trupa broda (10)  i  za rekonstrukciju 3 plovila (2 broda  i 1  brodicu), čime se nastavilo s provedbom u skladu s ciljevima iz Strateškog plana Ministarstva pomorstva, prometa i infrastrukture za razdoblje  2012. – 2014.godine, te se isto odnosi na cilj jačanja hrvatskih brodara kako bi mogli biti spremni i konkurirati na Jadranu stranim brodarima kada Republika Hrvatska postane punopravna članica Europske Unije, te kada isteknu prijelazna razdoblja za otvaranje tržišta u nacionalnom pomorskom prometu (odgoda primjene kabotaže za male brodare – izletnička flota je do 31. prosinca 2014.).</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2"/>
        <w:gridCol w:w="1573"/>
        <w:gridCol w:w="1173"/>
        <w:gridCol w:w="1217"/>
        <w:gridCol w:w="1205"/>
        <w:gridCol w:w="1217"/>
        <w:gridCol w:w="1241"/>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Izgrađenost tankera/brodova za rasute terete</w:t>
            </w:r>
          </w:p>
        </w:tc>
        <w:tc>
          <w:tcPr>
            <w:tcW w:w="1300" w:type="dxa"/>
          </w:tcPr>
          <w:p w:rsidR="00AC0832" w:rsidRDefault="00AC0832">
            <w:pPr>
              <w:pStyle w:val="CellColumn"/>
            </w:pPr>
            <w:r>
              <w:t xml:space="preserve">Povećanjem </w:t>
            </w:r>
          </w:p>
          <w:p w:rsidR="00AC0832" w:rsidRDefault="00AC0832">
            <w:pPr>
              <w:pStyle w:val="CellColumn"/>
            </w:pPr>
            <w:r>
              <w:t xml:space="preserve">broja </w:t>
            </w:r>
          </w:p>
          <w:p w:rsidR="00AC0832" w:rsidRDefault="00AC0832">
            <w:pPr>
              <w:pStyle w:val="CellColumn"/>
            </w:pPr>
            <w:r>
              <w:t xml:space="preserve">novoizgrađenih </w:t>
            </w:r>
          </w:p>
          <w:p w:rsidR="00AC0832" w:rsidRDefault="00AC0832">
            <w:pPr>
              <w:pStyle w:val="CellColumn"/>
            </w:pPr>
            <w:r>
              <w:t xml:space="preserve">tankera / brodova za </w:t>
            </w:r>
          </w:p>
          <w:p w:rsidR="00AC0832" w:rsidRDefault="00AC0832">
            <w:pPr>
              <w:pStyle w:val="CellColumn"/>
            </w:pPr>
            <w:r>
              <w:t xml:space="preserve">rasute </w:t>
            </w:r>
          </w:p>
          <w:p w:rsidR="00AC0832" w:rsidRDefault="00AC0832">
            <w:pPr>
              <w:pStyle w:val="CellColumn"/>
            </w:pPr>
            <w:r>
              <w:t xml:space="preserve">terete </w:t>
            </w:r>
          </w:p>
          <w:p w:rsidR="00AC0832" w:rsidRDefault="00AC0832">
            <w:pPr>
              <w:pStyle w:val="CellColumn"/>
            </w:pPr>
            <w:r>
              <w:t xml:space="preserve">smanjit će </w:t>
            </w:r>
          </w:p>
          <w:p w:rsidR="00AC0832" w:rsidRDefault="00AC0832">
            <w:pPr>
              <w:pStyle w:val="CellColumn"/>
            </w:pPr>
            <w:r>
              <w:t xml:space="preserve">se rizik od </w:t>
            </w:r>
          </w:p>
          <w:p w:rsidR="00AC0832" w:rsidRDefault="00AC0832">
            <w:pPr>
              <w:pStyle w:val="CellColumn"/>
            </w:pPr>
            <w:r>
              <w:t xml:space="preserve">onečišćenja </w:t>
            </w:r>
          </w:p>
          <w:p w:rsidR="00AC0832" w:rsidRDefault="00AC0832">
            <w:pPr>
              <w:pStyle w:val="CellColumn"/>
            </w:pPr>
            <w:r>
              <w:t>mora</w:t>
            </w:r>
          </w:p>
        </w:tc>
        <w:tc>
          <w:tcPr>
            <w:tcW w:w="1300" w:type="dxa"/>
          </w:tcPr>
          <w:p w:rsidR="00AC0832" w:rsidRDefault="00AC0832">
            <w:pPr>
              <w:pStyle w:val="CellColumn"/>
            </w:pPr>
            <w:r>
              <w:t>broj</w:t>
            </w:r>
          </w:p>
        </w:tc>
        <w:tc>
          <w:tcPr>
            <w:tcW w:w="1300" w:type="dxa"/>
          </w:tcPr>
          <w:p w:rsidR="00AC0832" w:rsidRDefault="00AC0832">
            <w:pPr>
              <w:pStyle w:val="CellColumn"/>
            </w:pPr>
            <w:r>
              <w:t>10</w:t>
            </w:r>
          </w:p>
        </w:tc>
        <w:tc>
          <w:tcPr>
            <w:tcW w:w="1300" w:type="dxa"/>
          </w:tcPr>
          <w:p w:rsidR="00AC0832" w:rsidRDefault="00AC0832">
            <w:pPr>
              <w:pStyle w:val="CellColumn"/>
            </w:pPr>
            <w:r>
              <w:t>MPPI</w:t>
            </w:r>
          </w:p>
        </w:tc>
        <w:tc>
          <w:tcPr>
            <w:tcW w:w="1300" w:type="dxa"/>
          </w:tcPr>
          <w:p w:rsidR="00AC0832" w:rsidRDefault="00AC0832">
            <w:pPr>
              <w:pStyle w:val="CellColumn"/>
            </w:pPr>
            <w:r>
              <w:t>11</w:t>
            </w:r>
          </w:p>
        </w:tc>
        <w:tc>
          <w:tcPr>
            <w:tcW w:w="1300" w:type="dxa"/>
          </w:tcPr>
          <w:p w:rsidR="00AC0832" w:rsidRDefault="00AC0832">
            <w:pPr>
              <w:pStyle w:val="CellColumn"/>
            </w:pPr>
            <w:r>
              <w:t>11</w:t>
            </w:r>
          </w:p>
        </w:tc>
      </w:tr>
    </w:tbl>
    <w:p w:rsidR="00AC0832" w:rsidRDefault="00AC0832">
      <w:pPr>
        <w:jc w:val="left"/>
      </w:pPr>
    </w:p>
    <w:p w:rsidR="00AC0832" w:rsidRDefault="00AC0832">
      <w:pPr>
        <w:pStyle w:val="Heading6"/>
      </w:pPr>
      <w:r>
        <w:t>A570293 POTPORA LUČKOJ UPRAVI RIJEKA ZA VRAĆANJE OBVEZA PO ZAJMU EDCF - PROJEKT "SAMSUNG"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A570293-POTPORA LUČKOJ UPRAVI RIJEKA ZA VRAĆANJE OBVEZA PO ZAJMU EDCF - PROJEKT "SAMSUNG"</w:t>
            </w:r>
          </w:p>
        </w:tc>
        <w:tc>
          <w:tcPr>
            <w:tcW w:w="2322" w:type="dxa"/>
          </w:tcPr>
          <w:p w:rsidR="00AC0832" w:rsidRDefault="00AC0832">
            <w:pPr>
              <w:pStyle w:val="CellColumn"/>
            </w:pPr>
            <w:r>
              <w:t>5.000.000</w:t>
            </w:r>
          </w:p>
        </w:tc>
        <w:tc>
          <w:tcPr>
            <w:tcW w:w="2322" w:type="dxa"/>
          </w:tcPr>
          <w:p w:rsidR="00AC0832" w:rsidRDefault="00AC0832">
            <w:pPr>
              <w:pStyle w:val="CellColumn"/>
            </w:pPr>
            <w:r>
              <w:t>5.000.000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Predviđena sredstva u 2012. godini utrošena su za sufinanciranje obaveza po Zajmu Fonda gospodarskog razvitka i suradnje (EDCF) u cilju realizacije Projekta „Samsung“ – modernizacije Luke Rijeka vezano za nabavu lučke opreme za terminal za rasute terete u Bakru i kontejnerski terminal Brajdica. </w:t>
      </w:r>
    </w:p>
    <w:p w:rsidR="00AC0832" w:rsidRDefault="00AC0832">
      <w:pPr>
        <w:pStyle w:val="Normal6"/>
      </w:pPr>
      <w:r>
        <w:t>Projekt je nastavak potpore iz Proračuna RH na izgradnji  lučke infrastrukture u luci Rijeka s ciljem povećanja prometa i kapaciteta rasutih tereta i kontejnerskog prijevoza predmetne luke.</w:t>
      </w:r>
    </w:p>
    <w:p w:rsidR="00AC0832" w:rsidRDefault="00AC0832">
      <w:pPr>
        <w:pStyle w:val="Heading6"/>
      </w:pPr>
      <w:r>
        <w:t>A570294 POTPORA LUČKOJ UPRAVI RIJEKA ZA REALIZACIJU ZAJMA SVJETSKE BANKE (IBRD) - PROJEKT OBNOVE RIJEČKOG PROMETNOG PRAVCA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A570294-POTPORA LUČKOJ UPRAVI RIJEKA ZA REALIZACIJU ZAJMA SVJETSKE BANKE (IBRD) - PROJEKT OBNOVE RIJEČKOG PROMETNOG PRAVCA</w:t>
            </w:r>
          </w:p>
        </w:tc>
        <w:tc>
          <w:tcPr>
            <w:tcW w:w="2322" w:type="dxa"/>
          </w:tcPr>
          <w:p w:rsidR="00AC0832" w:rsidRDefault="00AC0832">
            <w:pPr>
              <w:pStyle w:val="CellColumn"/>
            </w:pPr>
            <w:r>
              <w:t>53.290.000</w:t>
            </w:r>
          </w:p>
        </w:tc>
        <w:tc>
          <w:tcPr>
            <w:tcW w:w="2322" w:type="dxa"/>
          </w:tcPr>
          <w:p w:rsidR="00AC0832" w:rsidRDefault="00AC0832">
            <w:pPr>
              <w:pStyle w:val="CellColumn"/>
            </w:pPr>
            <w:r>
              <w:t>47.751.393</w:t>
            </w:r>
          </w:p>
        </w:tc>
        <w:tc>
          <w:tcPr>
            <w:tcW w:w="2322" w:type="dxa"/>
          </w:tcPr>
          <w:p w:rsidR="00AC0832" w:rsidRDefault="00AC0832">
            <w:pPr>
              <w:pStyle w:val="CellColumn"/>
            </w:pPr>
            <w:r>
              <w:t>89,6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Ukupno povučena sredstva Državnog proračuna RH po aktivnosti A570294 na računu 3811 – tekuće donacije iznosila su 47.546.318,16 kn, dok je višak doznačenih sredstava u iznosu od 710.495,23 kn vraćen u Državni proračun u siječnju 2013. godine. Na računu 3821 – kapitalne donacije iskorištena su sredstva u iznosu od 225.488,71 kn. Sredstva kapitalnih donacija odobrena u iznosu od 4.500.000,00 kuna korištena su za plaćanje dospjelih obveza za izvršene radove i usluge nakon 30. rujna 2012.godine kada je istekao rok korištenja zajma br. 47151 HR. Radovi i usluge izvršeni u okviru projekta nakon 30.rujna 2012.godine financiraju se iz IBRD zajma br. 7638 HR po kojemu domaće učešće iznosi 5%. Po toj osnovi je iz Državnog proračuna RH povučeno i isplaćeno dobavljačima ukupno 225.488,71 kn. Obzirom na istek roka korištenja dodatnog zajma br. 47151 HR, preostali saldo na kunskom projektnom računu u iznosu od 20.413,48 kn vraćen je u korist Državnog proračuna RH u prosincu 2012.godine. Radi se o sredstvima koja su isplaćena iz Državnog proračuna RH ranijih godina (2009,2010)  kao domaće učešće u projektu za realizaciju zajma br. 47151 HR.</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0"/>
        <w:gridCol w:w="1539"/>
        <w:gridCol w:w="1217"/>
        <w:gridCol w:w="1246"/>
        <w:gridCol w:w="1238"/>
        <w:gridCol w:w="1246"/>
        <w:gridCol w:w="126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Izgrađenost infrastrukturnih objekata u luci Rijeka</w:t>
            </w:r>
          </w:p>
        </w:tc>
        <w:tc>
          <w:tcPr>
            <w:tcW w:w="1300" w:type="dxa"/>
          </w:tcPr>
          <w:p w:rsidR="00AC0832" w:rsidRDefault="00AC0832">
            <w:pPr>
              <w:pStyle w:val="CellColumn"/>
            </w:pPr>
            <w:r>
              <w:t>Stupanj izgrađenosti infrastrukturnih objekata u luci Rijeka</w:t>
            </w:r>
          </w:p>
        </w:tc>
        <w:tc>
          <w:tcPr>
            <w:tcW w:w="1300" w:type="dxa"/>
          </w:tcPr>
          <w:p w:rsidR="00AC0832" w:rsidRDefault="00AC0832">
            <w:pPr>
              <w:pStyle w:val="CellColumn"/>
            </w:pPr>
            <w:r>
              <w:t>%</w:t>
            </w:r>
          </w:p>
        </w:tc>
        <w:tc>
          <w:tcPr>
            <w:tcW w:w="1300" w:type="dxa"/>
          </w:tcPr>
          <w:p w:rsidR="00AC0832" w:rsidRDefault="00AC0832">
            <w:pPr>
              <w:pStyle w:val="CellColumn"/>
            </w:pPr>
            <w:r>
              <w:t>30,0</w:t>
            </w:r>
          </w:p>
        </w:tc>
        <w:tc>
          <w:tcPr>
            <w:tcW w:w="1300" w:type="dxa"/>
          </w:tcPr>
          <w:p w:rsidR="00AC0832" w:rsidRDefault="00AC0832">
            <w:pPr>
              <w:pStyle w:val="CellColumn"/>
            </w:pPr>
            <w:r>
              <w:t>MPPI</w:t>
            </w:r>
          </w:p>
        </w:tc>
        <w:tc>
          <w:tcPr>
            <w:tcW w:w="1300" w:type="dxa"/>
          </w:tcPr>
          <w:p w:rsidR="00AC0832" w:rsidRDefault="00AC0832">
            <w:pPr>
              <w:pStyle w:val="CellColumn"/>
            </w:pPr>
            <w:r>
              <w:t>49,4</w:t>
            </w:r>
          </w:p>
        </w:tc>
        <w:tc>
          <w:tcPr>
            <w:tcW w:w="1300" w:type="dxa"/>
          </w:tcPr>
          <w:p w:rsidR="00AC0832" w:rsidRDefault="00AC0832">
            <w:pPr>
              <w:pStyle w:val="CellColumn"/>
            </w:pPr>
            <w:r>
              <w:t>42,74</w:t>
            </w:r>
          </w:p>
        </w:tc>
      </w:tr>
    </w:tbl>
    <w:p w:rsidR="00AC0832" w:rsidRDefault="00AC0832">
      <w:pPr>
        <w:jc w:val="left"/>
      </w:pPr>
    </w:p>
    <w:p w:rsidR="00AC0832" w:rsidRDefault="00AC0832">
      <w:pPr>
        <w:pStyle w:val="Heading6"/>
      </w:pPr>
    </w:p>
    <w:p w:rsidR="00AC0832" w:rsidRDefault="00AC0832">
      <w:pPr>
        <w:pStyle w:val="Heading6"/>
      </w:pPr>
      <w:r>
        <w:t>A570348 UTVRĐIVANJE I PROVEDBA GRANICA POMORSKOG DOBRA S IZVLAŠTENJEM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A570348-UTVRĐIVANJE I PROVEDBA GRANICA POMORSKOG DOBRA S IZVLAŠTENJEM</w:t>
            </w:r>
          </w:p>
        </w:tc>
        <w:tc>
          <w:tcPr>
            <w:tcW w:w="2322" w:type="dxa"/>
          </w:tcPr>
          <w:p w:rsidR="00AC0832" w:rsidRDefault="00AC0832">
            <w:pPr>
              <w:pStyle w:val="CellColumn"/>
            </w:pPr>
            <w:r>
              <w:t>900.000</w:t>
            </w:r>
          </w:p>
        </w:tc>
        <w:tc>
          <w:tcPr>
            <w:tcW w:w="2322" w:type="dxa"/>
          </w:tcPr>
          <w:p w:rsidR="00AC0832" w:rsidRDefault="00AC0832">
            <w:pPr>
              <w:pStyle w:val="CellColumn"/>
            </w:pPr>
            <w:r>
              <w:t>233.001</w:t>
            </w:r>
          </w:p>
        </w:tc>
        <w:tc>
          <w:tcPr>
            <w:tcW w:w="2322" w:type="dxa"/>
          </w:tcPr>
          <w:p w:rsidR="00AC0832" w:rsidRDefault="00AC0832">
            <w:pPr>
              <w:pStyle w:val="CellColumn"/>
            </w:pPr>
            <w:r>
              <w:t>25,9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Proračunska sredstva s ove Aktivnost su realizirana u iznosu od 65.716,36 kn na intelektualne usluge temeljem sklopljenih ugovora o djelu; u iznosu od 80.097,08 kn za naknade štete pravnim i fizičkim osobama; u iznosu od 87.187,50 kn za izradu Kataloga kriterija sa obrascima natječajne dokumentacije za dodjelu koncesija na pomorskom dobru u svrhu izgradnje i gospodarskog korištenja luka posebne namjene. Sredstva za tekuće pomoći unutar općeg proračuna nisu iskorištena obzirom da se jedino Šibensko-kninska županija obratila za sufinanciranje, međutim radi problema sa provedbom postupka javne nabave, isto sufinanciranje nije izvršeno. Druge županije nisu iskazale interes za sufinanciranje.</w:t>
      </w:r>
    </w:p>
    <w:p w:rsidR="00AC0832" w:rsidRDefault="00AC0832">
      <w:pPr>
        <w:pStyle w:val="Heading6"/>
      </w:pPr>
      <w:r>
        <w:t>A570464 POTPORA LUČKOJ UPRAVI DUBROVNIK ZA REALIZACIJU ZAJMA EBRD-PROJEKT IZGRADNJE LUČKE INFRASTRUKTURE-DOMAĆA KOMPONENTA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A570464-POTPORA LUČKOJ UPRAVI DUBROVNIK ZA REALIZACIJU ZAJMA EBRD-PROJEKT IZGRADNJE LUČKE INFRASTRUKTURE-DOMAĆA KOMPONENTA</w:t>
            </w:r>
          </w:p>
        </w:tc>
        <w:tc>
          <w:tcPr>
            <w:tcW w:w="2322" w:type="dxa"/>
          </w:tcPr>
          <w:p w:rsidR="00AC0832" w:rsidRDefault="00AC0832">
            <w:pPr>
              <w:pStyle w:val="CellColumn"/>
            </w:pPr>
            <w:r>
              <w:t>16.000.000</w:t>
            </w:r>
          </w:p>
        </w:tc>
        <w:tc>
          <w:tcPr>
            <w:tcW w:w="2322" w:type="dxa"/>
          </w:tcPr>
          <w:p w:rsidR="00AC0832" w:rsidRDefault="00AC0832">
            <w:pPr>
              <w:pStyle w:val="CellColumn"/>
            </w:pPr>
            <w:r>
              <w:t>16.000.000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Predviđena sredstva u 2012. godini utrošena su za sufinanciranje  potpore za otplatu Zajma Europske banke za obnovu   i razvoj (glavnice i kamata) s ciljem realizacije Projekta rekonstrukcije i izgradnje lučke infrastrukture u luci Dubrovnik. </w:t>
      </w:r>
    </w:p>
    <w:p w:rsidR="00AC0832" w:rsidRDefault="00AC0832">
      <w:pPr>
        <w:pStyle w:val="Normal6"/>
      </w:pPr>
      <w:r>
        <w:t>Projekt je nastavak potpore iz Proračuna RH na izgradnji  lučke infrastrukture u luci Dubrovnik s ciljem povećanja prometa prijevoza predmetne luke nakon što sva potrebna infrastruktura bude izgrađena.</w:t>
      </w:r>
    </w:p>
    <w:p w:rsidR="00AC0832" w:rsidRDefault="00AC0832">
      <w:pPr>
        <w:pStyle w:val="Heading6"/>
      </w:pPr>
      <w:r>
        <w:t>A570482 STIPENDIRANJE REDOVITIH UČENIKA I STUDENATA SREDNJIH POMORSKIH ŠKOLA I POMORSKIH FAKULTETA, TE VJEŽBENIČKOG STAŽA POMORACA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A570482-STIPENDIRANJE REDOVITIH UČENIKA I STUDENATA SREDNJIH POMORSKIH ŠKOLA I POMORSKIH FAKULTETA, TE VJEŽBENIČKOG STAŽA POMORACA</w:t>
            </w:r>
          </w:p>
        </w:tc>
        <w:tc>
          <w:tcPr>
            <w:tcW w:w="2322" w:type="dxa"/>
          </w:tcPr>
          <w:p w:rsidR="00AC0832" w:rsidRDefault="00AC0832">
            <w:pPr>
              <w:pStyle w:val="CellColumn"/>
            </w:pPr>
            <w:r>
              <w:t>5.670.000</w:t>
            </w:r>
          </w:p>
        </w:tc>
        <w:tc>
          <w:tcPr>
            <w:tcW w:w="2322" w:type="dxa"/>
          </w:tcPr>
          <w:p w:rsidR="00AC0832" w:rsidRDefault="00AC0832">
            <w:pPr>
              <w:pStyle w:val="CellColumn"/>
            </w:pPr>
            <w:r>
              <w:t>5.606.400</w:t>
            </w:r>
          </w:p>
        </w:tc>
        <w:tc>
          <w:tcPr>
            <w:tcW w:w="2322" w:type="dxa"/>
          </w:tcPr>
          <w:p w:rsidR="00AC0832" w:rsidRDefault="00AC0832">
            <w:pPr>
              <w:pStyle w:val="CellColumn"/>
            </w:pPr>
            <w:r>
              <w:t>98,9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Financijska sredstva u 2012. godini utrošena su za stipendiranje redovitih učenika i studenata temeljem sklopljenih Ugovora o stipendiranju. Broj pristiglih prijava na Natječaj, koje raspisuje Ministarstvo pomorstva, prometa i infrastrukture, svake godine je u porastu, te je bodovni prag za ulazak na konačnu rang listu za dodjelu stipendija svake godine sve veći. Razvidno je da se povećava broj i kvaliteta osposobljenih pomoraca na pomorskim školama i fakultetima, a što je u skladu sa postavljenim ciljevima cjelokupne pomorske politike definirane i u Strateškom planu 2012-2014. godine. </w:t>
      </w:r>
    </w:p>
    <w:p w:rsidR="00AC0832" w:rsidRDefault="00AC0832">
      <w:pPr>
        <w:pStyle w:val="Normal6"/>
      </w:pPr>
      <w:r>
        <w:t>Ministarstvo trenutno stipendira 483 učenika i studenata od kojih je njih 100 sklopilo Ugovore o stipendiranju s Ministarstvom u 2012. godini.</w:t>
      </w:r>
    </w:p>
    <w:p w:rsidR="00AC0832" w:rsidRDefault="00AC0832">
      <w:pPr>
        <w:pStyle w:val="Heading6"/>
      </w:pPr>
      <w:r>
        <w:t>A570503 POTPORA LUČKOJ UPRAVI PLOČE ZA REALIZACIJU PROJEKTA INTEGRACIJE TRGOVINE I TRANSPORTA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A570503-POTPORA LUČKOJ UPRAVI PLOČE ZA REALIZACIJU PROJEKTA INTEGRACIJE TRGOVINE I TRANSPORTA</w:t>
            </w:r>
          </w:p>
        </w:tc>
        <w:tc>
          <w:tcPr>
            <w:tcW w:w="2322" w:type="dxa"/>
          </w:tcPr>
          <w:p w:rsidR="00AC0832" w:rsidRDefault="00AC0832">
            <w:pPr>
              <w:pStyle w:val="CellColumn"/>
            </w:pPr>
            <w:r>
              <w:t>5.733.080</w:t>
            </w:r>
          </w:p>
        </w:tc>
        <w:tc>
          <w:tcPr>
            <w:tcW w:w="2322" w:type="dxa"/>
          </w:tcPr>
          <w:p w:rsidR="00AC0832" w:rsidRDefault="00AC0832">
            <w:pPr>
              <w:pStyle w:val="CellColumn"/>
            </w:pPr>
            <w:r>
              <w:t>5.540.193</w:t>
            </w:r>
          </w:p>
        </w:tc>
        <w:tc>
          <w:tcPr>
            <w:tcW w:w="2322" w:type="dxa"/>
          </w:tcPr>
          <w:p w:rsidR="00AC0832" w:rsidRDefault="00AC0832">
            <w:pPr>
              <w:pStyle w:val="CellColumn"/>
            </w:pPr>
            <w:r>
              <w:t>96,6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Predviđena sredstva u 2012. godini utrošena su za sufinanciranje obaveza u financiranju Projekta integracije trgovine i transporta za luku Ploče i to: financiranje radova izgradnje Terminala rasutih tereta i Ulaznog terminala kao i pripremnih radova za lučke terminale. </w:t>
      </w:r>
    </w:p>
    <w:p w:rsidR="00AC0832" w:rsidRDefault="00AC0832">
      <w:pPr>
        <w:pStyle w:val="Normal6"/>
      </w:pPr>
      <w:r>
        <w:t xml:space="preserve">Projekt je nastavak potpore iz Proračuna RH na izgradnji  lučke infrastrukture u luci Ploče s ciljem povećanja prometa i kapaciteta rasutih tereta i kontejnerskog prijevoza predmetne luke nakon što sva potrebna infrastruktura bude izgrađena. </w:t>
      </w:r>
    </w:p>
    <w:p w:rsidR="00AC0832" w:rsidRDefault="00AC0832">
      <w:pPr>
        <w:pStyle w:val="Normal6"/>
      </w:pPr>
      <w:r>
        <w:t>Sredstva su trošena sukladno dinamici napredovanja radova u skladu s potpisanim ugovorima s izvođačima radova na predmetnim građevinama.</w:t>
      </w:r>
    </w:p>
    <w:p w:rsidR="00AC0832" w:rsidRDefault="00AC0832">
      <w:pPr>
        <w:pStyle w:val="Heading6"/>
      </w:pPr>
      <w:r>
        <w:t>A587040 POTPORA LUČKOJ UPRAVI ZADAR ZA OTPLATU KREDITA FONDA ZA RAZVOJ  I ZAPOŠLJAVANJE (HPB-a ZAGREB)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A587040-POTPORA LUČKOJ UPRAVI ZADAR ZA OTPLATU KREDITA FONDA ZA RAZVOJ  I ZAPOŠLJAVANJE (HPB-a ZAGREB)</w:t>
            </w:r>
          </w:p>
        </w:tc>
        <w:tc>
          <w:tcPr>
            <w:tcW w:w="2322" w:type="dxa"/>
          </w:tcPr>
          <w:p w:rsidR="00AC0832" w:rsidRDefault="00AC0832">
            <w:pPr>
              <w:pStyle w:val="CellColumn"/>
            </w:pPr>
            <w:r>
              <w:t>3.240.000</w:t>
            </w:r>
          </w:p>
        </w:tc>
        <w:tc>
          <w:tcPr>
            <w:tcW w:w="2322" w:type="dxa"/>
          </w:tcPr>
          <w:p w:rsidR="00AC0832" w:rsidRDefault="00AC0832">
            <w:pPr>
              <w:pStyle w:val="CellColumn"/>
            </w:pPr>
            <w:r>
              <w:t>3.240.000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Predviđena sredstva u 2012. godini utrošena su za sufinanciranje potpore (tromjesečne otplate anuiteta –glavnice i kamata) za otplatu kredita Fonda za razvoj i zapošljavanje  preko Hrvatske poštanske banke-Zagreb, a koja sredstva su korištena za financiranje dovršetka izgradnje lučke infrastrukture na Istarskoj obali u Gradskoj luci Zadar.</w:t>
      </w:r>
    </w:p>
    <w:p w:rsidR="00AC0832" w:rsidRDefault="00AC0832">
      <w:pPr>
        <w:pStyle w:val="Heading6"/>
      </w:pPr>
      <w:r>
        <w:t>A587041 POTICANJE BRODARA U NACIONALNOJ PLOVIDBI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A587041-POTICANJE BRODARA U NACIONALNOJ PLOVIDBI</w:t>
            </w:r>
          </w:p>
        </w:tc>
        <w:tc>
          <w:tcPr>
            <w:tcW w:w="2322" w:type="dxa"/>
          </w:tcPr>
          <w:p w:rsidR="00AC0832" w:rsidRDefault="00AC0832">
            <w:pPr>
              <w:pStyle w:val="CellColumn"/>
            </w:pPr>
            <w:r>
              <w:t>6.000.000</w:t>
            </w:r>
          </w:p>
        </w:tc>
        <w:tc>
          <w:tcPr>
            <w:tcW w:w="2322" w:type="dxa"/>
          </w:tcPr>
          <w:p w:rsidR="00AC0832" w:rsidRDefault="00AC0832">
            <w:pPr>
              <w:pStyle w:val="CellColumn"/>
            </w:pPr>
            <w:r>
              <w:t>5.890.476</w:t>
            </w:r>
          </w:p>
        </w:tc>
        <w:tc>
          <w:tcPr>
            <w:tcW w:w="2322" w:type="dxa"/>
          </w:tcPr>
          <w:p w:rsidR="00AC0832" w:rsidRDefault="00AC0832">
            <w:pPr>
              <w:pStyle w:val="CellColumn"/>
            </w:pPr>
            <w:r>
              <w:t>98,2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Temeljem Programa subvencioniranja razlike u cijeni pogonskog goriva brodarima u nacionalnoj plovidbi, u 2012. godini isplaćena su brodarima (malim privatnim poduzetnicima) sredstva subvencije  za  ukupno 249 plovilo ili u korist 219 brodara.  Na taj način je Plan u 2012. godini u potpunosti realiziran. Realizacijom ovoga Programa u 2012. godini utjecalo  se na smanjenje ukupnih troškova u poslovanju privatnih brodara - poduzetnika, a što je imalo za cilj efikasnije poslovanje, kvalitetnije pružanje usluga i  veću konkurentnost brodara u nacionalnoj plovidbi.  Dosadašnja je  namjena dodjele sredstava potpore  bila  da se tražiteljima potpore - brodari i vlasnici jahti i/ili brodica u nacionalnoj plovidbi omogući nadoknađivanje razlike u cijeni pogonskog goriva između maloprodajne cijene dizelskog goriva i plinskog ulja obojenog plavom bojom.  </w:t>
      </w:r>
    </w:p>
    <w:p w:rsidR="00AC0832" w:rsidRDefault="00AC0832">
      <w:pPr>
        <w:pStyle w:val="Normal6"/>
      </w:pPr>
      <w:r>
        <w:t>Međutim, na početnu inicijativu ovoga Ministarstva, pokrenutu još prethodnih godina, a naročito intenziviranu u 2012. godini, da se kroz novi Zakon o trošarinama omogući oslobođenje od obaveze plaćanja trošarina za energente koji se koriste kao pogonsko gorivo za plovne objekte u pomorskom prometu, odnosno unutarnjoj plovidbi, osim čartera,  dat  je prijedlog Ministarstvu financija kao nosiocu izrade ovoga Zakona, te je isto i prihvaćeno.</w:t>
      </w:r>
    </w:p>
    <w:p w:rsidR="00AC0832" w:rsidRDefault="00AC0832">
      <w:pPr>
        <w:pStyle w:val="Heading6"/>
      </w:pPr>
    </w:p>
    <w:p w:rsidR="00AC0832" w:rsidRDefault="00AC0832">
      <w:pPr>
        <w:pStyle w:val="Heading6"/>
      </w:pPr>
      <w:r>
        <w:t>A810019 POTPORA LUČKOJ UPRAVI ŠIBENIK ZA REALIZACIJU ZAJMA EBRD-PROJEKT MODERNIZACIJE LUČKE INFRASTRUKTURE LUKE ŠIBENIK-DOMAĆA KOMPONENTA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A810019-POTPORA LUČKOJ UPRAVI ŠIBENIK ZA REALIZACIJU ZAJMA EBRD-PROJEKT MODERNIZACIJE LUČKE INFRASTRUKTURE LUKE ŠIBENIK-DOMAĆA KOMPONENTA</w:t>
            </w:r>
          </w:p>
        </w:tc>
        <w:tc>
          <w:tcPr>
            <w:tcW w:w="2322" w:type="dxa"/>
          </w:tcPr>
          <w:p w:rsidR="00AC0832" w:rsidRDefault="00AC0832">
            <w:pPr>
              <w:pStyle w:val="CellColumn"/>
            </w:pPr>
            <w:r>
              <w:t>4.325.000</w:t>
            </w:r>
          </w:p>
        </w:tc>
        <w:tc>
          <w:tcPr>
            <w:tcW w:w="2322" w:type="dxa"/>
          </w:tcPr>
          <w:p w:rsidR="00AC0832" w:rsidRDefault="00AC0832">
            <w:pPr>
              <w:pStyle w:val="CellColumn"/>
            </w:pPr>
            <w:r>
              <w:t>1.239.417</w:t>
            </w:r>
          </w:p>
        </w:tc>
        <w:tc>
          <w:tcPr>
            <w:tcW w:w="2322" w:type="dxa"/>
          </w:tcPr>
          <w:p w:rsidR="00AC0832" w:rsidRDefault="00AC0832">
            <w:pPr>
              <w:pStyle w:val="CellColumn"/>
            </w:pPr>
            <w:r>
              <w:t>28,7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Predviđena sredstva u 2012. godini utrošena su za sufinanciranje obaveza u financiranju  realizacije Zajma Europske banke za obnovu i razvoj (EBRD) tj. otplatu anuiteta – kamata i plaćanja poreza na dodanu vrijednost (PDV) po ispostavljenim mjesečnim situacijama/računima izvođača radova i usluga sa ciljem realizacije Projekta modernizacije infrastrukture u luci Šibenik.   </w:t>
      </w:r>
    </w:p>
    <w:p w:rsidR="00AC0832" w:rsidRDefault="00AC0832">
      <w:pPr>
        <w:pStyle w:val="Normal6"/>
      </w:pPr>
      <w:r>
        <w:t>Planirana sredstva su samo djelomično utrošena jer je izvođač radova na izgradnji objekata na predmetnom Projektu proglasio stečaj te se radovi prekinuti a natječaj za odabir novog izvođača radova i 2012. godini nije proveden.</w:t>
      </w:r>
    </w:p>
    <w:p w:rsidR="00AC0832" w:rsidRDefault="00AC0832">
      <w:pPr>
        <w:pStyle w:val="Heading6"/>
      </w:pPr>
      <w:r>
        <w:t>A810034 POTPORA LUČKOJ UPRAVI PLOČE ZA OTPLATU ZAJMA SVJETSKE BANKE (IBRD) - PROJEKT INTEGRACIJE TRGOVINE I TRANSPORTA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A810034-POTPORA LUČKOJ UPRAVI PLOČE ZA OTPLATU ZAJMA SVJETSKE BANKE (IBRD) - PROJEKT INTEGRACIJE TRGOVINE I TRANSPORTA</w:t>
            </w:r>
          </w:p>
        </w:tc>
        <w:tc>
          <w:tcPr>
            <w:tcW w:w="2322" w:type="dxa"/>
          </w:tcPr>
          <w:p w:rsidR="00AC0832" w:rsidRDefault="00AC0832">
            <w:pPr>
              <w:pStyle w:val="CellColumn"/>
            </w:pPr>
            <w:r>
              <w:t>27.130.000</w:t>
            </w:r>
          </w:p>
        </w:tc>
        <w:tc>
          <w:tcPr>
            <w:tcW w:w="2322" w:type="dxa"/>
          </w:tcPr>
          <w:p w:rsidR="00AC0832" w:rsidRDefault="00AC0832">
            <w:pPr>
              <w:pStyle w:val="CellColumn"/>
            </w:pPr>
            <w:r>
              <w:t>27.013.905</w:t>
            </w:r>
          </w:p>
        </w:tc>
        <w:tc>
          <w:tcPr>
            <w:tcW w:w="2322" w:type="dxa"/>
          </w:tcPr>
          <w:p w:rsidR="00AC0832" w:rsidRDefault="00AC0832">
            <w:pPr>
              <w:pStyle w:val="CellColumn"/>
            </w:pPr>
            <w:r>
              <w:t>99,6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Predviđena sredstva u 2012. godini utrošena su za sufinanciranje obaveze otplate zajma Svjetske banke (IBRD) - Projekt integracije trgovine i transporta za luku Ploče – glavnice i dijela kamata. </w:t>
      </w:r>
    </w:p>
    <w:p w:rsidR="00AC0832" w:rsidRDefault="00AC0832">
      <w:pPr>
        <w:pStyle w:val="Normal6"/>
      </w:pPr>
      <w:r>
        <w:t>Projekt je nastavak potpore iz Proračuna RH na izgradnji  lučke infrastrukture u luci Ploče s ciljem povećanja prometa i kapaciteta rasutih tereta i kontejnerskog prijevoza predmetne luke nakon što sva potrebna infrastruktura bude izgrađena.</w:t>
      </w:r>
    </w:p>
    <w:p w:rsidR="00AC0832" w:rsidRDefault="00AC0832">
      <w:pPr>
        <w:pStyle w:val="Heading6"/>
      </w:pPr>
      <w:r>
        <w:t>A820026 TEHNIČKO ODRŽAVANJE I UPRAVLJANJE ŠKOLSKIM BRODOM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A820026-TEHNIČKO ODRŽAVANJE I UPRAVLJANJE ŠKOLSKIM BRODOM</w:t>
            </w:r>
          </w:p>
        </w:tc>
        <w:tc>
          <w:tcPr>
            <w:tcW w:w="2322" w:type="dxa"/>
          </w:tcPr>
          <w:p w:rsidR="00AC0832" w:rsidRDefault="00AC0832">
            <w:pPr>
              <w:pStyle w:val="CellColumn"/>
            </w:pPr>
            <w:r>
              <w:t>2.480.000</w:t>
            </w:r>
          </w:p>
        </w:tc>
        <w:tc>
          <w:tcPr>
            <w:tcW w:w="2322" w:type="dxa"/>
          </w:tcPr>
          <w:p w:rsidR="00AC0832" w:rsidRDefault="00AC0832">
            <w:pPr>
              <w:pStyle w:val="CellColumn"/>
            </w:pPr>
            <w:r>
              <w:t>1.918.375</w:t>
            </w:r>
          </w:p>
        </w:tc>
        <w:tc>
          <w:tcPr>
            <w:tcW w:w="2322" w:type="dxa"/>
          </w:tcPr>
          <w:p w:rsidR="00AC0832" w:rsidRDefault="00AC0832">
            <w:pPr>
              <w:pStyle w:val="CellColumn"/>
            </w:pPr>
            <w:r>
              <w:t>77,4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Ministarstvo pomorstva, prometa i infrastrukture je temeljem Zaključka Vlade RH zaduženo za upravljanje i održavanje školskog broda „Kraljica mora“ i za tu namjenu su isplaćena u 2012. godini  proračunska sredstva u iznosu od 1.918.375,18 kuna. </w:t>
      </w:r>
    </w:p>
    <w:p w:rsidR="00AC0832" w:rsidRDefault="00AC0832">
      <w:pPr>
        <w:pStyle w:val="Normal6"/>
      </w:pPr>
      <w:r>
        <w:t xml:space="preserve">Preostala neiskorištena sredstva iz Plana za 2012. godinu u iznosu od 561.624,82 kn nisu realizirana iz razloga što se školski brod „Kraljica mora“ nije koristio u pojedinom razdoblju 2012. godine (ožujak-travanj- svibanj) iz tehničkih razloga, iako je upravljanje i korištenje školskim brodom bilo predviđeno tijekom cijele 2012. godine. </w:t>
      </w:r>
    </w:p>
    <w:p w:rsidR="00AC0832" w:rsidRDefault="00AC0832">
      <w:pPr>
        <w:pStyle w:val="Normal6"/>
      </w:pPr>
      <w:r>
        <w:tab/>
        <w:t xml:space="preserve">Brod „Kraljica mora“ je izgrađen s prvenstvenom namjenom educiranja pomorskih kadrova, a isto je sukladno propisima Međunarodne konvencije o standardima izobrazbe, izdavanju svjedodžbi i držanju straže pomoraca (STCW - The International Convention on Standards of Training, Certification and Watchkeeping for Seafarers). Poticanjem školovanja i specijalističke naobrazbe dovoljnog broja kadrova u pomorskom prometu (dodjela školarina i stipendija) postiže se potreban nivo znanja i vještina za pružanje kvalitetnih prometnih usluga i isto je u skladu s ciljevima Strateškog plana Ministarstva pomorstva, prometa i infrastrukture za razdoblje 2012.-2014. godine.   </w:t>
      </w:r>
    </w:p>
    <w:p w:rsidR="00AC0832" w:rsidRDefault="00AC0832">
      <w:pPr>
        <w:pStyle w:val="Normal6"/>
      </w:pPr>
      <w:r>
        <w:tab/>
        <w:t xml:space="preserve">Zbog provedbe postupka javne nabave i njenog poništavanja  u 2012. godini nije odabran Upravitelj za školski brod, a time niti sklopljen Ugovor s Upraviteljem broda za cijelu 2012. godinu, što je za posljedicu imalo rizičnu situaciju da brod nije bio odgovarajuće održavan. </w:t>
      </w:r>
    </w:p>
    <w:p w:rsidR="00AC0832" w:rsidRDefault="00AC0832">
      <w:pPr>
        <w:pStyle w:val="Normal6"/>
      </w:pPr>
      <w:r>
        <w:tab/>
        <w:t>U cilju prevladavanja ovih okolnosti,   krajem 2012. godine raspisan je novi natječaj za upravitelja broda na duže vremensko razdoblje (4 godine), s namjerom sklapanja Okvirnog sporazuma sa više gospodarskih subjekata za nabavu usluge upravljanja školskim brodom „Kraljica mora“ u trajanju od 4 (četiri) godine, provedenog na temelju članka 25. stavka 1., a u svezi s člankom 38. stavak 2. i člankom 18. stavka 1. Zakona o javnoj nabavi (NN 90/11), evidencijski broj nabave: 64-83-2012-VV, naručitelj je odabrao ponudu ponuditelja: JADROLINIJA, Riva 16, 51000 Rijeka, OIB 38453148181 kao najpovoljniju ponudu u skladu s objavljenim kriterijem za donošenje Odluke o odabiru, te uvjetima i zahtjevima iz Dokumentacije za nadmetanje.</w:t>
      </w:r>
    </w:p>
    <w:p w:rsidR="00AC0832" w:rsidRDefault="00AC0832">
      <w:pPr>
        <w:pStyle w:val="Heading6"/>
      </w:pPr>
    </w:p>
    <w:p w:rsidR="00AC0832" w:rsidRDefault="00AC0832">
      <w:pPr>
        <w:pStyle w:val="Heading6"/>
      </w:pPr>
    </w:p>
    <w:p w:rsidR="00AC0832" w:rsidRDefault="00AC0832">
      <w:pPr>
        <w:pStyle w:val="Heading6"/>
      </w:pPr>
    </w:p>
    <w:p w:rsidR="00AC0832" w:rsidRDefault="00AC0832">
      <w:pPr>
        <w:pStyle w:val="Heading6"/>
      </w:pPr>
      <w:r>
        <w:t>K103278 OPREMANJE LUČKIH KAPETANIJA PLOVILIMA, UREĐAJIMA I OSTALOM OPREMOM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K103278-OPREMANJE LUČKIH KAPETANIJA PLOVILIMA, UREĐAJIMA I OSTALOM OPREMOM</w:t>
            </w:r>
          </w:p>
        </w:tc>
        <w:tc>
          <w:tcPr>
            <w:tcW w:w="2322" w:type="dxa"/>
          </w:tcPr>
          <w:p w:rsidR="00AC0832" w:rsidRDefault="00AC0832">
            <w:pPr>
              <w:pStyle w:val="CellColumn"/>
            </w:pPr>
            <w:r>
              <w:t>4.280.000</w:t>
            </w:r>
          </w:p>
        </w:tc>
        <w:tc>
          <w:tcPr>
            <w:tcW w:w="2322" w:type="dxa"/>
          </w:tcPr>
          <w:p w:rsidR="00AC0832" w:rsidRDefault="00AC0832">
            <w:pPr>
              <w:pStyle w:val="CellColumn"/>
            </w:pPr>
            <w:r>
              <w:t>3.136.346</w:t>
            </w:r>
          </w:p>
        </w:tc>
        <w:tc>
          <w:tcPr>
            <w:tcW w:w="2322" w:type="dxa"/>
          </w:tcPr>
          <w:p w:rsidR="00AC0832" w:rsidRDefault="00AC0832">
            <w:pPr>
              <w:pStyle w:val="CellColumn"/>
            </w:pPr>
            <w:r>
              <w:t>73,3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Sredstva planirana u Državnom proračunu na ovom projektu iskorištena su za opremanje lučkih kapetanija opremom i uređajima, kao i za redovito održavanje brodova i brodica lučkih kapetanija. Dio sredstava nije iskorišten budući u provedenim javnim natječajima nije bilo prihvatljivih dobavljača.</w:t>
      </w:r>
    </w:p>
    <w:p w:rsidR="00AC0832" w:rsidRDefault="00AC0832">
      <w:pPr>
        <w:pStyle w:val="Heading6"/>
      </w:pPr>
      <w:r>
        <w:t>K250796 USPOSTAVA INFORMACIJSKOG SUSTAVA SIGURNOSTI PLOVIDBE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K250796-USPOSTAVA INFORMACIJSKOG SUSTAVA SIGURNOSTI PLOVIDBE</w:t>
            </w:r>
          </w:p>
        </w:tc>
        <w:tc>
          <w:tcPr>
            <w:tcW w:w="2322" w:type="dxa"/>
          </w:tcPr>
          <w:p w:rsidR="00AC0832" w:rsidRDefault="00AC0832">
            <w:pPr>
              <w:pStyle w:val="CellColumn"/>
            </w:pPr>
            <w:r>
              <w:t>8.150.000</w:t>
            </w:r>
          </w:p>
        </w:tc>
        <w:tc>
          <w:tcPr>
            <w:tcW w:w="2322" w:type="dxa"/>
          </w:tcPr>
          <w:p w:rsidR="00AC0832" w:rsidRDefault="00AC0832">
            <w:pPr>
              <w:pStyle w:val="CellColumn"/>
            </w:pPr>
            <w:r>
              <w:t>7.041.224</w:t>
            </w:r>
          </w:p>
        </w:tc>
        <w:tc>
          <w:tcPr>
            <w:tcW w:w="2322" w:type="dxa"/>
          </w:tcPr>
          <w:p w:rsidR="00AC0832" w:rsidRDefault="00AC0832">
            <w:pPr>
              <w:pStyle w:val="CellColumn"/>
            </w:pPr>
            <w:r>
              <w:t>86,4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2012. godini obavljene su dogradnje slijedećih aplikacija Informacijskog sustava sigurnosti plovidbe: dogradnje vezane za ispunjavanje EU obveza (Inspekcijski pregledi pomorskih objekata, Upravljanje pomorskim prometom (VTMIS)), druge dogradnje sukladno planu i Okvirnom sporazumu. Osim toga završen je projekt Biometrijske isprave pomoraca kao jedan od preduvjeta za ispunjavanje međunarodnih obveza Republike Hrvatske vezanih za Konvenciju ILO 185 Međunarodne organizacije rada.</w:t>
      </w:r>
    </w:p>
    <w:p w:rsidR="00AC0832" w:rsidRDefault="00AC0832">
      <w:pPr>
        <w:pStyle w:val="Heading6"/>
      </w:pPr>
      <w:r>
        <w:t>K587039 IZGRADNJA TRAJEKTNE LUKE GAŽENICA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K587039-IZGRADNJA TRAJEKTNE LUKE GAŽENICA</w:t>
            </w:r>
          </w:p>
        </w:tc>
        <w:tc>
          <w:tcPr>
            <w:tcW w:w="2322" w:type="dxa"/>
          </w:tcPr>
          <w:p w:rsidR="00AC0832" w:rsidRDefault="00AC0832">
            <w:pPr>
              <w:pStyle w:val="CellColumn"/>
            </w:pPr>
            <w:r>
              <w:t>104.570.000</w:t>
            </w:r>
          </w:p>
        </w:tc>
        <w:tc>
          <w:tcPr>
            <w:tcW w:w="2322" w:type="dxa"/>
          </w:tcPr>
          <w:p w:rsidR="00AC0832" w:rsidRDefault="00AC0832">
            <w:pPr>
              <w:pStyle w:val="CellColumn"/>
            </w:pPr>
            <w:r>
              <w:t>103.102.840</w:t>
            </w:r>
          </w:p>
        </w:tc>
        <w:tc>
          <w:tcPr>
            <w:tcW w:w="2322" w:type="dxa"/>
          </w:tcPr>
          <w:p w:rsidR="00AC0832" w:rsidRDefault="00AC0832">
            <w:pPr>
              <w:pStyle w:val="CellColumn"/>
            </w:pPr>
            <w:r>
              <w:t>98,6</w:t>
            </w:r>
          </w:p>
        </w:tc>
      </w:tr>
    </w:tbl>
    <w:p w:rsidR="00AC0832" w:rsidRDefault="00AC0832">
      <w:pPr>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Predviđena sredstva u 2012. godini utrošena su za sufinanciranje obaveza (kamata, glavnice i naknade za neiskorištena sredstva) prema zajmu Europske investicijske banke (EIB), Njemačke razvojne banke (KfW), OTP banke - Hrvatska kao i plaćanja poreza na dodanu vrijednost (PDV) na radove i usluge pri izvođenju građevinskih radova na izgradnji dijela projekta (LOT I, II i IIIa) kao i ostalih troškova neophodnih za provedbu projekta (projektiranje).</w:t>
      </w:r>
    </w:p>
    <w:p w:rsidR="00AC0832" w:rsidRDefault="00AC0832">
      <w:pPr>
        <w:pStyle w:val="Heading6"/>
      </w:pPr>
      <w:r>
        <w:t>K819013 VTS SUSTAV-USPOSTAVA NADZORA PLOVIDBE I SUSTAVA RADIOVEZA ZA PRAĆENJE POMORSKOG PROMETA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K819013-VTS SUSTAV-USPOSTAVA NADZORA PLOVIDBE I SUSTAVA RADIOVEZA ZA PRAĆENJE POMORSKOG PROMETA</w:t>
            </w:r>
          </w:p>
        </w:tc>
        <w:tc>
          <w:tcPr>
            <w:tcW w:w="2322" w:type="dxa"/>
          </w:tcPr>
          <w:p w:rsidR="00AC0832" w:rsidRDefault="00AC0832">
            <w:pPr>
              <w:pStyle w:val="CellColumn"/>
            </w:pPr>
            <w:r>
              <w:t>6.100.000</w:t>
            </w:r>
          </w:p>
        </w:tc>
        <w:tc>
          <w:tcPr>
            <w:tcW w:w="2322" w:type="dxa"/>
          </w:tcPr>
          <w:p w:rsidR="00AC0832" w:rsidRDefault="00AC0832">
            <w:pPr>
              <w:pStyle w:val="CellColumn"/>
            </w:pPr>
            <w:r>
              <w:t>5.102.106</w:t>
            </w:r>
          </w:p>
        </w:tc>
        <w:tc>
          <w:tcPr>
            <w:tcW w:w="2322" w:type="dxa"/>
          </w:tcPr>
          <w:p w:rsidR="00AC0832" w:rsidRDefault="00AC0832">
            <w:pPr>
              <w:pStyle w:val="CellColumn"/>
            </w:pPr>
            <w:r>
              <w:t>83,6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2012. godini nastavljena je realizacija projekta uspostave Sustava za nadzor i upravljanje pomorskim prometom i ugradnjom Pomorskog obalnog informacijsko-komunikacijskog sustava VTMIS-a, kao i ugradnjom VOIP dispečerskog panela i VOIP komunikacijskog modula. Tijekom 2012. godine nije realizirana dogradnja Sustava planirana temeljem Sporazuma sklopljenog s Ministarstvom unutarnjih poslova zbog kašnjenja u postupku nabave. U međuvremenu odgovarajući ugovor s nabavljačima je sklopljen, te će se dogradnja Sustava s osnove navedenog Sporazuma realizirati tijekom 2013. godine.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6"/>
        <w:gridCol w:w="1317"/>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Izgrađenost Sustava za upravljanje i nadzor pomorskog prometa na Jadranskom moru (VTS sustav)</w:t>
            </w:r>
          </w:p>
        </w:tc>
        <w:tc>
          <w:tcPr>
            <w:tcW w:w="1300" w:type="dxa"/>
          </w:tcPr>
          <w:p w:rsidR="00AC0832" w:rsidRDefault="00AC0832">
            <w:pPr>
              <w:pStyle w:val="CellColumn"/>
            </w:pPr>
            <w:r>
              <w:t>Povećanjem stupnja izgrađenosti sustava za upravljanje i nadzor pomorskog prometa smanjuje se broj prometnih nezgoda i  povećava se zaštita ljudskih života i imovine</w:t>
            </w:r>
          </w:p>
        </w:tc>
        <w:tc>
          <w:tcPr>
            <w:tcW w:w="1300" w:type="dxa"/>
          </w:tcPr>
          <w:p w:rsidR="00AC0832" w:rsidRDefault="00AC0832">
            <w:pPr>
              <w:pStyle w:val="CellColumn"/>
            </w:pPr>
            <w:r>
              <w:t>%</w:t>
            </w:r>
          </w:p>
        </w:tc>
        <w:tc>
          <w:tcPr>
            <w:tcW w:w="1300" w:type="dxa"/>
          </w:tcPr>
          <w:p w:rsidR="00AC0832" w:rsidRDefault="00AC0832">
            <w:pPr>
              <w:pStyle w:val="CellColumn"/>
            </w:pPr>
            <w:r>
              <w:t>45</w:t>
            </w:r>
          </w:p>
        </w:tc>
        <w:tc>
          <w:tcPr>
            <w:tcW w:w="1300" w:type="dxa"/>
          </w:tcPr>
          <w:p w:rsidR="00AC0832" w:rsidRDefault="00AC0832">
            <w:pPr>
              <w:pStyle w:val="CellColumn"/>
            </w:pPr>
            <w:r>
              <w:t>MPPI</w:t>
            </w:r>
          </w:p>
        </w:tc>
        <w:tc>
          <w:tcPr>
            <w:tcW w:w="1300" w:type="dxa"/>
          </w:tcPr>
          <w:p w:rsidR="00AC0832" w:rsidRDefault="00AC0832">
            <w:pPr>
              <w:pStyle w:val="CellColumn"/>
            </w:pPr>
            <w:r>
              <w:t>60</w:t>
            </w:r>
          </w:p>
        </w:tc>
        <w:tc>
          <w:tcPr>
            <w:tcW w:w="1300" w:type="dxa"/>
          </w:tcPr>
          <w:p w:rsidR="00AC0832" w:rsidRDefault="00AC0832">
            <w:pPr>
              <w:pStyle w:val="CellColumn"/>
            </w:pPr>
            <w:r>
              <w:t>55</w:t>
            </w:r>
          </w:p>
        </w:tc>
      </w:tr>
    </w:tbl>
    <w:p w:rsidR="00AC0832" w:rsidRDefault="00AC0832">
      <w:pPr>
        <w:jc w:val="left"/>
      </w:pPr>
    </w:p>
    <w:p w:rsidR="00AC0832" w:rsidRDefault="00AC0832">
      <w:pPr>
        <w:pStyle w:val="Heading6"/>
      </w:pPr>
      <w:r>
        <w:t>T810031 IPA 2008 TAIB FPPRAC 2008-STRATEGIJA POMORSKOG RAZVITKA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T810031-IPA 2008 TAIB FPPRAC 2008-STRATEGIJA POMORSKOG RAZVITKA</w:t>
            </w:r>
          </w:p>
        </w:tc>
        <w:tc>
          <w:tcPr>
            <w:tcW w:w="2322" w:type="dxa"/>
          </w:tcPr>
          <w:p w:rsidR="00AC0832" w:rsidRDefault="00AC0832">
            <w:pPr>
              <w:pStyle w:val="CellColumn"/>
            </w:pPr>
            <w:r>
              <w:t>520.000</w:t>
            </w:r>
          </w:p>
        </w:tc>
        <w:tc>
          <w:tcPr>
            <w:tcW w:w="2322" w:type="dxa"/>
          </w:tcPr>
          <w:p w:rsidR="00AC0832" w:rsidRDefault="00AC0832">
            <w:pPr>
              <w:pStyle w:val="CellColumn"/>
            </w:pPr>
            <w:r>
              <w:t>519.296</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Proces pridruživanja Europskoj uniji zahtijevao je preispitivanje dosadašnjih strateških dokumenata iz područja pomorstva i prometa, ocjenu učinjenoga, te definiranje strateških ciljeva i provedbenih mjera politike razvoja pomorstva i pomorskog prometa u skladu s načelima prometne politike Europske unije.  U kontekstu pridruživanja Europskoj uniji bilo je potrebno učiniti zaokret u poimanju uloge i sadržaja temeljnog strateškog dokumenta koji definira buduću razvojnu strategiju pomorskog sektora u Republici Hrvatskoj. Stoga je ovo Ministarstvo u okviru IPA 2008 TAIB FPPRAC 2008 programa iniciralo projekt izrade nove Strategije razvoja pomorstva. S tim u svezi, Središnja Agencija za financiranje i ugovaranje je u dana 1. lipnja 2012 godine s konzorcijem STTE (SAFAGE/TECHUM/TRACTEBEL ENGINEERING), a u korist Ministarstva pomorstva, prometa i infrastrukture, sklopila Ugovor o izradi Strategije pomorskog razvitka. Očekuje se da projekt izrade Strategije pomorskog razvitka bude završen ne kasnije od travnja 2013. godine, nakon čega bi se pristupilo izradi Akcijskog plana. Sama implementacija projekta vrijednog 115.615,00 EUR, započela je 12. lipnja 2012. godine. Valja posebno istaknuti da EU financiranje ovog projekta pokriva 90% gore navedenog iznosa, dok preostali iznos od 10% financiranja ide na trošak Proračuna RH ovoga Ministarstva. </w:t>
      </w:r>
    </w:p>
    <w:p w:rsidR="00AC0832" w:rsidRDefault="00AC0832">
      <w:pPr>
        <w:pStyle w:val="Normal6"/>
      </w:pPr>
      <w:r>
        <w:t>U tu svrhu sredstva ove aktivnosti su utrošena za plaćanje  preostalih 10% vrijednosti Projekta</w:t>
      </w:r>
    </w:p>
    <w:p w:rsidR="00AC0832" w:rsidRDefault="00AC0832">
      <w:pPr>
        <w:pStyle w:val="Heading5"/>
      </w:pPr>
      <w:r>
        <w:t>3105 RAZVOJ I SIGURNOST UNUTARNJE PLOVIDBE, LUČKE INFRASTRUKTURE I PLOVNIH PUTOVA UNUTARNJIH VODA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3105-RAZVOJ I SIGURNOST UNUTARNJE PLOVIDBE, LUČKE INFRASTRUKTURE I PLOVNIH PUTOVA UNUTARNJIH VODA</w:t>
            </w:r>
          </w:p>
        </w:tc>
        <w:tc>
          <w:tcPr>
            <w:tcW w:w="2322" w:type="dxa"/>
          </w:tcPr>
          <w:p w:rsidR="00AC0832" w:rsidRDefault="00AC0832">
            <w:pPr>
              <w:pStyle w:val="CellColumn"/>
            </w:pPr>
            <w:r>
              <w:t>31.062.036</w:t>
            </w:r>
          </w:p>
        </w:tc>
        <w:tc>
          <w:tcPr>
            <w:tcW w:w="2322" w:type="dxa"/>
          </w:tcPr>
          <w:p w:rsidR="00AC0832" w:rsidRDefault="00AC0832">
            <w:pPr>
              <w:pStyle w:val="CellColumn"/>
            </w:pPr>
            <w:r>
              <w:t>30.060.639</w:t>
            </w:r>
          </w:p>
        </w:tc>
        <w:tc>
          <w:tcPr>
            <w:tcW w:w="2322" w:type="dxa"/>
          </w:tcPr>
          <w:p w:rsidR="00AC0832" w:rsidRDefault="00AC0832">
            <w:pPr>
              <w:pStyle w:val="CellColumn"/>
            </w:pPr>
            <w:r>
              <w:t>96,8</w:t>
            </w:r>
          </w:p>
        </w:tc>
      </w:tr>
    </w:tbl>
    <w:p w:rsidR="00AC0832" w:rsidRDefault="00AC0832">
      <w:pPr>
        <w:pStyle w:val="Heading6"/>
      </w:pPr>
      <w:r>
        <w:t>Opis programa</w:t>
      </w:r>
    </w:p>
    <w:p w:rsidR="00AC0832" w:rsidRDefault="00AC0832">
      <w:pPr>
        <w:pStyle w:val="Normal5"/>
      </w:pPr>
      <w:r>
        <w:t xml:space="preserve">Program se  bavi  razvojem  infrastrukture  na  lučkom  području  te  unapređenjem  i razvitkom prometa na unutarnjim vodama. Navedenim programom nastoje se iskoristiti svi postojeći potencijali u unutarnjoj plovidbi RH kako bi se na što efikasniji način ostvario cilj prometne politike RH, a sve u skladu s normama i direktivama EU. </w:t>
      </w:r>
    </w:p>
    <w:p w:rsidR="00AC0832" w:rsidRDefault="00AC0832">
      <w:pPr>
        <w:pStyle w:val="Normal5"/>
      </w:pPr>
      <w:r>
        <w:t xml:space="preserve">Program se provodio kroz šest strateških područja koja su ključ za daljnji razvoj sektora vodnog prometa a to su: izgradnja lučke infrastrukture te infrastrukture vodnih putova, sigurnost plovidbe i zaštita okoliša, izgradnja i modernizacija riječne flote-brodarstvo na unutarnjim vodama, jačanje administrativnih kapaciteta - institucija u unutarnjoj plovidbi, poboljšanje tržišnih uvjeta za sudionike u unutarnjoj plovidbi te stvaranje pozitivnog imidža unutarnje plovidbe. </w:t>
      </w:r>
    </w:p>
    <w:p w:rsidR="00AC0832" w:rsidRDefault="00AC0832">
      <w:pPr>
        <w:pStyle w:val="Normal5"/>
      </w:pPr>
      <w:r>
        <w:t xml:space="preserve">U 2012. godini program je realiziran kroz sljedeće aktivnosti i projekte:  </w:t>
      </w:r>
    </w:p>
    <w:p w:rsidR="00AC0832" w:rsidRDefault="00AC0832">
      <w:pPr>
        <w:pStyle w:val="Normal5"/>
      </w:pPr>
      <w:r>
        <w:t xml:space="preserve">Gradnja i održavanje lučkih građevina te rješavanje imovinsko-pravnih odnosa na lučkom području, a koje su temelj kvalitativnog i tehnološkog razvoja, moderniziranja i ostvarenja bolje integracije hrvatskih luka unutarnje plovidbe s gospodarskim zaleđem te stvaranje preduvjeta za razvitak intermodalnog prometa. </w:t>
      </w:r>
    </w:p>
    <w:p w:rsidR="00AC0832" w:rsidRDefault="00AC0832">
      <w:pPr>
        <w:pStyle w:val="Normal5"/>
      </w:pPr>
      <w:r>
        <w:t xml:space="preserve">Uspostavljanje nacionalne RIS središnjice sa svrhom kontinuiranog unapređenja sustava riječnih informacijskih servisa, čime se osigurava povećanje razine sigurnosti nadzorom prometa u unutarnjoj plovidbi, prevencije plovidbenih nezgoda i onečišćenja na unutarnjim vodama, menadžment upravljanja prometom koji optimizira i racionalizira potrošnju goriva, a time i smanjenje zagađenja.  </w:t>
      </w:r>
    </w:p>
    <w:p w:rsidR="00AC0832" w:rsidRDefault="00AC0832">
      <w:pPr>
        <w:pStyle w:val="Normal5"/>
      </w:pPr>
      <w:r>
        <w:t xml:space="preserve">Sustav riječnih informacijskih servisa omogućava međunarodnu razmjenu informacija o stanju na vodnim putovima te time doprinosi smanjenju rizika od nezgoda koji postoji zbog smanjenih plovnih gabarita i postojećih ograničenja za plovidbu na unutarnjim vodama. </w:t>
      </w:r>
    </w:p>
    <w:p w:rsidR="00AC0832" w:rsidRDefault="00AC0832">
      <w:pPr>
        <w:pStyle w:val="Normal5"/>
      </w:pPr>
      <w:r>
        <w:t xml:space="preserve">Povećanje sigurnosti plovidbe na unutarnjim vodama provedeno je kroz osiguravanje uvjeta rada lučkih kapetanija koje su ustrojene kao posebne ustrojstvene jedinice, a čija je primarna zadaća kontrola i nadzor prometa i provođenje propisa u dijelu sigurnosti plovidbe. </w:t>
      </w:r>
    </w:p>
    <w:p w:rsidR="00AC0832" w:rsidRDefault="00AC0832">
      <w:pPr>
        <w:pStyle w:val="Normal5"/>
      </w:pPr>
      <w:r>
        <w:t xml:space="preserve">U dijelu izrade planskih dokumenata za razvitak riječnog prometa, upravljanje infrastrukturnim projektima, izrada Akcijskog plana za razvoj brodarstva, programa državnih potpora istraživanja i razvoja novih tehnologija i sustava, modernizaciji flote i uvođenju inovacija u tehnologiju prijevoza te udovoljavanju novim tehničkim standardima s ciljem osiguranja konkurentske pozicije brodara na jedinstvenom europskom tržištu, provedene su osnovne aktivnosti čime je napravljen temelj za smjernice razvoja vodnog prometa. </w:t>
      </w:r>
    </w:p>
    <w:p w:rsidR="00AC0832" w:rsidRDefault="00AC0832">
      <w:pPr>
        <w:pStyle w:val="Normal5"/>
      </w:pPr>
      <w:r>
        <w:t xml:space="preserve">Pomoći   jedinicama lokalne i regionalne  samouprave  za razvoj  riječnog prometa, županijskih luka i pristaništa ostvarene su kroz sufinanciranje izgradnje plovila, troškova održavanja plovila i redovnog održavanja skelskog i trajektnog prijevoza putnika i tereta. </w:t>
      </w:r>
    </w:p>
    <w:p w:rsidR="00AC0832" w:rsidRDefault="00AC0832">
      <w:pPr>
        <w:pStyle w:val="Normal5"/>
      </w:pPr>
      <w:r>
        <w:t xml:space="preserve">Stipendirano je ukupno 29 studenata i učenika koji pohađaju usmjerenja vezana za unutarnju plovidbu u cilju institucijalnog i administrativnog jačanja sektora unutarnje plovidbe. </w:t>
      </w:r>
    </w:p>
    <w:p w:rsidR="00AC0832" w:rsidRDefault="00AC0832">
      <w:pPr>
        <w:pStyle w:val="Normal5"/>
      </w:pPr>
      <w:r>
        <w:t xml:space="preserve">Provođenjem odredaba Ugovora između Međunarodne komisije za sliv rijeke Save i Vlade Republike Hrvatske, sufinanciran je rad Savske komisije čime je osigurano sudjelovanje Republike Hrvatske u radu međunarodnih institucija iz područja unutarnje  plovidbe. </w:t>
      </w:r>
    </w:p>
    <w:p w:rsidR="00AC0832" w:rsidRDefault="00AC0832">
      <w:pPr>
        <w:pStyle w:val="Normal5"/>
      </w:pPr>
      <w:r>
        <w:t>Navedene aktivnosti i projekti su provedene radi postizanja i ostvarenja ciljeva utvrđenih Strategijom Vladinih programa za razdoblje 2012 –   2013,   naročito Općeg cilja: Ravnomjerni regionalni razvoj, Posebnog  cilja:  5.5. Razvijanje  prometnog sustava, (detaljnije opisanog u načinima ostvarivanja ciljeva: 5.5.1 Razvijena prometna infrastruktura, 5.5.2. Visoka kvaliteta i razvijeno tržište prometnih usluga i 5.5.3.Visoka razina sigurnosti u prometu).</w:t>
      </w:r>
    </w:p>
    <w:p w:rsidR="00AC0832" w:rsidRDefault="00AC0832">
      <w:pPr>
        <w:pStyle w:val="Heading6"/>
      </w:pPr>
      <w:r>
        <w:t>Zakonske i druge pravne osnove</w:t>
      </w:r>
    </w:p>
    <w:p w:rsidR="00AC0832" w:rsidRDefault="00AC0832">
      <w:pPr>
        <w:pStyle w:val="Normal5"/>
      </w:pPr>
      <w:r>
        <w:t xml:space="preserve">Strategija razvitka riječnog prometa u Republici Hrvatskoj (2008 – 2018) (NN 65/08),  </w:t>
      </w:r>
    </w:p>
    <w:p w:rsidR="00AC0832" w:rsidRDefault="00AC0832">
      <w:pPr>
        <w:pStyle w:val="Normal5"/>
      </w:pPr>
      <w:r>
        <w:t xml:space="preserve">Srednjoročni plan razvitka vodnih putova i luka unutarnjih voda Republike Hrvatske (za razdoblje 2009 – 2016. godine) usvojen Zaključkom Vlade RH 19.12.2008. godine,  </w:t>
      </w:r>
    </w:p>
    <w:p w:rsidR="00AC0832" w:rsidRDefault="00AC0832">
      <w:pPr>
        <w:pStyle w:val="Normal5"/>
      </w:pPr>
      <w:r>
        <w:t xml:space="preserve">Zakon o plovidbi i lukama unutarnjih voda (NN 109/07,132/07, Direktiva 44/2005/EC, Odluka 884/2004/EC, NAIADES akcijski program EC (2006-2013) (Navigation And Inland Waterway Action and Development in Europe, COM (2006)), </w:t>
      </w:r>
    </w:p>
    <w:p w:rsidR="00AC0832" w:rsidRDefault="00AC0832">
      <w:pPr>
        <w:pStyle w:val="Normal5"/>
      </w:pPr>
      <w:r>
        <w:t xml:space="preserve">PLATINA - Platforma za implementaciju europskog akcijskog plana na području unutarnje plovidbe – FP7 EU 2008),  </w:t>
      </w:r>
    </w:p>
    <w:p w:rsidR="00AC0832" w:rsidRDefault="00AC0832">
      <w:pPr>
        <w:pStyle w:val="Normal5"/>
      </w:pPr>
      <w:r>
        <w:t xml:space="preserve">Bijela knjiga EU (engl. White paper: European transport policy for 2010 – COM 2001/370),  </w:t>
      </w:r>
    </w:p>
    <w:p w:rsidR="00AC0832" w:rsidRDefault="00AC0832">
      <w:pPr>
        <w:pStyle w:val="Normal5"/>
      </w:pPr>
      <w:r>
        <w:t xml:space="preserve">AGN (engl. European Agreement on Main Inland Waterways of International Importance) - Europski sporazum o glavnim plovnim putovima unutarnjih voda od međunarodnog značaja,  </w:t>
      </w:r>
    </w:p>
    <w:p w:rsidR="00AC0832" w:rsidRDefault="00AC0832">
      <w:pPr>
        <w:pStyle w:val="Normal5"/>
      </w:pPr>
      <w:r>
        <w:t xml:space="preserve">Odluka o proglašenju Zakona o potvrđivanju europskog ugovora o glavnim unutarnjim plovnim putovima od međunarodnog značaja (AGN) (NN 16/98 M.U.),  </w:t>
      </w:r>
    </w:p>
    <w:p w:rsidR="00AC0832" w:rsidRDefault="00AC0832">
      <w:pPr>
        <w:pStyle w:val="Normal5"/>
      </w:pPr>
      <w:r>
        <w:t xml:space="preserve">Europski sporazum o međunarodnom prijevozu opasnih tereta na unutarnjim plovnim putovima – ADN;  </w:t>
      </w:r>
    </w:p>
    <w:p w:rsidR="00AC0832" w:rsidRDefault="00AC0832">
      <w:pPr>
        <w:pStyle w:val="Normal5"/>
      </w:pPr>
      <w:r>
        <w:t xml:space="preserve">Odluka o proglašenju Zakona o potvrđivanju Europskog Sporazuma o međunarodnom prijevozu opasnih tvari unutarnjim plovnim putovima - ADN (NN 13/08) - temeljem objave od 4. svibnja 2009. godine (NN 4/09),  </w:t>
      </w:r>
    </w:p>
    <w:p w:rsidR="00AC0832" w:rsidRDefault="00AC0832">
      <w:pPr>
        <w:pStyle w:val="Normal5"/>
      </w:pPr>
      <w:r>
        <w:t xml:space="preserve">Konvencija o režimu plovidbe na Dunavu (NN 18/98 M.U.),  </w:t>
      </w:r>
    </w:p>
    <w:p w:rsidR="00AC0832" w:rsidRDefault="00AC0832">
      <w:pPr>
        <w:pStyle w:val="Normal5"/>
      </w:pPr>
      <w:r>
        <w:t xml:space="preserve">Odluka o proglašenju Zakona o potvrđivanju Konvencije o suradnji na zaštiti i održivoj uporabi rijeke Dunav (NN 2/96 M.U.), Odluka o proglašenju Zakona o potvrđivanju okvirnog sporazuma o slivu rijeke Save (NN 14/03 M.U.);  </w:t>
      </w:r>
    </w:p>
    <w:p w:rsidR="00AC0832" w:rsidRDefault="00AC0832">
      <w:pPr>
        <w:pStyle w:val="Normal5"/>
      </w:pPr>
      <w:r>
        <w:t xml:space="preserve">Uredba o objavi Sporazuma o izmjenama Okvirnog sporazuma o slivu rijeke Save i Protokola o režimu plovidbe uz Okvirni sporazum o slivu rijeke Save (NN 05/05 M.U.);  </w:t>
      </w:r>
    </w:p>
    <w:p w:rsidR="00AC0832" w:rsidRDefault="00AC0832">
      <w:pPr>
        <w:pStyle w:val="Normal5"/>
      </w:pPr>
      <w:r>
        <w:t xml:space="preserve">Uredba o objavi Protokola o režimu plovidbe uz Okvirni sporazum o slivu rijeke Save (NN 06/04 M.U.);  </w:t>
      </w:r>
    </w:p>
    <w:p w:rsidR="00AC0832" w:rsidRDefault="00AC0832">
      <w:pPr>
        <w:pStyle w:val="Normal5"/>
      </w:pPr>
      <w:r>
        <w:t xml:space="preserve">Zakon o potvrđivanju Sporazuma između Vlade Republike Hrvatske i Europske komisije kojim se mijenja Sporazum o financiranju između Vlade Republike Hrvatske i Europske komisije  za   višegodišnji  Operativni  program  »Promet«  za   pomoć   Zajednice  iz Instrumenta pretpristupne pomoći u sklopu komponente »Regionalni razvoj« od 24.prosinca 2010.g. (NN MU 11/2010 i 2/2013), </w:t>
      </w:r>
    </w:p>
    <w:p w:rsidR="00AC0832" w:rsidRDefault="00AC0832">
      <w:pPr>
        <w:pStyle w:val="Normal5"/>
      </w:pPr>
      <w:r>
        <w:t xml:space="preserve">Uredba o upravljanju i vođenju poslova lučkih uprava unutarnjih voda (NN 100/08),  </w:t>
      </w:r>
    </w:p>
    <w:p w:rsidR="00AC0832" w:rsidRDefault="00AC0832">
      <w:pPr>
        <w:pStyle w:val="Normal5"/>
      </w:pPr>
      <w:r>
        <w:t xml:space="preserve">Uredba o tehničko tehnološkim uvjetima sigurnosti plovidbe u lukama i pristaništima unutarnjih voda (NN 32/09),  </w:t>
      </w:r>
    </w:p>
    <w:p w:rsidR="00AC0832" w:rsidRDefault="00AC0832">
      <w:pPr>
        <w:pStyle w:val="Normal5"/>
      </w:pPr>
      <w:r>
        <w:t xml:space="preserve">Uredba o  pristaništima unutarnjih voda (NN 134/2008),  </w:t>
      </w:r>
    </w:p>
    <w:p w:rsidR="00AC0832" w:rsidRDefault="00AC0832">
      <w:pPr>
        <w:pStyle w:val="Normal5"/>
      </w:pPr>
      <w:r>
        <w:t>Pravilnik o kriterijima za određivanje lučkih pristojbi (NN 20/2009).</w:t>
      </w:r>
    </w:p>
    <w:p w:rsidR="00AC0832" w:rsidRDefault="00AC0832">
      <w:pPr>
        <w:pStyle w:val="Heading7"/>
      </w:pPr>
      <w:r>
        <w:t>Cilj 1. Povećati promet u lukama unutarnjih voda i na unutarnjim vodnim putovima RH-e</w:t>
      </w:r>
    </w:p>
    <w:p w:rsidR="00AC0832" w:rsidRDefault="00AC0832">
      <w:pPr>
        <w:pStyle w:val="Heading8"/>
        <w:jc w:val="left"/>
      </w:pPr>
      <w:r>
        <w:t>Opis provedbe cilja programa</w:t>
      </w:r>
    </w:p>
    <w:p w:rsidR="00AC0832" w:rsidRDefault="00AC0832">
      <w:pPr>
        <w:pStyle w:val="Normal6"/>
      </w:pPr>
      <w:r>
        <w:t>Provođenjem programa razvoja i sigurnosti unutarnje plovidbe, lučke infrastrukture i plovnih putova unutarnjih voda putem lučkih uprava unutarnjih voda, Agencije za vodne putove i Ministarstva pomorstva, prometa i infrastrukture u osnovnoj mjeri stvoreni su preduvjeti za povećanje udjela prijevoza na unutarnjim vodnim putovima, a time i porast prometa u lukama unutarnjih voda od državnog značaja, čime bi u cijelosti iskoristile mogućnosti ovog pouzdanog, ekonomičnog, sigurnog i energetski najučinkovitijeg oblika prijevoza koji jamči čišći okoliš. Neostvarena razina ciljane vrijednosti za 2012. godinu proizlazi iz sve većeg pada gospodarstva i smanjenja potreba za prijevozom roba.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prekrcajnog tereta u lukama unutarnjih voda</w:t>
            </w:r>
          </w:p>
        </w:tc>
        <w:tc>
          <w:tcPr>
            <w:tcW w:w="1300" w:type="dxa"/>
          </w:tcPr>
          <w:p w:rsidR="00AC0832" w:rsidRDefault="00AC0832">
            <w:pPr>
              <w:pStyle w:val="CellColumn"/>
            </w:pPr>
            <w:r>
              <w:t xml:space="preserve">Količina </w:t>
            </w:r>
          </w:p>
          <w:p w:rsidR="00AC0832" w:rsidRDefault="00AC0832">
            <w:pPr>
              <w:pStyle w:val="CellColumn"/>
            </w:pPr>
            <w:r>
              <w:t xml:space="preserve">prekrcanog </w:t>
            </w:r>
          </w:p>
          <w:p w:rsidR="00AC0832" w:rsidRDefault="00AC0832">
            <w:pPr>
              <w:pStyle w:val="CellColumn"/>
            </w:pPr>
            <w:r>
              <w:t xml:space="preserve">tereta u </w:t>
            </w:r>
          </w:p>
          <w:p w:rsidR="00AC0832" w:rsidRDefault="00AC0832">
            <w:pPr>
              <w:pStyle w:val="CellColumn"/>
            </w:pPr>
            <w:r>
              <w:t xml:space="preserve">lukama </w:t>
            </w:r>
          </w:p>
          <w:p w:rsidR="00AC0832" w:rsidRDefault="00AC0832">
            <w:pPr>
              <w:pStyle w:val="CellColumn"/>
            </w:pPr>
            <w:r>
              <w:t xml:space="preserve">unutarnjih </w:t>
            </w:r>
          </w:p>
          <w:p w:rsidR="00AC0832" w:rsidRDefault="00AC0832">
            <w:pPr>
              <w:pStyle w:val="CellColumn"/>
            </w:pPr>
            <w:r>
              <w:t>voda</w:t>
            </w:r>
          </w:p>
        </w:tc>
        <w:tc>
          <w:tcPr>
            <w:tcW w:w="1300" w:type="dxa"/>
          </w:tcPr>
          <w:p w:rsidR="00AC0832" w:rsidRDefault="00AC0832">
            <w:pPr>
              <w:pStyle w:val="CellColumn"/>
            </w:pPr>
            <w:r>
              <w:t>tona</w:t>
            </w:r>
          </w:p>
        </w:tc>
        <w:tc>
          <w:tcPr>
            <w:tcW w:w="1300" w:type="dxa"/>
          </w:tcPr>
          <w:p w:rsidR="00AC0832" w:rsidRDefault="00AC0832">
            <w:pPr>
              <w:pStyle w:val="CellColumn"/>
            </w:pPr>
            <w:r>
              <w:t>900.000</w:t>
            </w:r>
          </w:p>
        </w:tc>
        <w:tc>
          <w:tcPr>
            <w:tcW w:w="1300" w:type="dxa"/>
          </w:tcPr>
          <w:p w:rsidR="00AC0832" w:rsidRDefault="00AC0832">
            <w:pPr>
              <w:pStyle w:val="CellColumn"/>
            </w:pPr>
            <w:r>
              <w:t>MPPI</w:t>
            </w:r>
          </w:p>
        </w:tc>
        <w:tc>
          <w:tcPr>
            <w:tcW w:w="1300" w:type="dxa"/>
          </w:tcPr>
          <w:p w:rsidR="00AC0832" w:rsidRDefault="00AC0832">
            <w:pPr>
              <w:pStyle w:val="CellColumn"/>
            </w:pPr>
            <w:r>
              <w:t>2.500.000</w:t>
            </w:r>
          </w:p>
        </w:tc>
        <w:tc>
          <w:tcPr>
            <w:tcW w:w="1300" w:type="dxa"/>
          </w:tcPr>
          <w:p w:rsidR="00AC0832" w:rsidRDefault="00AC0832">
            <w:pPr>
              <w:pStyle w:val="CellColumn"/>
            </w:pPr>
            <w:r>
              <w:t>1.688.347</w:t>
            </w:r>
          </w:p>
        </w:tc>
      </w:tr>
    </w:tbl>
    <w:p w:rsidR="00AC0832" w:rsidRDefault="00AC0832">
      <w:pPr>
        <w:jc w:val="left"/>
      </w:pPr>
    </w:p>
    <w:p w:rsidR="00AC0832" w:rsidRDefault="00AC0832">
      <w:pPr>
        <w:pStyle w:val="Heading6"/>
      </w:pPr>
      <w:r>
        <w:t>A570445 POMOĆ JEDINICAMA LOKALNE I REGIONALNE SAMOUPRAVE ZA RAZVOJ RIJEČNOG PROMETA I ŽUPANIJSKIH LUKA I PRISTANIŠTA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A570445-POMOĆ JEDINICAMA LOKALNE I REGIONALNE SAMOUPRAVE ZA RAZVOJ RIJEČNOG PROMETA I ŽUPANIJSKIH LUKA I PRISTANIŠTA</w:t>
            </w:r>
          </w:p>
        </w:tc>
        <w:tc>
          <w:tcPr>
            <w:tcW w:w="2322" w:type="dxa"/>
          </w:tcPr>
          <w:p w:rsidR="00AC0832" w:rsidRDefault="00AC0832">
            <w:pPr>
              <w:pStyle w:val="CellColumn"/>
            </w:pPr>
            <w:r>
              <w:t>1.000.000</w:t>
            </w:r>
          </w:p>
        </w:tc>
        <w:tc>
          <w:tcPr>
            <w:tcW w:w="2322" w:type="dxa"/>
          </w:tcPr>
          <w:p w:rsidR="00AC0832" w:rsidRDefault="00AC0832">
            <w:pPr>
              <w:pStyle w:val="CellColumn"/>
            </w:pPr>
            <w:r>
              <w:t>995.698</w:t>
            </w:r>
          </w:p>
        </w:tc>
        <w:tc>
          <w:tcPr>
            <w:tcW w:w="2322" w:type="dxa"/>
          </w:tcPr>
          <w:p w:rsidR="00AC0832" w:rsidRDefault="00AC0832">
            <w:pPr>
              <w:pStyle w:val="CellColumn"/>
            </w:pPr>
            <w:r>
              <w:t>99,6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Tijekom 2012. godine su provedena tri postupka objave javnog poziva za dodjelu pomoći jedinicama lokalne i regionalne samouprave za održavanje i ulaganje u plovila za poprečni prijevoz putnika i roba preko vodnih putova na rijekama Dunav, Sava i Drava.  </w:t>
      </w:r>
    </w:p>
    <w:p w:rsidR="00AC0832" w:rsidRDefault="00AC0832">
      <w:pPr>
        <w:pStyle w:val="Normal6"/>
      </w:pPr>
      <w:r>
        <w:t xml:space="preserve">Gradu Vukovaru je, u svrhu sufinanciranja troškova ulaganja za tekuće održavanje plovila i kontinuiranog odvijanja prijevoza putnika i roba, u prvom javnom pozivu u 2012. godini temeljem ugovora isplaćen iznos od 500.000,00 kuna, čime je omogućeno obavljanje prijevoza putnika i roba preko međunarodnog vodnog puta rijeke Dunav na mjestu gdje nema cestovne infrastrukture-mosta, a u svrhu poticanja prometne povezanosti.  </w:t>
      </w:r>
    </w:p>
    <w:p w:rsidR="00AC0832" w:rsidRDefault="00AC0832">
      <w:pPr>
        <w:pStyle w:val="Normal6"/>
      </w:pPr>
      <w:r>
        <w:t xml:space="preserve">Drugim i trećim javnim pozivom, a temeljem sklopljenih ugovora, dodijeljene su pomoći kapitalnog ulaganja u ukupnom iznosu od 495.697,78 kuna za održavanje, popravak i opremanje plovila za prijevoz putnika i roba na skelskim prijelazima u vlasništvu Općina Rugvica, iznos od 25.687,50 kn, Sunja, iznos od 230.000,00 kn, Martinska Ves, iznos od 74.721,02 kn i Fužine, iznos od 165.289,26 kn.  </w:t>
      </w:r>
    </w:p>
    <w:p w:rsidR="00AC0832" w:rsidRDefault="00AC0832">
      <w:pPr>
        <w:pStyle w:val="Normal6"/>
      </w:pPr>
      <w:r>
        <w:t>U 2012. godini kroz program pomoći je sufinancirano ukupno sedam plovila, čime su ista tehnički osposobljena i omogućeno je zadovoljavanje minimalnih preduvjeta za kontinuirano odvijanje prijevoza putnika i roba. Rezultati su ostvareni u potpunosti,  iznad  ciljanog ostvarenja po  Strateškom planu Ministarstva za razdoblje od 2012.-2014.</w:t>
      </w:r>
    </w:p>
    <w:p w:rsidR="00AC0832" w:rsidRDefault="00AC0832">
      <w:pPr>
        <w:pStyle w:val="Heading6"/>
      </w:pPr>
    </w:p>
    <w:p w:rsidR="00AC0832" w:rsidRDefault="00AC0832">
      <w:pPr>
        <w:pStyle w:val="Heading6"/>
      </w:pPr>
    </w:p>
    <w:p w:rsidR="00AC0832" w:rsidRDefault="00AC0832">
      <w:pPr>
        <w:pStyle w:val="Heading6"/>
      </w:pPr>
      <w:r>
        <w:t>A570447 GRADNJA I ODRŽAVANJE LUČKIH GRAĐEVINA U LUKAMA UNUTARNJIH VODA OD DRŽAVNOG ZNAČAJA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A570447-GRADNJA I ODRŽAVANJE LUČKIH GRAĐEVINA U LUKAMA UNUTARNJIH VODA OD DRŽAVNOG ZNAČAJA</w:t>
            </w:r>
          </w:p>
        </w:tc>
        <w:tc>
          <w:tcPr>
            <w:tcW w:w="2322" w:type="dxa"/>
          </w:tcPr>
          <w:p w:rsidR="00AC0832" w:rsidRDefault="00AC0832">
            <w:pPr>
              <w:pStyle w:val="CellColumn"/>
            </w:pPr>
            <w:r>
              <w:t>17.000.000</w:t>
            </w:r>
          </w:p>
        </w:tc>
        <w:tc>
          <w:tcPr>
            <w:tcW w:w="2322" w:type="dxa"/>
          </w:tcPr>
          <w:p w:rsidR="00AC0832" w:rsidRDefault="00AC0832">
            <w:pPr>
              <w:pStyle w:val="CellColumn"/>
            </w:pPr>
            <w:r>
              <w:t>16.984.020</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Sredstvima utrošenim u 2012. godini su se financirala ulaganja u lučku infrastrukturu u lukama na unutarnjim vodama (Vukovar, Osijek, Slavonski Brod i Sisak). </w:t>
      </w:r>
    </w:p>
    <w:p w:rsidR="00AC0832" w:rsidRDefault="00AC0832">
      <w:pPr>
        <w:pStyle w:val="Normal6"/>
      </w:pPr>
      <w:r>
        <w:t xml:space="preserve">Ostvareni su rezultati prema značajnijim projektima kako slijedi: </w:t>
      </w:r>
    </w:p>
    <w:p w:rsidR="00AC0832" w:rsidRDefault="00AC0832">
      <w:pPr>
        <w:pStyle w:val="Normal6"/>
      </w:pPr>
      <w:r>
        <w:t xml:space="preserve">- Lučka uprava Vukovar, Putničko pristanište Batina - dovršena druga faza izgradnje osim dijela koji sufinanciraju Hrvatske Vode (plan za 2013. godinu), Izgrađeno Putničko pristanište u Aljmašu (sufinanciranje s Osječko-baranjskom županijom). Instaliran dio  opreme za prihvat i obradu otpadnih voda s plovila </w:t>
      </w:r>
    </w:p>
    <w:p w:rsidR="00AC0832" w:rsidRDefault="00AC0832">
      <w:pPr>
        <w:pStyle w:val="Normal6"/>
      </w:pPr>
      <w:r>
        <w:t xml:space="preserve">- Osijek, izgrađeno sportsko pristanište u Neptunu </w:t>
      </w:r>
    </w:p>
    <w:p w:rsidR="00AC0832" w:rsidRDefault="00AC0832">
      <w:pPr>
        <w:pStyle w:val="Normal6"/>
      </w:pPr>
      <w:r>
        <w:t xml:space="preserve">- Slavonski Brod - na lučkom području luke Slavonski Brod u 2012. godini izvršeni su infrastrukturni radovi koji su obuhvaćali izgradnju cestovnih prometnica, sustava fekalne i oborinske odvodnje, nadzor nad izgradnjom prometnica i radovi koordinatora II zaštite na radu izgradnje prometnice. Ostali infrastrukturni radovi odnosili su se na uređenje i održavanje, arheološke i geodetske radove, izradu projektne dokumentacije idejnih i glavnih projekata luke, revizije glavnih građevinskih projekata operativnog dijela luke i ishođenje građevinskih dozvola – glavnog i izvedbenog projekta lučke infrastrukture i II. Faze vertikalne obale.  </w:t>
      </w:r>
    </w:p>
    <w:p w:rsidR="00AC0832" w:rsidRDefault="00AC0832">
      <w:pPr>
        <w:pStyle w:val="Normal6"/>
      </w:pPr>
      <w:r>
        <w:t>- Sisak, nastavak izgradnje putničkog pristaništa na rijeci Kupi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384"/>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Izgrađenost lučke infrastrukture u lučkom području Luke Slavonski Brod</w:t>
            </w:r>
          </w:p>
        </w:tc>
        <w:tc>
          <w:tcPr>
            <w:tcW w:w="1300" w:type="dxa"/>
          </w:tcPr>
          <w:p w:rsidR="00AC0832" w:rsidRDefault="00AC0832">
            <w:pPr>
              <w:pStyle w:val="CellColumn"/>
            </w:pPr>
            <w:r>
              <w:t xml:space="preserve">Stupanj </w:t>
            </w:r>
          </w:p>
          <w:p w:rsidR="00AC0832" w:rsidRDefault="00AC0832">
            <w:pPr>
              <w:pStyle w:val="CellColumn"/>
            </w:pPr>
            <w:r>
              <w:t xml:space="preserve">izgrađenosti </w:t>
            </w:r>
          </w:p>
          <w:p w:rsidR="00AC0832" w:rsidRDefault="00AC0832">
            <w:pPr>
              <w:pStyle w:val="CellColumn"/>
            </w:pPr>
            <w:r>
              <w:t xml:space="preserve">infrastrukture </w:t>
            </w:r>
          </w:p>
          <w:p w:rsidR="00AC0832" w:rsidRDefault="00AC0832">
            <w:pPr>
              <w:pStyle w:val="CellColumn"/>
            </w:pPr>
            <w:r>
              <w:t xml:space="preserve">u lučkom </w:t>
            </w:r>
          </w:p>
          <w:p w:rsidR="00AC0832" w:rsidRDefault="00AC0832">
            <w:pPr>
              <w:pStyle w:val="CellColumn"/>
            </w:pPr>
            <w:r>
              <w:t xml:space="preserve">području luke </w:t>
            </w:r>
          </w:p>
          <w:p w:rsidR="00AC0832" w:rsidRDefault="00AC0832">
            <w:pPr>
              <w:pStyle w:val="CellColumn"/>
            </w:pPr>
            <w:r>
              <w:t xml:space="preserve">Slavonski </w:t>
            </w:r>
          </w:p>
          <w:p w:rsidR="00AC0832" w:rsidRDefault="00AC0832">
            <w:pPr>
              <w:pStyle w:val="CellColumn"/>
            </w:pPr>
            <w:r>
              <w:t>Brod</w:t>
            </w:r>
          </w:p>
        </w:tc>
        <w:tc>
          <w:tcPr>
            <w:tcW w:w="1300" w:type="dxa"/>
          </w:tcPr>
          <w:p w:rsidR="00AC0832" w:rsidRDefault="00AC0832">
            <w:pPr>
              <w:pStyle w:val="CellColumn"/>
            </w:pPr>
            <w:r>
              <w:t>%</w:t>
            </w:r>
          </w:p>
        </w:tc>
        <w:tc>
          <w:tcPr>
            <w:tcW w:w="1300" w:type="dxa"/>
          </w:tcPr>
          <w:p w:rsidR="00AC0832" w:rsidRDefault="00AC0832">
            <w:pPr>
              <w:pStyle w:val="CellColumn"/>
            </w:pPr>
            <w:r>
              <w:t>10</w:t>
            </w:r>
          </w:p>
        </w:tc>
        <w:tc>
          <w:tcPr>
            <w:tcW w:w="1300" w:type="dxa"/>
          </w:tcPr>
          <w:p w:rsidR="00AC0832" w:rsidRDefault="00AC0832">
            <w:pPr>
              <w:pStyle w:val="CellColumn"/>
            </w:pPr>
            <w:r>
              <w:t>MPPI</w:t>
            </w:r>
          </w:p>
        </w:tc>
        <w:tc>
          <w:tcPr>
            <w:tcW w:w="1300" w:type="dxa"/>
          </w:tcPr>
          <w:p w:rsidR="00AC0832" w:rsidRDefault="00AC0832">
            <w:pPr>
              <w:pStyle w:val="CellColumn"/>
            </w:pPr>
            <w:r>
              <w:t>20</w:t>
            </w:r>
          </w:p>
        </w:tc>
        <w:tc>
          <w:tcPr>
            <w:tcW w:w="1300" w:type="dxa"/>
          </w:tcPr>
          <w:p w:rsidR="00AC0832" w:rsidRDefault="00AC0832">
            <w:pPr>
              <w:pStyle w:val="CellColumn"/>
            </w:pPr>
            <w:r>
              <w:t>20</w:t>
            </w:r>
          </w:p>
        </w:tc>
      </w:tr>
    </w:tbl>
    <w:p w:rsidR="00AC0832" w:rsidRDefault="00AC0832">
      <w:pPr>
        <w:jc w:val="left"/>
      </w:pPr>
    </w:p>
    <w:p w:rsidR="00AC0832" w:rsidRDefault="00AC0832">
      <w:pPr>
        <w:pStyle w:val="Heading6"/>
      </w:pPr>
      <w:r>
        <w:t>A821014 STIPENDIRANJE REDOVITIH STUDENATA FAKULTETA PROMETNIH ZNANOSTI I UČENIKA SREDNJE ŠKOLE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A821014-STIPENDIRANJE REDOVITIH STUDENATA FAKULTETA PROMETNIH ZNANOSTI I UČENIKA SREDNJE ŠKOLE</w:t>
            </w:r>
          </w:p>
        </w:tc>
        <w:tc>
          <w:tcPr>
            <w:tcW w:w="2322" w:type="dxa"/>
          </w:tcPr>
          <w:p w:rsidR="00AC0832" w:rsidRDefault="00AC0832">
            <w:pPr>
              <w:pStyle w:val="CellColumn"/>
            </w:pPr>
            <w:r>
              <w:t>212.000</w:t>
            </w:r>
          </w:p>
        </w:tc>
        <w:tc>
          <w:tcPr>
            <w:tcW w:w="2322" w:type="dxa"/>
          </w:tcPr>
          <w:p w:rsidR="00AC0832" w:rsidRDefault="00AC0832">
            <w:pPr>
              <w:pStyle w:val="CellColumn"/>
            </w:pPr>
            <w:r>
              <w:t>195.200</w:t>
            </w:r>
          </w:p>
        </w:tc>
        <w:tc>
          <w:tcPr>
            <w:tcW w:w="2322" w:type="dxa"/>
          </w:tcPr>
          <w:p w:rsidR="00AC0832" w:rsidRDefault="00AC0832">
            <w:pPr>
              <w:pStyle w:val="CellColumn"/>
            </w:pPr>
            <w:r>
              <w:t>92,1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Sukladno preporukama  »NAIADES-a «  (Europski akcijski program za riječni promet) koji definira okvir djelovanja Europske unije i zemalja članica kroz različite provedbene instrumente od kojih je jedan zapošljavanje i edukacija, te u skladu s odredbama Strategije razvitka riječnog prometa u Republici Hrvatskoj (2008. – 2018.), Ministarstvo je pokrenulo program stipendiranja deficitarnog brodarskog kadra unutarnje plovidbe. </w:t>
      </w:r>
    </w:p>
    <w:p w:rsidR="00AC0832" w:rsidRDefault="00AC0832">
      <w:pPr>
        <w:pStyle w:val="Normal6"/>
      </w:pPr>
      <w:r>
        <w:t xml:space="preserve">Ministarstvo je raspisalo natječaj za dodjelu stipendija učenicima temeljem Odluke o uvjetima za dodjeljivanje stipendija redovnim učenicima Strukovne škole u Sisku, školska godina 2012/2013. Natječaj je objavljen 17. rujna na web stranici Ministarstva. </w:t>
      </w:r>
    </w:p>
    <w:p w:rsidR="00AC0832" w:rsidRDefault="00AC0832">
      <w:pPr>
        <w:pStyle w:val="Normal6"/>
      </w:pPr>
      <w:r>
        <w:t>Stipendiran je jedan student preddiplomskog i diplomskog sveučilišnog studija vodnog smjera Fakulteta prometnih znanosti u Zagrebu, koji je 2012. godine diplomirao, te 28 učenika srednjoškolskog obrazovanja nautičkog smjera u Sisku i time je postignut cilj zacrtan u Strateškom planu za 2012-2014. god.</w:t>
      </w:r>
    </w:p>
    <w:p w:rsidR="00AC0832" w:rsidRDefault="00AC0832">
      <w:pPr>
        <w:pStyle w:val="Heading6"/>
      </w:pPr>
      <w:r>
        <w:t>K570257 IZRADA PLANSKIH DOKUMENATA ZA RAZVITAK RIJEČNOG PROMETA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K570257-IZRADA PLANSKIH DOKUMENATA ZA RAZVITAK RIJEČNOG PROMETA</w:t>
            </w:r>
          </w:p>
        </w:tc>
        <w:tc>
          <w:tcPr>
            <w:tcW w:w="2322" w:type="dxa"/>
          </w:tcPr>
          <w:p w:rsidR="00AC0832" w:rsidRDefault="00AC0832">
            <w:pPr>
              <w:pStyle w:val="CellColumn"/>
            </w:pPr>
            <w:r>
              <w:t>250.000</w:t>
            </w:r>
          </w:p>
        </w:tc>
        <w:tc>
          <w:tcPr>
            <w:tcW w:w="2322" w:type="dxa"/>
          </w:tcPr>
          <w:p w:rsidR="00AC0832" w:rsidRDefault="00AC0832">
            <w:pPr>
              <w:pStyle w:val="CellColumn"/>
            </w:pPr>
            <w:r>
              <w:t>248.750</w:t>
            </w:r>
          </w:p>
        </w:tc>
        <w:tc>
          <w:tcPr>
            <w:tcW w:w="2322" w:type="dxa"/>
          </w:tcPr>
          <w:p w:rsidR="00AC0832" w:rsidRDefault="00AC0832">
            <w:pPr>
              <w:pStyle w:val="CellColumn"/>
            </w:pPr>
            <w:r>
              <w:t>99,5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Zaključkom Vlade Republike Hrvatske KLASA:342-19/08-02/03; UR. BROJ: 5030116-08-1 od 19. prosinca 2008. godine donesen je Srednjoročni plan razvitka vodnih putova i luka unutarnjih voda Republike Hrvatske za razdoblje 2009-2016 godine.  </w:t>
      </w:r>
    </w:p>
    <w:p w:rsidR="00AC0832" w:rsidRDefault="00AC0832">
      <w:pPr>
        <w:pStyle w:val="Normal6"/>
      </w:pPr>
      <w:r>
        <w:t xml:space="preserve">Navedeni Srednjoročni plan je planski dokument kojim je predviđen razvitak vodnih putova i luka unutarnjih voda u periodu od 2009 do 2016 godine s prikazom planiranih investicija, izraženim financijskim planom i načinom financiranja. </w:t>
      </w:r>
    </w:p>
    <w:p w:rsidR="00AC0832" w:rsidRDefault="00AC0832">
      <w:pPr>
        <w:pStyle w:val="Normal6"/>
      </w:pPr>
      <w:r>
        <w:t xml:space="preserve">Obzirom da je u unutarnjoj plovidbi u zadnje vrijeme zabilježen značajan pad riječnog prometa na vodnim putovima te pretovar u lukama unutarnjih voda Srednjoročni plan koji je na snazi, zbog velikih odstupanja u odnosu na realno stanje u unutarnjoj plovidbi, ne može više biti podloga za prijedloge financijskih planova koji su temelj za razvoj značajnih investicija kako na vodnim putovima tako i u lukama unutarnjih voda. </w:t>
      </w:r>
    </w:p>
    <w:p w:rsidR="00AC0832" w:rsidRDefault="00AC0832">
      <w:pPr>
        <w:pStyle w:val="Normal6"/>
      </w:pPr>
      <w:r>
        <w:t>Iz gore navedenih razloga izrađena je Studija razvoja prometnog sustava vodnih putova, luka i pristaništa na unutarnjim vodama Republike Hrvatske za razdoblje 2013. - 2018.  koja je podloga za  revidiranje postojećeg plana.</w:t>
      </w:r>
    </w:p>
    <w:p w:rsidR="00AC0832" w:rsidRDefault="00AC0832">
      <w:pPr>
        <w:pStyle w:val="Heading6"/>
      </w:pPr>
      <w:r>
        <w:t>K570297 RAD SAVSKE I DUNAVSKE KOMISIJE TE SUDJELOVANJE U RADU MEĐUNARODNIH INSTITUCIJA S PODRUČJA UNUTARNJE PLOVIDBE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K570297-RAD SAVSKE I DUNAVSKE KOMISIJE TE SUDJELOVANJE U RADU MEĐUNARODNIH INSTITUCIJA S PODRUČJA UNUTARNJE PLOVIDBE</w:t>
            </w:r>
          </w:p>
        </w:tc>
        <w:tc>
          <w:tcPr>
            <w:tcW w:w="2322" w:type="dxa"/>
          </w:tcPr>
          <w:p w:rsidR="00AC0832" w:rsidRDefault="00AC0832">
            <w:pPr>
              <w:pStyle w:val="CellColumn"/>
            </w:pPr>
            <w:r>
              <w:t>1.287.175</w:t>
            </w:r>
          </w:p>
        </w:tc>
        <w:tc>
          <w:tcPr>
            <w:tcW w:w="2322" w:type="dxa"/>
          </w:tcPr>
          <w:p w:rsidR="00AC0832" w:rsidRDefault="00AC0832">
            <w:pPr>
              <w:pStyle w:val="CellColumn"/>
            </w:pPr>
            <w:r>
              <w:t>1.225.967</w:t>
            </w:r>
          </w:p>
        </w:tc>
        <w:tc>
          <w:tcPr>
            <w:tcW w:w="2322" w:type="dxa"/>
          </w:tcPr>
          <w:p w:rsidR="00AC0832" w:rsidRDefault="00AC0832">
            <w:pPr>
              <w:pStyle w:val="CellColumn"/>
            </w:pPr>
            <w:r>
              <w:t>95,2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Međunarodna komisija za sliv rijeke Save (Savska komisija) osnovana je temeljem Okvirnog sporazuma o slivu rijeke Save dne 03.12.2002. godine u Kranjskoj Gori od strane obalnih zemalja Bosne i Hercegovine, Republike Hrvatske, Republike Slovenije i Savezne Republike Jugoslavije nakon uspješnih pregovora pod vodstvom Pakta za stabilizaciju za jugoistočnu Europu. Članak 3. Zakona o potvrđivanju Okvirnog sporazuma o slivu rijeke Save (NN 14/03 – MU) propisuje: „Provedba ovoga Zakona u nadležnosti je Ministarstva mora, turizma, prometa i razvitka i Državne uprave za vode“. Ugovorom između Međunarodne komisije za sliv rijeke Save i Vlade Republike Hrvatske o sjedištu Komisije (NN Međunarodni ugovori broj 3/2006), Vlada RH se je obvezala „osigurati pogodne i prikladne prostorije za Savsku komisiju i njezino Tajništvo u Zagrebu bez naknade“ te plaćati troškove individualne i zajedničke potrošnje. Poslovni prostor se nalazi u Branimirovoj ulici 29, u sklopu Shopping centra, ima svu potrebnu infrastrukturu i u neposrednoj blizini sve sadržaje potrebne za učinkovito funkcioniranje Savske komisije i njenih radnih grupa. Iznos koji je ostao neutrošen odnosi se na plaćanje računa za navedene troškove za mjesec prosinac 2012. godine. </w:t>
      </w:r>
    </w:p>
    <w:p w:rsidR="00AC0832" w:rsidRDefault="00AC0832">
      <w:pPr>
        <w:pStyle w:val="Normal6"/>
      </w:pPr>
      <w:r>
        <w:t>Redovni godišnji doprinos Strana za financijsku 2012. godinu usvojen je na sjednici Savske Komisije održanoj od 10 – 11. 04. 2012. godine. Za svaku Stranu kontribucija iznosi  €121.990. MPPI od toga je platilo 50% tj. €60.995 odnosno 460.512,00 kuna</w:t>
      </w:r>
    </w:p>
    <w:p w:rsidR="00AC0832" w:rsidRDefault="00AC0832">
      <w:pPr>
        <w:pStyle w:val="Heading6"/>
      </w:pPr>
      <w:r>
        <w:t>K587027 UPRAVLJANJE INFRASTRUKTURNIM PROJEKTIMA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K587027-UPRAVLJANJE INFRASTRUKTURNIM PROJEKTIMA</w:t>
            </w:r>
          </w:p>
        </w:tc>
        <w:tc>
          <w:tcPr>
            <w:tcW w:w="2322" w:type="dxa"/>
          </w:tcPr>
          <w:p w:rsidR="00AC0832" w:rsidRDefault="00AC0832">
            <w:pPr>
              <w:pStyle w:val="CellColumn"/>
            </w:pPr>
            <w:r>
              <w:t>252.000</w:t>
            </w:r>
          </w:p>
        </w:tc>
        <w:tc>
          <w:tcPr>
            <w:tcW w:w="2322" w:type="dxa"/>
          </w:tcPr>
          <w:p w:rsidR="00AC0832" w:rsidRDefault="00AC0832">
            <w:pPr>
              <w:pStyle w:val="CellColumn"/>
            </w:pPr>
            <w:r>
              <w:t>251.875</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 xml:space="preserve">Izrađena je aplikacija za praćenje infrastrukturnih projekata koji se financiraju iz Državnog proračuna i aplikacija za praćenje infrastrukturnih projekata koji se financiraju iz EU fondova u svrhu prikaza stanja infrastrukturnih projekata čiji su krajnji korisnici Lučke uprave unutarnjih voda. </w:t>
      </w:r>
    </w:p>
    <w:p w:rsidR="00AC0832" w:rsidRDefault="00AC0832">
      <w:pPr>
        <w:pStyle w:val="Normal6"/>
      </w:pPr>
      <w:r>
        <w:t xml:space="preserve">Osim navedenog izrađena je aplikacija za upis lučkih korisnika koja je bila obveza po odredbama Pravilnika o upisu lučkih korisnika koji je donio ministar pomorstva, prometa i infrastrukture.  </w:t>
      </w:r>
    </w:p>
    <w:p w:rsidR="00AC0832" w:rsidRDefault="00AC0832">
      <w:pPr>
        <w:pStyle w:val="Normal6"/>
      </w:pPr>
      <w:r>
        <w:t>Ministarstvo je zaduženo u elektronskom obliku voditi upisnik lučkih korisnika, a sukladno odredbama spomenutog Pravilnika.</w:t>
      </w:r>
    </w:p>
    <w:p w:rsidR="00AC0832" w:rsidRDefault="00AC0832">
      <w:pPr>
        <w:pStyle w:val="Heading6"/>
      </w:pPr>
      <w:r>
        <w:t>K587029 NCC-NACIONALNI KONTROLNI CENTAR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K587029-NCC-NACIONALNI KONTROLNI CENTAR</w:t>
            </w:r>
          </w:p>
        </w:tc>
        <w:tc>
          <w:tcPr>
            <w:tcW w:w="2322" w:type="dxa"/>
          </w:tcPr>
          <w:p w:rsidR="00AC0832" w:rsidRDefault="00AC0832">
            <w:pPr>
              <w:pStyle w:val="CellColumn"/>
            </w:pPr>
            <w:r>
              <w:t>1.740.000</w:t>
            </w:r>
          </w:p>
        </w:tc>
        <w:tc>
          <w:tcPr>
            <w:tcW w:w="2322" w:type="dxa"/>
          </w:tcPr>
          <w:p w:rsidR="00AC0832" w:rsidRDefault="00AC0832">
            <w:pPr>
              <w:pStyle w:val="CellColumn"/>
            </w:pPr>
            <w:r>
              <w:t>1.467.729</w:t>
            </w:r>
          </w:p>
        </w:tc>
        <w:tc>
          <w:tcPr>
            <w:tcW w:w="2322" w:type="dxa"/>
          </w:tcPr>
          <w:p w:rsidR="00AC0832" w:rsidRDefault="00AC0832">
            <w:pPr>
              <w:pStyle w:val="CellColumn"/>
            </w:pPr>
            <w:r>
              <w:t>84,4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Završena je druga faza izgradnje Nacionalnog kontrolnog centra odnosno završni građevinski i obrtničko- instalaterski radovi. Dio sredstava koji je planiran za nabavku namještaja i komunikacijske opreme nije realiziran jer nisu bili stvoreni preduvjeti za montažu istog (obrtničko- instalaterski radovi završeni su na samom kraju 2012. godine).</w:t>
      </w:r>
    </w:p>
    <w:p w:rsidR="00AC0832" w:rsidRDefault="00AC0832">
      <w:pPr>
        <w:pStyle w:val="Heading6"/>
      </w:pPr>
      <w:r>
        <w:t>K810017 OTKUP ZEMLJIŠTA NA LUČKOM PODRUČJU UNUTARNJIH VODA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K810017-OTKUP ZEMLJIŠTA NA LUČKOM PODRUČJU UNUTARNJIH VODA</w:t>
            </w:r>
          </w:p>
        </w:tc>
        <w:tc>
          <w:tcPr>
            <w:tcW w:w="2322" w:type="dxa"/>
          </w:tcPr>
          <w:p w:rsidR="00AC0832" w:rsidRDefault="00AC0832">
            <w:pPr>
              <w:pStyle w:val="CellColumn"/>
            </w:pPr>
            <w:r>
              <w:t>600.000</w:t>
            </w:r>
          </w:p>
        </w:tc>
        <w:tc>
          <w:tcPr>
            <w:tcW w:w="2322" w:type="dxa"/>
          </w:tcPr>
          <w:p w:rsidR="00AC0832" w:rsidRDefault="00AC0832">
            <w:pPr>
              <w:pStyle w:val="CellColumn"/>
            </w:pPr>
            <w:r>
              <w:t>592.250</w:t>
            </w:r>
          </w:p>
        </w:tc>
        <w:tc>
          <w:tcPr>
            <w:tcW w:w="2322" w:type="dxa"/>
          </w:tcPr>
          <w:p w:rsidR="00AC0832" w:rsidRDefault="00AC0832">
            <w:pPr>
              <w:pStyle w:val="CellColumn"/>
            </w:pPr>
            <w:r>
              <w:t>98,7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Riješen je dio imovinsko pravnih odnosa unutar lučkih područja u  Slavonskom  Brodu. Otkupljeno je zemljište ukupne površine 5.590 m² koja se nalazi u obuhvatu zahvata projekta Izgradnja infrastrukture u lučkom području luke Slavonski Brod.</w:t>
      </w:r>
    </w:p>
    <w:p w:rsidR="00AC0832" w:rsidRDefault="00AC0832">
      <w:pPr>
        <w:pStyle w:val="Heading6"/>
      </w:pPr>
      <w:r>
        <w:t>K819034 IPA IIIA 2010-IZRADA MASTER PLANA NOVA LUKA SISAK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K819034-IPA IIIA 2010-IZRADA MASTER PLANA NOVA LUKA SISAK</w:t>
            </w:r>
          </w:p>
        </w:tc>
        <w:tc>
          <w:tcPr>
            <w:tcW w:w="2322" w:type="dxa"/>
          </w:tcPr>
          <w:p w:rsidR="00AC0832" w:rsidRDefault="00AC0832">
            <w:pPr>
              <w:pStyle w:val="CellColumn"/>
            </w:pPr>
            <w:r>
              <w:t>6.525.000</w:t>
            </w:r>
          </w:p>
        </w:tc>
        <w:tc>
          <w:tcPr>
            <w:tcW w:w="2322" w:type="dxa"/>
          </w:tcPr>
          <w:p w:rsidR="00AC0832" w:rsidRDefault="00AC0832">
            <w:pPr>
              <w:pStyle w:val="CellColumn"/>
            </w:pPr>
            <w:r>
              <w:t>6.438.272</w:t>
            </w:r>
          </w:p>
        </w:tc>
        <w:tc>
          <w:tcPr>
            <w:tcW w:w="2322" w:type="dxa"/>
          </w:tcPr>
          <w:p w:rsidR="00AC0832" w:rsidRDefault="00AC0832">
            <w:pPr>
              <w:pStyle w:val="CellColumn"/>
            </w:pPr>
            <w:r>
              <w:t>98,7</w:t>
            </w:r>
          </w:p>
        </w:tc>
      </w:tr>
    </w:tbl>
    <w:p w:rsidR="00AC0832" w:rsidRDefault="00AC0832">
      <w:pPr>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Konzultatnska firma iC-consulenten Ziviltechniker GmbH (Viena, Austria) i agencija SAFU potpisale su ugovor IPA2007/HR/16/IPO/002-021101 za usluge izrade Master plana radi izgradnje Nove luke Sisak na iznos od 1.435.120,00 €. Rok provedbe ugovora je 14 mjeseci (listopad 2013 godine). U 2012. godini plaćen je avans u iznosu od 6.438.271,51 kuna, a ostatak će biti plaćen krajem 2013. godine.</w:t>
      </w:r>
    </w:p>
    <w:p w:rsidR="00AC0832" w:rsidRDefault="00AC0832">
      <w:pPr>
        <w:pStyle w:val="Heading6"/>
      </w:pPr>
      <w:r>
        <w:t>K821034 IPA IIIA 2010-REKONSTRUKCIJA JUŽNE OBALE OSIJEK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K821034-IPA IIIA 2010-REKONSTRUKCIJA JUŽNE OBALE OSIJEK</w:t>
            </w:r>
          </w:p>
        </w:tc>
        <w:tc>
          <w:tcPr>
            <w:tcW w:w="2322" w:type="dxa"/>
          </w:tcPr>
          <w:p w:rsidR="00AC0832" w:rsidRDefault="00AC0832">
            <w:pPr>
              <w:pStyle w:val="CellColumn"/>
            </w:pPr>
            <w:r>
              <w:t>986.861</w:t>
            </w:r>
          </w:p>
        </w:tc>
        <w:tc>
          <w:tcPr>
            <w:tcW w:w="2322" w:type="dxa"/>
          </w:tcPr>
          <w:p w:rsidR="00AC0832" w:rsidRDefault="00AC0832">
            <w:pPr>
              <w:pStyle w:val="CellColumn"/>
            </w:pPr>
            <w:r>
              <w:t>1.035.059</w:t>
            </w:r>
          </w:p>
        </w:tc>
        <w:tc>
          <w:tcPr>
            <w:tcW w:w="2322" w:type="dxa"/>
          </w:tcPr>
          <w:p w:rsidR="00AC0832" w:rsidRDefault="00AC0832">
            <w:pPr>
              <w:pStyle w:val="CellColumn"/>
            </w:pPr>
            <w:r>
              <w:t>104,9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Ovaj IPA projekt uključuje 2 ugovora (framework contract, service contract). Predmet Framework ugovora je Tehnička pomoć za pregled i ocjenu postojeće projektne dokumentacije za izgradnju i rekonstrukciju Južne obale luke Osijek. Framework ugovor za tehničku pomoć je potpisan 18.03.2011. godine u iznosu od 188.044,00 € s tvrtkom PLANET SA Greece. Završno plaćanje (Final payment) bilo je 07.02.2012. Učešće RH iznosilo je 53.050,67 kn, a sredstva pomoći EU 486.852,55 kn. Obzirom da se faktura koja je plaćena sredstvima iz Državnog proračuna odnosila na usluge iz prethodne godine, došlo je do postotka izvršenja većeg od planiranog. </w:t>
      </w:r>
    </w:p>
    <w:p w:rsidR="00AC0832" w:rsidRDefault="00AC0832">
      <w:pPr>
        <w:pStyle w:val="Normal6"/>
      </w:pPr>
      <w:r>
        <w:t>Predmet Service ugovora je: 1/ Snimanje i pozicioniranje pojedinih struktura luke sukladno odobrenom idejnom projektu, detaljna geodetska snimka, hidrografska studija i geotehnička studija 2/ Izrada glavnog projekta uključujući sve potrebne priloge i studije utjecaja sukladno zahtjevima nacionalne regulative u cilju izdavanja građevinske dozvole 3/ Revizija glavnog projekta sukladno zahtjevima nacionalne regulative 4/ Ovjera glavnog projekta 5/ Podrška pri izdavanju građevinske dozvole 6/ Ažuriranje postojeće Feasibility studije i Cost Benefit analize 7/ Izrada Aplikacijskog obrasca za financiranje iz EU fondova.</w:t>
      </w:r>
    </w:p>
    <w:p w:rsidR="00AC0832" w:rsidRDefault="00AC0832">
      <w:pPr>
        <w:pStyle w:val="Heading5"/>
      </w:pPr>
      <w:r>
        <w:t>3106 RAZVOJ I SIGURNOST ZRAČNOG PROMETA I INFRASTRUKTURE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3106-RAZVOJ I SIGURNOST ZRAČNOG PROMETA I INFRASTRUKTURE</w:t>
            </w:r>
          </w:p>
        </w:tc>
        <w:tc>
          <w:tcPr>
            <w:tcW w:w="2322" w:type="dxa"/>
          </w:tcPr>
          <w:p w:rsidR="00AC0832" w:rsidRDefault="00AC0832">
            <w:pPr>
              <w:pStyle w:val="CellColumn"/>
            </w:pPr>
            <w:r>
              <w:t>108.610.000</w:t>
            </w:r>
          </w:p>
        </w:tc>
        <w:tc>
          <w:tcPr>
            <w:tcW w:w="2322" w:type="dxa"/>
          </w:tcPr>
          <w:p w:rsidR="00AC0832" w:rsidRDefault="00AC0832">
            <w:pPr>
              <w:pStyle w:val="CellColumn"/>
            </w:pPr>
            <w:r>
              <w:t>107.369.992</w:t>
            </w:r>
          </w:p>
        </w:tc>
        <w:tc>
          <w:tcPr>
            <w:tcW w:w="2322" w:type="dxa"/>
          </w:tcPr>
          <w:p w:rsidR="00AC0832" w:rsidRDefault="00AC0832">
            <w:pPr>
              <w:pStyle w:val="CellColumn"/>
            </w:pPr>
            <w:r>
              <w:t>98,9</w:t>
            </w:r>
          </w:p>
        </w:tc>
      </w:tr>
    </w:tbl>
    <w:p w:rsidR="00AC0832" w:rsidRDefault="00AC0832">
      <w:pPr>
        <w:jc w:val="left"/>
      </w:pPr>
    </w:p>
    <w:p w:rsidR="00AC0832" w:rsidRDefault="00AC0832">
      <w:pPr>
        <w:pStyle w:val="Heading6"/>
      </w:pPr>
      <w:r>
        <w:t>Opis programa</w:t>
      </w:r>
    </w:p>
    <w:p w:rsidR="00AC0832" w:rsidRDefault="00AC0832">
      <w:pPr>
        <w:pStyle w:val="Normal5"/>
      </w:pPr>
      <w:r>
        <w:t>Zadaća ovog programa je održavanje stupnja sigurnosti, zaštite, redovitosti i učinkovitosti civilnog zračnog prometa te proširenje i gradnja prateće infrastrukture za prihvat putnika i zrakoplova na aerodromima i helidromima koji su od državnog i lokalnog značaja. Kroz ovaj program provode se i mjere vezane za očuvanje otvorenosti aerodroma, očuvanje povezanosti regija kroz odvijanje domaćeg linijskog zračnog prijevoza, harmonizacija standarda  kroz osiguranje neovisnosti i suradnju  nadležnih tijela u postupcima izvješćivanja i istraživanja nesreća i ozbiljnih nezgoda zrakoplova te suradnja s međunarodnim organizacijama za civilni zračni promet.</w:t>
      </w:r>
    </w:p>
    <w:p w:rsidR="00AC0832" w:rsidRDefault="00AC0832">
      <w:pPr>
        <w:pStyle w:val="Heading6"/>
      </w:pPr>
      <w:r>
        <w:t>Zakonske i druge pravne osnove</w:t>
      </w:r>
    </w:p>
    <w:p w:rsidR="00AC0832" w:rsidRDefault="00AC0832">
      <w:pPr>
        <w:pStyle w:val="Normal5"/>
      </w:pPr>
      <w:r>
        <w:t xml:space="preserve">Zakon o zračnom prometu („Narodne novine“, broj 69/09 i 84/11), </w:t>
      </w:r>
    </w:p>
    <w:p w:rsidR="00AC0832" w:rsidRDefault="00AC0832">
      <w:pPr>
        <w:pStyle w:val="Normal5"/>
      </w:pPr>
      <w:r>
        <w:t xml:space="preserve">Zakon o zračnim lukama („Narodne novine“, broj 19/98 i 14/11), </w:t>
      </w:r>
    </w:p>
    <w:p w:rsidR="00AC0832" w:rsidRDefault="00AC0832">
      <w:pPr>
        <w:pStyle w:val="Normal5"/>
      </w:pPr>
      <w:r>
        <w:t xml:space="preserve">Nacionalni program zaštite civilnog zračnog prometa (kojeg je Vlada RH donijela na sjednici 4. veljače 2010.), </w:t>
      </w:r>
    </w:p>
    <w:p w:rsidR="00AC0832" w:rsidRDefault="00AC0832">
      <w:pPr>
        <w:pStyle w:val="Normal5"/>
      </w:pPr>
      <w:r>
        <w:t xml:space="preserve">ICAO Montrealska deklaracija, ICAO Dodatak 14 (standardi sigurnosti na aerodromima), </w:t>
      </w:r>
    </w:p>
    <w:p w:rsidR="00AC0832" w:rsidRDefault="00AC0832">
      <w:pPr>
        <w:pStyle w:val="Normal5"/>
      </w:pPr>
      <w:r>
        <w:t>Direktiva 94/56/EC kojom su utvrđuju temeljni principi rukovođenja istragama nesreća i nezgoda u civilnom zrakoplovstvu, ICAO Dodatak 13 (istraživanje nesreća)</w:t>
      </w:r>
    </w:p>
    <w:p w:rsidR="00AC0832" w:rsidRDefault="00AC0832">
      <w:pPr>
        <w:pStyle w:val="Heading7"/>
      </w:pPr>
      <w:r>
        <w:t xml:space="preserve">Cilj 1. Podizanje razine sigurnosti i zaštite civilnog zračnog prometa,  prometne  infrastrukture  i  prometne  usluge </w:t>
      </w:r>
    </w:p>
    <w:p w:rsidR="00AC0832" w:rsidRDefault="00AC0832">
      <w:pPr>
        <w:pStyle w:val="Heading8"/>
        <w:jc w:val="left"/>
      </w:pPr>
      <w:r>
        <w:t>Opis provedbe cilja programa</w:t>
      </w:r>
    </w:p>
    <w:p w:rsidR="00AC0832" w:rsidRDefault="00AC0832">
      <w:pPr>
        <w:pStyle w:val="Normal6"/>
      </w:pPr>
      <w:r>
        <w:t xml:space="preserve">Cilj ovog programa je podizanje razine sigurnosti i zaštite civilnog zračnog prometa, prometne infrastrukture i prometne usluge. Kroz ovaj program osigurava se i operacionalizacija mjera Nacionalnog programa zaštite civilnog zračnog prometa te otklanjanje nalaza „korektivnih mjera“ koje Hrvatska agencija za civilno zrakoplovstvo (HACZ) utvrdi aerodromima a koje se odnose na stanje sigurnosti na aerodromima sukladno standardima sigurnosti propisanih ICAO Dodatkom 14 kao i ispunjenje zahtjeva za povećanim sigurnosnim mjerama na svim aerodromima u zemlji a sukladno obvezama koje proizlaze iz članstva Republike Hrvatske u međunarodnim organizacijama za civilni zračni promet.  </w:t>
      </w:r>
    </w:p>
    <w:p w:rsidR="00AC0832" w:rsidRDefault="00AC0832">
      <w:pPr>
        <w:pStyle w:val="Normal6"/>
      </w:pPr>
      <w:r>
        <w:t xml:space="preserve">Dodijeljenim proračunskim sredstvima na ovom programu, u 2012. godini, sufinancirano je zatvaranje 25 nalaza „korektivnih mjera“ koje je HACZ izrekla aerodromima, sufinancirana su 4 projekta (zahtjeva) aerodroma koji se odnose na razvoj infrastrukture na aerodromima kao i 30 mjera (zahtjeva) aerodroma u svrhu sigurnosti i zaštite aerodroma u Republici Hrvatskoj. Nadalje, sredstvima sa ovog programa vršena je i nadoknada zračnom prijevozniku (Croatia Airlines d.d.) za održavanje domaćih zračnih linija, a financirani su i troškovi vezani za održavanje otvorenosti Zračne luke Rijeka i Zračne luke Osijek. Međutim, važno je istaknuti da nalaze koje HACZ utvrdi aerodromima, infrastrukturne projekte kao i mjere sigurnosti i zaštite na aerodromima, uglavnom i u najvećoj mjeri financiraju sami aerodromi uz sufinanciranje države proračunskim sredstvima koja se planiraju na ovom programu te da je na dan 31. prosinca 2012. na aerodromima ostalo još nezatvoreno 317 nalaza „korektivnih mjera“. </w:t>
      </w:r>
    </w:p>
    <w:p w:rsidR="00AC0832" w:rsidRDefault="00AC0832">
      <w:pPr>
        <w:pStyle w:val="Normal6"/>
      </w:pPr>
      <w:r>
        <w:t>Zadani ciljevi ovoga programa su ostvareni jer je proračunskim sredstvima u 2012. postignut broj od 25 zatvorenih nalaza „korektivnih mjera“. Zatvaranje većeg broja nalaza „korektivnih mjera“ u 2012. ostvareno iz razloga što su aerodromi u 2012. aplicirali za sufinanciranje, odnosno zatvaranje nalaza „korektivnih mjera“, koji su imali manju financijsku vrijednost. Tijekom 2012. ovaj program se provodio planiranom dinamikom te nije bilo problema u njegovu izvršavanju.</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39"/>
        <w:gridCol w:w="1495"/>
        <w:gridCol w:w="1258"/>
        <w:gridCol w:w="1273"/>
        <w:gridCol w:w="1269"/>
        <w:gridCol w:w="1273"/>
        <w:gridCol w:w="1281"/>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zatvorenih nalaza „korektivnih mjera“ izrečenih aerodromima od strane Agencije za civilno zrakoplovstvo</w:t>
            </w:r>
          </w:p>
        </w:tc>
        <w:tc>
          <w:tcPr>
            <w:tcW w:w="1300" w:type="dxa"/>
          </w:tcPr>
          <w:p w:rsidR="00AC0832" w:rsidRDefault="00AC0832">
            <w:pPr>
              <w:pStyle w:val="CellColumn"/>
            </w:pPr>
            <w:r>
              <w:t xml:space="preserve">Smanjenjem </w:t>
            </w:r>
          </w:p>
          <w:p w:rsidR="00AC0832" w:rsidRDefault="00AC0832">
            <w:pPr>
              <w:pStyle w:val="CellColumn"/>
            </w:pPr>
            <w:r>
              <w:t xml:space="preserve">broja nalaza </w:t>
            </w:r>
          </w:p>
          <w:p w:rsidR="00AC0832" w:rsidRDefault="00AC0832">
            <w:pPr>
              <w:pStyle w:val="CellColumn"/>
            </w:pPr>
            <w:r>
              <w:t xml:space="preserve">„korektivnih </w:t>
            </w:r>
          </w:p>
          <w:p w:rsidR="00AC0832" w:rsidRDefault="00AC0832">
            <w:pPr>
              <w:pStyle w:val="CellColumn"/>
            </w:pPr>
            <w:r>
              <w:t xml:space="preserve">mjera“ </w:t>
            </w:r>
          </w:p>
          <w:p w:rsidR="00AC0832" w:rsidRDefault="00AC0832">
            <w:pPr>
              <w:pStyle w:val="CellColumn"/>
            </w:pPr>
            <w:r>
              <w:t xml:space="preserve">izrečenim </w:t>
            </w:r>
          </w:p>
          <w:p w:rsidR="00AC0832" w:rsidRDefault="00AC0832">
            <w:pPr>
              <w:pStyle w:val="CellColumn"/>
            </w:pPr>
            <w:r>
              <w:t xml:space="preserve">aerodromima od strane </w:t>
            </w:r>
          </w:p>
          <w:p w:rsidR="00AC0832" w:rsidRDefault="00AC0832">
            <w:pPr>
              <w:pStyle w:val="CellColumn"/>
            </w:pPr>
            <w:r>
              <w:t xml:space="preserve">Agencije za </w:t>
            </w:r>
          </w:p>
          <w:p w:rsidR="00AC0832" w:rsidRDefault="00AC0832">
            <w:pPr>
              <w:pStyle w:val="CellColumn"/>
            </w:pPr>
            <w:r>
              <w:t xml:space="preserve">civilno </w:t>
            </w:r>
          </w:p>
          <w:p w:rsidR="00AC0832" w:rsidRDefault="00AC0832">
            <w:pPr>
              <w:pStyle w:val="CellColumn"/>
            </w:pPr>
            <w:r>
              <w:t xml:space="preserve">zrakoplovstvo, </w:t>
            </w:r>
          </w:p>
          <w:p w:rsidR="00AC0832" w:rsidRDefault="00AC0832">
            <w:pPr>
              <w:pStyle w:val="CellColumn"/>
            </w:pPr>
            <w:r>
              <w:t xml:space="preserve">povećava se </w:t>
            </w:r>
          </w:p>
          <w:p w:rsidR="00AC0832" w:rsidRDefault="00AC0832">
            <w:pPr>
              <w:pStyle w:val="CellColumn"/>
            </w:pPr>
            <w:r>
              <w:t xml:space="preserve">razina </w:t>
            </w:r>
          </w:p>
          <w:p w:rsidR="00AC0832" w:rsidRDefault="00AC0832">
            <w:pPr>
              <w:pStyle w:val="CellColumn"/>
            </w:pPr>
            <w:r>
              <w:t xml:space="preserve">sigurnosti i </w:t>
            </w:r>
          </w:p>
          <w:p w:rsidR="00AC0832" w:rsidRDefault="00AC0832">
            <w:pPr>
              <w:pStyle w:val="CellColumn"/>
            </w:pPr>
            <w:r>
              <w:t xml:space="preserve">zaštite u </w:t>
            </w:r>
          </w:p>
          <w:p w:rsidR="00AC0832" w:rsidRDefault="00AC0832">
            <w:pPr>
              <w:pStyle w:val="CellColumn"/>
            </w:pPr>
            <w:r>
              <w:t xml:space="preserve">civilnom </w:t>
            </w:r>
          </w:p>
          <w:p w:rsidR="00AC0832" w:rsidRDefault="00AC0832">
            <w:pPr>
              <w:pStyle w:val="CellColumn"/>
            </w:pPr>
            <w:r>
              <w:t xml:space="preserve">zračnom </w:t>
            </w:r>
          </w:p>
          <w:p w:rsidR="00AC0832" w:rsidRDefault="00AC0832">
            <w:pPr>
              <w:pStyle w:val="CellColumn"/>
            </w:pPr>
            <w:r>
              <w:t>prometu</w:t>
            </w:r>
          </w:p>
        </w:tc>
        <w:tc>
          <w:tcPr>
            <w:tcW w:w="1300" w:type="dxa"/>
          </w:tcPr>
          <w:p w:rsidR="00AC0832" w:rsidRDefault="00AC0832">
            <w:pPr>
              <w:pStyle w:val="CellColumn"/>
            </w:pPr>
            <w:r>
              <w:t>broj</w:t>
            </w:r>
          </w:p>
        </w:tc>
        <w:tc>
          <w:tcPr>
            <w:tcW w:w="1300" w:type="dxa"/>
          </w:tcPr>
          <w:p w:rsidR="00AC0832" w:rsidRDefault="00AC0832">
            <w:pPr>
              <w:pStyle w:val="CellColumn"/>
            </w:pPr>
            <w:r>
              <w:t>9</w:t>
            </w:r>
          </w:p>
        </w:tc>
        <w:tc>
          <w:tcPr>
            <w:tcW w:w="1300" w:type="dxa"/>
          </w:tcPr>
          <w:p w:rsidR="00AC0832" w:rsidRDefault="00AC0832">
            <w:pPr>
              <w:pStyle w:val="CellColumn"/>
            </w:pPr>
            <w:r>
              <w:t>MPPI</w:t>
            </w:r>
          </w:p>
        </w:tc>
        <w:tc>
          <w:tcPr>
            <w:tcW w:w="1300" w:type="dxa"/>
          </w:tcPr>
          <w:p w:rsidR="00AC0832" w:rsidRDefault="00AC0832">
            <w:pPr>
              <w:pStyle w:val="CellColumn"/>
            </w:pPr>
            <w:r>
              <w:t>10</w:t>
            </w:r>
          </w:p>
        </w:tc>
        <w:tc>
          <w:tcPr>
            <w:tcW w:w="1300" w:type="dxa"/>
          </w:tcPr>
          <w:p w:rsidR="00AC0832" w:rsidRDefault="00AC0832">
            <w:pPr>
              <w:pStyle w:val="CellColumn"/>
            </w:pPr>
            <w:r>
              <w:t>25</w:t>
            </w:r>
          </w:p>
        </w:tc>
      </w:tr>
    </w:tbl>
    <w:p w:rsidR="00AC0832" w:rsidRDefault="00AC0832">
      <w:pPr>
        <w:jc w:val="left"/>
      </w:pPr>
    </w:p>
    <w:p w:rsidR="00AC0832" w:rsidRDefault="00AC0832">
      <w:pPr>
        <w:pStyle w:val="Heading6"/>
      </w:pPr>
      <w:r>
        <w:t>A570001 POVEZIVANJE I SURADNJA S MEĐUNARODNIM ORGANIZACIJAMA U ZRAKOPLOVSTVU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A570001-POVEZIVANJE I SURADNJA S MEĐUNARODNIM ORGANIZACIJAMA U ZRAKOPLOVSTVU</w:t>
            </w:r>
          </w:p>
        </w:tc>
        <w:tc>
          <w:tcPr>
            <w:tcW w:w="2322" w:type="dxa"/>
          </w:tcPr>
          <w:p w:rsidR="00AC0832" w:rsidRDefault="00AC0832">
            <w:pPr>
              <w:pStyle w:val="CellColumn"/>
            </w:pPr>
            <w:r>
              <w:t>545.000</w:t>
            </w:r>
          </w:p>
        </w:tc>
        <w:tc>
          <w:tcPr>
            <w:tcW w:w="2322" w:type="dxa"/>
          </w:tcPr>
          <w:p w:rsidR="00AC0832" w:rsidRDefault="00AC0832">
            <w:pPr>
              <w:pStyle w:val="CellColumn"/>
            </w:pPr>
            <w:r>
              <w:t>494.508</w:t>
            </w:r>
          </w:p>
        </w:tc>
        <w:tc>
          <w:tcPr>
            <w:tcW w:w="2322" w:type="dxa"/>
          </w:tcPr>
          <w:p w:rsidR="00AC0832" w:rsidRDefault="00AC0832">
            <w:pPr>
              <w:pStyle w:val="CellColumn"/>
            </w:pPr>
            <w:r>
              <w:t>90,7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Proračunskim sredstvima sa ove aktivnosti u 2012., plaćene su obveze za članarine u međunarodne zrakoplovnim organizacijama za 2012. godinu, kojih je Republika Hrvatska punopravni član (ICAO ECAC i dr.), plaćeni su troškovi koji se odnose na stručnu literaturu, usluge interneta (ICAO - licenca) i drugi slični rashodi poslovanja. Planirani ciljevi ove aktivnosti u 2012. godini su postignuti, aktivnost se provodila planiranom dinamikom i nije bilo nikakvih problema u njenom izvršavanju.</w:t>
      </w:r>
    </w:p>
    <w:p w:rsidR="00AC0832" w:rsidRDefault="00AC0832">
      <w:pPr>
        <w:pStyle w:val="Heading6"/>
      </w:pPr>
    </w:p>
    <w:p w:rsidR="00AC0832" w:rsidRDefault="00AC0832">
      <w:pPr>
        <w:pStyle w:val="Heading6"/>
      </w:pPr>
      <w:r>
        <w:t>A570193 RAZVOJ INFRASTRUKTURE ZRAČNOG PROMETA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A570193-RAZVOJ INFRASTRUKTURE ZRAČNOG PROMETA</w:t>
            </w:r>
          </w:p>
        </w:tc>
        <w:tc>
          <w:tcPr>
            <w:tcW w:w="2322" w:type="dxa"/>
          </w:tcPr>
          <w:p w:rsidR="00AC0832" w:rsidRDefault="00AC0832">
            <w:pPr>
              <w:pStyle w:val="CellColumn"/>
            </w:pPr>
            <w:r>
              <w:t>5.300.000</w:t>
            </w:r>
          </w:p>
        </w:tc>
        <w:tc>
          <w:tcPr>
            <w:tcW w:w="2322" w:type="dxa"/>
          </w:tcPr>
          <w:p w:rsidR="00AC0832" w:rsidRDefault="00AC0832">
            <w:pPr>
              <w:pStyle w:val="CellColumn"/>
            </w:pPr>
            <w:r>
              <w:t>5.084.790</w:t>
            </w:r>
          </w:p>
        </w:tc>
        <w:tc>
          <w:tcPr>
            <w:tcW w:w="2322" w:type="dxa"/>
          </w:tcPr>
          <w:p w:rsidR="00AC0832" w:rsidRDefault="00AC0832">
            <w:pPr>
              <w:pStyle w:val="CellColumn"/>
            </w:pPr>
            <w:r>
              <w:t>95,9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Infrastrukturne projekte na aerodromima, uglavnom i u najvećoj mjeri financiraju sami aerodromi uz sufinanciranje države proračunskim sredstvima koja se planiraju na ovoj aktivnosti. Kroz ovu aktivnost utjecalo se na poboljšanje zračne infrastrukture a kako bi se zadovoljile potrebe sigurnog i efikasnog zračnog prometa.  U cilju poboljšanja aerodromske infrastrukture, utrošenim proračunskim sredstvima sa ove aktivnosti u 2012. podržana su i sufinancirana 4 projekta (zahtjeva) aerodroma. Radilo se o 3 projekta veće financijske vrijednosti (dogradnja putničke zgrade-zemaljska strana u Zračnoj luci Zadar, izrada dokumentacije za lokacijsku dozvolu za novu putničku zgradu i rekonstrukciju USS-a i manevarskih površina na ZP Mali Lošinj i izrada tehničke dokumentacije za rekonstrukciju i dogradnju USS-a, staze za vožnju“H“ i spojnice „A“ u Zračnoj luci Zadar) te 1 projektu manje financijske vrijednosti (izrada glavnog projekta prometne površine s komunalnom infrastrukturom i hangarom na Krapinsko –zagorskom Aerodromu.  </w:t>
      </w:r>
    </w:p>
    <w:p w:rsidR="00AC0832" w:rsidRDefault="00AC0832">
      <w:pPr>
        <w:pStyle w:val="Normal6"/>
      </w:pPr>
      <w:r>
        <w:t xml:space="preserve">Proračunskim sredstvima u 2012. postignut je broj od 4 podržana projekata (zahtjeva) za sufinanciranje aerodromske infrastrukture.  </w:t>
      </w:r>
    </w:p>
    <w:p w:rsidR="00AC0832" w:rsidRDefault="00AC0832">
      <w:pPr>
        <w:pStyle w:val="Normal6"/>
      </w:pPr>
      <w:r>
        <w:t>Budući su aerodromi aplicirali za sufinanciranje projekata (zahtjeva) koji su bili veće financijske vrijednosti, može se reći da su postignuti ciljevi ove aktivnosti, koji se odnose na razvoj infrastrukture zračnog prometa, jer su sufinancirani i podržani  svi pristigli projekti (zahtjevi) aerodroma u 2012. a aktivnost se provodila planiranom dinamikom te nije bilo problema u njenom izvršavanju.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1451"/>
        <w:gridCol w:w="1267"/>
        <w:gridCol w:w="1279"/>
        <w:gridCol w:w="1276"/>
        <w:gridCol w:w="1279"/>
        <w:gridCol w:w="128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podržanih projekata (zahtjeva) za sufinanciranje aerodromske  i  ostale zračne infrastrukture</w:t>
            </w:r>
          </w:p>
        </w:tc>
        <w:tc>
          <w:tcPr>
            <w:tcW w:w="1300" w:type="dxa"/>
          </w:tcPr>
          <w:p w:rsidR="00AC0832" w:rsidRDefault="00AC0832">
            <w:pPr>
              <w:pStyle w:val="CellColumn"/>
            </w:pPr>
            <w:r>
              <w:t xml:space="preserve">Povećanjem </w:t>
            </w:r>
          </w:p>
          <w:p w:rsidR="00AC0832" w:rsidRDefault="00AC0832">
            <w:pPr>
              <w:pStyle w:val="CellColumn"/>
            </w:pPr>
            <w:r>
              <w:t xml:space="preserve">broja </w:t>
            </w:r>
          </w:p>
          <w:p w:rsidR="00AC0832" w:rsidRDefault="00AC0832">
            <w:pPr>
              <w:pStyle w:val="CellColumn"/>
            </w:pPr>
            <w:r>
              <w:t xml:space="preserve">podržanih </w:t>
            </w:r>
          </w:p>
          <w:p w:rsidR="00AC0832" w:rsidRDefault="00AC0832">
            <w:pPr>
              <w:pStyle w:val="CellColumn"/>
            </w:pPr>
            <w:r>
              <w:t xml:space="preserve">projekata </w:t>
            </w:r>
          </w:p>
          <w:p w:rsidR="00AC0832" w:rsidRDefault="00AC0832">
            <w:pPr>
              <w:pStyle w:val="CellColumn"/>
            </w:pPr>
            <w:r>
              <w:t xml:space="preserve">(zahtjeva) za </w:t>
            </w:r>
          </w:p>
          <w:p w:rsidR="00AC0832" w:rsidRDefault="00AC0832">
            <w:pPr>
              <w:pStyle w:val="CellColumn"/>
            </w:pPr>
            <w:r>
              <w:t xml:space="preserve">sufinanciranje </w:t>
            </w:r>
          </w:p>
          <w:p w:rsidR="00AC0832" w:rsidRDefault="00AC0832">
            <w:pPr>
              <w:pStyle w:val="CellColumn"/>
            </w:pPr>
            <w:r>
              <w:t xml:space="preserve">zračne infrastrukture </w:t>
            </w:r>
          </w:p>
          <w:p w:rsidR="00AC0832" w:rsidRDefault="00AC0832">
            <w:pPr>
              <w:pStyle w:val="CellColumn"/>
            </w:pPr>
            <w:r>
              <w:t xml:space="preserve">povećat će </w:t>
            </w:r>
          </w:p>
          <w:p w:rsidR="00AC0832" w:rsidRDefault="00AC0832">
            <w:pPr>
              <w:pStyle w:val="CellColumn"/>
            </w:pPr>
            <w:r>
              <w:t xml:space="preserve">se postojeći </w:t>
            </w:r>
          </w:p>
          <w:p w:rsidR="00AC0832" w:rsidRDefault="00AC0832">
            <w:pPr>
              <w:pStyle w:val="CellColumn"/>
            </w:pPr>
            <w:r>
              <w:t xml:space="preserve">kapaciteti </w:t>
            </w:r>
          </w:p>
          <w:p w:rsidR="00AC0832" w:rsidRDefault="00AC0832">
            <w:pPr>
              <w:pStyle w:val="CellColumn"/>
            </w:pPr>
            <w:r>
              <w:t xml:space="preserve">aerodroma i </w:t>
            </w:r>
          </w:p>
          <w:p w:rsidR="00AC0832" w:rsidRDefault="00AC0832">
            <w:pPr>
              <w:pStyle w:val="CellColumn"/>
            </w:pPr>
            <w:r>
              <w:t xml:space="preserve">helidroma te </w:t>
            </w:r>
          </w:p>
          <w:p w:rsidR="00AC0832" w:rsidRDefault="00AC0832">
            <w:pPr>
              <w:pStyle w:val="CellColumn"/>
            </w:pPr>
            <w:r>
              <w:t xml:space="preserve">osigurati brži </w:t>
            </w:r>
          </w:p>
          <w:p w:rsidR="00AC0832" w:rsidRDefault="00AC0832">
            <w:pPr>
              <w:pStyle w:val="CellColumn"/>
            </w:pPr>
            <w:r>
              <w:t xml:space="preserve">protok </w:t>
            </w:r>
          </w:p>
          <w:p w:rsidR="00AC0832" w:rsidRDefault="00AC0832">
            <w:pPr>
              <w:pStyle w:val="CellColumn"/>
            </w:pPr>
            <w:r>
              <w:t xml:space="preserve">putnika i </w:t>
            </w:r>
          </w:p>
          <w:p w:rsidR="00AC0832" w:rsidRDefault="00AC0832">
            <w:pPr>
              <w:pStyle w:val="CellColumn"/>
            </w:pPr>
            <w:r>
              <w:t>zrakoplova</w:t>
            </w:r>
          </w:p>
        </w:tc>
        <w:tc>
          <w:tcPr>
            <w:tcW w:w="1300" w:type="dxa"/>
          </w:tcPr>
          <w:p w:rsidR="00AC0832" w:rsidRDefault="00AC0832">
            <w:pPr>
              <w:pStyle w:val="CellColumn"/>
            </w:pPr>
            <w:r>
              <w:t>broj</w:t>
            </w:r>
          </w:p>
        </w:tc>
        <w:tc>
          <w:tcPr>
            <w:tcW w:w="1300" w:type="dxa"/>
          </w:tcPr>
          <w:p w:rsidR="00AC0832" w:rsidRDefault="00AC0832">
            <w:pPr>
              <w:pStyle w:val="CellColumn"/>
            </w:pPr>
            <w:r>
              <w:t>12</w:t>
            </w:r>
          </w:p>
        </w:tc>
        <w:tc>
          <w:tcPr>
            <w:tcW w:w="1300" w:type="dxa"/>
          </w:tcPr>
          <w:p w:rsidR="00AC0832" w:rsidRDefault="00AC0832">
            <w:pPr>
              <w:pStyle w:val="CellColumn"/>
            </w:pPr>
            <w:r>
              <w:t>MPPI</w:t>
            </w:r>
          </w:p>
        </w:tc>
        <w:tc>
          <w:tcPr>
            <w:tcW w:w="1300" w:type="dxa"/>
          </w:tcPr>
          <w:p w:rsidR="00AC0832" w:rsidRDefault="00AC0832">
            <w:pPr>
              <w:pStyle w:val="CellColumn"/>
            </w:pPr>
            <w:r>
              <w:t>14</w:t>
            </w:r>
          </w:p>
        </w:tc>
        <w:tc>
          <w:tcPr>
            <w:tcW w:w="1300" w:type="dxa"/>
          </w:tcPr>
          <w:p w:rsidR="00AC0832" w:rsidRDefault="00AC0832">
            <w:pPr>
              <w:pStyle w:val="CellColumn"/>
            </w:pPr>
            <w:r>
              <w:t>16</w:t>
            </w:r>
          </w:p>
        </w:tc>
      </w:tr>
    </w:tbl>
    <w:p w:rsidR="00AC0832" w:rsidRDefault="00AC0832">
      <w:pPr>
        <w:jc w:val="left"/>
      </w:pPr>
    </w:p>
    <w:p w:rsidR="00AC0832" w:rsidRDefault="00AC0832">
      <w:pPr>
        <w:pStyle w:val="Heading6"/>
      </w:pPr>
      <w:r>
        <w:t>A570333 OSIGURANJE SIGURNOSNO PROMETNIH STANDARDA U ZRAČNIM LUKAMA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A570333-OSIGURANJE SIGURNOSNO PROMETNIH STANDARDA U ZRAČNIM LUKAMA RH</w:t>
            </w:r>
          </w:p>
        </w:tc>
        <w:tc>
          <w:tcPr>
            <w:tcW w:w="2322" w:type="dxa"/>
          </w:tcPr>
          <w:p w:rsidR="00AC0832" w:rsidRDefault="00AC0832">
            <w:pPr>
              <w:pStyle w:val="CellColumn"/>
            </w:pPr>
            <w:r>
              <w:t>18.025.000</w:t>
            </w:r>
          </w:p>
        </w:tc>
        <w:tc>
          <w:tcPr>
            <w:tcW w:w="2322" w:type="dxa"/>
          </w:tcPr>
          <w:p w:rsidR="00AC0832" w:rsidRDefault="00AC0832">
            <w:pPr>
              <w:pStyle w:val="CellColumn"/>
            </w:pPr>
            <w:r>
              <w:t>17.343.999</w:t>
            </w:r>
          </w:p>
        </w:tc>
        <w:tc>
          <w:tcPr>
            <w:tcW w:w="2322" w:type="dxa"/>
          </w:tcPr>
          <w:p w:rsidR="00AC0832" w:rsidRDefault="00AC0832">
            <w:pPr>
              <w:pStyle w:val="CellColumn"/>
            </w:pPr>
            <w:r>
              <w:t>96,2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Sukladno obvezama koje proizlaze iz članstva Republike Hrvatske u međunarodnim organizacijama za civilni zračni promet (ICAO, ECAC, EUROCONTROL i dr.) Republika Hrvatska je dužna ispuniti zahtjeve za povećanim zaštitnim i sigurnosnim mjerama na svim aerodromima u zemlji. Mjere obuhvaćaju osiguranje potrebne zaštitne i sigurnosne opreme kao i izvođenje radova koji su od važnosti za siguran prihvat zrakoplova i putnika na aerodromima.  </w:t>
      </w:r>
    </w:p>
    <w:p w:rsidR="00AC0832" w:rsidRDefault="00AC0832">
      <w:pPr>
        <w:pStyle w:val="Normal6"/>
      </w:pPr>
      <w:r>
        <w:t xml:space="preserve">Utrošenim proračunskim sredstvima sa ove aktivnosti u 2012. podržano je 30 mjera (zahtjeva) aerodroma. Tako je, između ostalog, sufinancirana  izrada i implementacija modula through check-in za registraciju putnika, izvođenje radova na sustavu grijanja u tehničkoj zgradi, nabava snježnog pluga, nabava rabljenog traktora za čišćenje operativnih površina na Zračnoj luci Osijek, izvođenje radova sanacije oštećenja manevarskih površina i stajanke  na Zračnoj luci Zadar, rekonstrukcija vertikalne signalizacije, izrada projekta pojačanog održavanje operativnih površina i radova sanacije oštećenja na manevarskim površinama, nabava vatrogasnih aparata, nabava jedinice napajanja zrakoplova - GPU, izrada projektne dokumentacije za rekonstrukciju sustava svjetlosne organizacije i projekta zaštite od munja, rekonstrukcija prostora graničnog prijelaza i mjesta PEZ pregleda putnika, nabava sustava kontrole pristupa štićenom području, izrada projektna dokumentacije za rekonstrukciju rasvjete stajanke za zrakoplove i nabava terenskog vozila za Službu sigurnosti na Zračnoj luci Rijeka, nabava RTG-uređaja za pregled ručne prtljage za poslove sigurnosti na Zračnoj luci Dubrovnik, istražni radovi na stajanci i stazama za vožnju, izrada projekta pojačanog održavanja i izvođenje građevinskih radova vertikalne signalizacije na Zračnom pristaništu Mali Lošinj, dovršetak sustava za transport i kontrolu prtljage faza 3B i izvođenje radova na izgradnji nove zgrade vatrogasne postrojbe na Zračnoj luci Pula. Osim toga sredstvima sa ove aktivnosti financirani su i troškovi vezani za održavanje otvorenosti Zračne luke Rijeka i Zračne luke Osijek. </w:t>
      </w:r>
    </w:p>
    <w:p w:rsidR="00AC0832" w:rsidRDefault="00AC0832">
      <w:pPr>
        <w:pStyle w:val="Normal6"/>
      </w:pPr>
      <w:r>
        <w:t xml:space="preserve">Broj podržanih mjera (zahtjeva) aerodroma u svrhu sigurnosti i zaštite aerodroma u Republici Hrvatskoj u 2012. bio je 30. </w:t>
      </w:r>
    </w:p>
    <w:p w:rsidR="00AC0832" w:rsidRDefault="00AC0832">
      <w:pPr>
        <w:pStyle w:val="Normal6"/>
      </w:pPr>
      <w:r>
        <w:t>Međutim, važno je napomenuti da je podržavanje većeg broja mjera (zahtjeva) aerodroma ostvareno iz razloga što su aerodromi u 2012. aplicirali za sufinanciranje, odnosno podržavanje mjera (zahtjeva),  koje su bile manje financijske vrijednost. Planirani ciljevi ove aktivnosti su postignuti, aktivnost se provodila planiranom dinamikom te nije bilo problema u njenom izvršavanju.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17"/>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podržanih mjera (zahtjeva) aerodroma u svrhu sigurnosti i zaštite  aerodroma   u RH</w:t>
            </w:r>
          </w:p>
        </w:tc>
        <w:tc>
          <w:tcPr>
            <w:tcW w:w="1300" w:type="dxa"/>
          </w:tcPr>
          <w:p w:rsidR="00AC0832" w:rsidRDefault="00AC0832">
            <w:pPr>
              <w:pStyle w:val="CellColumn"/>
            </w:pPr>
            <w:r>
              <w:t xml:space="preserve">Povećanjem </w:t>
            </w:r>
          </w:p>
          <w:p w:rsidR="00AC0832" w:rsidRDefault="00AC0832">
            <w:pPr>
              <w:pStyle w:val="CellColumn"/>
            </w:pPr>
            <w:r>
              <w:t xml:space="preserve">broja </w:t>
            </w:r>
          </w:p>
          <w:p w:rsidR="00AC0832" w:rsidRDefault="00AC0832">
            <w:pPr>
              <w:pStyle w:val="CellColumn"/>
            </w:pPr>
            <w:r>
              <w:t xml:space="preserve">podržanih </w:t>
            </w:r>
          </w:p>
          <w:p w:rsidR="00AC0832" w:rsidRDefault="00AC0832">
            <w:pPr>
              <w:pStyle w:val="CellColumn"/>
            </w:pPr>
            <w:r>
              <w:t xml:space="preserve">mjera </w:t>
            </w:r>
          </w:p>
          <w:p w:rsidR="00AC0832" w:rsidRDefault="00AC0832">
            <w:pPr>
              <w:pStyle w:val="CellColumn"/>
            </w:pPr>
            <w:r>
              <w:t xml:space="preserve">(zahtjeva) </w:t>
            </w:r>
          </w:p>
          <w:p w:rsidR="00AC0832" w:rsidRDefault="00AC0832">
            <w:pPr>
              <w:pStyle w:val="CellColumn"/>
            </w:pPr>
            <w:r>
              <w:t xml:space="preserve">postiže se </w:t>
            </w:r>
          </w:p>
          <w:p w:rsidR="00AC0832" w:rsidRDefault="00AC0832">
            <w:pPr>
              <w:pStyle w:val="CellColumn"/>
            </w:pPr>
            <w:r>
              <w:t xml:space="preserve">povećanje </w:t>
            </w:r>
          </w:p>
          <w:p w:rsidR="00AC0832" w:rsidRDefault="00AC0832">
            <w:pPr>
              <w:pStyle w:val="CellColumn"/>
            </w:pPr>
            <w:r>
              <w:t xml:space="preserve">sigurnosti i </w:t>
            </w:r>
          </w:p>
          <w:p w:rsidR="00AC0832" w:rsidRDefault="00AC0832">
            <w:pPr>
              <w:pStyle w:val="CellColumn"/>
            </w:pPr>
            <w:r>
              <w:t xml:space="preserve">zaštite </w:t>
            </w:r>
          </w:p>
          <w:p w:rsidR="00AC0832" w:rsidRDefault="00AC0832">
            <w:pPr>
              <w:pStyle w:val="CellColumn"/>
            </w:pPr>
            <w:r>
              <w:t xml:space="preserve">zračnog </w:t>
            </w:r>
          </w:p>
          <w:p w:rsidR="00AC0832" w:rsidRDefault="00AC0832">
            <w:pPr>
              <w:pStyle w:val="CellColumn"/>
            </w:pPr>
            <w:r>
              <w:t xml:space="preserve">prometa u </w:t>
            </w:r>
          </w:p>
          <w:p w:rsidR="00AC0832" w:rsidRDefault="00AC0832">
            <w:pPr>
              <w:pStyle w:val="CellColumn"/>
            </w:pPr>
            <w:r>
              <w:t>RH</w:t>
            </w:r>
          </w:p>
        </w:tc>
        <w:tc>
          <w:tcPr>
            <w:tcW w:w="1300" w:type="dxa"/>
          </w:tcPr>
          <w:p w:rsidR="00AC0832" w:rsidRDefault="00AC0832">
            <w:pPr>
              <w:pStyle w:val="CellColumn"/>
            </w:pPr>
            <w:r>
              <w:t>broj</w:t>
            </w:r>
          </w:p>
        </w:tc>
        <w:tc>
          <w:tcPr>
            <w:tcW w:w="1300" w:type="dxa"/>
          </w:tcPr>
          <w:p w:rsidR="00AC0832" w:rsidRDefault="00AC0832">
            <w:pPr>
              <w:pStyle w:val="CellColumn"/>
            </w:pPr>
            <w:r>
              <w:t>12</w:t>
            </w:r>
          </w:p>
        </w:tc>
        <w:tc>
          <w:tcPr>
            <w:tcW w:w="1300" w:type="dxa"/>
          </w:tcPr>
          <w:p w:rsidR="00AC0832" w:rsidRDefault="00AC0832">
            <w:pPr>
              <w:pStyle w:val="CellColumn"/>
            </w:pPr>
            <w:r>
              <w:t>MPPI</w:t>
            </w:r>
          </w:p>
        </w:tc>
        <w:tc>
          <w:tcPr>
            <w:tcW w:w="1300" w:type="dxa"/>
          </w:tcPr>
          <w:p w:rsidR="00AC0832" w:rsidRDefault="00AC0832">
            <w:pPr>
              <w:pStyle w:val="CellColumn"/>
            </w:pPr>
            <w:r>
              <w:t>13</w:t>
            </w:r>
          </w:p>
        </w:tc>
        <w:tc>
          <w:tcPr>
            <w:tcW w:w="1300" w:type="dxa"/>
          </w:tcPr>
          <w:p w:rsidR="00AC0832" w:rsidRDefault="00AC0832">
            <w:pPr>
              <w:pStyle w:val="CellColumn"/>
            </w:pPr>
            <w:r>
              <w:t>30</w:t>
            </w:r>
          </w:p>
        </w:tc>
      </w:tr>
    </w:tbl>
    <w:p w:rsidR="00AC0832" w:rsidRDefault="00AC0832">
      <w:pPr>
        <w:jc w:val="left"/>
      </w:pPr>
    </w:p>
    <w:p w:rsidR="00AC0832" w:rsidRDefault="00AC0832">
      <w:pPr>
        <w:pStyle w:val="Heading6"/>
      </w:pPr>
      <w:r>
        <w:t>A587050 OČUVANJE PROMETNE POVEZANOSTI REGIJA (DOMAĆI LINIJSKI ZRAČNI PRIJEVOZ)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A587050-OČUVANJE PROMETNE POVEZANOSTI REGIJA (DOMAĆI LINIJSKI ZRAČNI PRIJEVOZ)</w:t>
            </w:r>
          </w:p>
        </w:tc>
        <w:tc>
          <w:tcPr>
            <w:tcW w:w="2322" w:type="dxa"/>
          </w:tcPr>
          <w:p w:rsidR="00AC0832" w:rsidRDefault="00AC0832">
            <w:pPr>
              <w:pStyle w:val="CellColumn"/>
            </w:pPr>
            <w:r>
              <w:t>83.500.000</w:t>
            </w:r>
          </w:p>
        </w:tc>
        <w:tc>
          <w:tcPr>
            <w:tcW w:w="2322" w:type="dxa"/>
          </w:tcPr>
          <w:p w:rsidR="00AC0832" w:rsidRDefault="00AC0832">
            <w:pPr>
              <w:pStyle w:val="CellColumn"/>
            </w:pPr>
            <w:r>
              <w:t>83.336.267</w:t>
            </w:r>
          </w:p>
        </w:tc>
        <w:tc>
          <w:tcPr>
            <w:tcW w:w="2322" w:type="dxa"/>
          </w:tcPr>
          <w:p w:rsidR="00AC0832" w:rsidRDefault="00AC0832">
            <w:pPr>
              <w:pStyle w:val="CellColumn"/>
            </w:pPr>
            <w:r>
              <w:t>99,8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Odlukom Vlade Republike Hrvatske od 25. siječnja 2007. (Odluka o obvezi obavljanja domaćeg linijskog zračnog prijevoza Croatia Airlines d.d. u razdoblju od 2007. do 2011.), zračnom prijevozniku Croatia Airlines određena je obveza obavljanja javne usluge (PSO) na domaćim redovitim zračnim linijama u razdoblju od 2007. do 2011. i to za fizički promet od 6.857 letova/godišnje. </w:t>
      </w:r>
    </w:p>
    <w:p w:rsidR="00AC0832" w:rsidRDefault="00AC0832">
      <w:pPr>
        <w:pStyle w:val="Normal6"/>
      </w:pPr>
      <w:r>
        <w:t xml:space="preserve">Najznačajniji dio sredstava sa ove aktivnosti u 2012. (74.336.267,00 kuna) utrošeno je temeljem navedene Odluke Vlade Republike Hrvatske i to za nadoknadu troškova zračnom prijevozniku (Croatia Airlines d.d.) za održavanje domaćih zračnih linija u 2011. Naime, iznos dodijeljenih sredstava na ovoj aktivnosti u 2011. nije bio dovoljan za pokriće troškova zračnom prijevozniku nastalih u 2011., slijedom čega su u 2012. izvršena plaćanja ostatka troškova nastalih održavanjem domaćih zračnih linija u 2011. </w:t>
      </w:r>
    </w:p>
    <w:p w:rsidR="00AC0832" w:rsidRDefault="00AC0832">
      <w:pPr>
        <w:pStyle w:val="Normal6"/>
      </w:pPr>
      <w:r>
        <w:t xml:space="preserve">Nadalje, važno je istaknuti da je zračni prijevoznik Croatia Airlines d.d. i nakon 31. prosinca 2011. nastavio obavljati domaći linijski zračni prijevoz te da je Odlukom Vlade Republike Hrvatske od 08. studenog 2012.  (Odluka o obvezi obavljanja domaćeg linijskog zračnog prijevoza Croatia Airlines d.d. u razdoblju od 2012. i do 30. ožujka 2013.), zračnom prijevozniku Croatia Airlines određena obveza obavljanja domaćeg linijskog zračnog prijevoza u razdoblju od 01. siječnja 2012. do 30. ožujka 2013. za isti fizički promet i to 6.857 letova/godišnje. </w:t>
      </w:r>
    </w:p>
    <w:p w:rsidR="00AC0832" w:rsidRDefault="00AC0832">
      <w:pPr>
        <w:pStyle w:val="Normal6"/>
      </w:pPr>
      <w:r>
        <w:t xml:space="preserve">Slijedom Odluke Vlade Republike Hrvatske od 08. studenog 2012., dio sredstava sa ove aktivnosti u 2012. godini (9.000.000,00 kuna) utrošeno je za plaćanje nadoknade troškova zračnom prijevozniku Croatia Airlines d.d. za obavljanje domaćeg linijskog zračnog prijevoza u 2012.  </w:t>
      </w:r>
    </w:p>
    <w:p w:rsidR="00AC0832" w:rsidRDefault="00AC0832">
      <w:pPr>
        <w:pStyle w:val="Normal6"/>
      </w:pPr>
      <w:r>
        <w:t xml:space="preserve">Budući je zračni prijevoznik Croatia Airlines u 2012. obavljao domaći linijski zračni prijevoz i ostvario fizički promet od 6.857 letova/godišnje, za ovu aktivnost se može reći da su ciljane vrijednosti pokazatelja na kraju 2012. ostvarene. </w:t>
      </w:r>
    </w:p>
    <w:p w:rsidR="00AC0832" w:rsidRDefault="00AC0832">
      <w:pPr>
        <w:pStyle w:val="Normal6"/>
      </w:pPr>
      <w:r>
        <w:t>Dakle, planirani ciljevi ove aktivnosti su postignuti, ciljane vrijednosti pokazatelja na kraju 2012. za ovu aktivnost su ostvarene ali iznos dodijeljenih financijskih sredstava na ovoj aktivnosti u proračunskoj 2012.  nije bio dovoljan za pokriće troškova zračnom prijevozniku nastalih obavljanjem domaćeg linijskog zračnog prijevoza u 2012. Slijedom toga, financijska sredstva za nadoknadu troškova zračnom prijevozniku Croatia Airlines d.d. za obavljanje domaćeg linijskog zračnog prijevoza u 2012. planirana su i Planom Ministarstva za 2013.</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letova  na domaćim redovitim zračnim linijama</w:t>
            </w:r>
          </w:p>
        </w:tc>
        <w:tc>
          <w:tcPr>
            <w:tcW w:w="1300" w:type="dxa"/>
          </w:tcPr>
          <w:p w:rsidR="00AC0832" w:rsidRDefault="00AC0832">
            <w:pPr>
              <w:pStyle w:val="CellColumn"/>
            </w:pPr>
            <w:r>
              <w:t xml:space="preserve">Očuvanjem </w:t>
            </w:r>
          </w:p>
          <w:p w:rsidR="00AC0832" w:rsidRDefault="00AC0832">
            <w:pPr>
              <w:pStyle w:val="CellColumn"/>
            </w:pPr>
            <w:r>
              <w:t xml:space="preserve">broja </w:t>
            </w:r>
          </w:p>
          <w:p w:rsidR="00AC0832" w:rsidRDefault="00AC0832">
            <w:pPr>
              <w:pStyle w:val="CellColumn"/>
            </w:pPr>
            <w:r>
              <w:t xml:space="preserve">domaćih </w:t>
            </w:r>
          </w:p>
          <w:p w:rsidR="00AC0832" w:rsidRDefault="00AC0832">
            <w:pPr>
              <w:pStyle w:val="CellColumn"/>
            </w:pPr>
            <w:r>
              <w:t xml:space="preserve">letova </w:t>
            </w:r>
          </w:p>
          <w:p w:rsidR="00AC0832" w:rsidRDefault="00AC0832">
            <w:pPr>
              <w:pStyle w:val="CellColumn"/>
            </w:pPr>
            <w:r>
              <w:t xml:space="preserve">postiže se </w:t>
            </w:r>
          </w:p>
          <w:p w:rsidR="00AC0832" w:rsidRDefault="00AC0832">
            <w:pPr>
              <w:pStyle w:val="CellColumn"/>
            </w:pPr>
            <w:r>
              <w:t xml:space="preserve">ujednačeni </w:t>
            </w:r>
          </w:p>
          <w:p w:rsidR="00AC0832" w:rsidRDefault="00AC0832">
            <w:pPr>
              <w:pStyle w:val="CellColumn"/>
            </w:pPr>
            <w:r>
              <w:t xml:space="preserve">razvoj regija </w:t>
            </w:r>
          </w:p>
          <w:p w:rsidR="00AC0832" w:rsidRDefault="00AC0832">
            <w:pPr>
              <w:pStyle w:val="CellColumn"/>
            </w:pPr>
            <w:r>
              <w:t xml:space="preserve">te </w:t>
            </w:r>
          </w:p>
          <w:p w:rsidR="00AC0832" w:rsidRDefault="00AC0832">
            <w:pPr>
              <w:pStyle w:val="CellColumn"/>
            </w:pPr>
            <w:r>
              <w:t xml:space="preserve">održavanje </w:t>
            </w:r>
          </w:p>
          <w:p w:rsidR="00AC0832" w:rsidRDefault="00AC0832">
            <w:pPr>
              <w:pStyle w:val="CellColumn"/>
            </w:pPr>
            <w:r>
              <w:t xml:space="preserve">postojeće </w:t>
            </w:r>
          </w:p>
          <w:p w:rsidR="00AC0832" w:rsidRDefault="00AC0832">
            <w:pPr>
              <w:pStyle w:val="CellColumn"/>
            </w:pPr>
            <w:r>
              <w:t xml:space="preserve">prometne </w:t>
            </w:r>
          </w:p>
          <w:p w:rsidR="00AC0832" w:rsidRDefault="00AC0832">
            <w:pPr>
              <w:pStyle w:val="CellColumn"/>
            </w:pPr>
            <w:r>
              <w:t xml:space="preserve">povezanosti </w:t>
            </w:r>
          </w:p>
          <w:p w:rsidR="00AC0832" w:rsidRDefault="00AC0832">
            <w:pPr>
              <w:pStyle w:val="CellColumn"/>
            </w:pPr>
            <w:r>
              <w:t xml:space="preserve">regija i </w:t>
            </w:r>
          </w:p>
          <w:p w:rsidR="00AC0832" w:rsidRDefault="00AC0832">
            <w:pPr>
              <w:pStyle w:val="CellColumn"/>
            </w:pPr>
            <w:r>
              <w:t xml:space="preserve">područja </w:t>
            </w:r>
          </w:p>
          <w:p w:rsidR="00AC0832" w:rsidRDefault="00AC0832">
            <w:pPr>
              <w:pStyle w:val="CellColumn"/>
            </w:pPr>
            <w:r>
              <w:t>unutar RH</w:t>
            </w:r>
          </w:p>
        </w:tc>
        <w:tc>
          <w:tcPr>
            <w:tcW w:w="1300" w:type="dxa"/>
          </w:tcPr>
          <w:p w:rsidR="00AC0832" w:rsidRDefault="00AC0832">
            <w:pPr>
              <w:pStyle w:val="CellColumn"/>
            </w:pPr>
            <w:r>
              <w:t>broj</w:t>
            </w:r>
          </w:p>
        </w:tc>
        <w:tc>
          <w:tcPr>
            <w:tcW w:w="1300" w:type="dxa"/>
          </w:tcPr>
          <w:p w:rsidR="00AC0832" w:rsidRDefault="00AC0832">
            <w:pPr>
              <w:pStyle w:val="CellColumn"/>
            </w:pPr>
            <w:r>
              <w:t>6857</w:t>
            </w:r>
          </w:p>
        </w:tc>
        <w:tc>
          <w:tcPr>
            <w:tcW w:w="1300" w:type="dxa"/>
          </w:tcPr>
          <w:p w:rsidR="00AC0832" w:rsidRDefault="00AC0832">
            <w:pPr>
              <w:pStyle w:val="CellColumn"/>
            </w:pPr>
            <w:r>
              <w:t>MPPI</w:t>
            </w:r>
          </w:p>
        </w:tc>
        <w:tc>
          <w:tcPr>
            <w:tcW w:w="1300" w:type="dxa"/>
          </w:tcPr>
          <w:p w:rsidR="00AC0832" w:rsidRDefault="00AC0832">
            <w:pPr>
              <w:pStyle w:val="CellColumn"/>
            </w:pPr>
            <w:r>
              <w:t>6857</w:t>
            </w:r>
          </w:p>
        </w:tc>
        <w:tc>
          <w:tcPr>
            <w:tcW w:w="1300" w:type="dxa"/>
          </w:tcPr>
          <w:p w:rsidR="00AC0832" w:rsidRDefault="00AC0832">
            <w:pPr>
              <w:pStyle w:val="CellColumn"/>
            </w:pPr>
            <w:r>
              <w:t>6857</w:t>
            </w:r>
          </w:p>
        </w:tc>
      </w:tr>
    </w:tbl>
    <w:p w:rsidR="00AC0832" w:rsidRDefault="00AC0832">
      <w:pPr>
        <w:jc w:val="left"/>
      </w:pPr>
    </w:p>
    <w:p w:rsidR="00AC0832" w:rsidRDefault="00AC0832">
      <w:pPr>
        <w:pStyle w:val="Heading5"/>
      </w:pPr>
      <w:r>
        <w:t>3107 RAZVOJ TRŽIŠTA POŠTANSKIH USLUGA I ELEKTRONIČKIH KOMUNIKACIJA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3107-RAZVOJ TRŽIŠTA POŠTANSKIH USLUGA I ELEKTRONIČKIH KOMUNIKACIJA</w:t>
            </w:r>
          </w:p>
        </w:tc>
        <w:tc>
          <w:tcPr>
            <w:tcW w:w="2322" w:type="dxa"/>
          </w:tcPr>
          <w:p w:rsidR="00AC0832" w:rsidRDefault="00AC0832">
            <w:pPr>
              <w:pStyle w:val="CellColumn"/>
            </w:pPr>
            <w:r>
              <w:t>3.930.000</w:t>
            </w:r>
          </w:p>
        </w:tc>
        <w:tc>
          <w:tcPr>
            <w:tcW w:w="2322" w:type="dxa"/>
          </w:tcPr>
          <w:p w:rsidR="00AC0832" w:rsidRDefault="00AC0832">
            <w:pPr>
              <w:pStyle w:val="CellColumn"/>
            </w:pPr>
            <w:r>
              <w:t>3.326.341</w:t>
            </w:r>
          </w:p>
        </w:tc>
        <w:tc>
          <w:tcPr>
            <w:tcW w:w="2322" w:type="dxa"/>
          </w:tcPr>
          <w:p w:rsidR="00AC0832" w:rsidRDefault="00AC0832">
            <w:pPr>
              <w:pStyle w:val="CellColumn"/>
            </w:pPr>
            <w:r>
              <w:t>84,6</w:t>
            </w:r>
          </w:p>
        </w:tc>
      </w:tr>
    </w:tbl>
    <w:p w:rsidR="00AC0832" w:rsidRDefault="00AC0832">
      <w:pPr>
        <w:jc w:val="left"/>
      </w:pPr>
    </w:p>
    <w:p w:rsidR="00AC0832" w:rsidRDefault="00AC0832">
      <w:pPr>
        <w:pStyle w:val="Heading6"/>
      </w:pPr>
      <w:r>
        <w:t>Opis programa</w:t>
      </w:r>
    </w:p>
    <w:p w:rsidR="00AC0832" w:rsidRDefault="00AC0832">
      <w:pPr>
        <w:pStyle w:val="Normal5"/>
      </w:pPr>
      <w:r>
        <w:t xml:space="preserve">U okviru ovog programa odvijale su se aktivnosti poticanja razvoja širokopojasnog pristupa internetu, razvoja elektroničkih komunikacija, informacijskog društva i poštanskih usluga, te programi pretpristupne pomoći EU namijenjeni jačanju kapaciteta Hrvatske agencije za poštu i elektroničke komunikacije (HAKOM). </w:t>
      </w:r>
    </w:p>
    <w:p w:rsidR="00AC0832" w:rsidRDefault="00AC0832">
      <w:pPr>
        <w:pStyle w:val="Normal5"/>
      </w:pPr>
      <w:r>
        <w:t xml:space="preserve">U svrhu poticanja razvoja širokopojasnog pristupa internetu u 2012. godini započela je provedba nove Strategije razvoja širokopojasnog pristupa  u Republici Hrvatskoj u razdoblju od 2012. do 2015. godine i Provedbenog programa Strategije razvoja širokopojasnog pristupa u Republici Hrvatskoj za razdoblje od 2012. do 2013. godine. Budući da je tržište elektroničkih komunikacija u Republici Hrvatskoj u potpunosti liberalizirano, zamijećen je nedostatan gospodarski interes operatora elektroničkih komunikacija za izgradnjom i ponudom usluga u nerazvijenim područjima. Dostupnost širokopojasnih usluga jedan je od ključnih elemenata koji lokalnoj i područnoj (regionalnoj) samoupravi omogućuje i olakšava privlačenje ulaganja, uvođenje rada na daljinu, djelotvornije i brže usluge zdravstvene skrbi, kvalitetnije obrazovanje te kvalitetnije i pristupačnije usluge javne uprave. </w:t>
      </w:r>
    </w:p>
    <w:p w:rsidR="00AC0832" w:rsidRDefault="00AC0832">
      <w:pPr>
        <w:pStyle w:val="Normal5"/>
      </w:pPr>
      <w:r>
        <w:t xml:space="preserve">Korisnicima poštanskih usluga na cijelom području Republike Hrvatske moraju se osigurati univerzalne poštanske usluge pod jednakim uvjetima glede određene kakvoće i pristupačne cijene. Budući da poštanske usluge predstavljaju bitan instrument komunikacije i razmjene informacija te imaju vitalnu ulogu u ispunjavanju ciljeva socijalne, teritorijalne i gospodarske kohezije, vrlo je važno da dostignu stupanj razvijenosti koji poštanske usluge imaju u konkurentnom i dinamičnom gospodarstvu Europske unije. </w:t>
      </w:r>
    </w:p>
    <w:p w:rsidR="00AC0832" w:rsidRDefault="00AC0832">
      <w:pPr>
        <w:pStyle w:val="Normal5"/>
      </w:pPr>
      <w:r>
        <w:t xml:space="preserve">Iz Strategije razvoja tržišta poštanskih usluga u Republici Hrvatskoj do 2013. godine, Akcijskog plana provedbe te Strategije i Zakona o poštanskim uslugama proizlazi obveza Republike Hrvatske da stvori uvjete za potpunu liberalizaciju tržišta poštanskih usluga u Republici Hrvatskoj i da taj proces potpune liberalizacije bude završen do kraja 2012. godine. Potpuna liberalizacija tržišta poštanskih usluga u Republici Hrvatskoj nastupila je 1. siječnja 2013. godine, stupanjem na snagu novoga Zakona o poštanskim uslugama (NN br. 144/12.). </w:t>
      </w:r>
    </w:p>
    <w:p w:rsidR="00AC0832" w:rsidRDefault="00AC0832">
      <w:pPr>
        <w:pStyle w:val="Normal5"/>
      </w:pPr>
      <w:r>
        <w:t>U Strategiji Vladinih programa za razdoblje 2012.-2014. ovaj je program povezan s Općim ciljem: 4. Poticanje znanja, izvrsnosti i kulture, Posebnim ciljem: 4.3. Razvoj informacijskog društva na svim razinama, te s načinom ostvarivanja Posebnog cilja: 4.3.1. Razvoj elektroničkih komunikacija i poštanskih usluga.</w:t>
      </w:r>
    </w:p>
    <w:p w:rsidR="00AC0832" w:rsidRDefault="00AC0832">
      <w:pPr>
        <w:pStyle w:val="Heading6"/>
      </w:pPr>
      <w:r>
        <w:t>Zakonske i druge pravne osnove</w:t>
      </w:r>
    </w:p>
    <w:p w:rsidR="00AC0832" w:rsidRDefault="00AC0832">
      <w:pPr>
        <w:pStyle w:val="Normal5"/>
      </w:pPr>
      <w:r>
        <w:t xml:space="preserve">Zakon o poštanskim uslugama (NN br. 88/09. i 61/11.), </w:t>
      </w:r>
    </w:p>
    <w:p w:rsidR="00AC0832" w:rsidRDefault="00AC0832">
      <w:pPr>
        <w:pStyle w:val="Normal5"/>
      </w:pPr>
      <w:r>
        <w:t xml:space="preserve">Zakon o elektroničkim komunikacijama (NN br. 73/08., 90/11. i 133/12.), </w:t>
      </w:r>
    </w:p>
    <w:p w:rsidR="00AC0832" w:rsidRDefault="00AC0832">
      <w:pPr>
        <w:pStyle w:val="Normal5"/>
      </w:pPr>
      <w:r>
        <w:t xml:space="preserve">Strategija razvoja tržišta poštanskih usluga u Republici Hrvatskoj do 2013 godine i Akcijski plan provedbe Strategije, </w:t>
      </w:r>
    </w:p>
    <w:p w:rsidR="00AC0832" w:rsidRDefault="00AC0832">
      <w:pPr>
        <w:pStyle w:val="Normal5"/>
      </w:pPr>
      <w:r>
        <w:t>Strategija razvoja širokopojasnog pristupa u Republici Hrvatskoj u razdoblju od 2012. do 2015. godine i Provedbeni program Strategije razvoja širokopojasnog pristupa u Republici Hrvatskoj za razdoblje od 2012. do 2013. godine.</w:t>
      </w:r>
    </w:p>
    <w:p w:rsidR="00AC0832" w:rsidRDefault="00AC0832">
      <w:pPr>
        <w:pStyle w:val="Heading7"/>
      </w:pPr>
      <w:r>
        <w:t xml:space="preserve">Cilj 1. Povećanje gustoće priključaka u nepokretnim mrežama na širokopojasni internet posebno u nerazvijenim područjima </w:t>
      </w:r>
    </w:p>
    <w:p w:rsidR="00AC0832" w:rsidRDefault="00AC0832">
      <w:pPr>
        <w:pStyle w:val="Heading8"/>
        <w:jc w:val="left"/>
      </w:pPr>
      <w:r>
        <w:t>Opis provedbe cilja programa</w:t>
      </w:r>
    </w:p>
    <w:p w:rsidR="00AC0832" w:rsidRDefault="00AC0832">
      <w:pPr>
        <w:pStyle w:val="Normal6"/>
      </w:pPr>
      <w:r>
        <w:t xml:space="preserve">Kako bi se potaknula ponuda, odnosno izgradnja potrebne komunikacijskeinfrastrukture u područjima gdje ne postoji dostatan komercijalni interes za takva ulaganja, provedeno je informiranje lokalnih zajednica o prednostima </w:t>
      </w:r>
    </w:p>
    <w:p w:rsidR="00AC0832" w:rsidRDefault="00AC0832">
      <w:pPr>
        <w:pStyle w:val="Normal6"/>
      </w:pPr>
      <w:r>
        <w:t xml:space="preserve">korištenja širokopojasnog pristupa u njihovu gospodarskom razvoju i nužnosti izgradnje infrastrukture. Izrađena je Studija o odabiru najpovoljnijih modela financiranja i poticajnih mjera za ulaganja u infrastrukturu širokopojasnog </w:t>
      </w:r>
    </w:p>
    <w:p w:rsidR="00AC0832" w:rsidRDefault="00AC0832">
      <w:pPr>
        <w:pStyle w:val="Normal6"/>
      </w:pPr>
      <w:r>
        <w:t>pristupa, ovisno o dostupnosti širokopojasnog pristupa određenog područja. Studija je podloga za izradu programa poticajnih mjera za jedinice lokalne i područne (regionalne) samouprave, te su utvrđena  područja u kojima je moguće davati državne potpore za ulaganje u infrastrukturu širokopojasnog pristupa. Poduzete aktivnosti pridonijele su  ostvarenju cilja.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562"/>
        <w:gridCol w:w="1255"/>
        <w:gridCol w:w="1271"/>
        <w:gridCol w:w="1266"/>
        <w:gridCol w:w="1271"/>
        <w:gridCol w:w="127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Gustoća priključaka u nepokretnim mrežama na  širokopojasni internet</w:t>
            </w:r>
          </w:p>
        </w:tc>
        <w:tc>
          <w:tcPr>
            <w:tcW w:w="1300" w:type="dxa"/>
          </w:tcPr>
          <w:p w:rsidR="00AC0832" w:rsidRDefault="00AC0832">
            <w:pPr>
              <w:pStyle w:val="CellColumn"/>
            </w:pPr>
            <w:r>
              <w:t>Studija je podloga za izradu programa poticajnih mjera koje mogu biti ponuđene jedinicama lokalne i područne (regionalne) samouprave, te za utvrđivanje područja u kojima je moguće davati državne potpore za ulaganje u infrastrukturu širokopojasnog pristupa</w:t>
            </w:r>
          </w:p>
        </w:tc>
        <w:tc>
          <w:tcPr>
            <w:tcW w:w="1300" w:type="dxa"/>
          </w:tcPr>
          <w:p w:rsidR="00AC0832" w:rsidRDefault="00AC0832">
            <w:pPr>
              <w:pStyle w:val="CellColumn"/>
            </w:pPr>
            <w:r>
              <w:t>%</w:t>
            </w:r>
          </w:p>
        </w:tc>
        <w:tc>
          <w:tcPr>
            <w:tcW w:w="1300" w:type="dxa"/>
          </w:tcPr>
          <w:p w:rsidR="00AC0832" w:rsidRDefault="00AC0832">
            <w:pPr>
              <w:pStyle w:val="CellColumn"/>
            </w:pPr>
            <w:r>
              <w:t>19,70</w:t>
            </w:r>
          </w:p>
        </w:tc>
        <w:tc>
          <w:tcPr>
            <w:tcW w:w="1300" w:type="dxa"/>
          </w:tcPr>
          <w:p w:rsidR="00AC0832" w:rsidRDefault="00AC0832">
            <w:pPr>
              <w:pStyle w:val="CellColumn"/>
            </w:pPr>
            <w:r>
              <w:t>MPPI</w:t>
            </w:r>
          </w:p>
        </w:tc>
        <w:tc>
          <w:tcPr>
            <w:tcW w:w="1300" w:type="dxa"/>
          </w:tcPr>
          <w:p w:rsidR="00AC0832" w:rsidRDefault="00AC0832">
            <w:pPr>
              <w:pStyle w:val="CellColumn"/>
            </w:pPr>
            <w:r>
              <w:t>20,20</w:t>
            </w:r>
          </w:p>
        </w:tc>
        <w:tc>
          <w:tcPr>
            <w:tcW w:w="1300" w:type="dxa"/>
          </w:tcPr>
          <w:p w:rsidR="00AC0832" w:rsidRDefault="00AC0832">
            <w:pPr>
              <w:pStyle w:val="CellColumn"/>
            </w:pPr>
            <w:r>
              <w:t>20,75</w:t>
            </w:r>
          </w:p>
        </w:tc>
      </w:tr>
    </w:tbl>
    <w:p w:rsidR="00AC0832" w:rsidRDefault="00AC0832">
      <w:pPr>
        <w:jc w:val="left"/>
      </w:pPr>
    </w:p>
    <w:p w:rsidR="00AC0832" w:rsidRDefault="00AC0832">
      <w:pPr>
        <w:pStyle w:val="Heading7"/>
      </w:pPr>
      <w:r>
        <w:t xml:space="preserve">Cilj 2. Povećanje kakvoće obavljanja univerzalnih poštanskih usluga i razvoj tržišta </w:t>
      </w:r>
    </w:p>
    <w:p w:rsidR="00AC0832" w:rsidRDefault="00AC0832">
      <w:pPr>
        <w:pStyle w:val="Heading8"/>
        <w:jc w:val="left"/>
      </w:pPr>
      <w:r>
        <w:t>Opis provedbe cilja programa</w:t>
      </w:r>
    </w:p>
    <w:p w:rsidR="00AC0832" w:rsidRDefault="00AC0832">
      <w:pPr>
        <w:pStyle w:val="Normal6"/>
      </w:pPr>
      <w:r>
        <w:t>Donesen je novi Zakon o poštanskim uslugama (NN br. 144/12.) u svrhu omogućavanja potpune liberalizacije tržišta poštanskih usluga u Republici Hrvatskoj od 1. siječnja 2013. godine. Donošenjem toga Zakona nacionalno zakonodavstvo u potpunosti je usklađeno s Trećom poštanskom direktivom, koja je usmjerena stvaranju jedinstvenoga tržišta poštanskih usluga u Europskoj uniji.</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 xml:space="preserve">Broj davatelja </w:t>
            </w:r>
          </w:p>
          <w:p w:rsidR="00AC0832" w:rsidRDefault="00AC0832">
            <w:pPr>
              <w:pStyle w:val="CellColumn"/>
            </w:pPr>
            <w:r>
              <w:t xml:space="preserve">univerzalnih </w:t>
            </w:r>
          </w:p>
          <w:p w:rsidR="00AC0832" w:rsidRDefault="00AC0832">
            <w:pPr>
              <w:pStyle w:val="CellColumn"/>
            </w:pPr>
            <w:r>
              <w:t>poštanskih usluga</w:t>
            </w:r>
          </w:p>
        </w:tc>
        <w:tc>
          <w:tcPr>
            <w:tcW w:w="1300" w:type="dxa"/>
          </w:tcPr>
          <w:p w:rsidR="00AC0832" w:rsidRDefault="00AC0832">
            <w:pPr>
              <w:pStyle w:val="CellColumn"/>
            </w:pPr>
            <w:r>
              <w:t>Novi Zakon o poštanskim uslugama omogućiti će potpunu liberalicaiju tržišta poštanskih usluga, utvrdit će se kriteriji za određivanje davatelja univerzalnih poštanskih usluga te način financiranja tih usluga u slučajevima ostvarivanja manjih prihoda od troškova nastalih njihovim obavljanjem</w:t>
            </w:r>
          </w:p>
        </w:tc>
        <w:tc>
          <w:tcPr>
            <w:tcW w:w="1300" w:type="dxa"/>
          </w:tcPr>
          <w:p w:rsidR="00AC0832" w:rsidRDefault="00AC0832">
            <w:pPr>
              <w:pStyle w:val="CellColumn"/>
            </w:pPr>
            <w:r>
              <w:t>Broj</w:t>
            </w:r>
          </w:p>
        </w:tc>
        <w:tc>
          <w:tcPr>
            <w:tcW w:w="1300" w:type="dxa"/>
          </w:tcPr>
          <w:p w:rsidR="00AC0832" w:rsidRDefault="00AC0832">
            <w:pPr>
              <w:pStyle w:val="CellColumn"/>
            </w:pPr>
            <w:r>
              <w:t>3</w:t>
            </w:r>
          </w:p>
        </w:tc>
        <w:tc>
          <w:tcPr>
            <w:tcW w:w="1300" w:type="dxa"/>
          </w:tcPr>
          <w:p w:rsidR="00AC0832" w:rsidRDefault="00AC0832">
            <w:pPr>
              <w:pStyle w:val="CellColumn"/>
            </w:pPr>
            <w:r>
              <w:t>MPPI</w:t>
            </w:r>
          </w:p>
        </w:tc>
        <w:tc>
          <w:tcPr>
            <w:tcW w:w="1300" w:type="dxa"/>
          </w:tcPr>
          <w:p w:rsidR="00AC0832" w:rsidRDefault="00AC0832">
            <w:pPr>
              <w:pStyle w:val="CellColumn"/>
            </w:pPr>
            <w:r>
              <w:t>4</w:t>
            </w:r>
          </w:p>
        </w:tc>
        <w:tc>
          <w:tcPr>
            <w:tcW w:w="1300" w:type="dxa"/>
          </w:tcPr>
          <w:p w:rsidR="00AC0832" w:rsidRDefault="00AC0832">
            <w:pPr>
              <w:pStyle w:val="CellColumn"/>
            </w:pPr>
            <w:r>
              <w:t>4</w:t>
            </w:r>
          </w:p>
        </w:tc>
      </w:tr>
    </w:tbl>
    <w:p w:rsidR="00AC0832" w:rsidRDefault="00AC0832">
      <w:pPr>
        <w:jc w:val="left"/>
      </w:pPr>
    </w:p>
    <w:p w:rsidR="00AC0832" w:rsidRDefault="00AC0832">
      <w:pPr>
        <w:pStyle w:val="Heading6"/>
      </w:pPr>
      <w:r>
        <w:t>A570340 RAZVOJ ELEKTRONIČKIH KOMUNIKACIJA, INFORMACIJSKOG DRUŠTVA I POŠTANSKIH USLUGA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A570340-RAZVOJ ELEKTRONIČKIH KOMUNIKACIJA, INFORMACIJSKOG DRUŠTVA I POŠTANSKIH USLUGA</w:t>
            </w:r>
          </w:p>
        </w:tc>
        <w:tc>
          <w:tcPr>
            <w:tcW w:w="2322" w:type="dxa"/>
          </w:tcPr>
          <w:p w:rsidR="00AC0832" w:rsidRDefault="00AC0832">
            <w:pPr>
              <w:pStyle w:val="CellColumn"/>
            </w:pPr>
            <w:r>
              <w:t>1.720.000</w:t>
            </w:r>
          </w:p>
        </w:tc>
        <w:tc>
          <w:tcPr>
            <w:tcW w:w="2322" w:type="dxa"/>
          </w:tcPr>
          <w:p w:rsidR="00AC0832" w:rsidRDefault="00AC0832">
            <w:pPr>
              <w:pStyle w:val="CellColumn"/>
            </w:pPr>
            <w:r>
              <w:t>1.507.696</w:t>
            </w:r>
          </w:p>
        </w:tc>
        <w:tc>
          <w:tcPr>
            <w:tcW w:w="2322" w:type="dxa"/>
          </w:tcPr>
          <w:p w:rsidR="00AC0832" w:rsidRDefault="00AC0832">
            <w:pPr>
              <w:pStyle w:val="CellColumn"/>
            </w:pPr>
            <w:r>
              <w:t>87,7</w:t>
            </w:r>
          </w:p>
        </w:tc>
      </w:tr>
    </w:tbl>
    <w:p w:rsidR="00AC0832" w:rsidRDefault="00AC0832">
      <w:pPr>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 xml:space="preserve">Za aktivnost A570340 u 2012. godini planirana su sredstva u iznosu od 1.720.000 kuna, a planiranim sredstvima podmireni su troškovi vezani uz članstvo u međunarodnim organizacijama nadležnima za elektroničke komunikacije i poštanske usluge, pri čemu se značajnije uplate odnose na članarine i to članarina u Međunarodnoj telekomunikacijskoj uniji (ITU), iznos od 994.078,33 kuna i članarina u Svjetskoj poštanskoj uniji (UPU), iznos od 260.028,00 kuna, dok su ostale uplaćene članarine u znatno manjim iznosima. </w:t>
      </w:r>
    </w:p>
    <w:p w:rsidR="00AC0832" w:rsidRDefault="00AC0832">
      <w:pPr>
        <w:pStyle w:val="Normal6"/>
      </w:pPr>
      <w:r>
        <w:t>Osim navedenih članarina sredstva su utrošena i na pokroviteljstvo i suorganizaciju 35. Međunarodnog znanstveno-stručnog skupa u području informacijskih i komunikacijskih tehnologija, elektronike i mikroelektronike "MIPRO 2012." i 54. Međunarodnog simpozija "Elektronika u pomorstvu – ELMAR 2012.".</w:t>
      </w:r>
    </w:p>
    <w:p w:rsidR="00AC0832" w:rsidRDefault="00AC0832">
      <w:pPr>
        <w:pStyle w:val="Heading6"/>
      </w:pPr>
      <w:r>
        <w:t>A810012 IPA I 2007-JAČANJE KAPACITETA HAKOM-A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A810012-IPA I 2007-JAČANJE KAPACITETA HAKOM-A</w:t>
            </w:r>
          </w:p>
        </w:tc>
        <w:tc>
          <w:tcPr>
            <w:tcW w:w="2322" w:type="dxa"/>
          </w:tcPr>
          <w:p w:rsidR="00AC0832" w:rsidRDefault="00AC0832">
            <w:pPr>
              <w:pStyle w:val="CellColumn"/>
            </w:pPr>
            <w:r>
              <w:t>1.000.000</w:t>
            </w:r>
          </w:p>
        </w:tc>
        <w:tc>
          <w:tcPr>
            <w:tcW w:w="2322" w:type="dxa"/>
          </w:tcPr>
          <w:p w:rsidR="00AC0832" w:rsidRDefault="00AC0832">
            <w:pPr>
              <w:pStyle w:val="CellColumn"/>
            </w:pPr>
            <w:r>
              <w:t>948.958</w:t>
            </w:r>
          </w:p>
        </w:tc>
        <w:tc>
          <w:tcPr>
            <w:tcW w:w="2322" w:type="dxa"/>
          </w:tcPr>
          <w:p w:rsidR="00AC0832" w:rsidRDefault="00AC0832">
            <w:pPr>
              <w:pStyle w:val="CellColumn"/>
            </w:pPr>
            <w:r>
              <w:t>94,9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Ovaj je projekt dovršen odobrenjem završnog izvješća i plaćanja. Projekt je bio usmjeren na potporu operativnoj sposobnosti HAKOM-a i osiguranju sposobnosti nadziranja provedbe pravne stečevine EU-a. Svrha projekta bila je nastaviti pružati određena stručna znanja i poboljšati sposobnost radnika HAKOM-a kroz izradu strategije razvoja ljudskih potencijala i provedbu potrebne izobrazbe.</w:t>
      </w:r>
    </w:p>
    <w:p w:rsidR="00AC0832" w:rsidRDefault="00AC0832">
      <w:pPr>
        <w:pStyle w:val="Heading6"/>
      </w:pPr>
      <w:r>
        <w:t>A820032 POTICANJE RAZVOJA ŠIROKOPOJASNOG PRISTUPA INTERNETU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A820032-POTICANJE RAZVOJA ŠIROKOPOJASNOG PRISTUPA INTERNETU</w:t>
            </w:r>
          </w:p>
        </w:tc>
        <w:tc>
          <w:tcPr>
            <w:tcW w:w="2322" w:type="dxa"/>
          </w:tcPr>
          <w:p w:rsidR="00AC0832" w:rsidRDefault="00AC0832">
            <w:pPr>
              <w:pStyle w:val="CellColumn"/>
            </w:pPr>
            <w:r>
              <w:t>400.000</w:t>
            </w:r>
          </w:p>
        </w:tc>
        <w:tc>
          <w:tcPr>
            <w:tcW w:w="2322" w:type="dxa"/>
          </w:tcPr>
          <w:p w:rsidR="00AC0832" w:rsidRDefault="00AC0832">
            <w:pPr>
              <w:pStyle w:val="CellColumn"/>
            </w:pPr>
            <w:r>
              <w:t>330.925</w:t>
            </w:r>
          </w:p>
        </w:tc>
        <w:tc>
          <w:tcPr>
            <w:tcW w:w="2322" w:type="dxa"/>
          </w:tcPr>
          <w:p w:rsidR="00AC0832" w:rsidRDefault="00AC0832">
            <w:pPr>
              <w:pStyle w:val="CellColumn"/>
            </w:pPr>
            <w:r>
              <w:t>82,7</w:t>
            </w:r>
          </w:p>
        </w:tc>
      </w:tr>
    </w:tbl>
    <w:p w:rsidR="00AC0832" w:rsidRDefault="00AC0832">
      <w:pPr>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Izrađena je Studija o odabiru najpovoljnijih modela financiranja i poticajnih mjera za ulaganja u infrastrukturu širokopojasnog pristupa, i to nakon provedenog javnog natječaja, odabran je ponuditelj, sklopljen je Ugovor, i izrađena je Studija za 330.925,00 kuna.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2"/>
        <w:gridCol w:w="1562"/>
        <w:gridCol w:w="1203"/>
        <w:gridCol w:w="1238"/>
        <w:gridCol w:w="1229"/>
        <w:gridCol w:w="1238"/>
        <w:gridCol w:w="125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izrađenosti Studije o odabiru najpovoljnijih modela financiranja i poticajnih mjera za ulaganja u infrastrukturu širokopojasnog pristupa</w:t>
            </w:r>
          </w:p>
        </w:tc>
        <w:tc>
          <w:tcPr>
            <w:tcW w:w="1300" w:type="dxa"/>
          </w:tcPr>
          <w:p w:rsidR="00AC0832" w:rsidRDefault="00AC0832">
            <w:pPr>
              <w:pStyle w:val="CellColumn"/>
            </w:pPr>
            <w:r>
              <w:t>Studija o odabiru najpovoljnijih modela financiranja i poticajnih mjera za ulaganja u infrastrukturu širokopojasnog pristupa</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MPPI</w:t>
            </w:r>
          </w:p>
        </w:tc>
        <w:tc>
          <w:tcPr>
            <w:tcW w:w="1300" w:type="dxa"/>
          </w:tcPr>
          <w:p w:rsidR="00AC0832" w:rsidRDefault="00AC0832">
            <w:pPr>
              <w:pStyle w:val="CellColumn"/>
            </w:pPr>
            <w:r>
              <w:t>100</w:t>
            </w:r>
          </w:p>
        </w:tc>
        <w:tc>
          <w:tcPr>
            <w:tcW w:w="1300" w:type="dxa"/>
          </w:tcPr>
          <w:p w:rsidR="00AC0832" w:rsidRDefault="00AC0832">
            <w:pPr>
              <w:pStyle w:val="CellColumn"/>
            </w:pPr>
            <w:r>
              <w:t>100</w:t>
            </w:r>
          </w:p>
        </w:tc>
      </w:tr>
    </w:tbl>
    <w:p w:rsidR="00AC0832" w:rsidRDefault="00AC0832">
      <w:pPr>
        <w:jc w:val="left"/>
      </w:pPr>
    </w:p>
    <w:p w:rsidR="00AC0832" w:rsidRDefault="00AC0832">
      <w:pPr>
        <w:pStyle w:val="Heading6"/>
      </w:pPr>
      <w:r>
        <w:t>T810022 IPA II 2010-DIGITALNA TELEVIZIJA U JUGOISTOČNOJ EUROPI-HAKOM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T810022-IPA II 2010-DIGITALNA TELEVIZIJA U JUGOISTOČNOJ EUROPI-HAKOM</w:t>
            </w:r>
          </w:p>
        </w:tc>
        <w:tc>
          <w:tcPr>
            <w:tcW w:w="2322" w:type="dxa"/>
          </w:tcPr>
          <w:p w:rsidR="00AC0832" w:rsidRDefault="00AC0832">
            <w:pPr>
              <w:pStyle w:val="CellColumn"/>
            </w:pPr>
            <w:r>
              <w:t>550.000</w:t>
            </w:r>
          </w:p>
        </w:tc>
        <w:tc>
          <w:tcPr>
            <w:tcW w:w="2322" w:type="dxa"/>
          </w:tcPr>
          <w:p w:rsidR="00AC0832" w:rsidRDefault="00AC0832">
            <w:pPr>
              <w:pStyle w:val="CellColumn"/>
            </w:pPr>
            <w:r>
              <w:t>538.762</w:t>
            </w:r>
          </w:p>
        </w:tc>
        <w:tc>
          <w:tcPr>
            <w:tcW w:w="2322" w:type="dxa"/>
          </w:tcPr>
          <w:p w:rsidR="00AC0832" w:rsidRDefault="00AC0832">
            <w:pPr>
              <w:pStyle w:val="CellColumn"/>
            </w:pPr>
            <w:r>
              <w:t>98,0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Ovaj je projekt ostvaren u skladu s potpisanim ugovorom o nepovratnim sredstvima, koja je HAKOM-u dodijelila Agencija za regionalni razvoj Republike Hrvatske za provedbu projekta pod nazivom "Digitalna televizija u Jugoistočnoj Europi – SEE Digi.TV", te su planirana sredstva i iskorištena. Ukupna vrijednost projekta iznosi 1.987.230,50 EUR, od čega je 140.959,97 EUR dodijeljeno HAKOM-u i Agenciji za elektroničke medije (AEM) radi zajedničke provedbe projekta u Republici Hrvatskoj. Europska unija sufinancira aktivnosti projekta s 85% sredstava iz programa IPA, a 15% iznosi nacionalno sufinanciranje iz sredstava HAKOM-a i AEM-a. Nastavak projekta slijedi u 2013. godini.</w:t>
      </w:r>
    </w:p>
    <w:p w:rsidR="00AC0832" w:rsidRDefault="00AC0832">
      <w:pPr>
        <w:pStyle w:val="Heading5"/>
      </w:pPr>
    </w:p>
    <w:p w:rsidR="00AC0832" w:rsidRDefault="00AC0832">
      <w:pPr>
        <w:pStyle w:val="Heading5"/>
      </w:pPr>
    </w:p>
    <w:p w:rsidR="00AC0832" w:rsidRDefault="00AC0832">
      <w:pPr>
        <w:pStyle w:val="Heading5"/>
      </w:pPr>
    </w:p>
    <w:p w:rsidR="00AC0832" w:rsidRDefault="00AC0832">
      <w:pPr>
        <w:pStyle w:val="Heading5"/>
      </w:pPr>
    </w:p>
    <w:p w:rsidR="00AC0832" w:rsidRDefault="00AC0832">
      <w:pPr>
        <w:pStyle w:val="Heading5"/>
      </w:pPr>
      <w:r>
        <w:t>3403 ZAŠTITA OKOLIŠA U TRANSPORTU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3403-ZAŠTITA OKOLIŠA U TRANSPORTU</w:t>
            </w:r>
          </w:p>
        </w:tc>
        <w:tc>
          <w:tcPr>
            <w:tcW w:w="2322" w:type="dxa"/>
          </w:tcPr>
          <w:p w:rsidR="00AC0832" w:rsidRDefault="00AC0832">
            <w:pPr>
              <w:pStyle w:val="CellColumn"/>
            </w:pPr>
            <w:r>
              <w:t>6.330.000</w:t>
            </w:r>
          </w:p>
        </w:tc>
        <w:tc>
          <w:tcPr>
            <w:tcW w:w="2322" w:type="dxa"/>
          </w:tcPr>
          <w:p w:rsidR="00AC0832" w:rsidRDefault="00AC0832">
            <w:pPr>
              <w:pStyle w:val="CellColumn"/>
            </w:pPr>
            <w:r>
              <w:t>5.902.257</w:t>
            </w:r>
          </w:p>
        </w:tc>
        <w:tc>
          <w:tcPr>
            <w:tcW w:w="2322" w:type="dxa"/>
          </w:tcPr>
          <w:p w:rsidR="00AC0832" w:rsidRDefault="00AC0832">
            <w:pPr>
              <w:pStyle w:val="CellColumn"/>
            </w:pPr>
            <w:r>
              <w:t>93,2</w:t>
            </w:r>
          </w:p>
        </w:tc>
      </w:tr>
    </w:tbl>
    <w:p w:rsidR="00AC0832" w:rsidRDefault="00AC0832">
      <w:pPr>
        <w:jc w:val="left"/>
      </w:pPr>
    </w:p>
    <w:p w:rsidR="00AC0832" w:rsidRDefault="00AC0832">
      <w:pPr>
        <w:pStyle w:val="Heading6"/>
      </w:pPr>
      <w:r>
        <w:t>Opis programa</w:t>
      </w:r>
    </w:p>
    <w:p w:rsidR="00AC0832" w:rsidRDefault="00AC0832">
      <w:pPr>
        <w:pStyle w:val="Normal5"/>
      </w:pPr>
      <w:r>
        <w:t>Program Zaštita okoliša u transportu skrbi o prirodi i okolišu u području pomorskog prijevoza koji, kao integralna dimenzija održivog razvoja u pomorstvu i prijevozu, kroz smanjenje negativnog učinka prijevoza na okoliš, dovodi do postizanja učinkovitosti i održivosti pomorskog i, općenito, prometnog sustava. Program u sebi uključuje projekt Marco Polo II čiji glavni cilj je sufinanciranje smanjenja negativnog učinka na okoliš preusmjeravanjem prometa na ekološki prihvatljive modele prijevoza. S druge strane, koncept Autoceste mora (Motorways of the Sea - MoS) ima za cilj poboljšanje postojećih ili uvođenje novih, integriranih intermodalnih lanaca logistike koji se temelje na pomorstvu, te ima visokokvalitetne pomorske veze s ograničenim brojem odabranih luka na strateškim pozicijama europskih obala. Koncept je prvi puta uveden u Bijeloj knjizi o europskoj transportnoj politici do 2010. godine (revidiran 2006. godine). Ovi servisi su komercijalno održiviji i učinkovitiji, osiguravaju kvalitetnu alternativu cestovnom prijevozu te samim time i omogućuju znatnu modalnu promjenu teretnog prometa  sa zakrčenih cesta na alternativne prijevozničke sustave (more, željeznicu, unutarnje plovne putove). Poticanjem razvoja i uvođenja koncepta Autoceste mora poboljšati će se pristup  tržištima diljem Europe te donijeti olakšanje preopterećenom cestovnom sustavu jadranske regije i Europske unije. Naglašava se važnost korištenja pomorskih plovnih putova kao ekološki prihvatljivog modela prijevoza. U cilju unapređenja zaštite okoliša ovim se programom želi poboljšati temelj za upravljanje i nadzor balastnih voda i taloga u lukama otvorenim za javni promet od osobitog gospodarskog interesa za Republiku Hrvatsku. Projekt Upravljanje i nadzor balastnih voda i taloga doprinosi ostvarivanju ciljeva programa jer se njime planira izraditi podloga koja će definirati elemente stanja morskog okoliša vezane za upravljanje vodenim balastom (voda s tvarima u njoj, ukrcana radi kontrole trima, nagiba, gaza, stabiliteta i naprezanja broda). Problem upravljanja i nadzora balastnih voda nastaje u trenutku ispuštanja tereta u lukama kada brod krca balastnu vodu ili je ispušta. Balastne vode sadrže žive morske organizme koji su se pokazali izuzetno opasni kada se prenesu u morsko područje u kojem nisu bili prisutni prije. Osim ekoloških uzrokuju i znatnu gospodarsku štetu, te opasnost za ljudsko zdravlje. Problematika upravljanja i nadzora balastnih voda je posljedica pomorskog prijevoza tereta i naslanja se na upravljanje pomorskim prometom, a za nadzor nadležno je Ministarstvo pomorstva, prometa i infrastrukture. Uspostava efikasnog sustava zaštite morskog okoliša od onečišćenja s pomorskih objekata obuhvaća preventivne mjere zaštite od potencijalnog rizika onečišćenja s brodova koje uključuju obvezu odvojenog skladištenja, obrade i odlaganja opasnog i neopasnog otpada u lukama, te prihvat otpada nastalog eksploatacijom plovila, prikupljanje i obradu fekalnih i kaljužnih voda, ulja i maziva, te posebno uspostava sustava upravljanja i nadzora brodskoga vodenog balasta. Kako u ovom trenutku luke otvorene za međunarodni promet imaju brojne poteškoće u zadovoljavanju uvjeta u vezi s lučkim postrojenjima za prihvat zauljenih voda, brodskog otpada i ostataka tereta cilj je u slijedeće  tri godine  podići  razine  ekološke zaštite u lukama, sukladno najvišim standardima, opremanjem luka opremom za prihvat zauljenih voda s brodova i drugih otpadnih tvari. Osim toga cilj je u slijedeće tri godine unaprijediti cjelokupnu sustav, kako na razini države tako i na razini županija, za pravovremenu i učinkovito djelovanje i u slučajevima onečišćenja morskog okoliša većih razmjera. Strateški cilj u Strategiji programa Vlade za  razdoblje 2012.-2014. jest: 12. Zaštita okoliša i prostorni razvoj, posebni cilj: 12.1. Zaštita okoliša i djelotvorno upravljanje okolišem, način ostvarenja postavljenog cilja: 12.1.5. Zaštita okoliša u transportu.</w:t>
      </w:r>
    </w:p>
    <w:p w:rsidR="00AC0832" w:rsidRDefault="00AC0832">
      <w:pPr>
        <w:pStyle w:val="Heading6"/>
      </w:pPr>
      <w:r>
        <w:t>Zakonske i druge pravne osnove</w:t>
      </w:r>
    </w:p>
    <w:p w:rsidR="00AC0832" w:rsidRDefault="00AC0832">
      <w:pPr>
        <w:pStyle w:val="Normal5"/>
      </w:pPr>
      <w:r>
        <w:t xml:space="preserve">Strategija prometnog razvitka Republike Hrvatske, NN 139/99., </w:t>
      </w:r>
    </w:p>
    <w:p w:rsidR="00AC0832" w:rsidRDefault="00AC0832">
      <w:pPr>
        <w:pStyle w:val="Normal5"/>
      </w:pPr>
      <w:r>
        <w:t xml:space="preserve">Strategija održivog razvitka Republika Hrvatske, NN 110/07., </w:t>
      </w:r>
    </w:p>
    <w:p w:rsidR="00AC0832" w:rsidRDefault="00AC0832">
      <w:pPr>
        <w:pStyle w:val="Normal5"/>
      </w:pPr>
      <w:r>
        <w:t xml:space="preserve">Zakon o pomorskom dobru i morskim lukama, NN 158/03., </w:t>
      </w:r>
    </w:p>
    <w:p w:rsidR="00AC0832" w:rsidRDefault="00AC0832">
      <w:pPr>
        <w:pStyle w:val="Normal5"/>
      </w:pPr>
      <w:r>
        <w:t xml:space="preserve">Pretpristupna pomorska strategija, 2005., </w:t>
      </w:r>
    </w:p>
    <w:p w:rsidR="00AC0832" w:rsidRDefault="00AC0832">
      <w:pPr>
        <w:pStyle w:val="Normal5"/>
      </w:pPr>
      <w:r>
        <w:t xml:space="preserve">Memorandum o razumijevanju između Republike Hrvatske i Europske zajednice o sudjelovanju Republike Hrvatske u Programu »Marco Polo II«, NN 1/2009., </w:t>
      </w:r>
    </w:p>
    <w:p w:rsidR="00AC0832" w:rsidRDefault="00AC0832">
      <w:pPr>
        <w:pStyle w:val="Normal5"/>
      </w:pPr>
      <w:r>
        <w:t xml:space="preserve">Europska komisija uvela je koncept autocesta mora 2001. godine u Bijeloj knjizi o europskoj transportnoj politici do 2010. godine (revidiranoj 2006. godine). U travnju </w:t>
      </w:r>
    </w:p>
    <w:p w:rsidR="00AC0832" w:rsidRDefault="00AC0832">
      <w:pPr>
        <w:pStyle w:val="Normal5"/>
      </w:pPr>
      <w:r>
        <w:t xml:space="preserve">2004. godine, Europski parlament i Koncil prihvatili su Odluku 884/2004/EC, dopunivši Odluku 1692/96/EC o smjernicama Zajednice za razvoj TEN-T, i predstavivši MoS kao prioritetni program, </w:t>
      </w:r>
    </w:p>
    <w:p w:rsidR="00AC0832" w:rsidRDefault="00AC0832">
      <w:pPr>
        <w:pStyle w:val="Normal5"/>
      </w:pPr>
      <w:r>
        <w:t xml:space="preserve">Zakon o potvrđivanju Međunarodne konvencije o nadzoru i upravljanju brodskim balastnim vodama i talozima iz 2004.g., NN 3./2010., </w:t>
      </w:r>
    </w:p>
    <w:p w:rsidR="00AC0832" w:rsidRDefault="00AC0832">
      <w:pPr>
        <w:pStyle w:val="Normal5"/>
      </w:pPr>
      <w:r>
        <w:t xml:space="preserve">Pravilnik o upravljanju i nadzoru vodenog balasta, NN 55/2007.  </w:t>
      </w:r>
    </w:p>
    <w:p w:rsidR="00AC0832" w:rsidRDefault="00AC0832">
      <w:pPr>
        <w:pStyle w:val="Normal5"/>
      </w:pPr>
      <w:r>
        <w:t>Pomorski zakonik NN 181/04, 76/07, 146/08.</w:t>
      </w:r>
    </w:p>
    <w:p w:rsidR="00AC0832" w:rsidRDefault="00AC0832">
      <w:pPr>
        <w:pStyle w:val="Heading7"/>
      </w:pPr>
      <w:r>
        <w:t>Cilj 1. Smanjenje negativnog učinka pomorskog prijevoza na okoliš</w:t>
      </w:r>
    </w:p>
    <w:p w:rsidR="00AC0832" w:rsidRDefault="00AC0832">
      <w:pPr>
        <w:pStyle w:val="Heading8"/>
        <w:jc w:val="left"/>
      </w:pPr>
      <w:r>
        <w:t>Opis provedbe cilja programa</w:t>
      </w:r>
    </w:p>
    <w:p w:rsidR="00AC0832" w:rsidRDefault="00AC0832">
      <w:pPr>
        <w:pStyle w:val="Normal6"/>
      </w:pPr>
      <w:r>
        <w:t>Cilj programa je smanjenje negativnog učinka pomorskog prijevoza na okoliš prijavljivanjem projekata iz područja prometa na natječaj fonda Unije Marco Polo II. koji je namijenjen prijevoznicima i špediterima, te proizvođačima koji sami organiziraju prijevoz, te smanjenje opterećenja cestovnoga prometa i njegovog negativnog učinaka na okoliš usmjeravanjem prometa s cesta na priobalnu plovidbu, željeznicu i unutarnju plovidbu. Program je bespovratnim sredstvima sufinancirao prijevozne servise koji su se odvijali na području Europe u gospodarskom sektoru. Razvojem sustava Autocesta mora u RH, te povezivanje Europe s jugoistočnim rubom Europske unije, te okolnim regijama kroz transeuropski multimodalni transportni sustav, dalje se razvija Međuobalnna plovidba (Short Sea Shipping-a) u RH. Ukupni cilj jest poticanje i razvoj Autocesta mora u RH kao integralnog dijela regionalnog intermodalnog transportnog sustava i to kroz multidisciplinarni pristup kombinirajući više vrsta aktivnosti. Kada se MoS kao intermodalni transportni sustav razvije na dovoljnoj razini, pozitivno će utjecati na veliki dio modalnih promjena s ceste ka intermodalnosti, a time i na smanjenje zastoja u prometu, pridonesti zaštiti okoliša, te, na kraju, značajnom rastu ekonomije. Unapređenje zaštite okoliša u području balasta postiže se na način da se spriječava i minimalizira,a na poslijetku će se nastojati u potpunosti ukinuti prijenos opasnih i štetnih vodenih organizama i patogena nadzorom i upravljanjem balastnim vodama i talogom s brodova te tako doprinijeti zaštiti morskog okoliša.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7"/>
        <w:gridCol w:w="1351"/>
        <w:gridCol w:w="1277"/>
        <w:gridCol w:w="1285"/>
        <w:gridCol w:w="1283"/>
        <w:gridCol w:w="1285"/>
        <w:gridCol w:w="129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Povećavanje stupnja informiranosti sudionika u prometu o načinima i mogućnostima zaštite okoliša u transportu</w:t>
            </w:r>
          </w:p>
        </w:tc>
        <w:tc>
          <w:tcPr>
            <w:tcW w:w="1300" w:type="dxa"/>
          </w:tcPr>
          <w:p w:rsidR="00AC0832" w:rsidRDefault="00AC0832">
            <w:pPr>
              <w:pStyle w:val="CellColumn"/>
            </w:pPr>
            <w:r>
              <w:t xml:space="preserve">Održavanje </w:t>
            </w:r>
          </w:p>
          <w:p w:rsidR="00AC0832" w:rsidRDefault="00AC0832">
            <w:pPr>
              <w:pStyle w:val="CellColumn"/>
            </w:pPr>
            <w:r>
              <w:t xml:space="preserve">radionica i </w:t>
            </w:r>
          </w:p>
          <w:p w:rsidR="00AC0832" w:rsidRDefault="00AC0832">
            <w:pPr>
              <w:pStyle w:val="CellColumn"/>
            </w:pPr>
            <w:r>
              <w:t xml:space="preserve">konferencija </w:t>
            </w:r>
          </w:p>
          <w:p w:rsidR="00AC0832" w:rsidRDefault="00AC0832">
            <w:pPr>
              <w:pStyle w:val="CellColumn"/>
            </w:pPr>
            <w:r>
              <w:t xml:space="preserve">te drugih </w:t>
            </w:r>
          </w:p>
          <w:p w:rsidR="00AC0832" w:rsidRDefault="00AC0832">
            <w:pPr>
              <w:pStyle w:val="CellColumn"/>
            </w:pPr>
            <w:r>
              <w:t xml:space="preserve">pomidžbenih </w:t>
            </w:r>
          </w:p>
          <w:p w:rsidR="00AC0832" w:rsidRDefault="00AC0832">
            <w:pPr>
              <w:pStyle w:val="CellColumn"/>
            </w:pPr>
            <w:r>
              <w:t xml:space="preserve">aktivnosti, </w:t>
            </w:r>
          </w:p>
          <w:p w:rsidR="00AC0832" w:rsidRDefault="00AC0832">
            <w:pPr>
              <w:pStyle w:val="CellColumn"/>
            </w:pPr>
            <w:r>
              <w:t xml:space="preserve">kojima se </w:t>
            </w:r>
          </w:p>
          <w:p w:rsidR="00AC0832" w:rsidRDefault="00AC0832">
            <w:pPr>
              <w:pStyle w:val="CellColumn"/>
            </w:pPr>
            <w:r>
              <w:t xml:space="preserve">nastoji </w:t>
            </w:r>
          </w:p>
          <w:p w:rsidR="00AC0832" w:rsidRDefault="00AC0832">
            <w:pPr>
              <w:pStyle w:val="CellColumn"/>
            </w:pPr>
            <w:r>
              <w:t xml:space="preserve">informirati </w:t>
            </w:r>
          </w:p>
          <w:p w:rsidR="00AC0832" w:rsidRDefault="00AC0832">
            <w:pPr>
              <w:pStyle w:val="CellColumn"/>
            </w:pPr>
            <w:r>
              <w:t xml:space="preserve">prijevoznike </w:t>
            </w:r>
          </w:p>
          <w:p w:rsidR="00AC0832" w:rsidRDefault="00AC0832">
            <w:pPr>
              <w:pStyle w:val="CellColumn"/>
            </w:pPr>
            <w:r>
              <w:t xml:space="preserve">o štetnom </w:t>
            </w:r>
          </w:p>
          <w:p w:rsidR="00AC0832" w:rsidRDefault="00AC0832">
            <w:pPr>
              <w:pStyle w:val="CellColumn"/>
            </w:pPr>
            <w:r>
              <w:t xml:space="preserve">djelovanju </w:t>
            </w:r>
          </w:p>
          <w:p w:rsidR="00AC0832" w:rsidRDefault="00AC0832">
            <w:pPr>
              <w:pStyle w:val="CellColumn"/>
            </w:pPr>
            <w:r>
              <w:t xml:space="preserve">prometa na </w:t>
            </w:r>
          </w:p>
          <w:p w:rsidR="00AC0832" w:rsidRDefault="00AC0832">
            <w:pPr>
              <w:pStyle w:val="CellColumn"/>
            </w:pPr>
            <w:r>
              <w:t xml:space="preserve">okoliš, </w:t>
            </w:r>
          </w:p>
          <w:p w:rsidR="00AC0832" w:rsidRDefault="00AC0832">
            <w:pPr>
              <w:pStyle w:val="CellColumn"/>
            </w:pPr>
            <w:r>
              <w:t xml:space="preserve">načinima </w:t>
            </w:r>
          </w:p>
          <w:p w:rsidR="00AC0832" w:rsidRDefault="00AC0832">
            <w:pPr>
              <w:pStyle w:val="CellColumn"/>
            </w:pPr>
            <w:r>
              <w:t xml:space="preserve">smanjenja </w:t>
            </w:r>
          </w:p>
          <w:p w:rsidR="00AC0832" w:rsidRDefault="00AC0832">
            <w:pPr>
              <w:pStyle w:val="CellColumn"/>
            </w:pPr>
            <w:r>
              <w:t xml:space="preserve">štetnog </w:t>
            </w:r>
          </w:p>
          <w:p w:rsidR="00AC0832" w:rsidRDefault="00AC0832">
            <w:pPr>
              <w:pStyle w:val="CellColumn"/>
            </w:pPr>
            <w:r>
              <w:t xml:space="preserve">djelovanja, te </w:t>
            </w:r>
          </w:p>
          <w:p w:rsidR="00AC0832" w:rsidRDefault="00AC0832">
            <w:pPr>
              <w:pStyle w:val="CellColumn"/>
            </w:pPr>
            <w:r>
              <w:t xml:space="preserve">o mogućnosti </w:t>
            </w:r>
          </w:p>
          <w:p w:rsidR="00AC0832" w:rsidRDefault="00AC0832">
            <w:pPr>
              <w:pStyle w:val="CellColumn"/>
            </w:pPr>
            <w:r>
              <w:t xml:space="preserve">njihovog </w:t>
            </w:r>
          </w:p>
          <w:p w:rsidR="00AC0832" w:rsidRDefault="00AC0832">
            <w:pPr>
              <w:pStyle w:val="CellColumn"/>
            </w:pPr>
            <w:r>
              <w:t xml:space="preserve">sudjelovanja u </w:t>
            </w:r>
          </w:p>
          <w:p w:rsidR="00AC0832" w:rsidRDefault="00AC0832">
            <w:pPr>
              <w:pStyle w:val="CellColumn"/>
            </w:pPr>
            <w:r>
              <w:t xml:space="preserve">programima </w:t>
            </w:r>
          </w:p>
          <w:p w:rsidR="00AC0832" w:rsidRDefault="00AC0832">
            <w:pPr>
              <w:pStyle w:val="CellColumn"/>
            </w:pPr>
            <w:r>
              <w:t xml:space="preserve">EU koji su </w:t>
            </w:r>
          </w:p>
          <w:p w:rsidR="00AC0832" w:rsidRDefault="00AC0832">
            <w:pPr>
              <w:pStyle w:val="CellColumn"/>
            </w:pPr>
            <w:r>
              <w:t xml:space="preserve">namjenjeni </w:t>
            </w:r>
          </w:p>
          <w:p w:rsidR="00AC0832" w:rsidRDefault="00AC0832">
            <w:pPr>
              <w:pStyle w:val="CellColumn"/>
            </w:pPr>
            <w:r>
              <w:t xml:space="preserve">zaštiti </w:t>
            </w:r>
          </w:p>
          <w:p w:rsidR="00AC0832" w:rsidRDefault="00AC0832">
            <w:pPr>
              <w:pStyle w:val="CellColumn"/>
            </w:pPr>
            <w:r>
              <w:t>okoliša</w:t>
            </w:r>
          </w:p>
        </w:tc>
        <w:tc>
          <w:tcPr>
            <w:tcW w:w="1300" w:type="dxa"/>
          </w:tcPr>
          <w:p w:rsidR="00AC0832" w:rsidRDefault="00AC0832">
            <w:pPr>
              <w:pStyle w:val="CellColumn"/>
            </w:pPr>
            <w:r>
              <w:t>%</w:t>
            </w:r>
          </w:p>
        </w:tc>
        <w:tc>
          <w:tcPr>
            <w:tcW w:w="1300" w:type="dxa"/>
          </w:tcPr>
          <w:p w:rsidR="00AC0832" w:rsidRDefault="00AC0832">
            <w:pPr>
              <w:pStyle w:val="CellColumn"/>
            </w:pPr>
            <w:r>
              <w:t>0,5</w:t>
            </w:r>
          </w:p>
        </w:tc>
        <w:tc>
          <w:tcPr>
            <w:tcW w:w="1300" w:type="dxa"/>
          </w:tcPr>
          <w:p w:rsidR="00AC0832" w:rsidRDefault="00AC0832">
            <w:pPr>
              <w:pStyle w:val="CellColumn"/>
            </w:pPr>
            <w:r>
              <w:t>MPPI</w:t>
            </w:r>
          </w:p>
        </w:tc>
        <w:tc>
          <w:tcPr>
            <w:tcW w:w="1300" w:type="dxa"/>
          </w:tcPr>
          <w:p w:rsidR="00AC0832" w:rsidRDefault="00AC0832">
            <w:pPr>
              <w:pStyle w:val="CellColumn"/>
            </w:pPr>
            <w:r>
              <w:t>0,7</w:t>
            </w:r>
          </w:p>
        </w:tc>
        <w:tc>
          <w:tcPr>
            <w:tcW w:w="1300" w:type="dxa"/>
          </w:tcPr>
          <w:p w:rsidR="00AC0832" w:rsidRDefault="00AC0832">
            <w:pPr>
              <w:pStyle w:val="CellColumn"/>
            </w:pPr>
            <w:r>
              <w:t>0,7</w:t>
            </w:r>
          </w:p>
        </w:tc>
      </w:tr>
    </w:tbl>
    <w:p w:rsidR="00AC0832" w:rsidRDefault="00AC0832">
      <w:pPr>
        <w:jc w:val="left"/>
      </w:pPr>
    </w:p>
    <w:p w:rsidR="00AC0832" w:rsidRDefault="00AC0832">
      <w:pPr>
        <w:pStyle w:val="Heading6"/>
      </w:pPr>
    </w:p>
    <w:p w:rsidR="00AC0832" w:rsidRDefault="00AC0832">
      <w:pPr>
        <w:pStyle w:val="Heading6"/>
      </w:pPr>
    </w:p>
    <w:p w:rsidR="00AC0832" w:rsidRDefault="00AC0832">
      <w:pPr>
        <w:pStyle w:val="Heading6"/>
      </w:pPr>
    </w:p>
    <w:p w:rsidR="00AC0832" w:rsidRDefault="00AC0832">
      <w:pPr>
        <w:pStyle w:val="Heading6"/>
      </w:pPr>
      <w:r>
        <w:t>A570501 IPA I 2009-SUDJELOVANJE U PROGRAMU UNIJE-MARCO POLO 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A570501-IPA I 2009-SUDJELOVANJE U PROGRAMU UNIJE-MARCO POLO II</w:t>
            </w:r>
          </w:p>
        </w:tc>
        <w:tc>
          <w:tcPr>
            <w:tcW w:w="2322" w:type="dxa"/>
          </w:tcPr>
          <w:p w:rsidR="00AC0832" w:rsidRDefault="00AC0832">
            <w:pPr>
              <w:pStyle w:val="CellColumn"/>
            </w:pPr>
            <w:r>
              <w:t>1.695.000</w:t>
            </w:r>
          </w:p>
        </w:tc>
        <w:tc>
          <w:tcPr>
            <w:tcW w:w="2322" w:type="dxa"/>
          </w:tcPr>
          <w:p w:rsidR="00AC0832" w:rsidRDefault="00AC0832">
            <w:pPr>
              <w:pStyle w:val="CellColumn"/>
            </w:pPr>
            <w:r>
              <w:t>1.669.714</w:t>
            </w:r>
          </w:p>
        </w:tc>
        <w:tc>
          <w:tcPr>
            <w:tcW w:w="2322" w:type="dxa"/>
          </w:tcPr>
          <w:p w:rsidR="00AC0832" w:rsidRDefault="00AC0832">
            <w:pPr>
              <w:pStyle w:val="CellColumn"/>
            </w:pPr>
            <w:r>
              <w:t>98,5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Sukladno dopisu Središnjeg državnog ureda za razvojnu strategiju i koordinaciju fondova Europske Unije od 26. srpnja 2011. godine u kojem se tražilo očitovanje o sufinanciranju članarina za sudjelovanje u Programima i Agencijama Unije u 2012. godini, ovo Ministarstvo potvrdilo je iznos od 206.000 EUR kao ukupni iznos članarine za sudjelovanje Republike Hrvatske u Programu Unije Marco Polo II za 2012. godinu, te se obvezalo osigurati 40% od navedenog iznosa sredstava, što iznosi 82.400 EUR-a iz Državnog proračuna RH na razdjelu Ministarstva pomorstva, prometa i infrastrukture, a što je u skladu sa Zakonom o potvrđivanju memoranduma o razumijevanju između Republike Hrvatske i Europske Unije o sudjelovanju Republike Hrvatske u Programu Unije »MARCO POLO II« (NN- MU br. 1/2009). Gore navedena sredstva ukupnog iznosa članarine za 2012. godinu planirana su u Državnom proračunu RH za 2012. godinu  u ukupnom iznosu od 1.575.000 kuna, od čega se 635.000 kuna odnosi na učešće u domaćoj komponenti, dok iznos od 940.000 kuna predstavlja učešće u stranoj komponenti, te su ista utrošena za plaćanje navedene članarine. Ova članarina podrazumijeva da je Republika Hrvatska stvorila mogućnost da privatne tvrtke ostvare subvenciju Europske Unije na svoju prijevoznu djelatnost. Kako bi se tvrtke kvalitetnije informirale o Programu, održana je jedna konferencija i jedna prezentacija tijekom 2012. godine. Navedenom radionicom, te kasnijim aktivnostima na pripremi projekta, postignut je rezultat da je, po prvi puta, jedna hrvatska tvrtka ušla u završnu fazu evaluacije projekta koji će biti predloženi za sufinanciranje, te je s tim u vezi postignut ukupni cilj Programa, odnosno participacija hrvatskih tvrtki u povlačenju sredstava programa Marco Polo II. </w:t>
      </w:r>
    </w:p>
    <w:p w:rsidR="00AC0832" w:rsidRDefault="00AC0832">
      <w:pPr>
        <w:pStyle w:val="Normal6"/>
      </w:pPr>
      <w:r>
        <w:t>U okviru navedenog Programa, hrvatski projekt tvrtke AGIT vrijednosti 21.252.852,33 €, od čega bi iznos EU subvencije trebao iznositi 1.048.181 €, pozitivno je evaluiran te se ugovaranje istog očekuje uskoro.  Cilj projekta je uspostava blok vlaka na relaciji luka Rijeka- željeznički terminal Beograd.</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0"/>
        <w:gridCol w:w="1539"/>
        <w:gridCol w:w="1217"/>
        <w:gridCol w:w="1246"/>
        <w:gridCol w:w="1238"/>
        <w:gridCol w:w="1246"/>
        <w:gridCol w:w="126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održanih konferencija u okviru programa Marco Polo II</w:t>
            </w:r>
          </w:p>
        </w:tc>
        <w:tc>
          <w:tcPr>
            <w:tcW w:w="1300" w:type="dxa"/>
          </w:tcPr>
          <w:p w:rsidR="00AC0832" w:rsidRDefault="00AC0832">
            <w:pPr>
              <w:pStyle w:val="CellColumn"/>
            </w:pPr>
            <w:r>
              <w:t xml:space="preserve">Organizacijom </w:t>
            </w:r>
          </w:p>
          <w:p w:rsidR="00AC0832" w:rsidRDefault="00AC0832">
            <w:pPr>
              <w:pStyle w:val="CellColumn"/>
            </w:pPr>
            <w:r>
              <w:t xml:space="preserve">konferencija </w:t>
            </w:r>
          </w:p>
          <w:p w:rsidR="00AC0832" w:rsidRDefault="00AC0832">
            <w:pPr>
              <w:pStyle w:val="CellColumn"/>
            </w:pPr>
            <w:r>
              <w:t xml:space="preserve">detaljno se </w:t>
            </w:r>
          </w:p>
          <w:p w:rsidR="00AC0832" w:rsidRDefault="00AC0832">
            <w:pPr>
              <w:pStyle w:val="CellColumn"/>
            </w:pPr>
            <w:r>
              <w:t xml:space="preserve">prezentira </w:t>
            </w:r>
          </w:p>
          <w:p w:rsidR="00AC0832" w:rsidRDefault="00AC0832">
            <w:pPr>
              <w:pStyle w:val="CellColumn"/>
            </w:pPr>
            <w:r>
              <w:t xml:space="preserve">program EU </w:t>
            </w:r>
          </w:p>
          <w:p w:rsidR="00AC0832" w:rsidRDefault="00AC0832">
            <w:pPr>
              <w:pStyle w:val="CellColumn"/>
            </w:pPr>
            <w:r>
              <w:t xml:space="preserve">Marco Polo </w:t>
            </w:r>
          </w:p>
          <w:p w:rsidR="00AC0832" w:rsidRDefault="00AC0832">
            <w:pPr>
              <w:pStyle w:val="CellColumn"/>
            </w:pPr>
            <w:r>
              <w:t xml:space="preserve">II, primjeri </w:t>
            </w:r>
          </w:p>
          <w:p w:rsidR="00AC0832" w:rsidRDefault="00AC0832">
            <w:pPr>
              <w:pStyle w:val="CellColumn"/>
            </w:pPr>
            <w:r>
              <w:t xml:space="preserve">uspješne </w:t>
            </w:r>
          </w:p>
          <w:p w:rsidR="00AC0832" w:rsidRDefault="00AC0832">
            <w:pPr>
              <w:pStyle w:val="CellColumn"/>
            </w:pPr>
            <w:r>
              <w:t xml:space="preserve">prakse te </w:t>
            </w:r>
          </w:p>
          <w:p w:rsidR="00AC0832" w:rsidRDefault="00AC0832">
            <w:pPr>
              <w:pStyle w:val="CellColumn"/>
            </w:pPr>
            <w:r>
              <w:t xml:space="preserve">omogućuje </w:t>
            </w:r>
          </w:p>
          <w:p w:rsidR="00AC0832" w:rsidRDefault="00AC0832">
            <w:pPr>
              <w:pStyle w:val="CellColumn"/>
            </w:pPr>
            <w:r>
              <w:t xml:space="preserve">potencijalnim </w:t>
            </w:r>
          </w:p>
          <w:p w:rsidR="00AC0832" w:rsidRDefault="00AC0832">
            <w:pPr>
              <w:pStyle w:val="CellColumn"/>
            </w:pPr>
            <w:r>
              <w:t xml:space="preserve">korisnicima </w:t>
            </w:r>
          </w:p>
          <w:p w:rsidR="00AC0832" w:rsidRDefault="00AC0832">
            <w:pPr>
              <w:pStyle w:val="CellColumn"/>
            </w:pPr>
            <w:r>
              <w:t xml:space="preserve">kontakt i </w:t>
            </w:r>
          </w:p>
          <w:p w:rsidR="00AC0832" w:rsidRDefault="00AC0832">
            <w:pPr>
              <w:pStyle w:val="CellColumn"/>
            </w:pPr>
            <w:r>
              <w:t xml:space="preserve">konzultacije </w:t>
            </w:r>
          </w:p>
          <w:p w:rsidR="00AC0832" w:rsidRDefault="00AC0832">
            <w:pPr>
              <w:pStyle w:val="CellColumn"/>
            </w:pPr>
            <w:r>
              <w:t xml:space="preserve">u svrhu </w:t>
            </w:r>
          </w:p>
          <w:p w:rsidR="00AC0832" w:rsidRDefault="00AC0832">
            <w:pPr>
              <w:pStyle w:val="CellColumn"/>
            </w:pPr>
            <w:r>
              <w:t xml:space="preserve">informiranosti i </w:t>
            </w:r>
          </w:p>
          <w:p w:rsidR="00AC0832" w:rsidRDefault="00AC0832">
            <w:pPr>
              <w:pStyle w:val="CellColumn"/>
            </w:pPr>
            <w:r>
              <w:t xml:space="preserve">pripremljenosti za </w:t>
            </w:r>
          </w:p>
          <w:p w:rsidR="00AC0832" w:rsidRDefault="00AC0832">
            <w:pPr>
              <w:pStyle w:val="CellColumn"/>
            </w:pPr>
            <w:r>
              <w:t xml:space="preserve">pripremu </w:t>
            </w:r>
          </w:p>
          <w:p w:rsidR="00AC0832" w:rsidRDefault="00AC0832">
            <w:pPr>
              <w:pStyle w:val="CellColumn"/>
            </w:pPr>
            <w:r>
              <w:t xml:space="preserve">projektnih </w:t>
            </w:r>
          </w:p>
          <w:p w:rsidR="00AC0832" w:rsidRDefault="00AC0832">
            <w:pPr>
              <w:pStyle w:val="CellColumn"/>
            </w:pPr>
            <w:r>
              <w:t>prijedloga</w:t>
            </w:r>
          </w:p>
        </w:tc>
        <w:tc>
          <w:tcPr>
            <w:tcW w:w="1300" w:type="dxa"/>
          </w:tcPr>
          <w:p w:rsidR="00AC0832" w:rsidRDefault="00AC0832">
            <w:pPr>
              <w:pStyle w:val="CellColumn"/>
            </w:pPr>
            <w:r>
              <w:t>broj</w:t>
            </w:r>
          </w:p>
        </w:tc>
        <w:tc>
          <w:tcPr>
            <w:tcW w:w="1300" w:type="dxa"/>
          </w:tcPr>
          <w:p w:rsidR="00AC0832" w:rsidRDefault="00AC0832">
            <w:pPr>
              <w:pStyle w:val="CellColumn"/>
            </w:pPr>
            <w:r>
              <w:t>1</w:t>
            </w:r>
          </w:p>
        </w:tc>
        <w:tc>
          <w:tcPr>
            <w:tcW w:w="1300" w:type="dxa"/>
          </w:tcPr>
          <w:p w:rsidR="00AC0832" w:rsidRDefault="00AC0832">
            <w:pPr>
              <w:pStyle w:val="CellColumn"/>
            </w:pPr>
            <w:r>
              <w:t>MPPI</w:t>
            </w:r>
          </w:p>
        </w:tc>
        <w:tc>
          <w:tcPr>
            <w:tcW w:w="1300" w:type="dxa"/>
          </w:tcPr>
          <w:p w:rsidR="00AC0832" w:rsidRDefault="00AC0832">
            <w:pPr>
              <w:pStyle w:val="CellColumn"/>
            </w:pPr>
            <w:r>
              <w:t>1</w:t>
            </w:r>
          </w:p>
        </w:tc>
        <w:tc>
          <w:tcPr>
            <w:tcW w:w="1300" w:type="dxa"/>
          </w:tcPr>
          <w:p w:rsidR="00AC0832" w:rsidRDefault="00AC0832">
            <w:pPr>
              <w:pStyle w:val="CellColumn"/>
            </w:pPr>
            <w:r>
              <w:t>2</w:t>
            </w:r>
          </w:p>
        </w:tc>
      </w:tr>
      <w:tr w:rsidR="00AC0832" w:rsidTr="00BE20ED">
        <w:trPr>
          <w:jc w:val="center"/>
        </w:trPr>
        <w:tc>
          <w:tcPr>
            <w:tcW w:w="1300" w:type="dxa"/>
          </w:tcPr>
          <w:p w:rsidR="00AC0832" w:rsidRDefault="00AC0832">
            <w:pPr>
              <w:pStyle w:val="CellColumn"/>
            </w:pPr>
            <w:r>
              <w:t>Broj održanih prezentacijskih sastanaka s postojećim i potencijalnim korisnicima  programa Marco Polo II</w:t>
            </w:r>
          </w:p>
        </w:tc>
        <w:tc>
          <w:tcPr>
            <w:tcW w:w="1300" w:type="dxa"/>
          </w:tcPr>
          <w:p w:rsidR="00AC0832" w:rsidRDefault="00AC0832">
            <w:pPr>
              <w:pStyle w:val="CellColumn"/>
            </w:pPr>
            <w:r>
              <w:t xml:space="preserve">Tijekom </w:t>
            </w:r>
          </w:p>
          <w:p w:rsidR="00AC0832" w:rsidRDefault="00AC0832">
            <w:pPr>
              <w:pStyle w:val="CellColumn"/>
            </w:pPr>
            <w:r>
              <w:t xml:space="preserve">održavanja </w:t>
            </w:r>
          </w:p>
          <w:p w:rsidR="00AC0832" w:rsidRDefault="00AC0832">
            <w:pPr>
              <w:pStyle w:val="CellColumn"/>
            </w:pPr>
            <w:r>
              <w:t xml:space="preserve">prezentacijskih </w:t>
            </w:r>
          </w:p>
          <w:p w:rsidR="00AC0832" w:rsidRDefault="00AC0832">
            <w:pPr>
              <w:pStyle w:val="CellColumn"/>
            </w:pPr>
            <w:r>
              <w:t xml:space="preserve">sastanaka </w:t>
            </w:r>
          </w:p>
          <w:p w:rsidR="00AC0832" w:rsidRDefault="00AC0832">
            <w:pPr>
              <w:pStyle w:val="CellColumn"/>
            </w:pPr>
            <w:r>
              <w:t xml:space="preserve">prikupljaju </w:t>
            </w:r>
          </w:p>
          <w:p w:rsidR="00AC0832" w:rsidRDefault="00AC0832">
            <w:pPr>
              <w:pStyle w:val="CellColumn"/>
            </w:pPr>
            <w:r>
              <w:t xml:space="preserve">se podaci o </w:t>
            </w:r>
          </w:p>
          <w:p w:rsidR="00AC0832" w:rsidRDefault="00AC0832">
            <w:pPr>
              <w:pStyle w:val="CellColumn"/>
            </w:pPr>
            <w:r>
              <w:t xml:space="preserve">teretu koji </w:t>
            </w:r>
          </w:p>
          <w:p w:rsidR="00AC0832" w:rsidRDefault="00AC0832">
            <w:pPr>
              <w:pStyle w:val="CellColumn"/>
            </w:pPr>
            <w:r>
              <w:t xml:space="preserve">godišnje </w:t>
            </w:r>
          </w:p>
          <w:p w:rsidR="00AC0832" w:rsidRDefault="00AC0832">
            <w:pPr>
              <w:pStyle w:val="CellColumn"/>
            </w:pPr>
            <w:r>
              <w:t xml:space="preserve">prevoze </w:t>
            </w:r>
          </w:p>
          <w:p w:rsidR="00AC0832" w:rsidRDefault="00AC0832">
            <w:pPr>
              <w:pStyle w:val="CellColumn"/>
            </w:pPr>
            <w:r>
              <w:t xml:space="preserve">potencijalni </w:t>
            </w:r>
          </w:p>
          <w:p w:rsidR="00AC0832" w:rsidRDefault="00AC0832">
            <w:pPr>
              <w:pStyle w:val="CellColumn"/>
            </w:pPr>
            <w:r>
              <w:t xml:space="preserve">kandidati, </w:t>
            </w:r>
          </w:p>
          <w:p w:rsidR="00AC0832" w:rsidRDefault="00AC0832">
            <w:pPr>
              <w:pStyle w:val="CellColumn"/>
            </w:pPr>
            <w:r>
              <w:t xml:space="preserve">analiziraju </w:t>
            </w:r>
          </w:p>
          <w:p w:rsidR="00AC0832" w:rsidRDefault="00AC0832">
            <w:pPr>
              <w:pStyle w:val="CellColumn"/>
            </w:pPr>
            <w:r>
              <w:t xml:space="preserve">prometni </w:t>
            </w:r>
          </w:p>
          <w:p w:rsidR="00AC0832" w:rsidRDefault="00AC0832">
            <w:pPr>
              <w:pStyle w:val="CellColumn"/>
            </w:pPr>
            <w:r>
              <w:t xml:space="preserve">koridori na </w:t>
            </w:r>
          </w:p>
          <w:p w:rsidR="00AC0832" w:rsidRDefault="00AC0832">
            <w:pPr>
              <w:pStyle w:val="CellColumn"/>
            </w:pPr>
            <w:r>
              <w:t xml:space="preserve">kojima se </w:t>
            </w:r>
          </w:p>
          <w:p w:rsidR="00AC0832" w:rsidRDefault="00AC0832">
            <w:pPr>
              <w:pStyle w:val="CellColumn"/>
            </w:pPr>
            <w:r>
              <w:t xml:space="preserve">prevozi </w:t>
            </w:r>
          </w:p>
          <w:p w:rsidR="00AC0832" w:rsidRDefault="00AC0832">
            <w:pPr>
              <w:pStyle w:val="CellColumn"/>
            </w:pPr>
            <w:r>
              <w:t xml:space="preserve">teret, </w:t>
            </w:r>
          </w:p>
          <w:p w:rsidR="00AC0832" w:rsidRDefault="00AC0832">
            <w:pPr>
              <w:pStyle w:val="CellColumn"/>
            </w:pPr>
            <w:r>
              <w:t xml:space="preserve">analizira se </w:t>
            </w:r>
          </w:p>
          <w:p w:rsidR="00AC0832" w:rsidRDefault="00AC0832">
            <w:pPr>
              <w:pStyle w:val="CellColumn"/>
            </w:pPr>
            <w:r>
              <w:t xml:space="preserve">mogućnost </w:t>
            </w:r>
          </w:p>
          <w:p w:rsidR="00AC0832" w:rsidRDefault="00AC0832">
            <w:pPr>
              <w:pStyle w:val="CellColumn"/>
            </w:pPr>
            <w:r>
              <w:t xml:space="preserve">korištenja </w:t>
            </w:r>
          </w:p>
          <w:p w:rsidR="00AC0832" w:rsidRDefault="00AC0832">
            <w:pPr>
              <w:pStyle w:val="CellColumn"/>
            </w:pPr>
            <w:r>
              <w:t xml:space="preserve">Marco Polo </w:t>
            </w:r>
          </w:p>
          <w:p w:rsidR="00AC0832" w:rsidRDefault="00AC0832">
            <w:pPr>
              <w:pStyle w:val="CellColumn"/>
            </w:pPr>
            <w:r>
              <w:t>II programa</w:t>
            </w:r>
          </w:p>
        </w:tc>
        <w:tc>
          <w:tcPr>
            <w:tcW w:w="1300" w:type="dxa"/>
          </w:tcPr>
          <w:p w:rsidR="00AC0832" w:rsidRDefault="00AC0832">
            <w:pPr>
              <w:pStyle w:val="CellColumn"/>
            </w:pPr>
            <w:r>
              <w:t>broj</w:t>
            </w:r>
          </w:p>
        </w:tc>
        <w:tc>
          <w:tcPr>
            <w:tcW w:w="1300" w:type="dxa"/>
          </w:tcPr>
          <w:p w:rsidR="00AC0832" w:rsidRDefault="00AC0832">
            <w:pPr>
              <w:pStyle w:val="CellColumn"/>
            </w:pPr>
            <w:r>
              <w:t>1</w:t>
            </w:r>
          </w:p>
        </w:tc>
        <w:tc>
          <w:tcPr>
            <w:tcW w:w="1300" w:type="dxa"/>
          </w:tcPr>
          <w:p w:rsidR="00AC0832" w:rsidRDefault="00AC0832">
            <w:pPr>
              <w:pStyle w:val="CellColumn"/>
            </w:pPr>
            <w:r>
              <w:t>MPPI</w:t>
            </w:r>
          </w:p>
        </w:tc>
        <w:tc>
          <w:tcPr>
            <w:tcW w:w="1300" w:type="dxa"/>
          </w:tcPr>
          <w:p w:rsidR="00AC0832" w:rsidRDefault="00AC0832">
            <w:pPr>
              <w:pStyle w:val="CellColumn"/>
            </w:pPr>
            <w:r>
              <w:t>1</w:t>
            </w:r>
          </w:p>
        </w:tc>
        <w:tc>
          <w:tcPr>
            <w:tcW w:w="1300" w:type="dxa"/>
          </w:tcPr>
          <w:p w:rsidR="00AC0832" w:rsidRDefault="00AC0832">
            <w:pPr>
              <w:pStyle w:val="CellColumn"/>
            </w:pPr>
            <w:r>
              <w:t>2</w:t>
            </w:r>
          </w:p>
        </w:tc>
      </w:tr>
    </w:tbl>
    <w:p w:rsidR="00AC0832" w:rsidRDefault="00AC0832">
      <w:pPr>
        <w:jc w:val="left"/>
      </w:pPr>
    </w:p>
    <w:p w:rsidR="00AC0832" w:rsidRDefault="00AC0832">
      <w:pPr>
        <w:pStyle w:val="Heading6"/>
      </w:pPr>
      <w:r>
        <w:t>A819003 PROMOCIJA INTERMODALNOSTI I RAZVOJ AUTOCESTA MORA (MOS)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A819003-PROMOCIJA INTERMODALNOSTI I RAZVOJ AUTOCESTA MORA (MOS)</w:t>
            </w:r>
          </w:p>
        </w:tc>
        <w:tc>
          <w:tcPr>
            <w:tcW w:w="2322" w:type="dxa"/>
          </w:tcPr>
          <w:p w:rsidR="00AC0832" w:rsidRDefault="00AC0832">
            <w:pPr>
              <w:pStyle w:val="CellColumn"/>
            </w:pPr>
            <w:r>
              <w:t>995.000</w:t>
            </w:r>
          </w:p>
        </w:tc>
        <w:tc>
          <w:tcPr>
            <w:tcW w:w="2322" w:type="dxa"/>
          </w:tcPr>
          <w:p w:rsidR="00AC0832" w:rsidRDefault="00AC0832">
            <w:pPr>
              <w:pStyle w:val="CellColumn"/>
            </w:pPr>
            <w:r>
              <w:t>995.000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Europska komisija je u nekoliko razina identificirala promociju međuobalnog prometnog povezivanja (Short Sea Shipping-a), Autocesta mora i intermodalnog prijevoza kao vrijedne elemente poticanja njihovog razvoja. Između ostalog, izdala je politiku promicanja međuobalnog prometnog povezivanja (COM(2004) 453 final i COM(2003) 155 final). Ukupni cilj politike u smislu očekivanih rezultata je preusmjeravanje tereta s ceste na pomorski prijevoz u cilju smanjivanja neodrživih trendova u prijevoznom sustavu. Kao što je istaknuo srednjoročni pregled Bijele knjige (COM(2006) 314), međuobalnog prometnog povezivanja i Autoceste mora (MoS) igraju ključnu ulogu u osiguravanju održive mobilnosti te doprinose postizanju ciljeva, kao što su usporavanje brzog rasta cestovnog prijevoza, smanjenje prometnog zagušenja, smanjenje broja prometnih nezgoda, te onečišćenja okoliša uzrokovanog cestovnim prijevozom.  Stoga, cilj ove aktivnosti je bilo kontinuirano provođenje promotivne kampanje tokom zadanog vremena, a koja je uključivala sve vidove raspoloživih medija i isto je u skladu s ciljevima iz Strateškog plana Ministarstva pomorstva, prometa i infrastrukture za razdoblje  2012. – 2014. godine. U okviru promotivnih kampanja održane su, tijekom 2012. godine, dvije radionice promocija intermodalnog prijevoza Autocesta mora (MoS) i pripremljena su dva projekta za kandidiranje na natječaje EU za program Marco Polo II. Aktivnost je kombinirala elemente koje će doprinijeti daljnjoj promociji i razvoju intermodalnosti i autocesta mora.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5"/>
        <w:gridCol w:w="1562"/>
        <w:gridCol w:w="1226"/>
        <w:gridCol w:w="1252"/>
        <w:gridCol w:w="1245"/>
        <w:gridCol w:w="1252"/>
        <w:gridCol w:w="126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održanih radionica promocije intermodalnog prijevoza, Autocesta mora (MoS) i programa Europske Unije</w:t>
            </w:r>
          </w:p>
        </w:tc>
        <w:tc>
          <w:tcPr>
            <w:tcW w:w="1300" w:type="dxa"/>
          </w:tcPr>
          <w:p w:rsidR="00AC0832" w:rsidRDefault="00AC0832">
            <w:pPr>
              <w:pStyle w:val="CellColumn"/>
            </w:pPr>
            <w:r>
              <w:t xml:space="preserve">Na </w:t>
            </w:r>
          </w:p>
          <w:p w:rsidR="00AC0832" w:rsidRDefault="00AC0832">
            <w:pPr>
              <w:pStyle w:val="CellColumn"/>
            </w:pPr>
            <w:r>
              <w:t xml:space="preserve">radionicama </w:t>
            </w:r>
          </w:p>
          <w:p w:rsidR="00AC0832" w:rsidRDefault="00AC0832">
            <w:pPr>
              <w:pStyle w:val="CellColumn"/>
            </w:pPr>
            <w:r>
              <w:t xml:space="preserve">se detaljno </w:t>
            </w:r>
          </w:p>
          <w:p w:rsidR="00AC0832" w:rsidRDefault="00AC0832">
            <w:pPr>
              <w:pStyle w:val="CellColumn"/>
            </w:pPr>
            <w:r>
              <w:t xml:space="preserve">prezentiraju </w:t>
            </w:r>
          </w:p>
          <w:p w:rsidR="00AC0832" w:rsidRDefault="00AC0832">
            <w:pPr>
              <w:pStyle w:val="CellColumn"/>
            </w:pPr>
            <w:r>
              <w:t xml:space="preserve">programi </w:t>
            </w:r>
          </w:p>
          <w:p w:rsidR="00AC0832" w:rsidRDefault="00AC0832">
            <w:pPr>
              <w:pStyle w:val="CellColumn"/>
            </w:pPr>
            <w:r>
              <w:t xml:space="preserve">EU koji </w:t>
            </w:r>
          </w:p>
          <w:p w:rsidR="00AC0832" w:rsidRDefault="00AC0832">
            <w:pPr>
              <w:pStyle w:val="CellColumn"/>
            </w:pPr>
            <w:r>
              <w:t xml:space="preserve">omogućuju </w:t>
            </w:r>
          </w:p>
          <w:p w:rsidR="00AC0832" w:rsidRDefault="00AC0832">
            <w:pPr>
              <w:pStyle w:val="CellColumn"/>
            </w:pPr>
            <w:r>
              <w:t xml:space="preserve">razvoj </w:t>
            </w:r>
          </w:p>
          <w:p w:rsidR="00AC0832" w:rsidRDefault="00AC0832">
            <w:pPr>
              <w:pStyle w:val="CellColumn"/>
            </w:pPr>
            <w:r>
              <w:t xml:space="preserve">prometnog </w:t>
            </w:r>
          </w:p>
          <w:p w:rsidR="00AC0832" w:rsidRDefault="00AC0832">
            <w:pPr>
              <w:pStyle w:val="CellColumn"/>
            </w:pPr>
            <w:r>
              <w:t xml:space="preserve">sustava, </w:t>
            </w:r>
          </w:p>
          <w:p w:rsidR="00AC0832" w:rsidRDefault="00AC0832">
            <w:pPr>
              <w:pStyle w:val="CellColumn"/>
            </w:pPr>
            <w:r>
              <w:t xml:space="preserve">prezentiraju </w:t>
            </w:r>
          </w:p>
          <w:p w:rsidR="00AC0832" w:rsidRDefault="00AC0832">
            <w:pPr>
              <w:pStyle w:val="CellColumn"/>
            </w:pPr>
            <w:r>
              <w:t xml:space="preserve">se primjeri </w:t>
            </w:r>
          </w:p>
          <w:p w:rsidR="00AC0832" w:rsidRDefault="00AC0832">
            <w:pPr>
              <w:pStyle w:val="CellColumn"/>
            </w:pPr>
            <w:r>
              <w:t xml:space="preserve">uspješne </w:t>
            </w:r>
          </w:p>
          <w:p w:rsidR="00AC0832" w:rsidRDefault="00AC0832">
            <w:pPr>
              <w:pStyle w:val="CellColumn"/>
            </w:pPr>
            <w:r>
              <w:t xml:space="preserve">prakse, te </w:t>
            </w:r>
          </w:p>
          <w:p w:rsidR="00AC0832" w:rsidRDefault="00AC0832">
            <w:pPr>
              <w:pStyle w:val="CellColumn"/>
            </w:pPr>
            <w:r>
              <w:t xml:space="preserve">se </w:t>
            </w:r>
          </w:p>
          <w:p w:rsidR="00AC0832" w:rsidRDefault="00AC0832">
            <w:pPr>
              <w:pStyle w:val="CellColumn"/>
            </w:pPr>
            <w:r>
              <w:t xml:space="preserve">omogućuje </w:t>
            </w:r>
          </w:p>
          <w:p w:rsidR="00AC0832" w:rsidRDefault="00AC0832">
            <w:pPr>
              <w:pStyle w:val="CellColumn"/>
            </w:pPr>
            <w:r>
              <w:t xml:space="preserve">potencijalnim </w:t>
            </w:r>
          </w:p>
          <w:p w:rsidR="00AC0832" w:rsidRDefault="00AC0832">
            <w:pPr>
              <w:pStyle w:val="CellColumn"/>
            </w:pPr>
            <w:r>
              <w:t xml:space="preserve">korisnicima kontakt i </w:t>
            </w:r>
          </w:p>
          <w:p w:rsidR="00AC0832" w:rsidRDefault="00AC0832">
            <w:pPr>
              <w:pStyle w:val="CellColumn"/>
            </w:pPr>
            <w:r>
              <w:t xml:space="preserve">konzultacije </w:t>
            </w:r>
          </w:p>
          <w:p w:rsidR="00AC0832" w:rsidRDefault="00AC0832">
            <w:pPr>
              <w:pStyle w:val="CellColumn"/>
            </w:pPr>
            <w:r>
              <w:t xml:space="preserve">u svrhu </w:t>
            </w:r>
          </w:p>
          <w:p w:rsidR="00AC0832" w:rsidRDefault="00AC0832">
            <w:pPr>
              <w:pStyle w:val="CellColumn"/>
            </w:pPr>
            <w:r>
              <w:t xml:space="preserve">informiranosti i </w:t>
            </w:r>
          </w:p>
          <w:p w:rsidR="00AC0832" w:rsidRDefault="00AC0832">
            <w:pPr>
              <w:pStyle w:val="CellColumn"/>
            </w:pPr>
            <w:r>
              <w:t xml:space="preserve">pripremljenosti za </w:t>
            </w:r>
          </w:p>
          <w:p w:rsidR="00AC0832" w:rsidRDefault="00AC0832">
            <w:pPr>
              <w:pStyle w:val="CellColumn"/>
            </w:pPr>
            <w:r>
              <w:t xml:space="preserve">pripremu </w:t>
            </w:r>
          </w:p>
          <w:p w:rsidR="00AC0832" w:rsidRDefault="00AC0832">
            <w:pPr>
              <w:pStyle w:val="CellColumn"/>
            </w:pPr>
            <w:r>
              <w:t xml:space="preserve">projektnih </w:t>
            </w:r>
          </w:p>
          <w:p w:rsidR="00AC0832" w:rsidRDefault="00AC0832">
            <w:pPr>
              <w:pStyle w:val="CellColumn"/>
            </w:pPr>
            <w:r>
              <w:t>prijedloga</w:t>
            </w:r>
          </w:p>
        </w:tc>
        <w:tc>
          <w:tcPr>
            <w:tcW w:w="1300" w:type="dxa"/>
          </w:tcPr>
          <w:p w:rsidR="00AC0832" w:rsidRDefault="00AC0832">
            <w:pPr>
              <w:pStyle w:val="CellColumn"/>
            </w:pPr>
            <w:r>
              <w:t>broj</w:t>
            </w:r>
          </w:p>
        </w:tc>
        <w:tc>
          <w:tcPr>
            <w:tcW w:w="1300" w:type="dxa"/>
          </w:tcPr>
          <w:p w:rsidR="00AC0832" w:rsidRDefault="00AC0832">
            <w:pPr>
              <w:pStyle w:val="CellColumn"/>
            </w:pPr>
            <w:r>
              <w:t>2</w:t>
            </w:r>
          </w:p>
        </w:tc>
        <w:tc>
          <w:tcPr>
            <w:tcW w:w="1300" w:type="dxa"/>
          </w:tcPr>
          <w:p w:rsidR="00AC0832" w:rsidRDefault="00AC0832">
            <w:pPr>
              <w:pStyle w:val="CellColumn"/>
            </w:pPr>
            <w:r>
              <w:t>MPPI</w:t>
            </w:r>
          </w:p>
        </w:tc>
        <w:tc>
          <w:tcPr>
            <w:tcW w:w="1300" w:type="dxa"/>
          </w:tcPr>
          <w:p w:rsidR="00AC0832" w:rsidRDefault="00AC0832">
            <w:pPr>
              <w:pStyle w:val="CellColumn"/>
            </w:pPr>
            <w:r>
              <w:t>4</w:t>
            </w:r>
          </w:p>
        </w:tc>
        <w:tc>
          <w:tcPr>
            <w:tcW w:w="1300" w:type="dxa"/>
          </w:tcPr>
          <w:p w:rsidR="00AC0832" w:rsidRDefault="00AC0832">
            <w:pPr>
              <w:pStyle w:val="CellColumn"/>
            </w:pPr>
            <w:r>
              <w:t>4</w:t>
            </w:r>
          </w:p>
        </w:tc>
      </w:tr>
      <w:tr w:rsidR="00AC0832" w:rsidTr="00BE20ED">
        <w:trPr>
          <w:jc w:val="center"/>
        </w:trPr>
        <w:tc>
          <w:tcPr>
            <w:tcW w:w="1300" w:type="dxa"/>
          </w:tcPr>
          <w:p w:rsidR="00AC0832" w:rsidRDefault="00AC0832">
            <w:pPr>
              <w:pStyle w:val="CellColumn"/>
            </w:pPr>
            <w:r>
              <w:t>Broj pripremljenih projekta za kandidiranje na natječaje Europske Unije za program Marco Polo II</w:t>
            </w:r>
          </w:p>
        </w:tc>
        <w:tc>
          <w:tcPr>
            <w:tcW w:w="1300" w:type="dxa"/>
          </w:tcPr>
          <w:p w:rsidR="00AC0832" w:rsidRDefault="00AC0832">
            <w:pPr>
              <w:pStyle w:val="CellColumn"/>
            </w:pPr>
            <w:r>
              <w:t xml:space="preserve">Identificiranje EU </w:t>
            </w:r>
          </w:p>
          <w:p w:rsidR="00AC0832" w:rsidRDefault="00AC0832">
            <w:pPr>
              <w:pStyle w:val="CellColumn"/>
            </w:pPr>
            <w:r>
              <w:t xml:space="preserve">programa, </w:t>
            </w:r>
          </w:p>
          <w:p w:rsidR="00AC0832" w:rsidRDefault="00AC0832">
            <w:pPr>
              <w:pStyle w:val="CellColumn"/>
            </w:pPr>
            <w:r>
              <w:t xml:space="preserve">razrada </w:t>
            </w:r>
          </w:p>
          <w:p w:rsidR="00AC0832" w:rsidRDefault="00AC0832">
            <w:pPr>
              <w:pStyle w:val="CellColumn"/>
            </w:pPr>
            <w:r>
              <w:t xml:space="preserve">ideje, </w:t>
            </w:r>
          </w:p>
          <w:p w:rsidR="00AC0832" w:rsidRDefault="00AC0832">
            <w:pPr>
              <w:pStyle w:val="CellColumn"/>
            </w:pPr>
            <w:r>
              <w:t xml:space="preserve">priprema </w:t>
            </w:r>
          </w:p>
          <w:p w:rsidR="00AC0832" w:rsidRDefault="00AC0832">
            <w:pPr>
              <w:pStyle w:val="CellColumn"/>
            </w:pPr>
            <w:r>
              <w:t xml:space="preserve">projektne </w:t>
            </w:r>
          </w:p>
          <w:p w:rsidR="00AC0832" w:rsidRDefault="00AC0832">
            <w:pPr>
              <w:pStyle w:val="CellColumn"/>
            </w:pPr>
            <w:r>
              <w:t xml:space="preserve">dokumentacije, </w:t>
            </w:r>
          </w:p>
          <w:p w:rsidR="00AC0832" w:rsidRDefault="00AC0832">
            <w:pPr>
              <w:pStyle w:val="CellColumn"/>
            </w:pPr>
            <w:r>
              <w:t xml:space="preserve">identificiranje partnera, </w:t>
            </w:r>
          </w:p>
          <w:p w:rsidR="00AC0832" w:rsidRDefault="00AC0832">
            <w:pPr>
              <w:pStyle w:val="CellColumn"/>
            </w:pPr>
            <w:r>
              <w:t xml:space="preserve">pomoć u </w:t>
            </w:r>
          </w:p>
          <w:p w:rsidR="00AC0832" w:rsidRDefault="00AC0832">
            <w:pPr>
              <w:pStyle w:val="CellColumn"/>
            </w:pPr>
            <w:r>
              <w:t xml:space="preserve">procesu </w:t>
            </w:r>
          </w:p>
          <w:p w:rsidR="00AC0832" w:rsidRDefault="00AC0832">
            <w:pPr>
              <w:pStyle w:val="CellColumn"/>
            </w:pPr>
            <w:r>
              <w:t xml:space="preserve">ugovaranja, </w:t>
            </w:r>
          </w:p>
          <w:p w:rsidR="00AC0832" w:rsidRDefault="00AC0832">
            <w:pPr>
              <w:pStyle w:val="CellColumn"/>
            </w:pPr>
            <w:r>
              <w:t xml:space="preserve">koordinacija </w:t>
            </w:r>
          </w:p>
          <w:p w:rsidR="00AC0832" w:rsidRDefault="00AC0832">
            <w:pPr>
              <w:pStyle w:val="CellColumn"/>
            </w:pPr>
            <w:r>
              <w:t xml:space="preserve">provedbe </w:t>
            </w:r>
          </w:p>
          <w:p w:rsidR="00AC0832" w:rsidRDefault="00AC0832">
            <w:pPr>
              <w:pStyle w:val="CellColumn"/>
            </w:pPr>
            <w:r>
              <w:t xml:space="preserve">projekta, </w:t>
            </w:r>
          </w:p>
          <w:p w:rsidR="00AC0832" w:rsidRDefault="00AC0832">
            <w:pPr>
              <w:pStyle w:val="CellColumn"/>
            </w:pPr>
            <w:r>
              <w:t xml:space="preserve">pomoć u </w:t>
            </w:r>
          </w:p>
          <w:p w:rsidR="00AC0832" w:rsidRDefault="00AC0832">
            <w:pPr>
              <w:pStyle w:val="CellColumn"/>
            </w:pPr>
            <w:r>
              <w:t xml:space="preserve">pripremi </w:t>
            </w:r>
          </w:p>
          <w:p w:rsidR="00AC0832" w:rsidRDefault="00AC0832">
            <w:pPr>
              <w:pStyle w:val="CellColumn"/>
            </w:pPr>
            <w:r>
              <w:t xml:space="preserve">izvješća o </w:t>
            </w:r>
          </w:p>
          <w:p w:rsidR="00AC0832" w:rsidRDefault="00AC0832">
            <w:pPr>
              <w:pStyle w:val="CellColumn"/>
            </w:pPr>
            <w:r>
              <w:t xml:space="preserve">realizaciji </w:t>
            </w:r>
          </w:p>
          <w:p w:rsidR="00AC0832" w:rsidRDefault="00AC0832">
            <w:pPr>
              <w:pStyle w:val="CellColumn"/>
            </w:pPr>
            <w:r>
              <w:t xml:space="preserve">projekta, </w:t>
            </w:r>
          </w:p>
          <w:p w:rsidR="00AC0832" w:rsidRDefault="00AC0832">
            <w:pPr>
              <w:pStyle w:val="CellColumn"/>
            </w:pPr>
            <w:r>
              <w:t xml:space="preserve">provođenje </w:t>
            </w:r>
          </w:p>
          <w:p w:rsidR="00AC0832" w:rsidRDefault="00AC0832">
            <w:pPr>
              <w:pStyle w:val="CellColumn"/>
            </w:pPr>
            <w:r>
              <w:t xml:space="preserve">aktivnosti </w:t>
            </w:r>
          </w:p>
          <w:p w:rsidR="00AC0832" w:rsidRDefault="00AC0832">
            <w:pPr>
              <w:pStyle w:val="CellColumn"/>
            </w:pPr>
            <w:r>
              <w:t>projekta</w:t>
            </w:r>
          </w:p>
        </w:tc>
        <w:tc>
          <w:tcPr>
            <w:tcW w:w="1300" w:type="dxa"/>
          </w:tcPr>
          <w:p w:rsidR="00AC0832" w:rsidRDefault="00AC0832">
            <w:pPr>
              <w:pStyle w:val="CellColumn"/>
            </w:pPr>
            <w:r>
              <w:t>broj</w:t>
            </w:r>
          </w:p>
        </w:tc>
        <w:tc>
          <w:tcPr>
            <w:tcW w:w="1300" w:type="dxa"/>
          </w:tcPr>
          <w:p w:rsidR="00AC0832" w:rsidRDefault="00AC0832">
            <w:pPr>
              <w:pStyle w:val="CellColumn"/>
            </w:pPr>
            <w:r>
              <w:t>3</w:t>
            </w:r>
          </w:p>
        </w:tc>
        <w:tc>
          <w:tcPr>
            <w:tcW w:w="1300" w:type="dxa"/>
          </w:tcPr>
          <w:p w:rsidR="00AC0832" w:rsidRDefault="00AC0832">
            <w:pPr>
              <w:pStyle w:val="CellColumn"/>
            </w:pPr>
            <w:r>
              <w:t>MPPI</w:t>
            </w:r>
          </w:p>
        </w:tc>
        <w:tc>
          <w:tcPr>
            <w:tcW w:w="1300" w:type="dxa"/>
          </w:tcPr>
          <w:p w:rsidR="00AC0832" w:rsidRDefault="00AC0832">
            <w:pPr>
              <w:pStyle w:val="CellColumn"/>
            </w:pPr>
            <w:r>
              <w:t>4</w:t>
            </w:r>
          </w:p>
        </w:tc>
        <w:tc>
          <w:tcPr>
            <w:tcW w:w="1300" w:type="dxa"/>
          </w:tcPr>
          <w:p w:rsidR="00AC0832" w:rsidRDefault="00AC0832">
            <w:pPr>
              <w:pStyle w:val="CellColumn"/>
            </w:pPr>
            <w:r>
              <w:t>4</w:t>
            </w:r>
          </w:p>
        </w:tc>
      </w:tr>
    </w:tbl>
    <w:p w:rsidR="00AC0832" w:rsidRDefault="00AC0832">
      <w:pPr>
        <w:jc w:val="left"/>
      </w:pPr>
    </w:p>
    <w:p w:rsidR="00AC0832" w:rsidRDefault="00AC0832">
      <w:pPr>
        <w:pStyle w:val="Heading6"/>
      </w:pPr>
      <w:r>
        <w:t>T810018 UPRAVLJANJE I NADZOR BALASTNIH VODA I TALOGA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T810018-UPRAVLJANJE I NADZOR BALASTNIH VODA I TALOGA</w:t>
            </w:r>
          </w:p>
        </w:tc>
        <w:tc>
          <w:tcPr>
            <w:tcW w:w="2322" w:type="dxa"/>
          </w:tcPr>
          <w:p w:rsidR="00AC0832" w:rsidRDefault="00AC0832">
            <w:pPr>
              <w:pStyle w:val="CellColumn"/>
            </w:pPr>
            <w:r>
              <w:t>250.000</w:t>
            </w:r>
          </w:p>
        </w:tc>
        <w:tc>
          <w:tcPr>
            <w:tcW w:w="2322" w:type="dxa"/>
          </w:tcPr>
          <w:p w:rsidR="00AC0832" w:rsidRDefault="00AC0832">
            <w:pPr>
              <w:pStyle w:val="CellColumn"/>
            </w:pPr>
            <w:r>
              <w:t>250.000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Predmet ovog otvorenog postupka javne nabave bila je izrada nacrta prijedloga za proglašenje Jadranskog mora posebno osjetljivim morskim područjem (PSSA) s prijedlogom dodatnih zaštitnih mjera u području upravljanja balastnim vodama. </w:t>
      </w:r>
    </w:p>
    <w:p w:rsidR="00AC0832" w:rsidRDefault="00AC0832">
      <w:pPr>
        <w:pStyle w:val="Normal6"/>
      </w:pPr>
      <w:r>
        <w:t>Ista će se sukladno smjernicama Međunarodnih konvencija kasnije koristiti prilikom ažuriranja prijedloga posebno osjetljivog morskog područja (PSSA).</w:t>
      </w:r>
    </w:p>
    <w:p w:rsidR="00AC0832" w:rsidRDefault="00AC0832">
      <w:pPr>
        <w:pStyle w:val="Heading2"/>
      </w:pPr>
      <w:r>
        <w:t>06545 Agencija za obalni linijski promet</w:t>
      </w:r>
    </w:p>
    <w:p w:rsidR="00AC0832" w:rsidRDefault="00AC0832">
      <w:pPr>
        <w:pStyle w:val="Heading4"/>
      </w:pPr>
      <w:r>
        <w:t>Uvod</w:t>
      </w:r>
    </w:p>
    <w:p w:rsidR="00AC0832" w:rsidRDefault="00AC0832">
      <w:pPr>
        <w:pStyle w:val="Normal3"/>
      </w:pPr>
      <w:r>
        <w:t>Agencija za obalni linijski pomorski promet obavlja sve poslove u vezi s davanjem koncesija za državne pomorske linije: raspisivanje javnih natječaja, donošenje odluka o davanju i oduzimanju koncesije, sklapanje ugovora o koncesiji, prijenos koncesije na drugog brodara, davanje odobrenja za zamjenski brod, produženje koncesije u slučaju ponavljanja javnog natječaja, utvrđivanje sezonskog i izvansezonskog razdoblja plovidbe, objedinjavanje redova plovidbe, nadzire provedbu odredaba Zakona o prijevozu u linijskom i povremenom obalnom pomorskom prometu, odluke i ugovore o koncesiji u odnosu na potpore i plaćanje naknade za koncesije za državne linije.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06545-Agencija za obalni linijski promet</w:t>
            </w:r>
          </w:p>
        </w:tc>
        <w:tc>
          <w:tcPr>
            <w:tcW w:w="2322" w:type="dxa"/>
          </w:tcPr>
          <w:p w:rsidR="00AC0832" w:rsidRDefault="00AC0832">
            <w:pPr>
              <w:pStyle w:val="CellColumn"/>
            </w:pPr>
            <w:r>
              <w:t>378.059.700</w:t>
            </w:r>
          </w:p>
        </w:tc>
        <w:tc>
          <w:tcPr>
            <w:tcW w:w="2322" w:type="dxa"/>
          </w:tcPr>
          <w:p w:rsidR="00AC0832" w:rsidRDefault="00AC0832">
            <w:pPr>
              <w:pStyle w:val="CellColumn"/>
            </w:pPr>
            <w:r>
              <w:t>378.012.479</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Small"/>
            </w:pPr>
            <w:r>
              <w:t>3104-RAZVOJ I SIGURNOST POMORSKOG PROMETA I LUČKE INFRASTRUKTURE</w:t>
            </w:r>
          </w:p>
        </w:tc>
        <w:tc>
          <w:tcPr>
            <w:tcW w:w="2322" w:type="dxa"/>
          </w:tcPr>
          <w:p w:rsidR="00AC0832" w:rsidRDefault="00AC0832">
            <w:pPr>
              <w:pStyle w:val="CellColumnSmall"/>
            </w:pPr>
            <w:r>
              <w:t>378.059.700</w:t>
            </w:r>
          </w:p>
        </w:tc>
        <w:tc>
          <w:tcPr>
            <w:tcW w:w="2322" w:type="dxa"/>
          </w:tcPr>
          <w:p w:rsidR="00AC0832" w:rsidRDefault="00AC0832">
            <w:pPr>
              <w:pStyle w:val="CellColumnSmall"/>
            </w:pPr>
            <w:r>
              <w:t>378.012.479</w:t>
            </w:r>
          </w:p>
        </w:tc>
        <w:tc>
          <w:tcPr>
            <w:tcW w:w="2322" w:type="dxa"/>
          </w:tcPr>
          <w:p w:rsidR="00AC0832" w:rsidRDefault="00AC0832">
            <w:pPr>
              <w:pStyle w:val="CellColumnSmall"/>
            </w:pPr>
            <w:r>
              <w:t>100,0</w:t>
            </w:r>
          </w:p>
        </w:tc>
      </w:tr>
    </w:tbl>
    <w:p w:rsidR="00AC0832" w:rsidRDefault="00AC0832">
      <w:pPr>
        <w:jc w:val="left"/>
      </w:pPr>
    </w:p>
    <w:p w:rsidR="00AC0832" w:rsidRDefault="00AC0832">
      <w:pPr>
        <w:pStyle w:val="Heading4"/>
      </w:pPr>
      <w:r>
        <w:t>OBRAZLOŽENJE PROGRAMA</w:t>
      </w:r>
    </w:p>
    <w:p w:rsidR="00AC0832" w:rsidRDefault="00AC0832">
      <w:pPr>
        <w:pStyle w:val="Heading5"/>
      </w:pPr>
      <w:r>
        <w:t>3104 RAZVOJ I SIGURNOST POMORSKOG PROMETA I LUČKE INFRASTRUKTURE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3104-RAZVOJ I SIGURNOST POMORSKOG PROMETA I LUČKE INFRASTRUKTURE</w:t>
            </w:r>
          </w:p>
        </w:tc>
        <w:tc>
          <w:tcPr>
            <w:tcW w:w="2322" w:type="dxa"/>
          </w:tcPr>
          <w:p w:rsidR="00AC0832" w:rsidRDefault="00AC0832">
            <w:pPr>
              <w:pStyle w:val="CellColumn"/>
            </w:pPr>
            <w:r>
              <w:t>378.059.700</w:t>
            </w:r>
          </w:p>
        </w:tc>
        <w:tc>
          <w:tcPr>
            <w:tcW w:w="2322" w:type="dxa"/>
          </w:tcPr>
          <w:p w:rsidR="00AC0832" w:rsidRDefault="00AC0832">
            <w:pPr>
              <w:pStyle w:val="CellColumn"/>
            </w:pPr>
            <w:r>
              <w:t>378.012.479</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Opis programa</w:t>
      </w:r>
    </w:p>
    <w:p w:rsidR="00AC0832" w:rsidRDefault="00AC0832">
      <w:pPr>
        <w:pStyle w:val="Normal5"/>
      </w:pPr>
      <w:r>
        <w:t xml:space="preserve">Dodjelom potpora brodarima za održavanje trajektnih, brodskih i brzobrodskih linija nastoji  se  poboljšati  sustav  javnog  linijskoga  obalnog  pomorskog  prometa.  Kroz podizanje  kvalitete  sustava  javnog  linijskog  pomorskog  prometa  potiče  se  razvitak turizma kao glavne gospodarske djelatnosti na otocima. To je moguće, uz ostale mjere, i uvođenjem novih, bržih i modernijih plovila. Koncesioniranjem će se postići da brodari koji se jave na natječaj, ponude modernija, brža i kvalitetnia plovila. Koncesioniranju linija je upravo to i zadatak - povećati konkurenciju koja rezultira povećanjem  kvalitete   linijskog   pomorskog  prijevoza.  Odlukom  Vlade   Republike Hrvatske o određivanju državnih linija u javnom prijevozu u linijskom obalnom pomorskom prometu utvrđeno je 56 državnih linija od čega 16 brzobrodskih, 13 brodskih i 27 trajektnih linija. Za sve državne linije nužno je do ulaska Republike Hrvatske u Eruopsku uniju imat sklopljene koncesijske ugovore </w:t>
      </w:r>
    </w:p>
    <w:p w:rsidR="00AC0832" w:rsidRDefault="00AC0832">
      <w:pPr>
        <w:pStyle w:val="Normal5"/>
      </w:pPr>
      <w:r>
        <w:t>U Strategiji Vladinih programa za razdoblje 2012.-2014. ovaj je program povezan s Općim ciljem: 5. Ravnomjerni regionalni razvoj, Posebnim ciljem: 5.5. Razvijanje prometnog sustava, a način ostvarivanja Posebnog cilja je: 5.5.2. Visoka kvaliteta i razvijeno tržište prometnih usluga.</w:t>
      </w:r>
    </w:p>
    <w:p w:rsidR="00AC0832" w:rsidRDefault="00AC0832">
      <w:pPr>
        <w:pStyle w:val="Heading6"/>
      </w:pPr>
      <w:r>
        <w:t>Zakonske i druge pravne osnove</w:t>
      </w:r>
    </w:p>
    <w:p w:rsidR="00AC0832" w:rsidRDefault="00AC0832">
      <w:pPr>
        <w:pStyle w:val="Normal5"/>
      </w:pPr>
      <w:r>
        <w:t xml:space="preserve">Zakon o prijevozu u linijskom i povremenom obalnom pomorskom prometu (NN 33/06, NN 38/09, 87/09 i 18/11) </w:t>
      </w:r>
    </w:p>
    <w:p w:rsidR="00AC0832" w:rsidRDefault="00AC0832">
      <w:pPr>
        <w:pStyle w:val="Normal5"/>
      </w:pPr>
      <w:r>
        <w:t xml:space="preserve">Uredba o uvjetima i postupku davanja koncesije za obavljanje javnog prijevoza u linijskom i obalnom pomorskom prometu (NN 4/10) </w:t>
      </w:r>
    </w:p>
    <w:p w:rsidR="00AC0832" w:rsidRDefault="00AC0832">
      <w:pPr>
        <w:pStyle w:val="Normal5"/>
      </w:pPr>
      <w:r>
        <w:t xml:space="preserve">Pravilnik o uvjetima koje mora ispunjavati brod i brodar za obavljanje javnog prijevoza u linijskom obalnom pomorskom prometu (NN 130/06,141/08 i 143/10) </w:t>
      </w:r>
    </w:p>
    <w:p w:rsidR="00AC0832" w:rsidRDefault="00AC0832">
      <w:pPr>
        <w:pStyle w:val="Normal5"/>
      </w:pPr>
      <w:r>
        <w:t>Odluka Vlade Republike Hrvatske o određivanju državnih linija u javnom prijevozu u linijskom obalnom pomorskom prometu ( Klasa:342-01/08-01/05, Ur. broj: 5030116-08-1 od 5.12.2008., Klasa 342-01/10-01/01, Ur.broj: 5030116-10-1 od 4.03.2010; Klasa 342-01/10-01/01, Ur.broj: 5030116-11-1 od 20.10.2011.)</w:t>
      </w:r>
    </w:p>
    <w:p w:rsidR="00AC0832" w:rsidRDefault="00AC0832">
      <w:pPr>
        <w:pStyle w:val="Heading7"/>
      </w:pPr>
      <w:r>
        <w:t>Cilj 1. Koncesioniranje svih državnih linija u javnom pomorskom prometu.</w:t>
      </w:r>
    </w:p>
    <w:p w:rsidR="00AC0832" w:rsidRDefault="00AC0832">
      <w:pPr>
        <w:pStyle w:val="Heading8"/>
        <w:jc w:val="left"/>
      </w:pPr>
    </w:p>
    <w:p w:rsidR="00AC0832" w:rsidRDefault="00AC0832">
      <w:pPr>
        <w:pStyle w:val="Heading8"/>
        <w:jc w:val="left"/>
      </w:pPr>
    </w:p>
    <w:p w:rsidR="00AC0832" w:rsidRDefault="00AC0832">
      <w:pPr>
        <w:pStyle w:val="Heading8"/>
        <w:jc w:val="left"/>
      </w:pPr>
      <w:r>
        <w:t>Opis provedbe cilja programa</w:t>
      </w:r>
    </w:p>
    <w:p w:rsidR="00AC0832" w:rsidRDefault="00AC0832">
      <w:pPr>
        <w:pStyle w:val="Normal6"/>
      </w:pPr>
      <w:r>
        <w:t>Cilj provedbe programa je koncesioniranje svih državnih linija u javnom pomorskom prometu. Od ukupno 56 linija (16 brzobrodskih, 13 brodskih i 27 trajektnih linija) na kraju 2012. godine bilo je koncesionirano 12 linija (1 trajektna, 2 brodske i 9 brzobrodskih). Temeljem natječaja raspisanih kroz 2012. godinu sklopljena su dva ugovora o koncesiji , za jednu trajektnu i jednu brodsku liniju, a na snagu će stupiti u 2013. godini. Za ostale linije za koje su kroz 2012. godinu raspisani natječaji brodari koji su se natjecali nisu zadovoljili uvjete, pa su te linije do kraja 2012. ostale nekoncesionirane.  Uz to je za 4 linije u 2012. godini istekao ugovor o koncesiji, a novi ugovori još nisu sklopljeni, pa je iz tog razloga ostvarena vrijednost pokazatelja učinka manje od polazne. Kroz 2012. godinu izvršene su sve pripreme za raspisivanje natječaja za  24 trajektne, 8 brodskih, ali i 14 brzobrodskih linija, za dio kojih postojeći ugovori o koncesiji istječu polovicom 2013. godine. Cilj je do ulaska Republike Hrvatske u Europsku uniju koncesionirati sve cjelogodišnje državne linije.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7"/>
        <w:gridCol w:w="1806"/>
        <w:gridCol w:w="1122"/>
        <w:gridCol w:w="1184"/>
        <w:gridCol w:w="1167"/>
        <w:gridCol w:w="1184"/>
        <w:gridCol w:w="121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učešća koncesioniranih trajektnih, brodskih i brzobrodskih linija u ukupnom broju linija</w:t>
            </w:r>
          </w:p>
        </w:tc>
        <w:tc>
          <w:tcPr>
            <w:tcW w:w="1300" w:type="dxa"/>
          </w:tcPr>
          <w:p w:rsidR="00AC0832" w:rsidRDefault="00AC0832">
            <w:pPr>
              <w:pStyle w:val="CellColumn"/>
            </w:pPr>
            <w:r>
              <w:t>Koncesioniranjem trajektnih i klasičnih brodskih linija postići će se da brodari za buduće sudjelovanje u obavljanju javnog linijskog pomorskog prometa nabave nove trajekte i brza plovila i time pridonesu modernizaciji brodovlja u linijskom prometu, a time i kvaliteti sustava i sigurnosti plovidbe. Time se i potiče održivi razvitak hrvatskih otoka i razvitak turizma.</w:t>
            </w:r>
          </w:p>
        </w:tc>
        <w:tc>
          <w:tcPr>
            <w:tcW w:w="1300" w:type="dxa"/>
          </w:tcPr>
          <w:p w:rsidR="00AC0832" w:rsidRDefault="00AC0832">
            <w:pPr>
              <w:pStyle w:val="CellColumn"/>
            </w:pPr>
            <w:r>
              <w:t>%</w:t>
            </w:r>
          </w:p>
        </w:tc>
        <w:tc>
          <w:tcPr>
            <w:tcW w:w="1300" w:type="dxa"/>
          </w:tcPr>
          <w:p w:rsidR="00AC0832" w:rsidRDefault="00AC0832">
            <w:pPr>
              <w:pStyle w:val="CellColumn"/>
            </w:pPr>
            <w:r>
              <w:t>28%</w:t>
            </w:r>
          </w:p>
        </w:tc>
        <w:tc>
          <w:tcPr>
            <w:tcW w:w="1300" w:type="dxa"/>
          </w:tcPr>
          <w:p w:rsidR="00AC0832" w:rsidRDefault="00AC0832">
            <w:pPr>
              <w:pStyle w:val="CellColumn"/>
            </w:pPr>
            <w:r>
              <w:t>Agencija za obalni linijski promet</w:t>
            </w:r>
          </w:p>
        </w:tc>
        <w:tc>
          <w:tcPr>
            <w:tcW w:w="1300" w:type="dxa"/>
          </w:tcPr>
          <w:p w:rsidR="00AC0832" w:rsidRDefault="00AC0832">
            <w:pPr>
              <w:pStyle w:val="CellColumn"/>
            </w:pPr>
            <w:r>
              <w:t>96%</w:t>
            </w:r>
          </w:p>
        </w:tc>
        <w:tc>
          <w:tcPr>
            <w:tcW w:w="1300" w:type="dxa"/>
          </w:tcPr>
          <w:p w:rsidR="00AC0832" w:rsidRDefault="00AC0832">
            <w:pPr>
              <w:pStyle w:val="CellColumn"/>
            </w:pPr>
            <w:r>
              <w:t>21%</w:t>
            </w:r>
          </w:p>
        </w:tc>
      </w:tr>
    </w:tbl>
    <w:p w:rsidR="00AC0832" w:rsidRDefault="00AC0832" w:rsidP="007173C2">
      <w:pPr>
        <w:pStyle w:val="Heading6"/>
        <w:ind w:left="0"/>
      </w:pPr>
    </w:p>
    <w:p w:rsidR="00AC0832" w:rsidRDefault="00AC0832" w:rsidP="007173C2">
      <w:pPr>
        <w:pStyle w:val="Heading6"/>
        <w:ind w:left="0"/>
      </w:pPr>
    </w:p>
    <w:p w:rsidR="00AC0832" w:rsidRDefault="00AC0832" w:rsidP="007173C2"/>
    <w:p w:rsidR="00AC0832" w:rsidRPr="007173C2" w:rsidRDefault="00AC0832" w:rsidP="007173C2"/>
    <w:p w:rsidR="00AC0832" w:rsidRDefault="00AC0832" w:rsidP="007173C2">
      <w:pPr>
        <w:pStyle w:val="Heading6"/>
        <w:ind w:left="0"/>
      </w:pPr>
      <w:r>
        <w:t>A570323 POTICANJE REDOVITIH POMORSKIH PUTNIČKIH I BRZOBRODSKIH LINIJA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A570323-POTICANJE REDOVITIH POMORSKIH PUTNIČKIH I BRZOBRODSKIH LINIJA</w:t>
            </w:r>
          </w:p>
        </w:tc>
        <w:tc>
          <w:tcPr>
            <w:tcW w:w="2322" w:type="dxa"/>
          </w:tcPr>
          <w:p w:rsidR="00AC0832" w:rsidRDefault="00AC0832">
            <w:pPr>
              <w:pStyle w:val="CellColumn"/>
            </w:pPr>
            <w:r>
              <w:t>375.000.000</w:t>
            </w:r>
          </w:p>
        </w:tc>
        <w:tc>
          <w:tcPr>
            <w:tcW w:w="2322" w:type="dxa"/>
          </w:tcPr>
          <w:p w:rsidR="00AC0832" w:rsidRDefault="00AC0832">
            <w:pPr>
              <w:pStyle w:val="CellColumn"/>
            </w:pPr>
            <w:r>
              <w:t>375.000.000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Osiguranjem i isplatom 375.000.000 kuna na ime potpore za održavanje državnih linija u obalnom linijskom pomorskom prometu postignuta je puna sigurnost održavanja sustava obalnog linijskog pomorskog prometa. Zahvaljujući tome u 2012. godini prevezeno je  11.157.009 putnika i 2.764.076 vozila, što je manje (minimalno) od ciljane vrijednosti. Smanjeni promet putnika i vozila prvenstveno je posljedica nepovoljnog utjecaja gospodarske krize.  </w:t>
      </w:r>
    </w:p>
    <w:p w:rsidR="00AC0832" w:rsidRDefault="00AC0832">
      <w:pPr>
        <w:pStyle w:val="Normal6"/>
      </w:pPr>
      <w:r>
        <w:t>Potporu je u 2012. godini primilo 12 brodara za održavanje 51 linije (22 trajektne, 11 brodskih i 18 brzobrodskih).</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73"/>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prevezenih putnika u linijskom obalnom pomorskom prometu</w:t>
            </w:r>
          </w:p>
        </w:tc>
        <w:tc>
          <w:tcPr>
            <w:tcW w:w="1300" w:type="dxa"/>
          </w:tcPr>
          <w:p w:rsidR="00AC0832" w:rsidRDefault="00AC0832">
            <w:pPr>
              <w:pStyle w:val="CellColumn"/>
            </w:pPr>
            <w:r>
              <w:t>Povećanjem broja prevezenih putnika na otocima potiče se politika održivog razvoja otoka i zaustavljanje depopulacije otoka.</w:t>
            </w:r>
          </w:p>
        </w:tc>
        <w:tc>
          <w:tcPr>
            <w:tcW w:w="1300" w:type="dxa"/>
          </w:tcPr>
          <w:p w:rsidR="00AC0832" w:rsidRDefault="00AC0832">
            <w:pPr>
              <w:pStyle w:val="CellColumn"/>
            </w:pPr>
            <w:r>
              <w:t>broj</w:t>
            </w:r>
          </w:p>
        </w:tc>
        <w:tc>
          <w:tcPr>
            <w:tcW w:w="1300" w:type="dxa"/>
          </w:tcPr>
          <w:p w:rsidR="00AC0832" w:rsidRDefault="00AC0832">
            <w:pPr>
              <w:pStyle w:val="CellColumn"/>
            </w:pPr>
            <w:r>
              <w:t>11.129.145</w:t>
            </w:r>
          </w:p>
        </w:tc>
        <w:tc>
          <w:tcPr>
            <w:tcW w:w="1300" w:type="dxa"/>
          </w:tcPr>
          <w:p w:rsidR="00AC0832" w:rsidRDefault="00AC0832">
            <w:pPr>
              <w:pStyle w:val="CellColumn"/>
            </w:pPr>
            <w:r>
              <w:t>Statistički podaci brodara o broju prevezenih putnika</w:t>
            </w:r>
          </w:p>
        </w:tc>
        <w:tc>
          <w:tcPr>
            <w:tcW w:w="1300" w:type="dxa"/>
          </w:tcPr>
          <w:p w:rsidR="00AC0832" w:rsidRDefault="00AC0832">
            <w:pPr>
              <w:pStyle w:val="CellColumn"/>
            </w:pPr>
            <w:r>
              <w:t>11.200.000</w:t>
            </w:r>
          </w:p>
        </w:tc>
        <w:tc>
          <w:tcPr>
            <w:tcW w:w="1300" w:type="dxa"/>
          </w:tcPr>
          <w:p w:rsidR="00AC0832" w:rsidRDefault="00AC0832">
            <w:pPr>
              <w:pStyle w:val="CellColumn"/>
            </w:pPr>
            <w:r>
              <w:t>11.157.009</w:t>
            </w:r>
          </w:p>
        </w:tc>
      </w:tr>
      <w:tr w:rsidR="00AC0832" w:rsidTr="00BE20ED">
        <w:trPr>
          <w:jc w:val="center"/>
        </w:trPr>
        <w:tc>
          <w:tcPr>
            <w:tcW w:w="1300" w:type="dxa"/>
          </w:tcPr>
          <w:p w:rsidR="00AC0832" w:rsidRDefault="00AC0832">
            <w:pPr>
              <w:pStyle w:val="CellColumn"/>
            </w:pPr>
            <w:r>
              <w:t>Broj prevezenih vozila u linijskom obalnom pomorskom prometu</w:t>
            </w:r>
          </w:p>
        </w:tc>
        <w:tc>
          <w:tcPr>
            <w:tcW w:w="1300" w:type="dxa"/>
          </w:tcPr>
          <w:p w:rsidR="00AC0832" w:rsidRDefault="00AC0832">
            <w:pPr>
              <w:pStyle w:val="CellColumn"/>
            </w:pPr>
            <w:r>
              <w:t>Povećanjem broja prevezenih vozila na otocima potiče se politika održivog razvoja otoka i zaustavljanje depopulacije otoka.</w:t>
            </w:r>
          </w:p>
        </w:tc>
        <w:tc>
          <w:tcPr>
            <w:tcW w:w="1300" w:type="dxa"/>
          </w:tcPr>
          <w:p w:rsidR="00AC0832" w:rsidRDefault="00AC0832">
            <w:pPr>
              <w:pStyle w:val="CellColumn"/>
            </w:pPr>
            <w:r>
              <w:t>broj</w:t>
            </w:r>
          </w:p>
        </w:tc>
        <w:tc>
          <w:tcPr>
            <w:tcW w:w="1300" w:type="dxa"/>
          </w:tcPr>
          <w:p w:rsidR="00AC0832" w:rsidRDefault="00AC0832">
            <w:pPr>
              <w:pStyle w:val="CellColumn"/>
            </w:pPr>
            <w:r>
              <w:t>2.796.999</w:t>
            </w:r>
          </w:p>
        </w:tc>
        <w:tc>
          <w:tcPr>
            <w:tcW w:w="1300" w:type="dxa"/>
          </w:tcPr>
          <w:p w:rsidR="00AC0832" w:rsidRDefault="00AC0832">
            <w:pPr>
              <w:pStyle w:val="CellColumn"/>
            </w:pPr>
            <w:r>
              <w:t>Statistički podaci brodara o broju prevezenih vozila</w:t>
            </w:r>
          </w:p>
        </w:tc>
        <w:tc>
          <w:tcPr>
            <w:tcW w:w="1300" w:type="dxa"/>
          </w:tcPr>
          <w:p w:rsidR="00AC0832" w:rsidRDefault="00AC0832">
            <w:pPr>
              <w:pStyle w:val="CellColumn"/>
            </w:pPr>
            <w:r>
              <w:t>2.800.000</w:t>
            </w:r>
          </w:p>
        </w:tc>
        <w:tc>
          <w:tcPr>
            <w:tcW w:w="1300" w:type="dxa"/>
          </w:tcPr>
          <w:p w:rsidR="00AC0832" w:rsidRDefault="00AC0832">
            <w:pPr>
              <w:pStyle w:val="CellColumn"/>
            </w:pPr>
            <w:r>
              <w:t>2.764.076</w:t>
            </w:r>
          </w:p>
        </w:tc>
      </w:tr>
    </w:tbl>
    <w:p w:rsidR="00AC0832" w:rsidRDefault="00AC0832">
      <w:pPr>
        <w:jc w:val="left"/>
      </w:pPr>
    </w:p>
    <w:p w:rsidR="00AC0832" w:rsidRDefault="00AC0832">
      <w:pPr>
        <w:pStyle w:val="Heading6"/>
      </w:pPr>
      <w:r>
        <w:t>A587023 ADMINISTRACIJA I UPRAVLJANJE AGENCIJE ZA OBALNI LINIJSKI PROMET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A587023-ADMINISTRACIJA I UPRAVLJANJE AGENCIJE ZA OBALNI LINIJSKI PROMET</w:t>
            </w:r>
          </w:p>
        </w:tc>
        <w:tc>
          <w:tcPr>
            <w:tcW w:w="2322" w:type="dxa"/>
          </w:tcPr>
          <w:p w:rsidR="00AC0832" w:rsidRDefault="00AC0832">
            <w:pPr>
              <w:pStyle w:val="CellColumn"/>
            </w:pPr>
            <w:r>
              <w:t>3.059.700</w:t>
            </w:r>
          </w:p>
        </w:tc>
        <w:tc>
          <w:tcPr>
            <w:tcW w:w="2322" w:type="dxa"/>
          </w:tcPr>
          <w:p w:rsidR="00AC0832" w:rsidRDefault="00AC0832">
            <w:pPr>
              <w:pStyle w:val="CellColumn"/>
            </w:pPr>
            <w:r>
              <w:t>3.012.479</w:t>
            </w:r>
          </w:p>
        </w:tc>
        <w:tc>
          <w:tcPr>
            <w:tcW w:w="2322" w:type="dxa"/>
          </w:tcPr>
          <w:p w:rsidR="00AC0832" w:rsidRDefault="00AC0832">
            <w:pPr>
              <w:pStyle w:val="CellColumn"/>
            </w:pPr>
            <w:r>
              <w:t>98,5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Sredstvima iz ove aktivnosti financirao se rad Agencije za obalni linijski pomorski promet i izvršeno je 98,5% sredstava u odnosu na plan.</w:t>
      </w:r>
    </w:p>
    <w:p w:rsidR="00AC0832" w:rsidRDefault="00AC0832">
      <w:pPr>
        <w:pStyle w:val="Heading2"/>
      </w:pPr>
      <w:r>
        <w:t>06550 Agencija za vodne putove</w:t>
      </w:r>
    </w:p>
    <w:p w:rsidR="00AC0832" w:rsidRDefault="00AC0832">
      <w:pPr>
        <w:pStyle w:val="Heading4"/>
      </w:pPr>
      <w:r>
        <w:t>Uvod</w:t>
      </w:r>
    </w:p>
    <w:p w:rsidR="00AC0832" w:rsidRDefault="00AC0832">
      <w:pPr>
        <w:pStyle w:val="Normal3"/>
      </w:pPr>
      <w:r>
        <w:t>Agencija za vodne putove kao javna ustanova, zadužena je za gradnju, tehničko unapređenje, prometno-tehnološku modernizaciju vodnih putova, tehničko održavanje vodnih putova i osposobljavanje vodnih putova.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06550-Agencija za vodne putove</w:t>
            </w:r>
          </w:p>
        </w:tc>
        <w:tc>
          <w:tcPr>
            <w:tcW w:w="2322" w:type="dxa"/>
          </w:tcPr>
          <w:p w:rsidR="00AC0832" w:rsidRDefault="00AC0832">
            <w:pPr>
              <w:pStyle w:val="CellColumn"/>
            </w:pPr>
            <w:r>
              <w:t>21.636.674</w:t>
            </w:r>
          </w:p>
        </w:tc>
        <w:tc>
          <w:tcPr>
            <w:tcW w:w="2322" w:type="dxa"/>
          </w:tcPr>
          <w:p w:rsidR="00AC0832" w:rsidRDefault="00AC0832">
            <w:pPr>
              <w:pStyle w:val="CellColumn"/>
            </w:pPr>
            <w:r>
              <w:t>20.064.873</w:t>
            </w:r>
          </w:p>
        </w:tc>
        <w:tc>
          <w:tcPr>
            <w:tcW w:w="2322" w:type="dxa"/>
          </w:tcPr>
          <w:p w:rsidR="00AC0832" w:rsidRDefault="00AC0832">
            <w:pPr>
              <w:pStyle w:val="CellColumn"/>
            </w:pPr>
            <w:r>
              <w:t>92,7</w:t>
            </w:r>
          </w:p>
        </w:tc>
      </w:tr>
      <w:tr w:rsidR="00AC0832" w:rsidTr="00BE20ED">
        <w:trPr>
          <w:jc w:val="center"/>
        </w:trPr>
        <w:tc>
          <w:tcPr>
            <w:tcW w:w="2322" w:type="dxa"/>
          </w:tcPr>
          <w:p w:rsidR="00AC0832" w:rsidRDefault="00AC0832">
            <w:pPr>
              <w:pStyle w:val="CellColumnSmall"/>
            </w:pPr>
            <w:r>
              <w:t>3105-RAZVOJ I SIGURNOST UNUTARNJE PLOVIDBE, LUČKE INFRASTRUKTURE I PLOVNIH PUTOVA UNUTARNJIH VODA</w:t>
            </w:r>
          </w:p>
        </w:tc>
        <w:tc>
          <w:tcPr>
            <w:tcW w:w="2322" w:type="dxa"/>
          </w:tcPr>
          <w:p w:rsidR="00AC0832" w:rsidRDefault="00AC0832">
            <w:pPr>
              <w:pStyle w:val="CellColumnSmall"/>
            </w:pPr>
            <w:r>
              <w:t>21.636.674</w:t>
            </w:r>
          </w:p>
        </w:tc>
        <w:tc>
          <w:tcPr>
            <w:tcW w:w="2322" w:type="dxa"/>
          </w:tcPr>
          <w:p w:rsidR="00AC0832" w:rsidRDefault="00AC0832">
            <w:pPr>
              <w:pStyle w:val="CellColumnSmall"/>
            </w:pPr>
            <w:r>
              <w:t>20.064.873</w:t>
            </w:r>
          </w:p>
        </w:tc>
        <w:tc>
          <w:tcPr>
            <w:tcW w:w="2322" w:type="dxa"/>
          </w:tcPr>
          <w:p w:rsidR="00AC0832" w:rsidRDefault="00AC0832">
            <w:pPr>
              <w:pStyle w:val="CellColumnSmall"/>
            </w:pPr>
            <w:r>
              <w:t>92,7</w:t>
            </w:r>
          </w:p>
        </w:tc>
      </w:tr>
    </w:tbl>
    <w:p w:rsidR="00AC0832" w:rsidRDefault="00AC0832">
      <w:pPr>
        <w:jc w:val="left"/>
      </w:pPr>
    </w:p>
    <w:p w:rsidR="00AC0832" w:rsidRDefault="00AC0832">
      <w:pPr>
        <w:pStyle w:val="Heading4"/>
      </w:pPr>
      <w:r>
        <w:t>OBRAZLOŽENJE PROGRAMA</w:t>
      </w:r>
    </w:p>
    <w:p w:rsidR="00AC0832" w:rsidRDefault="00AC0832">
      <w:pPr>
        <w:pStyle w:val="Heading5"/>
      </w:pPr>
      <w:r>
        <w:t>3105 RAZVOJ I SIGURNOST UNUTARNJE PLOVIDBE, LUČKE INFRASTRUKTURE I PLOVNIH PUTOVA UNUTARNJIH VODA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3105-RAZVOJ I SIGURNOST UNUTARNJE PLOVIDBE, LUČKE INFRASTRUKTURE I PLOVNIH PUTOVA UNUTARNJIH VODA</w:t>
            </w:r>
          </w:p>
        </w:tc>
        <w:tc>
          <w:tcPr>
            <w:tcW w:w="2322" w:type="dxa"/>
          </w:tcPr>
          <w:p w:rsidR="00AC0832" w:rsidRDefault="00AC0832">
            <w:pPr>
              <w:pStyle w:val="CellColumn"/>
            </w:pPr>
            <w:r>
              <w:t>21.636.674</w:t>
            </w:r>
          </w:p>
        </w:tc>
        <w:tc>
          <w:tcPr>
            <w:tcW w:w="2322" w:type="dxa"/>
          </w:tcPr>
          <w:p w:rsidR="00AC0832" w:rsidRDefault="00AC0832">
            <w:pPr>
              <w:pStyle w:val="CellColumn"/>
            </w:pPr>
            <w:r>
              <w:t>20.064.873</w:t>
            </w:r>
          </w:p>
        </w:tc>
        <w:tc>
          <w:tcPr>
            <w:tcW w:w="2322" w:type="dxa"/>
          </w:tcPr>
          <w:p w:rsidR="00AC0832" w:rsidRDefault="00AC0832">
            <w:pPr>
              <w:pStyle w:val="CellColumn"/>
            </w:pPr>
            <w:r>
              <w:t>92,7</w:t>
            </w:r>
          </w:p>
        </w:tc>
      </w:tr>
    </w:tbl>
    <w:p w:rsidR="00AC0832" w:rsidRDefault="00AC0832">
      <w:pPr>
        <w:jc w:val="left"/>
      </w:pPr>
    </w:p>
    <w:p w:rsidR="00AC0832" w:rsidRDefault="00AC0832">
      <w:pPr>
        <w:pStyle w:val="Heading6"/>
      </w:pPr>
      <w:r>
        <w:t>Opis programa</w:t>
      </w:r>
    </w:p>
    <w:p w:rsidR="00AC0832" w:rsidRDefault="00AC0832">
      <w:pPr>
        <w:pStyle w:val="Normal5"/>
      </w:pPr>
      <w:r>
        <w:t>Program  se  odnosi  na  radove  tehničko  održavanje  plovnih  putova    koje  obuhvaća snimanje vodnih putova, održavanje dubine plovnih putova, održavanje objekata sigurnosti plovidbe, obilježavanje plovnih putova, održavanje objekata, uređaja i opreme za RIS (CRORIS), interventno održavanje plovnih putova te uklanjanje plutajućih i potonulih predmeta koji ugrožavaju sigurnost plovidbe, a sve u svrhu razvijanja prometnog sustava odnosno prometne  infrastrukture. Problemi pri radovima tehničkog održavanja plovnih putova razlikuju se s obzirom na prirodu plovnog puta , te nisu zastupljeni u jednakoj mjeri na svim plovnim putovima već su specifični. Najveći problemi u plovidbi su  na rijeci Savi  koja predstavlja usko grlo u plovidbi u odnosu na ostale plovne putove. Planiranim sredstvima u okviru ovog programa financirali su se troškovi obavljanja redovite djelatnosti Agencije, izrada elaborata tehničkog čišćenja plovnog puta, izvođenje radova tehničkog održavanja plovnih putova, radova obilježavanja, održavanje i nadogradnja sustava CRORIS, izgradnja regulacijskih građevina te projektna dokumentacija budućeg VKDS.</w:t>
      </w:r>
    </w:p>
    <w:p w:rsidR="00AC0832" w:rsidRDefault="00AC0832">
      <w:pPr>
        <w:pStyle w:val="Heading6"/>
      </w:pPr>
      <w:r>
        <w:t>Zakonske i druge pravne osnove</w:t>
      </w:r>
    </w:p>
    <w:p w:rsidR="00AC0832" w:rsidRDefault="00AC0832">
      <w:pPr>
        <w:pStyle w:val="Normal5"/>
      </w:pPr>
      <w:r>
        <w:t xml:space="preserve">Zakon o plovidbi i lukama unutarnjih voda (Narodne novine br: 109/07,132/07), </w:t>
      </w:r>
    </w:p>
    <w:p w:rsidR="00AC0832" w:rsidRDefault="00AC0832">
      <w:pPr>
        <w:pStyle w:val="Normal5"/>
      </w:pPr>
      <w:r>
        <w:t xml:space="preserve">Pravilnik o tehničkom održavanju vodnih putova (Narodne novine br: 62/09),  </w:t>
      </w:r>
    </w:p>
    <w:p w:rsidR="00AC0832" w:rsidRDefault="00AC0832">
      <w:pPr>
        <w:pStyle w:val="Normal5"/>
      </w:pPr>
      <w:r>
        <w:t xml:space="preserve">Strategija razvitka riječnog prometa u Republici Hrvatskoj 2008-2018. (Narodne novine br: 65/08),  </w:t>
      </w:r>
    </w:p>
    <w:p w:rsidR="00AC0832" w:rsidRDefault="00AC0832">
      <w:pPr>
        <w:pStyle w:val="Normal5"/>
      </w:pPr>
      <w:r>
        <w:t>Srednjoročni plan razvitka plovnih putova i luka unutarnjih voda Republike Hrvatske 2009-2016.</w:t>
      </w:r>
    </w:p>
    <w:p w:rsidR="00AC0832" w:rsidRDefault="00AC0832">
      <w:pPr>
        <w:pStyle w:val="Heading7"/>
      </w:pPr>
      <w:r>
        <w:t>Cilj 1. Poboljšanje uvjeta plovidbe</w:t>
      </w:r>
    </w:p>
    <w:p w:rsidR="00AC0832" w:rsidRDefault="00AC0832">
      <w:pPr>
        <w:pStyle w:val="Heading8"/>
        <w:jc w:val="left"/>
      </w:pPr>
      <w:r>
        <w:t>Opis provedbe cilja programa</w:t>
      </w:r>
    </w:p>
    <w:p w:rsidR="00AC0832" w:rsidRDefault="00AC0832">
      <w:pPr>
        <w:pStyle w:val="Normal6"/>
      </w:pPr>
      <w:r>
        <w:t xml:space="preserve">Provedbom ovog programa, izvođenjem radove tehničkog održavanja i obilježavanja vodnih putova, nadogradnjom sustava CRORIS te izradom potrebne projektne dokumentacije povećana je  sigurnost plovidbe na unutarnjim plovnim putovima.  </w:t>
      </w:r>
    </w:p>
    <w:p w:rsidR="00AC0832" w:rsidRDefault="00AC0832">
      <w:pPr>
        <w:pStyle w:val="Normal6"/>
      </w:pPr>
      <w:r>
        <w:t>Pokazatelj učinka  je broj dana plovnosti na rijeci Savi minimalnim gazom od 160 cm za III klasu plovnog puta. Ciljana vrijednost za 2012.godinu  je bila 230 dana, a polazna 215. Ciljana vrijednost nije postignuta jer je zbog izrazito nepovoljnih hidroloških uvjeta sa skromno odobrenim sredstvima za tehničko održavanje dubina plovnog puta, bilo moguće samo održati vrijednost od 208 dana plovnosti punim gazom od 200 cm odnosno polaznu vrijednost od 215 dana za smanjeni gaz od 160 cm u godini.</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dana plovnosti na rijeci Savi s minimalnim gazom od 160cm za III klasu plovnog puta</w:t>
            </w:r>
          </w:p>
        </w:tc>
        <w:tc>
          <w:tcPr>
            <w:tcW w:w="1300" w:type="dxa"/>
          </w:tcPr>
          <w:p w:rsidR="00AC0832" w:rsidRDefault="00AC0832">
            <w:pPr>
              <w:pStyle w:val="CellColumn"/>
            </w:pPr>
            <w:r>
              <w:t>Radovima tehničkog održavanja povećat će se broj dana plovnosti na  rijeci Savi te stvoriti preduvjeti za uspostavu normirane klase plovnosti</w:t>
            </w:r>
          </w:p>
        </w:tc>
        <w:tc>
          <w:tcPr>
            <w:tcW w:w="1300" w:type="dxa"/>
          </w:tcPr>
          <w:p w:rsidR="00AC0832" w:rsidRDefault="00AC0832">
            <w:pPr>
              <w:pStyle w:val="CellColumn"/>
            </w:pPr>
            <w:r>
              <w:t>Broj dana</w:t>
            </w:r>
          </w:p>
        </w:tc>
        <w:tc>
          <w:tcPr>
            <w:tcW w:w="1300" w:type="dxa"/>
          </w:tcPr>
          <w:p w:rsidR="00AC0832" w:rsidRDefault="00AC0832">
            <w:pPr>
              <w:pStyle w:val="CellColumn"/>
            </w:pPr>
            <w:r>
              <w:t>215</w:t>
            </w:r>
          </w:p>
        </w:tc>
        <w:tc>
          <w:tcPr>
            <w:tcW w:w="1300" w:type="dxa"/>
          </w:tcPr>
          <w:p w:rsidR="00AC0832" w:rsidRDefault="00AC0832">
            <w:pPr>
              <w:pStyle w:val="CellColumn"/>
            </w:pPr>
            <w:r>
              <w:t>Agencija za vodne putove</w:t>
            </w:r>
          </w:p>
        </w:tc>
        <w:tc>
          <w:tcPr>
            <w:tcW w:w="1300" w:type="dxa"/>
          </w:tcPr>
          <w:p w:rsidR="00AC0832" w:rsidRDefault="00AC0832">
            <w:pPr>
              <w:pStyle w:val="CellColumn"/>
            </w:pPr>
            <w:r>
              <w:t>230</w:t>
            </w:r>
          </w:p>
        </w:tc>
        <w:tc>
          <w:tcPr>
            <w:tcW w:w="1300" w:type="dxa"/>
          </w:tcPr>
          <w:p w:rsidR="00AC0832" w:rsidRDefault="00AC0832">
            <w:pPr>
              <w:pStyle w:val="CellColumn"/>
            </w:pPr>
            <w:r>
              <w:t>215</w:t>
            </w:r>
          </w:p>
        </w:tc>
      </w:tr>
    </w:tbl>
    <w:p w:rsidR="00AC0832" w:rsidRDefault="00AC0832">
      <w:pPr>
        <w:jc w:val="left"/>
      </w:pPr>
    </w:p>
    <w:p w:rsidR="00AC0832" w:rsidRDefault="00AC0832">
      <w:pPr>
        <w:pStyle w:val="Heading6"/>
      </w:pPr>
      <w:r>
        <w:t>A570448 ADMINISTRACIJA I UPRAVLJANJE AGENCIJE ZA VODNE PUTOVE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A570448-ADMINISTRACIJA I UPRAVLJANJE AGENCIJE ZA VODNE PUTOVE</w:t>
            </w:r>
          </w:p>
        </w:tc>
        <w:tc>
          <w:tcPr>
            <w:tcW w:w="2322" w:type="dxa"/>
          </w:tcPr>
          <w:p w:rsidR="00AC0832" w:rsidRDefault="00AC0832">
            <w:pPr>
              <w:pStyle w:val="CellColumn"/>
            </w:pPr>
            <w:r>
              <w:t>6.675.400</w:t>
            </w:r>
          </w:p>
        </w:tc>
        <w:tc>
          <w:tcPr>
            <w:tcW w:w="2322" w:type="dxa"/>
          </w:tcPr>
          <w:p w:rsidR="00AC0832" w:rsidRDefault="00AC0832">
            <w:pPr>
              <w:pStyle w:val="CellColumn"/>
            </w:pPr>
            <w:r>
              <w:t>6.372.896</w:t>
            </w:r>
          </w:p>
        </w:tc>
        <w:tc>
          <w:tcPr>
            <w:tcW w:w="2322" w:type="dxa"/>
          </w:tcPr>
          <w:p w:rsidR="00AC0832" w:rsidRDefault="00AC0832">
            <w:pPr>
              <w:pStyle w:val="CellColumn"/>
            </w:pPr>
            <w:r>
              <w:t>95,5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Sredstvima ove aktivnosti, od planiranih 6.675.400,00 kuna realizirano je 6.372,896 što je 95,5 %, osigurane su redovite isplate plaća djelatnika Agencije, provođenje stručnog usavršavanja djelatnika, usluge osiguranja i  redovita opskrba gorivom   plovila  Agencije, usluge tekućeg i investicijskog održavanja što je omogućilo pravovremeno i učinkovito obavljanje redovne djelatnosti.</w:t>
      </w:r>
    </w:p>
    <w:p w:rsidR="00AC0832" w:rsidRDefault="00AC0832">
      <w:pPr>
        <w:pStyle w:val="Heading6"/>
      </w:pPr>
      <w:r>
        <w:t>K810001 GRADNJA I TEHNIČKO ODRŽAVANJE PLOVNIH PUTOVA UNUTARNJIH VODA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K810001-GRADNJA I TEHNIČKO ODRŽAVANJE PLOVNIH PUTOVA UNUTARNJIH VODA</w:t>
            </w:r>
          </w:p>
        </w:tc>
        <w:tc>
          <w:tcPr>
            <w:tcW w:w="2322" w:type="dxa"/>
          </w:tcPr>
          <w:p w:rsidR="00AC0832" w:rsidRDefault="00AC0832">
            <w:pPr>
              <w:pStyle w:val="CellColumn"/>
            </w:pPr>
            <w:r>
              <w:t>12.268.774</w:t>
            </w:r>
          </w:p>
        </w:tc>
        <w:tc>
          <w:tcPr>
            <w:tcW w:w="2322" w:type="dxa"/>
          </w:tcPr>
          <w:p w:rsidR="00AC0832" w:rsidRDefault="00AC0832">
            <w:pPr>
              <w:pStyle w:val="CellColumn"/>
            </w:pPr>
            <w:r>
              <w:t>11.096.173</w:t>
            </w:r>
          </w:p>
        </w:tc>
        <w:tc>
          <w:tcPr>
            <w:tcW w:w="2322" w:type="dxa"/>
          </w:tcPr>
          <w:p w:rsidR="00AC0832" w:rsidRDefault="00AC0832">
            <w:pPr>
              <w:pStyle w:val="CellColumn"/>
            </w:pPr>
            <w:r>
              <w:t>90,4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Utrošenim sredstvima je financirana izrada elaborata tehničkog čišćenja plovnog puta, izvođenje radova tehničkog održavanja plovnih putova, radova obilježavanja,  održavanje i nadogradnja sustava CRORIS te izgradnja regulacijskih građevina.  Nešto manji  postotak  izvršenja ovog projekta rezultat je nepovoljnih hidroloških uvjeta prilikom radova izgradnje regulacijskih građevina (obaloutvrda na Kupi) te ugovoreni opseg radova nije bilo moguće u potpunosti izvesti. Planirani ciljevi ovog projekta su unatoč tome postignuti, jer sigurnost plovidbe nije bila ugrožena.  </w:t>
      </w:r>
    </w:p>
    <w:p w:rsidR="00AC0832" w:rsidRDefault="00AC0832">
      <w:pPr>
        <w:pStyle w:val="Normal6"/>
      </w:pPr>
      <w:r>
        <w:t xml:space="preserve">Pokazatelj rezultata za ovu aktivnost  je broj riječnih kilometara obilježenih za sigurnu plovidbu. Polazna vrijednost je 725 km, a ciljana za 2012.godinu 740 km koja je trebala obuhvatiti i obilježavanje rijeke Une od ušća u Savu u rkm 0,0 do rkm 15,0.  </w:t>
      </w:r>
    </w:p>
    <w:p w:rsidR="00AC0832" w:rsidRDefault="00AC0832">
      <w:pPr>
        <w:pStyle w:val="Normal6"/>
      </w:pPr>
      <w:r>
        <w:t>Ciljana vrijednost nije postignuta jer projekti koji su potrebni  za to novo obilježavanje nisu zgotovljeni kako je planirano radi neusklađenih aktivnosti oko razminiranja obalnog terena sa susjednom Bosnom i Hercegovinom obzirom da se ova dionica Une nalazi u graničnom području.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73"/>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riječnih kilometara obilježenih za sigurnu plovidbu</w:t>
            </w:r>
          </w:p>
        </w:tc>
        <w:tc>
          <w:tcPr>
            <w:tcW w:w="1300" w:type="dxa"/>
          </w:tcPr>
          <w:p w:rsidR="00AC0832" w:rsidRDefault="00AC0832">
            <w:pPr>
              <w:pStyle w:val="CellColumn"/>
            </w:pPr>
            <w:r>
              <w:t>Radovima obilježavanja postići će se veći stupanj sigurnosti plovidbe za učesnike u plovidbi</w:t>
            </w:r>
          </w:p>
        </w:tc>
        <w:tc>
          <w:tcPr>
            <w:tcW w:w="1300" w:type="dxa"/>
          </w:tcPr>
          <w:p w:rsidR="00AC0832" w:rsidRDefault="00AC0832">
            <w:pPr>
              <w:pStyle w:val="CellColumn"/>
            </w:pPr>
            <w:r>
              <w:t>km</w:t>
            </w:r>
          </w:p>
        </w:tc>
        <w:tc>
          <w:tcPr>
            <w:tcW w:w="1300" w:type="dxa"/>
          </w:tcPr>
          <w:p w:rsidR="00AC0832" w:rsidRDefault="00AC0832">
            <w:pPr>
              <w:pStyle w:val="CellColumn"/>
            </w:pPr>
            <w:r>
              <w:t>725</w:t>
            </w:r>
          </w:p>
        </w:tc>
        <w:tc>
          <w:tcPr>
            <w:tcW w:w="1300" w:type="dxa"/>
          </w:tcPr>
          <w:p w:rsidR="00AC0832" w:rsidRDefault="00AC0832">
            <w:pPr>
              <w:pStyle w:val="CellColumn"/>
            </w:pPr>
            <w:r>
              <w:t>Agencija za vodne putove</w:t>
            </w:r>
          </w:p>
        </w:tc>
        <w:tc>
          <w:tcPr>
            <w:tcW w:w="1300" w:type="dxa"/>
          </w:tcPr>
          <w:p w:rsidR="00AC0832" w:rsidRDefault="00AC0832">
            <w:pPr>
              <w:pStyle w:val="CellColumn"/>
            </w:pPr>
            <w:r>
              <w:t>740</w:t>
            </w:r>
          </w:p>
        </w:tc>
        <w:tc>
          <w:tcPr>
            <w:tcW w:w="1300" w:type="dxa"/>
          </w:tcPr>
          <w:p w:rsidR="00AC0832" w:rsidRDefault="00AC0832">
            <w:pPr>
              <w:pStyle w:val="CellColumn"/>
            </w:pPr>
            <w:r>
              <w:t>725</w:t>
            </w:r>
          </w:p>
        </w:tc>
      </w:tr>
    </w:tbl>
    <w:p w:rsidR="00AC0832" w:rsidRDefault="00AC0832">
      <w:pPr>
        <w:jc w:val="left"/>
      </w:pPr>
    </w:p>
    <w:p w:rsidR="00AC0832" w:rsidRDefault="00AC0832">
      <w:pPr>
        <w:pStyle w:val="Heading6"/>
      </w:pPr>
      <w:r>
        <w:t>K810006 IZGRADNJA VIŠENAMJENSKOG KANALA DUNAV-SAVA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K810006-IZGRADNJA VIŠENAMJENSKOG KANALA DUNAV-SAVA</w:t>
            </w:r>
          </w:p>
        </w:tc>
        <w:tc>
          <w:tcPr>
            <w:tcW w:w="2322" w:type="dxa"/>
          </w:tcPr>
          <w:p w:rsidR="00AC0832" w:rsidRDefault="00AC0832">
            <w:pPr>
              <w:pStyle w:val="CellColumn"/>
            </w:pPr>
            <w:r>
              <w:t>600.000</w:t>
            </w:r>
          </w:p>
        </w:tc>
        <w:tc>
          <w:tcPr>
            <w:tcW w:w="2322" w:type="dxa"/>
          </w:tcPr>
          <w:p w:rsidR="00AC0832" w:rsidRDefault="00AC0832">
            <w:pPr>
              <w:pStyle w:val="CellColumn"/>
            </w:pPr>
            <w:r>
              <w:t>599.180</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Tijekom 2012.god. na ovom projektu  planirano je  600.000,00 kn i ostvareno 599.180,00 kn  ili 99,9 % iz čega proizlazi da je projekt izvršen u planiranom obimu. Sredstva su utrošena za monitoringe koji su obveza prema Rješenju o usvajanju SUO za budući VKDS.</w:t>
      </w:r>
    </w:p>
    <w:p w:rsidR="00AC0832" w:rsidRDefault="00AC0832">
      <w:pPr>
        <w:pStyle w:val="Heading6"/>
      </w:pPr>
      <w:r>
        <w:t>K810024 IZGRADNJA PLOVILA I PLOVNIH OBJEKATA U RIJEČNOJ PLOVIDBI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K810024-IZGRADNJA PLOVILA I PLOVNIH OBJEKATA U RIJEČNOJ PLOVIDBI</w:t>
            </w:r>
          </w:p>
        </w:tc>
        <w:tc>
          <w:tcPr>
            <w:tcW w:w="2322" w:type="dxa"/>
          </w:tcPr>
          <w:p w:rsidR="00AC0832" w:rsidRDefault="00AC0832">
            <w:pPr>
              <w:pStyle w:val="CellColumn"/>
            </w:pPr>
            <w:r>
              <w:t>1.900.000</w:t>
            </w:r>
          </w:p>
        </w:tc>
        <w:tc>
          <w:tcPr>
            <w:tcW w:w="2322" w:type="dxa"/>
          </w:tcPr>
          <w:p w:rsidR="00AC0832" w:rsidRDefault="00AC0832">
            <w:pPr>
              <w:pStyle w:val="CellColumn"/>
            </w:pPr>
            <w:r>
              <w:t>1.869.772</w:t>
            </w:r>
          </w:p>
        </w:tc>
        <w:tc>
          <w:tcPr>
            <w:tcW w:w="2322" w:type="dxa"/>
          </w:tcPr>
          <w:p w:rsidR="00AC0832" w:rsidRDefault="00AC0832">
            <w:pPr>
              <w:pStyle w:val="CellColumn"/>
            </w:pPr>
            <w:r>
              <w:t>98,4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Projekt je izvršen u planiranom obimu, odnosno završena je izgradnja  jednog plovila za nadzor i obilježavanje plovnog puta rijeke Save, čime su stvoreni bolji preduvjeti za pravovremeno i učinkovito obavljanje redovne djelatnosti.</w:t>
      </w:r>
    </w:p>
    <w:p w:rsidR="00AC0832" w:rsidRDefault="00AC0832">
      <w:pPr>
        <w:pStyle w:val="Heading2"/>
      </w:pPr>
      <w:r>
        <w:t>06551 Agencije u prometu i infrastrukturi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44934-Agencija za regulaciju tržišta željezničkih usluga</w:t>
            </w:r>
          </w:p>
        </w:tc>
        <w:tc>
          <w:tcPr>
            <w:tcW w:w="2322" w:type="dxa"/>
          </w:tcPr>
          <w:p w:rsidR="00AC0832" w:rsidRDefault="00AC0832">
            <w:pPr>
              <w:pStyle w:val="CellColumn"/>
            </w:pPr>
            <w:r>
              <w:t>387.200</w:t>
            </w:r>
          </w:p>
        </w:tc>
        <w:tc>
          <w:tcPr>
            <w:tcW w:w="2322" w:type="dxa"/>
          </w:tcPr>
          <w:p w:rsidR="00AC0832" w:rsidRDefault="00AC0832">
            <w:pPr>
              <w:pStyle w:val="CellColumn"/>
            </w:pPr>
            <w:r>
              <w:t>387.152</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
            </w:pPr>
            <w:r>
              <w:t>45084-Agencija za istraživanje nesreća i ozbiljnih nezgoda zrakoplova</w:t>
            </w:r>
          </w:p>
        </w:tc>
        <w:tc>
          <w:tcPr>
            <w:tcW w:w="2322" w:type="dxa"/>
          </w:tcPr>
          <w:p w:rsidR="00AC0832" w:rsidRDefault="00AC0832">
            <w:pPr>
              <w:pStyle w:val="CellColumn"/>
            </w:pPr>
            <w:r>
              <w:t>14.817.180</w:t>
            </w:r>
          </w:p>
        </w:tc>
        <w:tc>
          <w:tcPr>
            <w:tcW w:w="2322" w:type="dxa"/>
          </w:tcPr>
          <w:p w:rsidR="00AC0832" w:rsidRDefault="00AC0832">
            <w:pPr>
              <w:pStyle w:val="CellColumn"/>
            </w:pPr>
            <w:r>
              <w:t>6.607.059</w:t>
            </w:r>
          </w:p>
        </w:tc>
        <w:tc>
          <w:tcPr>
            <w:tcW w:w="2322" w:type="dxa"/>
          </w:tcPr>
          <w:p w:rsidR="00AC0832" w:rsidRDefault="00AC0832">
            <w:pPr>
              <w:pStyle w:val="CellColumn"/>
            </w:pPr>
            <w:r>
              <w:t>44,6</w:t>
            </w:r>
          </w:p>
        </w:tc>
      </w:tr>
      <w:tr w:rsidR="00AC0832" w:rsidTr="00BE20ED">
        <w:trPr>
          <w:jc w:val="center"/>
        </w:trPr>
        <w:tc>
          <w:tcPr>
            <w:tcW w:w="2322" w:type="dxa"/>
          </w:tcPr>
          <w:p w:rsidR="00AC0832" w:rsidRDefault="00AC0832">
            <w:pPr>
              <w:pStyle w:val="CellColumn"/>
            </w:pPr>
            <w:r>
              <w:t>45228-Agencija za sigurnost željezničkog prometa</w:t>
            </w:r>
          </w:p>
        </w:tc>
        <w:tc>
          <w:tcPr>
            <w:tcW w:w="2322" w:type="dxa"/>
          </w:tcPr>
          <w:p w:rsidR="00AC0832" w:rsidRDefault="00AC0832">
            <w:pPr>
              <w:pStyle w:val="CellColumn"/>
            </w:pPr>
            <w:r>
              <w:t>3.115.000</w:t>
            </w:r>
          </w:p>
        </w:tc>
        <w:tc>
          <w:tcPr>
            <w:tcW w:w="2322" w:type="dxa"/>
          </w:tcPr>
          <w:p w:rsidR="00AC0832" w:rsidRDefault="00AC0832">
            <w:pPr>
              <w:pStyle w:val="CellColumn"/>
            </w:pPr>
            <w:r>
              <w:t>2.190.136</w:t>
            </w:r>
          </w:p>
        </w:tc>
        <w:tc>
          <w:tcPr>
            <w:tcW w:w="2322" w:type="dxa"/>
          </w:tcPr>
          <w:p w:rsidR="00AC0832" w:rsidRDefault="00AC0832">
            <w:pPr>
              <w:pStyle w:val="CellColumn"/>
            </w:pPr>
            <w:r>
              <w:t>70,3</w:t>
            </w:r>
          </w:p>
        </w:tc>
      </w:tr>
    </w:tbl>
    <w:p w:rsidR="00AC0832" w:rsidRDefault="00AC0832">
      <w:pPr>
        <w:jc w:val="left"/>
      </w:pPr>
    </w:p>
    <w:p w:rsidR="00AC0832" w:rsidRDefault="00AC0832">
      <w:pPr>
        <w:pStyle w:val="Heading4"/>
      </w:pPr>
      <w:r>
        <w:t>OBRAZLOŽENJE PROGRAMA</w:t>
      </w:r>
    </w:p>
    <w:p w:rsidR="00AC0832" w:rsidRDefault="00AC0832">
      <w:pPr>
        <w:pStyle w:val="Heading3"/>
      </w:pPr>
      <w:r>
        <w:t>44934 Agencija za regulaciju tržišta željezničkih usluga</w:t>
      </w:r>
    </w:p>
    <w:p w:rsidR="00AC0832" w:rsidRDefault="00AC0832">
      <w:pPr>
        <w:pStyle w:val="Heading4"/>
      </w:pPr>
      <w:r>
        <w:t>Uvod</w:t>
      </w:r>
    </w:p>
    <w:p w:rsidR="00AC0832" w:rsidRDefault="00AC0832">
      <w:pPr>
        <w:pStyle w:val="Normal5"/>
      </w:pPr>
      <w:r>
        <w:t>Donošenjem Državnog proračuna za 2012. godinu Agencija za regulaciju tržišta željezničkih usluga postala je samostalan razdjel, a u proračunu Ministarstva pomorstva, prometa i infrastrukture prikazani su samo rashodi izvršeni tijekom privremenog financiranja 2012. godine te se stoga u ovom Obrazloženju ne opisuju programi i potprogrami Agencije.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44934-Agencija za regulaciju tržišta željezničkih usluga</w:t>
            </w:r>
          </w:p>
        </w:tc>
        <w:tc>
          <w:tcPr>
            <w:tcW w:w="2322" w:type="dxa"/>
          </w:tcPr>
          <w:p w:rsidR="00AC0832" w:rsidRDefault="00AC0832">
            <w:pPr>
              <w:pStyle w:val="CellColumn"/>
            </w:pPr>
            <w:r>
              <w:t>387.200</w:t>
            </w:r>
          </w:p>
        </w:tc>
        <w:tc>
          <w:tcPr>
            <w:tcW w:w="2322" w:type="dxa"/>
          </w:tcPr>
          <w:p w:rsidR="00AC0832" w:rsidRDefault="00AC0832">
            <w:pPr>
              <w:pStyle w:val="CellColumn"/>
            </w:pPr>
            <w:r>
              <w:t>387.152</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Small"/>
            </w:pPr>
            <w:r>
              <w:t>3102-RAZVOJ I SIGURNOST ŽELJEZNIČKOG PROMETA, INFRASTRUKTURE I ŽIČARA</w:t>
            </w:r>
          </w:p>
        </w:tc>
        <w:tc>
          <w:tcPr>
            <w:tcW w:w="2322" w:type="dxa"/>
          </w:tcPr>
          <w:p w:rsidR="00AC0832" w:rsidRDefault="00AC0832">
            <w:pPr>
              <w:pStyle w:val="CellColumnSmall"/>
            </w:pPr>
            <w:r>
              <w:t>387.200</w:t>
            </w:r>
          </w:p>
        </w:tc>
        <w:tc>
          <w:tcPr>
            <w:tcW w:w="2322" w:type="dxa"/>
          </w:tcPr>
          <w:p w:rsidR="00AC0832" w:rsidRDefault="00AC0832">
            <w:pPr>
              <w:pStyle w:val="CellColumnSmall"/>
            </w:pPr>
            <w:r>
              <w:t>387.152</w:t>
            </w:r>
          </w:p>
        </w:tc>
        <w:tc>
          <w:tcPr>
            <w:tcW w:w="2322" w:type="dxa"/>
          </w:tcPr>
          <w:p w:rsidR="00AC0832" w:rsidRDefault="00AC0832">
            <w:pPr>
              <w:pStyle w:val="CellColumnSmall"/>
            </w:pPr>
            <w:r>
              <w:t>100,0</w:t>
            </w:r>
          </w:p>
        </w:tc>
      </w:tr>
    </w:tbl>
    <w:p w:rsidR="00AC0832" w:rsidRDefault="00AC0832">
      <w:pPr>
        <w:jc w:val="left"/>
      </w:pPr>
    </w:p>
    <w:p w:rsidR="00AC0832" w:rsidRDefault="00AC0832">
      <w:pPr>
        <w:pStyle w:val="Heading4"/>
      </w:pPr>
      <w:r>
        <w:t>OBRAZLOŽENJE PROGRAMA</w:t>
      </w:r>
    </w:p>
    <w:p w:rsidR="00AC0832" w:rsidRDefault="00AC0832">
      <w:pPr>
        <w:pStyle w:val="Heading3"/>
      </w:pPr>
      <w:r>
        <w:t>45084 Agencija za istraživanje nesreća i ozbiljnih nezgoda zrakoplova</w:t>
      </w:r>
    </w:p>
    <w:p w:rsidR="00AC0832" w:rsidRDefault="00AC0832">
      <w:pPr>
        <w:pStyle w:val="Heading4"/>
      </w:pPr>
      <w:r>
        <w:t>Uvod</w:t>
      </w:r>
    </w:p>
    <w:p w:rsidR="00AC0832" w:rsidRDefault="00AC0832">
      <w:pPr>
        <w:pStyle w:val="Normal5"/>
      </w:pPr>
      <w:r>
        <w:t xml:space="preserve">Agencija za istraživanje nesreća i ozbiljnih nezgoda zrakoplova na temelju javne ovlasti obavlja poslove istraživanja nesreća, ozbiljnih nezgoda i događaja zrakoplova, kao djelatnosti od interesa za Republiku Hrvatsku s ciljem poboljšanja sigurnosti zračnog prometa.  </w:t>
      </w:r>
    </w:p>
    <w:p w:rsidR="00AC0832" w:rsidRDefault="00AC0832">
      <w:pPr>
        <w:pStyle w:val="Normal5"/>
      </w:pPr>
      <w:r>
        <w:t xml:space="preserve">Osnovana je uredbom Vlade RH (NN 110/09, 152/09), a na temelju članka 12 Zakona o zračnom prometu (NN 69/09, 84/11). Osnivanjem Agencije za istraživanje osigurano je usklađivanje s pravnom stečevinom EU u smislu provedbe odredbi članka 6. Direktive Vijeća 94/56 EZ od 21. Studenog 1994. Kojom se utvrđuju temeljna načela koja određuju istraživanje nezgoda i incidenata u civilnom zrakoplovstvu.   </w:t>
      </w:r>
    </w:p>
    <w:p w:rsidR="00AC0832" w:rsidRDefault="00AC0832">
      <w:pPr>
        <w:pStyle w:val="Normal5"/>
      </w:pPr>
      <w:r>
        <w:t>Zadaci na razini RKP-a su: istraživanje zrakoplovnih nesreća, ozbiljnih nezgoda i događaja; davanje sigurnosne preporuka radi poboljšanja sigurnosti u zračnom prometu; vođenje nacionalne baze podataka; dostavljanje podatke o događajima iz Nacionalne baze podataka u Središnju  bazu  Europske  komisije;  razmjenjivanje  podataka  iz  svoje  Nacionalne  baze podataka s drugim istražnim tijelima uz uvjet očuvanja tajnosti podataka; davanje stručne  pomoći nadležnim istražnim tijelima Republike Hrvatske; suradnja s drugim istražnim tijelima za istragu zrakoplovnih nesreća članicama Međunarodne organizacije za civilno zrakoplovstvo (ICAO); objavljivanje rezultata istrage poštujući načela tajnosti.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45084-Agencija za istraživanje nesreća i ozbiljnih nezgoda zrakoplova</w:t>
            </w:r>
          </w:p>
        </w:tc>
        <w:tc>
          <w:tcPr>
            <w:tcW w:w="2322" w:type="dxa"/>
          </w:tcPr>
          <w:p w:rsidR="00AC0832" w:rsidRDefault="00AC0832">
            <w:pPr>
              <w:pStyle w:val="CellColumn"/>
            </w:pPr>
            <w:r>
              <w:t>14.817.180</w:t>
            </w:r>
          </w:p>
        </w:tc>
        <w:tc>
          <w:tcPr>
            <w:tcW w:w="2322" w:type="dxa"/>
          </w:tcPr>
          <w:p w:rsidR="00AC0832" w:rsidRDefault="00AC0832">
            <w:pPr>
              <w:pStyle w:val="CellColumn"/>
            </w:pPr>
            <w:r>
              <w:t>6.607.059</w:t>
            </w:r>
          </w:p>
        </w:tc>
        <w:tc>
          <w:tcPr>
            <w:tcW w:w="2322" w:type="dxa"/>
          </w:tcPr>
          <w:p w:rsidR="00AC0832" w:rsidRDefault="00AC0832">
            <w:pPr>
              <w:pStyle w:val="CellColumn"/>
            </w:pPr>
            <w:r>
              <w:t>44,6</w:t>
            </w:r>
          </w:p>
        </w:tc>
      </w:tr>
      <w:tr w:rsidR="00AC0832" w:rsidTr="00BE20ED">
        <w:trPr>
          <w:jc w:val="center"/>
        </w:trPr>
        <w:tc>
          <w:tcPr>
            <w:tcW w:w="2322" w:type="dxa"/>
          </w:tcPr>
          <w:p w:rsidR="00AC0832" w:rsidRDefault="00AC0832">
            <w:pPr>
              <w:pStyle w:val="CellColumnSmall"/>
            </w:pPr>
            <w:r>
              <w:t>3106-RAZVOJ I SIGURNOST ZRAČNOG PROMETA I INFRASTRUKTURE</w:t>
            </w:r>
          </w:p>
        </w:tc>
        <w:tc>
          <w:tcPr>
            <w:tcW w:w="2322" w:type="dxa"/>
          </w:tcPr>
          <w:p w:rsidR="00AC0832" w:rsidRDefault="00AC0832">
            <w:pPr>
              <w:pStyle w:val="CellColumnSmall"/>
            </w:pPr>
            <w:r>
              <w:t>14.817.180</w:t>
            </w:r>
          </w:p>
        </w:tc>
        <w:tc>
          <w:tcPr>
            <w:tcW w:w="2322" w:type="dxa"/>
          </w:tcPr>
          <w:p w:rsidR="00AC0832" w:rsidRDefault="00AC0832">
            <w:pPr>
              <w:pStyle w:val="CellColumnSmall"/>
            </w:pPr>
            <w:r>
              <w:t>6.607.059</w:t>
            </w:r>
          </w:p>
        </w:tc>
        <w:tc>
          <w:tcPr>
            <w:tcW w:w="2322" w:type="dxa"/>
          </w:tcPr>
          <w:p w:rsidR="00AC0832" w:rsidRDefault="00AC0832">
            <w:pPr>
              <w:pStyle w:val="CellColumnSmall"/>
            </w:pPr>
            <w:r>
              <w:t>44,6</w:t>
            </w:r>
          </w:p>
        </w:tc>
      </w:tr>
    </w:tbl>
    <w:p w:rsidR="00AC0832" w:rsidRDefault="00AC0832">
      <w:pPr>
        <w:jc w:val="left"/>
      </w:pPr>
    </w:p>
    <w:p w:rsidR="00AC0832" w:rsidRDefault="00AC0832">
      <w:pPr>
        <w:pStyle w:val="Heading4"/>
      </w:pPr>
      <w:r>
        <w:t>OBRAZLOŽENJE PROGRAMA</w:t>
      </w:r>
    </w:p>
    <w:p w:rsidR="00AC0832" w:rsidRDefault="00AC0832">
      <w:pPr>
        <w:pStyle w:val="Heading5"/>
      </w:pPr>
      <w:r>
        <w:t>3106 RAZVOJ I SIGURNOST ZRAČNOG PROMETA I INFRASTRUKTURE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3106-RAZVOJ I SIGURNOST ZRAČNOG PROMETA I INFRASTRUKTURE</w:t>
            </w:r>
          </w:p>
        </w:tc>
        <w:tc>
          <w:tcPr>
            <w:tcW w:w="2322" w:type="dxa"/>
          </w:tcPr>
          <w:p w:rsidR="00AC0832" w:rsidRDefault="00AC0832">
            <w:pPr>
              <w:pStyle w:val="CellColumn"/>
            </w:pPr>
            <w:r>
              <w:t>14.817.180</w:t>
            </w:r>
          </w:p>
        </w:tc>
        <w:tc>
          <w:tcPr>
            <w:tcW w:w="2322" w:type="dxa"/>
          </w:tcPr>
          <w:p w:rsidR="00AC0832" w:rsidRDefault="00AC0832">
            <w:pPr>
              <w:pStyle w:val="CellColumn"/>
            </w:pPr>
            <w:r>
              <w:t>6.607.059</w:t>
            </w:r>
          </w:p>
        </w:tc>
        <w:tc>
          <w:tcPr>
            <w:tcW w:w="2322" w:type="dxa"/>
          </w:tcPr>
          <w:p w:rsidR="00AC0832" w:rsidRDefault="00AC0832">
            <w:pPr>
              <w:pStyle w:val="CellColumn"/>
            </w:pPr>
            <w:r>
              <w:t>44,6</w:t>
            </w:r>
          </w:p>
        </w:tc>
      </w:tr>
    </w:tbl>
    <w:p w:rsidR="00AC0832" w:rsidRDefault="00AC0832">
      <w:pPr>
        <w:jc w:val="left"/>
      </w:pPr>
    </w:p>
    <w:p w:rsidR="00AC0832" w:rsidRDefault="00AC0832">
      <w:pPr>
        <w:pStyle w:val="Heading6"/>
      </w:pPr>
      <w:r>
        <w:t>Opis programa</w:t>
      </w:r>
    </w:p>
    <w:p w:rsidR="00AC0832" w:rsidRDefault="00AC0832">
      <w:r>
        <w:t>Ovim programom provode se aktivnosti: istraživanja nesreća, nezgoda i događaja u civilnom zrakoplovstvu; ažuriranja i upravljanja nacionalnom bazom podataka nesreća, nezgoda i događaja koji ugrožavaju sigurnost u civilnom zračnom prometu; objavljivanja rezultata istrage.</w:t>
      </w:r>
    </w:p>
    <w:p w:rsidR="00AC0832" w:rsidRDefault="00AC0832">
      <w:pPr>
        <w:pStyle w:val="Heading6"/>
      </w:pPr>
      <w:r>
        <w:t>Zakonske i druge pravne osnove</w:t>
      </w:r>
    </w:p>
    <w:p w:rsidR="00AC0832" w:rsidRDefault="00AC0832">
      <w:r>
        <w:t xml:space="preserve">Zakon o zračnom prometu (NN 69/09, 84/11),  </w:t>
      </w:r>
    </w:p>
    <w:p w:rsidR="00AC0832" w:rsidRDefault="00AC0832">
      <w:r>
        <w:t xml:space="preserve">Pravilnik o izvješćivanju i istraživanju događaja koji ugrožavaju sigurnost te nesreća i ozbiljnih nezgoda zrakoplova (NN 138/09),  </w:t>
      </w:r>
    </w:p>
    <w:p w:rsidR="00AC0832" w:rsidRDefault="00AC0832">
      <w:r>
        <w:t xml:space="preserve">Direktiva 94/56 EZ, Direktiva 2003/42 EZ,  </w:t>
      </w:r>
    </w:p>
    <w:p w:rsidR="00AC0832" w:rsidRDefault="00AC0832">
      <w:r>
        <w:t>Direktiva 1321/2007 i 1330/2007 EZ i ICAO Dodatak 13.</w:t>
      </w:r>
    </w:p>
    <w:p w:rsidR="00AC0832" w:rsidRDefault="00AC0832">
      <w:pPr>
        <w:pStyle w:val="Heading7"/>
      </w:pPr>
      <w:r>
        <w:t xml:space="preserve">Cilj 1. Povećanje  sigurnosti  u  zračnom  prometu  sukladno  EU  standardima  </w:t>
      </w:r>
    </w:p>
    <w:p w:rsidR="00AC0832" w:rsidRDefault="00AC0832">
      <w:pPr>
        <w:pStyle w:val="Heading8"/>
        <w:jc w:val="left"/>
      </w:pPr>
      <w:r>
        <w:t>Opis provedbe cilja programa</w:t>
      </w:r>
    </w:p>
    <w:p w:rsidR="00AC0832" w:rsidRDefault="00AC0832">
      <w:pPr>
        <w:pStyle w:val="Normal6"/>
      </w:pPr>
      <w:r>
        <w:t>Osposobljavanje osoblja trenutno se provodi kroz projekt IPA2009, Twinning, koji se provodi kontinuirano i treba završiti u drugoj polovini 2013. godine. Planom i programom treninga predviđana su i daljnja osposobljavanja koja će se provoditi nakon završetka navedenog projekta.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5"/>
        <w:gridCol w:w="1595"/>
        <w:gridCol w:w="1166"/>
        <w:gridCol w:w="1213"/>
        <w:gridCol w:w="1268"/>
        <w:gridCol w:w="1213"/>
        <w:gridCol w:w="123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Stupanj osposobljenosti istražiteljskog tima i djelatnika za analizu i upravljanje nacionalnom bazom podataka</w:t>
            </w:r>
          </w:p>
        </w:tc>
        <w:tc>
          <w:tcPr>
            <w:tcW w:w="1300" w:type="dxa"/>
          </w:tcPr>
          <w:p w:rsidR="00AC0832" w:rsidRDefault="00AC0832">
            <w:pPr>
              <w:pStyle w:val="CellColumn"/>
            </w:pPr>
            <w:r>
              <w:t xml:space="preserve">Povećavanjem stupnja </w:t>
            </w:r>
          </w:p>
          <w:p w:rsidR="00AC0832" w:rsidRDefault="00AC0832">
            <w:pPr>
              <w:pStyle w:val="CellColumn"/>
            </w:pPr>
            <w:r>
              <w:t xml:space="preserve">osposobljenosti </w:t>
            </w:r>
          </w:p>
          <w:p w:rsidR="00AC0832" w:rsidRDefault="00AC0832">
            <w:pPr>
              <w:pStyle w:val="CellColumn"/>
            </w:pPr>
            <w:r>
              <w:t xml:space="preserve">istražiteljskog tima i </w:t>
            </w:r>
          </w:p>
          <w:p w:rsidR="00AC0832" w:rsidRDefault="00AC0832">
            <w:pPr>
              <w:pStyle w:val="CellColumn"/>
            </w:pPr>
            <w:r>
              <w:t xml:space="preserve">djelatnika </w:t>
            </w:r>
          </w:p>
          <w:p w:rsidR="00AC0832" w:rsidRDefault="00AC0832">
            <w:pPr>
              <w:pStyle w:val="CellColumn"/>
            </w:pPr>
            <w:r>
              <w:t xml:space="preserve">za analizu i </w:t>
            </w:r>
          </w:p>
          <w:p w:rsidR="00AC0832" w:rsidRDefault="00AC0832">
            <w:pPr>
              <w:pStyle w:val="CellColumn"/>
            </w:pPr>
            <w:r>
              <w:t xml:space="preserve">upravljanje </w:t>
            </w:r>
          </w:p>
          <w:p w:rsidR="00AC0832" w:rsidRDefault="00AC0832">
            <w:pPr>
              <w:pStyle w:val="CellColumn"/>
            </w:pPr>
            <w:r>
              <w:t xml:space="preserve">nacionalnom bazom </w:t>
            </w:r>
          </w:p>
          <w:p w:rsidR="00AC0832" w:rsidRDefault="00AC0832">
            <w:pPr>
              <w:pStyle w:val="CellColumn"/>
            </w:pPr>
            <w:r>
              <w:t xml:space="preserve">podataka </w:t>
            </w:r>
          </w:p>
          <w:p w:rsidR="00AC0832" w:rsidRDefault="00AC0832">
            <w:pPr>
              <w:pStyle w:val="CellColumn"/>
            </w:pPr>
            <w:r>
              <w:t xml:space="preserve">povećat će </w:t>
            </w:r>
          </w:p>
          <w:p w:rsidR="00AC0832" w:rsidRDefault="00AC0832">
            <w:pPr>
              <w:pStyle w:val="CellColumn"/>
            </w:pPr>
            <w:r>
              <w:t xml:space="preserve">se sigurnost </w:t>
            </w:r>
          </w:p>
          <w:p w:rsidR="00AC0832" w:rsidRDefault="00AC0832">
            <w:pPr>
              <w:pStyle w:val="CellColumn"/>
            </w:pPr>
            <w:r>
              <w:t xml:space="preserve">u zračnom </w:t>
            </w:r>
          </w:p>
          <w:p w:rsidR="00AC0832" w:rsidRDefault="00AC0832">
            <w:pPr>
              <w:pStyle w:val="CellColumn"/>
            </w:pPr>
            <w:r>
              <w:t>prometu</w:t>
            </w:r>
          </w:p>
        </w:tc>
        <w:tc>
          <w:tcPr>
            <w:tcW w:w="1300" w:type="dxa"/>
          </w:tcPr>
          <w:p w:rsidR="00AC0832" w:rsidRDefault="00AC0832">
            <w:pPr>
              <w:pStyle w:val="CellColumn"/>
            </w:pPr>
            <w:r>
              <w:t>%</w:t>
            </w:r>
          </w:p>
        </w:tc>
        <w:tc>
          <w:tcPr>
            <w:tcW w:w="1300" w:type="dxa"/>
          </w:tcPr>
          <w:p w:rsidR="00AC0832" w:rsidRDefault="00AC0832">
            <w:pPr>
              <w:pStyle w:val="CellColumn"/>
            </w:pPr>
            <w:r>
              <w:t>30</w:t>
            </w:r>
          </w:p>
        </w:tc>
        <w:tc>
          <w:tcPr>
            <w:tcW w:w="1300" w:type="dxa"/>
          </w:tcPr>
          <w:p w:rsidR="00AC0832" w:rsidRDefault="00AC0832">
            <w:pPr>
              <w:pStyle w:val="CellColumn"/>
            </w:pPr>
            <w:r>
              <w:t>Agencija za istraživanje nesreća i ozbiljnih nezgoda zrakoplova</w:t>
            </w:r>
          </w:p>
        </w:tc>
        <w:tc>
          <w:tcPr>
            <w:tcW w:w="1300" w:type="dxa"/>
          </w:tcPr>
          <w:p w:rsidR="00AC0832" w:rsidRDefault="00AC0832">
            <w:pPr>
              <w:pStyle w:val="CellColumn"/>
            </w:pPr>
            <w:r>
              <w:t>50</w:t>
            </w:r>
          </w:p>
        </w:tc>
        <w:tc>
          <w:tcPr>
            <w:tcW w:w="1300" w:type="dxa"/>
          </w:tcPr>
          <w:p w:rsidR="00AC0832" w:rsidRDefault="00AC0832">
            <w:pPr>
              <w:pStyle w:val="CellColumn"/>
            </w:pPr>
            <w:r>
              <w:t>20</w:t>
            </w:r>
          </w:p>
        </w:tc>
      </w:tr>
    </w:tbl>
    <w:p w:rsidR="00AC0832" w:rsidRDefault="00AC0832">
      <w:pPr>
        <w:jc w:val="left"/>
      </w:pPr>
    </w:p>
    <w:p w:rsidR="00AC0832" w:rsidRDefault="00AC0832">
      <w:pPr>
        <w:pStyle w:val="Heading6"/>
      </w:pPr>
      <w:r>
        <w:t>A838002 ADMINISTRACIJA I UPRAVLJANJE AGENCIJE ZA ISTRAŽIVANJE NESREĆA I OZBILJNIH NEZGODA ZRAKOPLOVA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A838002-ADMINISTRACIJA I UPRAVLJANJE AGENCIJE ZA ISTRAŽIVANJE NESREĆA I OZBILJNIH NEZGODA ZRAKOPLOVA</w:t>
            </w:r>
          </w:p>
        </w:tc>
        <w:tc>
          <w:tcPr>
            <w:tcW w:w="2322" w:type="dxa"/>
          </w:tcPr>
          <w:p w:rsidR="00AC0832" w:rsidRDefault="00AC0832">
            <w:pPr>
              <w:pStyle w:val="CellColumn"/>
            </w:pPr>
            <w:r>
              <w:t>4.792.000</w:t>
            </w:r>
          </w:p>
        </w:tc>
        <w:tc>
          <w:tcPr>
            <w:tcW w:w="2322" w:type="dxa"/>
          </w:tcPr>
          <w:p w:rsidR="00AC0832" w:rsidRDefault="00AC0832">
            <w:pPr>
              <w:pStyle w:val="CellColumn"/>
            </w:pPr>
            <w:r>
              <w:t>2.189.105</w:t>
            </w:r>
          </w:p>
        </w:tc>
        <w:tc>
          <w:tcPr>
            <w:tcW w:w="2322" w:type="dxa"/>
          </w:tcPr>
          <w:p w:rsidR="00AC0832" w:rsidRDefault="00AC0832">
            <w:pPr>
              <w:pStyle w:val="CellColumn"/>
            </w:pPr>
            <w:r>
              <w:t>45,7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Indeks izvršenja nije realiziran u većem postotku jer Agencija nije ostvarila planirane rashode za zakupnine i najamnine, komunalne usluge i dodatno ulaganje na građevinskim objektima iz razloga što preko Središnjeg ureda za upravljanje državnom imovinom kojem se Agencija obratila u više navrata radi najma adekvatnog prostora, navedeni prostor nije osiguran.  </w:t>
      </w:r>
    </w:p>
    <w:p w:rsidR="00AC0832" w:rsidRDefault="00AC0832">
      <w:pPr>
        <w:pStyle w:val="Normal6"/>
      </w:pPr>
      <w:r>
        <w:t xml:space="preserve">Ministarstvo pomorstva, prometa i infrastrukture je Agenciji ponudilo nove prostore te je Agencija u fazi preseljenja. </w:t>
      </w:r>
    </w:p>
    <w:p w:rsidR="00AC0832" w:rsidRDefault="00AC0832">
      <w:pPr>
        <w:pStyle w:val="Normal6"/>
      </w:pPr>
      <w:r>
        <w:t xml:space="preserve">Sredstva za službena putovanja nisu u cijelosti utrošena zbog racionalizacije dužine trajanja putovanja. </w:t>
      </w:r>
    </w:p>
    <w:p w:rsidR="00AC0832" w:rsidRDefault="00AC0832">
      <w:pPr>
        <w:pStyle w:val="Normal6"/>
      </w:pPr>
      <w:r>
        <w:t xml:space="preserve">Također rashodi za ulaganja u računalnu opreme nisu utrošena iz razloga što je IT oprema nabavljena kroz projekt IPA2009. </w:t>
      </w:r>
    </w:p>
    <w:p w:rsidR="00AC0832" w:rsidRDefault="00AC0832">
      <w:pPr>
        <w:pStyle w:val="Normal6"/>
      </w:pPr>
      <w:r>
        <w:t>Rashodi za ostale usluge nisu se izvršili u cijelosti jer je nemoguće predvidjeti broj zrakoplovnih nesreća/ozbiljnih nezgoda te njihov obim.</w:t>
      </w:r>
    </w:p>
    <w:p w:rsidR="00AC0832" w:rsidRDefault="00AC0832">
      <w:pPr>
        <w:pStyle w:val="Heading6"/>
      </w:pPr>
      <w:r>
        <w:t>K838001 IPA I 2009-JAČANJE TEHNIČKE SPOSOBNOSTI AGENCIJE ZA ISTRAŽIVANJE NESREĆA I OZBILJNIH NEZGODA ZRAKOPLOVA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K838001-IPA I 2009-JAČANJE TEHNIČKE SPOSOBNOSTI AGENCIJE ZA ISTRAŽIVANJE NESREĆA I OZBILJNIH NEZGODA ZRAKOPLOVA</w:t>
            </w:r>
          </w:p>
        </w:tc>
        <w:tc>
          <w:tcPr>
            <w:tcW w:w="2322" w:type="dxa"/>
          </w:tcPr>
          <w:p w:rsidR="00AC0832" w:rsidRDefault="00AC0832">
            <w:pPr>
              <w:pStyle w:val="CellColumn"/>
            </w:pPr>
            <w:r>
              <w:t>9.795.180</w:t>
            </w:r>
          </w:p>
        </w:tc>
        <w:tc>
          <w:tcPr>
            <w:tcW w:w="2322" w:type="dxa"/>
          </w:tcPr>
          <w:p w:rsidR="00AC0832" w:rsidRDefault="00AC0832">
            <w:pPr>
              <w:pStyle w:val="CellColumn"/>
            </w:pPr>
            <w:r>
              <w:t>4.353.348</w:t>
            </w:r>
          </w:p>
        </w:tc>
        <w:tc>
          <w:tcPr>
            <w:tcW w:w="2322" w:type="dxa"/>
          </w:tcPr>
          <w:p w:rsidR="00AC0832" w:rsidRDefault="00AC0832">
            <w:pPr>
              <w:pStyle w:val="CellColumn"/>
            </w:pPr>
            <w:r>
              <w:t>44,4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prvom kvartalu 2012. ugovorena su tri lot-a (lot 1 – IT oprema, lot 2 – softver (ACZ) i lot 6 – terenska oprema). Ostali lotovi nisu ugovoreni u 2012. godini zbog neprihvatljivih ponuda. Ti lotovi su u fazi pripreme dokumentacije za međunarodni otvoreni natječaj. Ugovaranje i potpisivanje ugovora za preostale lotove očekuje se u prvoj polovici 2013. </w:t>
      </w:r>
    </w:p>
    <w:p w:rsidR="00AC0832" w:rsidRDefault="00AC0832">
      <w:pPr>
        <w:pStyle w:val="Normal6"/>
      </w:pPr>
      <w:r>
        <w:t>IT oprema nabavljena je preko projekta IPA2009, komponenta Supply. Zbog preseljenja Agencije na novu lokaciju sva oprema još nije u funkciji i nalazi se u fazi instalacije.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17"/>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nabavljene IT opreme</w:t>
            </w:r>
          </w:p>
        </w:tc>
        <w:tc>
          <w:tcPr>
            <w:tcW w:w="1300" w:type="dxa"/>
          </w:tcPr>
          <w:p w:rsidR="00AC0832" w:rsidRDefault="00AC0832">
            <w:pPr>
              <w:pStyle w:val="CellColumn"/>
            </w:pPr>
            <w:r>
              <w:t xml:space="preserve">Nabavljenom </w:t>
            </w:r>
          </w:p>
          <w:p w:rsidR="00AC0832" w:rsidRDefault="00AC0832">
            <w:pPr>
              <w:pStyle w:val="CellColumn"/>
            </w:pPr>
            <w:r>
              <w:t xml:space="preserve">IT opremom </w:t>
            </w:r>
          </w:p>
          <w:p w:rsidR="00AC0832" w:rsidRDefault="00AC0832">
            <w:pPr>
              <w:pStyle w:val="CellColumn"/>
            </w:pPr>
            <w:r>
              <w:t xml:space="preserve">povećava se </w:t>
            </w:r>
          </w:p>
          <w:p w:rsidR="00AC0832" w:rsidRDefault="00AC0832">
            <w:pPr>
              <w:pStyle w:val="CellColumn"/>
            </w:pPr>
            <w:r>
              <w:t xml:space="preserve">učinkovitost </w:t>
            </w:r>
          </w:p>
          <w:p w:rsidR="00AC0832" w:rsidRDefault="00AC0832">
            <w:pPr>
              <w:pStyle w:val="CellColumn"/>
            </w:pPr>
            <w:r>
              <w:t xml:space="preserve">rada </w:t>
            </w:r>
          </w:p>
          <w:p w:rsidR="00AC0832" w:rsidRDefault="00AC0832">
            <w:pPr>
              <w:pStyle w:val="CellColumn"/>
            </w:pPr>
            <w:r>
              <w:t xml:space="preserve">istražiteljskog </w:t>
            </w:r>
          </w:p>
          <w:p w:rsidR="00AC0832" w:rsidRDefault="00AC0832">
            <w:pPr>
              <w:pStyle w:val="CellColumn"/>
            </w:pPr>
            <w:r>
              <w:t>tima</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Agencija za istraživanje nesreća i ozbiljnih nezgoda zrakoplova</w:t>
            </w:r>
          </w:p>
        </w:tc>
        <w:tc>
          <w:tcPr>
            <w:tcW w:w="1300" w:type="dxa"/>
          </w:tcPr>
          <w:p w:rsidR="00AC0832" w:rsidRDefault="00AC0832">
            <w:pPr>
              <w:pStyle w:val="CellColumn"/>
            </w:pPr>
            <w:r>
              <w:t>100</w:t>
            </w:r>
          </w:p>
        </w:tc>
        <w:tc>
          <w:tcPr>
            <w:tcW w:w="1300" w:type="dxa"/>
          </w:tcPr>
          <w:p w:rsidR="00AC0832" w:rsidRDefault="00AC0832">
            <w:pPr>
              <w:pStyle w:val="CellColumn"/>
            </w:pPr>
            <w:r>
              <w:t>80</w:t>
            </w:r>
          </w:p>
        </w:tc>
      </w:tr>
    </w:tbl>
    <w:p w:rsidR="00AC0832" w:rsidRDefault="00AC0832">
      <w:pPr>
        <w:jc w:val="left"/>
      </w:pPr>
    </w:p>
    <w:p w:rsidR="00AC0832" w:rsidRDefault="00AC0832">
      <w:pPr>
        <w:pStyle w:val="Heading3"/>
      </w:pPr>
      <w:r>
        <w:t>45228 Agencija za sigurnost željezničkog prometa</w:t>
      </w:r>
    </w:p>
    <w:p w:rsidR="00AC0832" w:rsidRDefault="00AC0832">
      <w:pPr>
        <w:pStyle w:val="Heading4"/>
      </w:pPr>
      <w:r>
        <w:t>Uvod</w:t>
      </w:r>
    </w:p>
    <w:p w:rsidR="00AC0832" w:rsidRDefault="00AC0832">
      <w:pPr>
        <w:pStyle w:val="Normal5"/>
      </w:pPr>
      <w:r>
        <w:t>Agencija za sigurnost željezničkog prometa osnovana je kao neovisna i nadzorna ustanova, zadužena za nadzor, upravljanje i promicanje sigurnosti u željezničkom prometu. Osnivanje Agencije proizlazi kao pravna posljedica usklađivanja domaćeg zakonodavstva s pravnom stečevinom EU. Aktivnosti koje Agencija obavlja propisane su posebnim zakonom. Agencija je započela s obavljanjem nekih od djelatnosti propisanih Zakonom i aktivnostima na ekipiranju i izobrazbi djelatnika te opremanju i informatizacije Agencije. Nadalje, obavljane su i potrebne aktivnosti vezane za pripremu i prilagodbu budućim tržišnim uvjetima liberaliziranog željezničkog tržišta. Bitna pretpostavka je prihvaćanje svih domaćih i europskih tehničkih standarda i normi, kojima trebaju udovoljavati željeznički operateri i upravitelj infrastrukture, odnosno svi akteri prisutni na tržištu, uključujući i izvršne radnike.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45228-Agencija za sigurnost željezničkog prometa</w:t>
            </w:r>
          </w:p>
        </w:tc>
        <w:tc>
          <w:tcPr>
            <w:tcW w:w="2322" w:type="dxa"/>
          </w:tcPr>
          <w:p w:rsidR="00AC0832" w:rsidRDefault="00AC0832">
            <w:pPr>
              <w:pStyle w:val="CellColumn"/>
            </w:pPr>
            <w:r>
              <w:t>3.115.000</w:t>
            </w:r>
          </w:p>
        </w:tc>
        <w:tc>
          <w:tcPr>
            <w:tcW w:w="2322" w:type="dxa"/>
          </w:tcPr>
          <w:p w:rsidR="00AC0832" w:rsidRDefault="00AC0832">
            <w:pPr>
              <w:pStyle w:val="CellColumn"/>
            </w:pPr>
            <w:r>
              <w:t>2.190.136</w:t>
            </w:r>
          </w:p>
        </w:tc>
        <w:tc>
          <w:tcPr>
            <w:tcW w:w="2322" w:type="dxa"/>
          </w:tcPr>
          <w:p w:rsidR="00AC0832" w:rsidRDefault="00AC0832">
            <w:pPr>
              <w:pStyle w:val="CellColumn"/>
            </w:pPr>
            <w:r>
              <w:t>70,3</w:t>
            </w:r>
          </w:p>
        </w:tc>
      </w:tr>
      <w:tr w:rsidR="00AC0832" w:rsidTr="00BE20ED">
        <w:trPr>
          <w:jc w:val="center"/>
        </w:trPr>
        <w:tc>
          <w:tcPr>
            <w:tcW w:w="2322" w:type="dxa"/>
          </w:tcPr>
          <w:p w:rsidR="00AC0832" w:rsidRDefault="00AC0832">
            <w:pPr>
              <w:pStyle w:val="CellColumnSmall"/>
            </w:pPr>
            <w:r>
              <w:t>3102-RAZVOJ I SIGURNOST ŽELJEZNIČKOG PROMETA, INFRASTRUKTURE I ŽIČARA</w:t>
            </w:r>
          </w:p>
        </w:tc>
        <w:tc>
          <w:tcPr>
            <w:tcW w:w="2322" w:type="dxa"/>
          </w:tcPr>
          <w:p w:rsidR="00AC0832" w:rsidRDefault="00AC0832">
            <w:pPr>
              <w:pStyle w:val="CellColumnSmall"/>
            </w:pPr>
            <w:r>
              <w:t>3.115.000</w:t>
            </w:r>
          </w:p>
        </w:tc>
        <w:tc>
          <w:tcPr>
            <w:tcW w:w="2322" w:type="dxa"/>
          </w:tcPr>
          <w:p w:rsidR="00AC0832" w:rsidRDefault="00AC0832">
            <w:pPr>
              <w:pStyle w:val="CellColumnSmall"/>
            </w:pPr>
            <w:r>
              <w:t>2.190.136</w:t>
            </w:r>
          </w:p>
        </w:tc>
        <w:tc>
          <w:tcPr>
            <w:tcW w:w="2322" w:type="dxa"/>
          </w:tcPr>
          <w:p w:rsidR="00AC0832" w:rsidRDefault="00AC0832">
            <w:pPr>
              <w:pStyle w:val="CellColumnSmall"/>
            </w:pPr>
            <w:r>
              <w:t>70,3</w:t>
            </w:r>
          </w:p>
        </w:tc>
      </w:tr>
    </w:tbl>
    <w:p w:rsidR="00AC0832" w:rsidRDefault="00AC0832">
      <w:pPr>
        <w:jc w:val="left"/>
      </w:pPr>
    </w:p>
    <w:p w:rsidR="00AC0832" w:rsidRDefault="00AC0832">
      <w:pPr>
        <w:pStyle w:val="Heading4"/>
      </w:pPr>
      <w:r>
        <w:t>OBRAZLOŽENJE PROGRAMA</w:t>
      </w:r>
    </w:p>
    <w:p w:rsidR="00AC0832" w:rsidRDefault="00AC0832">
      <w:pPr>
        <w:pStyle w:val="Heading5"/>
      </w:pPr>
      <w:r>
        <w:t>3102 RAZVOJ I SIGURNOST ŽELJEZNIČKOG PROMETA, INFRASTRUKTURE I ŽIČARA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3102-RAZVOJ I SIGURNOST ŽELJEZNIČKOG PROMETA, INFRASTRUKTURE I ŽIČARA</w:t>
            </w:r>
          </w:p>
        </w:tc>
        <w:tc>
          <w:tcPr>
            <w:tcW w:w="2322" w:type="dxa"/>
          </w:tcPr>
          <w:p w:rsidR="00AC0832" w:rsidRDefault="00AC0832">
            <w:pPr>
              <w:pStyle w:val="CellColumn"/>
            </w:pPr>
            <w:r>
              <w:t>3.115.000</w:t>
            </w:r>
          </w:p>
        </w:tc>
        <w:tc>
          <w:tcPr>
            <w:tcW w:w="2322" w:type="dxa"/>
          </w:tcPr>
          <w:p w:rsidR="00AC0832" w:rsidRDefault="00AC0832">
            <w:pPr>
              <w:pStyle w:val="CellColumn"/>
            </w:pPr>
            <w:r>
              <w:t>2.190.136</w:t>
            </w:r>
          </w:p>
        </w:tc>
        <w:tc>
          <w:tcPr>
            <w:tcW w:w="2322" w:type="dxa"/>
          </w:tcPr>
          <w:p w:rsidR="00AC0832" w:rsidRDefault="00AC0832">
            <w:pPr>
              <w:pStyle w:val="CellColumn"/>
            </w:pPr>
            <w:r>
              <w:t>70,3</w:t>
            </w:r>
          </w:p>
        </w:tc>
      </w:tr>
    </w:tbl>
    <w:p w:rsidR="00AC0832" w:rsidRDefault="00AC0832">
      <w:pPr>
        <w:jc w:val="left"/>
      </w:pPr>
    </w:p>
    <w:p w:rsidR="00AC0832" w:rsidRDefault="00AC0832">
      <w:pPr>
        <w:pStyle w:val="Heading6"/>
      </w:pPr>
      <w:r>
        <w:t>Opis programa</w:t>
      </w:r>
    </w:p>
    <w:p w:rsidR="00AC0832" w:rsidRDefault="00AC0832">
      <w:r>
        <w:t>Kroz ovaj program, u 2012. provodile su se aktivnosti vezane za djelatnost i rad Agencije koja je prvenstveno zadužena za nadzor, upravljanje i promicanje sigurnosti u željezničkom prometu. Djelatnosti u   nadležnosti Agencije su   izdavanje rješenja o sigurnosti, obavljanje tehničkih pregleda, donošenje rješenja za probne dionice, vođenje registra željezničkih vozila, nadzor valjanosti registracije voznog parka, obavljanje stručnih ispita i provjere znanja izvršnih radnika,  izdavanje  uvjerenja  o  položenim  ispitima,  praćenje  i  promicanje  razvoja sustava sigurnosti željezničkog prometa kroz provedbu nacionalnih pravila sigurnosti prometa, dostava redovitih  izvješća nadležnim državnim  institucijama te suradnja sa stranim Agencijama za sigurnost željezničkog prometa.</w:t>
      </w:r>
    </w:p>
    <w:p w:rsidR="00AC0832" w:rsidRDefault="00AC0832">
      <w:pPr>
        <w:pStyle w:val="Heading6"/>
      </w:pPr>
      <w:r>
        <w:t>Zakonske i druge pravne osnove</w:t>
      </w:r>
    </w:p>
    <w:p w:rsidR="00AC0832" w:rsidRDefault="00AC0832">
      <w:r>
        <w:t xml:space="preserve">Zakon o Agenciji za sigurnost željezničkog prometa (NN 120/08),  </w:t>
      </w:r>
    </w:p>
    <w:p w:rsidR="00AC0832" w:rsidRDefault="00AC0832">
      <w:r>
        <w:t xml:space="preserve">Zakon o sigurnosti željezničkog prometa (NN 40/07), </w:t>
      </w:r>
    </w:p>
    <w:p w:rsidR="00AC0832" w:rsidRDefault="00AC0832">
      <w:r>
        <w:t xml:space="preserve">Zakon o željeznici (NN 123/03, 194/03, 30/04, 79/07, 75/09), </w:t>
      </w:r>
    </w:p>
    <w:p w:rsidR="00AC0832" w:rsidRDefault="00AC0832">
      <w:r>
        <w:t xml:space="preserve">Zakon o ustanovama (NN 76/93, 29/97, 47/99, 35/08) i </w:t>
      </w:r>
    </w:p>
    <w:p w:rsidR="00AC0832" w:rsidRDefault="00AC0832">
      <w:r>
        <w:t>Zakon o općem upravnom postupku (NN 47/09).</w:t>
      </w:r>
    </w:p>
    <w:p w:rsidR="00AC0832" w:rsidRDefault="00AC0832">
      <w:pPr>
        <w:pStyle w:val="Heading7"/>
      </w:pPr>
      <w:r>
        <w:t xml:space="preserve">Cilj 1.  Jačanje  administrativne  sposobnosti  djelatnika  Agencije </w:t>
      </w:r>
    </w:p>
    <w:p w:rsidR="00AC0832" w:rsidRDefault="00AC0832">
      <w:pPr>
        <w:pStyle w:val="Heading8"/>
        <w:jc w:val="left"/>
      </w:pPr>
      <w:r>
        <w:t>Opis provedbe cilja programa</w:t>
      </w:r>
    </w:p>
    <w:p w:rsidR="00AC0832" w:rsidRDefault="00AC0832">
      <w:pPr>
        <w:pStyle w:val="Normal6"/>
      </w:pPr>
      <w:r>
        <w:t xml:space="preserve">Temeljni cilj ovog programa je jačanje administrativnih kapaciteta Agencije, odnosno jačanje administrativnih sposobnosti zaposlenika Agencije, kako bi se u doglednoj budućnosti spremno odgovorilo zahtjevima i potrebama korisnika. Radi širokog spektra nadležnosti Agencije, od iznimne je važnosti zapošljavanje kvalificiranih i kompetentnih stručnjaka raznih profila. Nadalje, da bi se osigurao zadovoljavajući stupanj osposobljenosti zaposlenika Agencije s posebnim znanjima i vještinama, potrebno je njihovo stalno stručno usavršavanje koje se mora odvijati kontinuirano i permanentno, te prvenstveno kroz direktnu suradnju s europskim nadležnim institucijama i sličnim Agencijama. Međutim, kako u 2012. nisu ojačani administrativni kapaciteti Agencije, odnosno u Agenciji je bilo zaposleno svega 5 zaposlenika uključujući ravnatelja Agencije, svi zaposlenici su upućeni na planirana stručna osposobljavanja i usavršavanja. Tako su 2 zaposlenika Agencije  educirana za regulaciju i privatizaciju javnih službi na državnoj, regionalnoj i lokalnoj razini, a 1 zaposlenik je završio seminar o pravu na pristup informacijama/zaštiti osobnih podataka. Međunarodni prometni simpozij su pohađala 2 zaposlenika Agencije. S obzirom na česte međunarodne kontakte radilo se na poboljšanju poznavanja stranih jezika zaposlenika, te su 2 zaposlenika pohađala tečaj francuskog jezika, a 2 tečaj engleskog jezika. </w:t>
      </w:r>
    </w:p>
    <w:p w:rsidR="00AC0832" w:rsidRDefault="00AC0832">
      <w:pPr>
        <w:pStyle w:val="Normal6"/>
      </w:pPr>
      <w:r>
        <w:t xml:space="preserve">Uz navedene edukacije zaposlenici su pohađali niz programa Državne škole za javnu upravu; „ZUP u praksi”, „Komunikacijske vještine”, „Prezentacijske vještine”, „Upravljanje projektima”. </w:t>
      </w:r>
    </w:p>
    <w:p w:rsidR="00AC0832" w:rsidRDefault="00AC0832">
      <w:pPr>
        <w:pStyle w:val="Normal6"/>
      </w:pPr>
      <w:r>
        <w:t>Dakle, s obzirom na broj zaposlenika u 2012. godini sredstvima sa ovoga programa omogućeno je financiranje planiranih osposobljavanja i usavršavanja svih postojećih zaposlenika te je stoga  stupanj osposobljenosti postojećih 5 zaposlenika s posebnim znanjima i vještinama na kraju 2012. godine bio 100%.</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5"/>
        <w:gridCol w:w="1595"/>
        <w:gridCol w:w="1152"/>
        <w:gridCol w:w="1204"/>
        <w:gridCol w:w="1306"/>
        <w:gridCol w:w="1204"/>
        <w:gridCol w:w="123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Stupanj osposobljenosti djelatnika s posebnim znanjima i vještinama</w:t>
            </w:r>
          </w:p>
        </w:tc>
        <w:tc>
          <w:tcPr>
            <w:tcW w:w="1300" w:type="dxa"/>
          </w:tcPr>
          <w:p w:rsidR="00AC0832" w:rsidRDefault="00AC0832">
            <w:pPr>
              <w:pStyle w:val="CellColumn"/>
            </w:pPr>
            <w:r>
              <w:t xml:space="preserve">Usavršavanjem stručnih </w:t>
            </w:r>
          </w:p>
          <w:p w:rsidR="00AC0832" w:rsidRDefault="00AC0832">
            <w:pPr>
              <w:pStyle w:val="CellColumn"/>
            </w:pPr>
            <w:r>
              <w:t xml:space="preserve">znanja </w:t>
            </w:r>
          </w:p>
          <w:p w:rsidR="00AC0832" w:rsidRDefault="00AC0832">
            <w:pPr>
              <w:pStyle w:val="CellColumn"/>
            </w:pPr>
            <w:r>
              <w:t xml:space="preserve">zaposlenika </w:t>
            </w:r>
          </w:p>
          <w:p w:rsidR="00AC0832" w:rsidRDefault="00AC0832">
            <w:pPr>
              <w:pStyle w:val="CellColumn"/>
            </w:pPr>
            <w:r>
              <w:t xml:space="preserve">osigurava </w:t>
            </w:r>
          </w:p>
          <w:p w:rsidR="00AC0832" w:rsidRDefault="00AC0832">
            <w:pPr>
              <w:pStyle w:val="CellColumn"/>
            </w:pPr>
            <w:r>
              <w:t xml:space="preserve">se </w:t>
            </w:r>
          </w:p>
          <w:p w:rsidR="00AC0832" w:rsidRDefault="00AC0832">
            <w:pPr>
              <w:pStyle w:val="CellColumn"/>
            </w:pPr>
            <w:r>
              <w:t xml:space="preserve">adekvatno i </w:t>
            </w:r>
          </w:p>
          <w:p w:rsidR="00AC0832" w:rsidRDefault="00AC0832">
            <w:pPr>
              <w:pStyle w:val="CellColumn"/>
            </w:pPr>
            <w:r>
              <w:t xml:space="preserve">neovisno </w:t>
            </w:r>
          </w:p>
          <w:p w:rsidR="00AC0832" w:rsidRDefault="00AC0832">
            <w:pPr>
              <w:pStyle w:val="CellColumn"/>
            </w:pPr>
            <w:r>
              <w:t>funkcioniranje Agencije.</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Agencija za sigurnost željezničkog prometa</w:t>
            </w:r>
          </w:p>
        </w:tc>
        <w:tc>
          <w:tcPr>
            <w:tcW w:w="1300" w:type="dxa"/>
          </w:tcPr>
          <w:p w:rsidR="00AC0832" w:rsidRDefault="00AC0832">
            <w:pPr>
              <w:pStyle w:val="CellColumn"/>
            </w:pPr>
            <w:r>
              <w:t>12</w:t>
            </w:r>
          </w:p>
        </w:tc>
        <w:tc>
          <w:tcPr>
            <w:tcW w:w="1300" w:type="dxa"/>
          </w:tcPr>
          <w:p w:rsidR="00AC0832" w:rsidRDefault="00AC0832">
            <w:pPr>
              <w:pStyle w:val="CellColumn"/>
            </w:pPr>
            <w:r>
              <w:t>100</w:t>
            </w:r>
          </w:p>
        </w:tc>
      </w:tr>
    </w:tbl>
    <w:p w:rsidR="00AC0832" w:rsidRDefault="00AC0832">
      <w:pPr>
        <w:jc w:val="left"/>
      </w:pPr>
    </w:p>
    <w:p w:rsidR="00AC0832" w:rsidRDefault="00AC0832">
      <w:pPr>
        <w:pStyle w:val="Heading6"/>
      </w:pPr>
      <w:r>
        <w:t>A840001 ADMINISTRACIJA I UPRAVLJANJE AGENCIJE ZA SIGURNOST ŽELJEZNIČKOG PROMETA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A840001-ADMINISTRACIJA I UPRAVLJANJE AGENCIJE ZA SIGURNOST ŽELJEZNIČKOG PROMETA</w:t>
            </w:r>
          </w:p>
        </w:tc>
        <w:tc>
          <w:tcPr>
            <w:tcW w:w="2322" w:type="dxa"/>
          </w:tcPr>
          <w:p w:rsidR="00AC0832" w:rsidRDefault="00AC0832">
            <w:pPr>
              <w:pStyle w:val="CellColumn"/>
            </w:pPr>
            <w:r>
              <w:t>2.780.000</w:t>
            </w:r>
          </w:p>
        </w:tc>
        <w:tc>
          <w:tcPr>
            <w:tcW w:w="2322" w:type="dxa"/>
          </w:tcPr>
          <w:p w:rsidR="00AC0832" w:rsidRDefault="00AC0832">
            <w:pPr>
              <w:pStyle w:val="CellColumn"/>
            </w:pPr>
            <w:r>
              <w:t>2.038.409</w:t>
            </w:r>
          </w:p>
        </w:tc>
        <w:tc>
          <w:tcPr>
            <w:tcW w:w="2322" w:type="dxa"/>
          </w:tcPr>
          <w:p w:rsidR="00AC0832" w:rsidRDefault="00AC0832">
            <w:pPr>
              <w:pStyle w:val="CellColumn"/>
            </w:pPr>
            <w:r>
              <w:t>73,3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Financijska sredstva  na  aktivnosti Administracija i upravljanje Agencije za sigurnost željezničkog prometa, u 2012. su utrošena za pokriće troškova zaposlenika, stručno usavršavanje i službena putovanja, najam uredskog prostora, opremanje radnih mjesta potrebnom uredskom i komunikacijskom opremom i drugi materijalni troškovi. Uvažavajući  veličinu hrvatske željezničke mreže,  veličinu zemlje i veliki obujam odgovornosti i aktivnosti koje su u domeni Agencije, procjenjuje se da bi u doglednoj budućnosti optimalan broj zaposlenih trebao iznositi ukupno 49 zaposlenika. Zbog ograničenja, odnosno limita u sredstvima osiguranim proračunom, Agencija u 2012. nije ojačala administrativne kapacitete i imala je svega 5 zaposlenika Agencije te se ova aktivnost u 2012. nije provodila sukladno očekivanju. Međutim, Financijskim planom Agencije za 2013. i projekcijama za 2014.-2015. osigurana su financijska sredstva kojima će u 2013. Agencija moći ostvariti zapošljavanje cca: 15 zaposlenika te će biti u mogućnosti obavljati veći dio aktivnosti iz svoje nadležnosti propisane zakonom. Iznimno je važno zapošljavanje stručnjaka odgovarajućih referenci, koji će se u prvoj fazi rada najviše posvetiti usavršavanju i kontaktiranju s europskim sličnim agencijama, budući će Agencija primjenjivati postojeću europsku praksu na području sigurnosti željezničkog prometa. Potpuni značaj Agencije prvenstveno će se izraziti pojavom novih željezničkih operatera, kojima će provedene procedure i izdana rješenja od strane Agencije, biti temeljni uvjet djelovanja na željezničkom tržištu. S obzirom na navedeno, razvidno je da se ova aktivnost u 2012. nije provodila sukladno očekivanju jer su se obavljale samo neke od djelatnosti iz nadležnosti Agencije ali je za ovu aktivnost ostvarena ciljana vrijednost pokazatelja na kraju 2012. tj. 7 izdanih rješenja o sigurnosti (1 za upravitelja infrastrukture, 3 za željezničke prijevoznike i 3 za obavljanje prijevoza za vlastite potrebe)) te se stoga može reći da su planirani ciljevi ove aktivnosti postignuti.</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6"/>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Ukupan broj izdanih rješenja  o  sigurnosti za željezničke prijevoznike</w:t>
            </w:r>
          </w:p>
        </w:tc>
        <w:tc>
          <w:tcPr>
            <w:tcW w:w="1300" w:type="dxa"/>
          </w:tcPr>
          <w:p w:rsidR="00AC0832" w:rsidRDefault="00AC0832">
            <w:pPr>
              <w:pStyle w:val="CellColumn"/>
            </w:pPr>
            <w:r>
              <w:t>Izdavanjem rješenja o sigurnosti željezničkih operatera prati se i potiče sigurnost željezničkog prijevoza</w:t>
            </w:r>
          </w:p>
        </w:tc>
        <w:tc>
          <w:tcPr>
            <w:tcW w:w="1300" w:type="dxa"/>
          </w:tcPr>
          <w:p w:rsidR="00AC0832" w:rsidRDefault="00AC0832">
            <w:pPr>
              <w:pStyle w:val="CellColumn"/>
            </w:pPr>
            <w:r>
              <w:t>broj</w:t>
            </w:r>
          </w:p>
        </w:tc>
        <w:tc>
          <w:tcPr>
            <w:tcW w:w="1300" w:type="dxa"/>
          </w:tcPr>
          <w:p w:rsidR="00AC0832" w:rsidRDefault="00AC0832">
            <w:pPr>
              <w:pStyle w:val="CellColumn"/>
            </w:pPr>
            <w:r>
              <w:t>3</w:t>
            </w:r>
          </w:p>
        </w:tc>
        <w:tc>
          <w:tcPr>
            <w:tcW w:w="1300" w:type="dxa"/>
          </w:tcPr>
          <w:p w:rsidR="00AC0832" w:rsidRDefault="00AC0832">
            <w:pPr>
              <w:pStyle w:val="CellColumn"/>
            </w:pPr>
            <w:r>
              <w:t>MPPI</w:t>
            </w:r>
          </w:p>
        </w:tc>
        <w:tc>
          <w:tcPr>
            <w:tcW w:w="1300" w:type="dxa"/>
          </w:tcPr>
          <w:p w:rsidR="00AC0832" w:rsidRDefault="00AC0832">
            <w:pPr>
              <w:pStyle w:val="CellColumn"/>
            </w:pPr>
            <w:r>
              <w:t>3</w:t>
            </w:r>
          </w:p>
        </w:tc>
        <w:tc>
          <w:tcPr>
            <w:tcW w:w="1300" w:type="dxa"/>
          </w:tcPr>
          <w:p w:rsidR="00AC0832" w:rsidRDefault="00AC0832">
            <w:pPr>
              <w:pStyle w:val="CellColumn"/>
            </w:pPr>
            <w:r>
              <w:t>10</w:t>
            </w:r>
          </w:p>
        </w:tc>
      </w:tr>
    </w:tbl>
    <w:p w:rsidR="00AC0832" w:rsidRDefault="00AC0832">
      <w:pPr>
        <w:jc w:val="left"/>
      </w:pPr>
    </w:p>
    <w:p w:rsidR="00AC0832" w:rsidRDefault="00AC0832">
      <w:pPr>
        <w:pStyle w:val="Heading2"/>
      </w:pPr>
      <w:r>
        <w:t>06560 Hrvatski hidrografski institut</w:t>
      </w:r>
    </w:p>
    <w:p w:rsidR="00AC0832" w:rsidRDefault="00AC0832">
      <w:pPr>
        <w:pStyle w:val="Heading4"/>
      </w:pPr>
      <w:r>
        <w:t>Uvod</w:t>
      </w:r>
    </w:p>
    <w:p w:rsidR="00AC0832" w:rsidRDefault="00AC0832">
      <w:pPr>
        <w:pStyle w:val="Normal3"/>
      </w:pPr>
      <w:r>
        <w:t xml:space="preserve">Hrvatski hidrografski institut je javna ustanova osnovana Zakonom o hidrografskoj djelatnosti („Narodne novine 68/1998, 110/1998 i 163/2003), a obavlja hidrografske poslove od interesa za Republiku Hrvatsku. Hidrografska djelatnost obuhvaća hidrografsku izmjeru mora, marinsku geodeziju, geodetska i druga snimanja objekata u priobalju, snimanje mora, morskog dna i podmorja, geofiziku mora, oceanologiju i zaštitu okoliša u dijelu od značaja za hidrografiju. Nadalje, obuhvaća hidrografsko-navigacijsko osiguranje plovidbe morem za sve brodove i brodice i službu navigacijskih obavijesti, prikupljanje, obradu i razmjenu hidrografskih i navigacijskih obavijesti te obavljanje njihovih izmjena i dopuna u Oglasu za pomorce. Hrvatski hidrografski institut projektira, izrađuje, izdaje i održava službene pomorske navigacijske karte i priručnike, usklađuje ih s preporukama Međunarodne hidrografske organizacije (IHO) i Međunarodne pomorske organizacije (IMO), te održava i pohranjuje izvornike. Djelatnost HHI je i opisivanje i ucrtavanje geodetski određene granice suvereniteta Republike Hrvatske na moru, održavanje i praćenje baze službenih podataka o moru iz područja navigacije, hidrografije, kartografije, geologije, geofizike, oceanologije, te ustrojavanje i vođenje pomorskog katastra, predstavljanje Republike Hrvatske u međunarodnim organizacijama za područje svoje djelatnosti, te ostale poslove koji proistječu iz međunarodnih konvencija koje je Republika Hrvatska ratificirala kao i ostale poslove po nalogu tijela državne vlasti.  </w:t>
      </w:r>
    </w:p>
    <w:p w:rsidR="00AC0832" w:rsidRDefault="00AC0832">
      <w:pPr>
        <w:pStyle w:val="Normal3"/>
      </w:pPr>
      <w:r>
        <w:t xml:space="preserve">Ukupno planirana sredstva za 2012. godinu iznosila su 11.476.808 kuna, a izvršena 10.960.904 kuna ili 95,5%.  Nije bilo značajnijih odstupanja izvršenih rashoda u odnosu na financijski plan. </w:t>
      </w:r>
    </w:p>
    <w:p w:rsidR="00AC0832" w:rsidRDefault="00AC0832">
      <w:pPr>
        <w:pStyle w:val="Normal3"/>
      </w:pPr>
      <w:r>
        <w:t>Sve aktivnosti Hrvatskog hidrografskog instituta realizirane su kroz program 3104 – Razvoj i sigurnost pomorskog prometa i lučke infrastrukture, a sastojale su se od aktivnosti A663000 „Administracija i upravljanje Hrvatskog hidrografskog instituta“, te projekata kapitalnih ulaganja K663002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06560-Hrvatski hidrografski institut</w:t>
            </w:r>
          </w:p>
        </w:tc>
        <w:tc>
          <w:tcPr>
            <w:tcW w:w="2322" w:type="dxa"/>
          </w:tcPr>
          <w:p w:rsidR="00AC0832" w:rsidRDefault="00AC0832">
            <w:pPr>
              <w:pStyle w:val="CellColumn"/>
            </w:pPr>
            <w:r>
              <w:t>11.476.808</w:t>
            </w:r>
          </w:p>
        </w:tc>
        <w:tc>
          <w:tcPr>
            <w:tcW w:w="2322" w:type="dxa"/>
          </w:tcPr>
          <w:p w:rsidR="00AC0832" w:rsidRDefault="00AC0832">
            <w:pPr>
              <w:pStyle w:val="CellColumn"/>
            </w:pPr>
            <w:r>
              <w:t>10.960.904</w:t>
            </w:r>
          </w:p>
        </w:tc>
        <w:tc>
          <w:tcPr>
            <w:tcW w:w="2322" w:type="dxa"/>
          </w:tcPr>
          <w:p w:rsidR="00AC0832" w:rsidRDefault="00AC0832">
            <w:pPr>
              <w:pStyle w:val="CellColumn"/>
            </w:pPr>
            <w:r>
              <w:t>95,5</w:t>
            </w:r>
          </w:p>
        </w:tc>
      </w:tr>
      <w:tr w:rsidR="00AC0832" w:rsidTr="00BE20ED">
        <w:trPr>
          <w:jc w:val="center"/>
        </w:trPr>
        <w:tc>
          <w:tcPr>
            <w:tcW w:w="2322" w:type="dxa"/>
          </w:tcPr>
          <w:p w:rsidR="00AC0832" w:rsidRDefault="00AC0832">
            <w:pPr>
              <w:pStyle w:val="CellColumnSmall"/>
            </w:pPr>
            <w:r>
              <w:t>3104-RAZVOJ I SIGURNOST POMORSKOG PROMETA I LUČKE INFRASTRUKTURE</w:t>
            </w:r>
          </w:p>
        </w:tc>
        <w:tc>
          <w:tcPr>
            <w:tcW w:w="2322" w:type="dxa"/>
          </w:tcPr>
          <w:p w:rsidR="00AC0832" w:rsidRDefault="00AC0832">
            <w:pPr>
              <w:pStyle w:val="CellColumnSmall"/>
            </w:pPr>
            <w:r>
              <w:t>11.476.808</w:t>
            </w:r>
          </w:p>
        </w:tc>
        <w:tc>
          <w:tcPr>
            <w:tcW w:w="2322" w:type="dxa"/>
          </w:tcPr>
          <w:p w:rsidR="00AC0832" w:rsidRDefault="00AC0832">
            <w:pPr>
              <w:pStyle w:val="CellColumnSmall"/>
            </w:pPr>
            <w:r>
              <w:t>10.960.904</w:t>
            </w:r>
          </w:p>
        </w:tc>
        <w:tc>
          <w:tcPr>
            <w:tcW w:w="2322" w:type="dxa"/>
          </w:tcPr>
          <w:p w:rsidR="00AC0832" w:rsidRDefault="00AC0832">
            <w:pPr>
              <w:pStyle w:val="CellColumnSmall"/>
            </w:pPr>
            <w:r>
              <w:t>95,5</w:t>
            </w:r>
          </w:p>
        </w:tc>
      </w:tr>
    </w:tbl>
    <w:p w:rsidR="00AC0832" w:rsidRDefault="00AC0832">
      <w:pPr>
        <w:jc w:val="left"/>
      </w:pPr>
    </w:p>
    <w:p w:rsidR="00AC0832" w:rsidRDefault="00AC0832">
      <w:pPr>
        <w:pStyle w:val="Heading4"/>
      </w:pPr>
      <w:r>
        <w:t>OBRAZLOŽENJE PROGRAMA</w:t>
      </w:r>
    </w:p>
    <w:p w:rsidR="00AC0832" w:rsidRDefault="00AC0832">
      <w:pPr>
        <w:pStyle w:val="Heading5"/>
      </w:pPr>
      <w:r>
        <w:t>3104 RAZVOJ I SIGURNOST POMORSKOG PROMETA I LUČKE INFRASTRUKTURE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3104-RAZVOJ I SIGURNOST POMORSKOG PROMETA I LUČKE INFRASTRUKTURE</w:t>
            </w:r>
          </w:p>
        </w:tc>
        <w:tc>
          <w:tcPr>
            <w:tcW w:w="2322" w:type="dxa"/>
          </w:tcPr>
          <w:p w:rsidR="00AC0832" w:rsidRDefault="00AC0832">
            <w:pPr>
              <w:pStyle w:val="CellColumn"/>
            </w:pPr>
            <w:r>
              <w:t>11.476.808</w:t>
            </w:r>
          </w:p>
        </w:tc>
        <w:tc>
          <w:tcPr>
            <w:tcW w:w="2322" w:type="dxa"/>
          </w:tcPr>
          <w:p w:rsidR="00AC0832" w:rsidRDefault="00AC0832">
            <w:pPr>
              <w:pStyle w:val="CellColumn"/>
            </w:pPr>
            <w:r>
              <w:t>10.960.904</w:t>
            </w:r>
          </w:p>
        </w:tc>
        <w:tc>
          <w:tcPr>
            <w:tcW w:w="2322" w:type="dxa"/>
          </w:tcPr>
          <w:p w:rsidR="00AC0832" w:rsidRDefault="00AC0832">
            <w:pPr>
              <w:pStyle w:val="CellColumn"/>
            </w:pPr>
            <w:r>
              <w:t>95,5</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 je opisan u okviru Glave 06505 Ministarstvo pomorstva, prometa i infrastrukture, a u jednom dijelu provodi se kroz djelatnost Hrvatskog hidrografskog instituta.  </w:t>
      </w:r>
    </w:p>
    <w:p w:rsidR="00AC0832" w:rsidRDefault="00AC0832">
      <w:pPr>
        <w:pStyle w:val="Normal5"/>
      </w:pPr>
      <w:r>
        <w:t>U svom dijelu nadležnosti Hrvatski hidrografski institut provođenjem hidrografskih istraživanja mora, morskog dna i podmorja, te obradom i javnom objavom službenih pomorskih navigacijskih karata, priručnika i drugih informacija stvara pretpostavke kako održavanja, tako i daljnjeg razvoja sveukupnog pomorskog prometnog sustava</w:t>
      </w:r>
    </w:p>
    <w:p w:rsidR="00AC0832" w:rsidRDefault="00AC0832">
      <w:pPr>
        <w:pStyle w:val="Heading6"/>
      </w:pPr>
      <w:r>
        <w:t>Zakonske i druge pravne osnove</w:t>
      </w:r>
    </w:p>
    <w:p w:rsidR="00AC0832" w:rsidRDefault="00AC0832">
      <w:pPr>
        <w:pStyle w:val="Normal5"/>
      </w:pPr>
      <w:r>
        <w:t xml:space="preserve">Zakon o hidrografskoj djelatnosti („Narodne novine“ br. 68/1998, 110/2008 – ispr. i 163/2003), </w:t>
      </w:r>
    </w:p>
    <w:p w:rsidR="00AC0832" w:rsidRDefault="00AC0832">
      <w:pPr>
        <w:pStyle w:val="Normal5"/>
      </w:pPr>
      <w:r>
        <w:t xml:space="preserve">Strateški plan Ministarstvo mora, prometa i infrastrukture za razdoblje 2011.-2013.  </w:t>
      </w:r>
    </w:p>
    <w:p w:rsidR="00AC0832" w:rsidRDefault="00AC0832">
      <w:pPr>
        <w:pStyle w:val="Normal5"/>
      </w:pPr>
      <w:r>
        <w:t xml:space="preserve">Pravilnik o mjestima zakloništa („Narodne novine“ br. 3/2008), </w:t>
      </w:r>
    </w:p>
    <w:p w:rsidR="00AC0832" w:rsidRDefault="00AC0832">
      <w:pPr>
        <w:pStyle w:val="Normal5"/>
      </w:pPr>
      <w:r>
        <w:t xml:space="preserve">EU   Directiva 2002/59/EC on  Traffic Monitoring (s  dopunama 2005),   </w:t>
      </w:r>
    </w:p>
    <w:p w:rsidR="00AC0832" w:rsidRDefault="00AC0832">
      <w:pPr>
        <w:pStyle w:val="Normal5"/>
      </w:pPr>
      <w:r>
        <w:t xml:space="preserve">IMO  Rezolucija o  mjestima zakloništa A.949(23), A.950(23), kao i      prijedlog EU Marine Strategy Directive COM 2005/505, </w:t>
      </w:r>
    </w:p>
    <w:p w:rsidR="00AC0832" w:rsidRDefault="00AC0832">
      <w:pPr>
        <w:pStyle w:val="Normal5"/>
      </w:pPr>
      <w:r>
        <w:t>Pomorski zakonik (“Narodne novine” br. 181/2004, 76/2007 i 61/2011, članak 18, te 51. st. 2 i 3, a u svezi s člankom 52), UN Konvencija o pravu mora (UNCLOS), revidirana Konvencija o sigurnosti navigacije na moru (“SOLAS – Safety Of Life At Sea, propis 9, poglavlje V, anex 1), Pariška konvencija.</w:t>
      </w:r>
    </w:p>
    <w:p w:rsidR="00AC0832" w:rsidRDefault="00AC0832">
      <w:pPr>
        <w:pStyle w:val="Heading7"/>
      </w:pPr>
      <w:r>
        <w:t xml:space="preserve">Cilj 1. Povećanje postotka pokrivenosti hrvatskog dijela Jadranskog  mora ažuriranim pomorskim navigacijskim kartama i priručnicima sa svim informacijama neophodnim    radi  sigurne  plovidbe. </w:t>
      </w:r>
    </w:p>
    <w:p w:rsidR="00AC0832" w:rsidRDefault="00AC0832">
      <w:pPr>
        <w:pStyle w:val="Heading8"/>
        <w:jc w:val="left"/>
      </w:pPr>
      <w:r>
        <w:t>Opis provedbe cilja programa</w:t>
      </w:r>
    </w:p>
    <w:p w:rsidR="00AC0832" w:rsidRDefault="00AC0832">
      <w:pPr>
        <w:pStyle w:val="Normal6"/>
      </w:pPr>
      <w:r>
        <w:t xml:space="preserve">Sukladno Konvenciji Ujedinjenih naroda o pravu mora (čl. 16,24, 40, 75, 84.), SOLAS Konvenciji (čl. 20) i Pomorskom zakoniku, definirana je djelatnost i nadležnost HHI u poslovima sigurnosti plovidbe, kao i obveza korištenja službenih pomorskih navigacijskih karata i publikacija. </w:t>
      </w:r>
    </w:p>
    <w:p w:rsidR="00AC0832" w:rsidRDefault="00AC0832">
      <w:pPr>
        <w:pStyle w:val="Normal6"/>
      </w:pPr>
      <w:r>
        <w:t xml:space="preserve">Realizacijom ovog cilja HHI je osigurao da su korisnicima pomorskih navigacijskih karata i priručnika u svakom trenutku dostupne ažurne pomorske navigacijske karte i priručnici za plovidbu, te je uspostavljen sustav njihova održavanja kroz redovito mjesečno izdavanje publikacije „Oglas za pomorce“ temeljem koje pomorci i drugi zainteresirani korisnici održavaju u ažurnom stanju karte i publikacije tijekom vijeka njihova trajanja. Korisnici pomorskih navigacijskih karata i priručnika su svi pomorci trgovačke mornarice, ratne mornarice i plovila MUP-a, turisti - nautičari i pomorsko gospodarstvo i pomorska administracija u cjelini (brodarske organizacije, brodogradilišta, lučke kapetanije i ispostave, lučke uprave i niz drugih).  </w:t>
      </w:r>
    </w:p>
    <w:p w:rsidR="00AC0832" w:rsidRDefault="00AC0832">
      <w:pPr>
        <w:pStyle w:val="Normal6"/>
      </w:pPr>
      <w:r>
        <w:t xml:space="preserve">Cilj programa realiziran je u skladu sa zacrtanim i usvojenim planovima rada na način da je HHI provedenim terenskim radovima i razmjenom informacija u skladu sa svojom ulogom koordinatora za navigacijske obavijesti (WWNWS i Joint IMO/IHOWMO Manual on Maritime Safety Information) prikupljao podatke čijom se obradom i publiciranjem zadovoljavaju svi međunarodni i nacionalni standardi po pitanju zahtjeva za informacijama koje su rezultat hidrografske djelatnosti.  </w:t>
      </w:r>
    </w:p>
    <w:p w:rsidR="00AC0832" w:rsidRDefault="00AC0832">
      <w:pPr>
        <w:pStyle w:val="Normal6"/>
      </w:pPr>
      <w:r>
        <w:t>Hrvatski hidrografski institut izradio je, otiskao i stavio na dispoziciju zainteresiranim korisnicima više od osamdeset službenih pomorskih navigacijskih karata, te gotovo dvadeset publikacija. Značaj ovih izdanja kao službenih očituje se prvenstveno u njihovom  redovitom održavaju objavama ispravaka u mjesečnoj publikaciji Oglas za pomorce, te se u skladu sa međunarodno definiranim standardima hidrografske službe povremeno izdaju nova izdanja (kojima se prethodna izdanja stavljaju izvan snage), kao i nove naklade koje sadrže sve važeće ispravke do trenutka tiskanja.  Za praćenje realizacije cilja programa odabrano je 37 najznačajnijih izdanja - obalnih, kursnih i informativnih pomorskih karata te navigacijskih i drugih publikacija, procijenjen je vijek njihova trajanja, te se u odnosu na zadane parametre iz razdoblja u razdoblje prate ovi podaci s ciljem da se osigura raspoloživost što novijih izdanja, odnosno naklada čime se povećava njihova upotrebna vrijednost i smanjuju aktivnosti koje krajnji korisnik mora poduzimati kako bi raspolagao ažurnim informacijama koje su mu je nužna za realizaciju plovidbenog poduhvata ili druge aktivnosti.</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8"/>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pokrivenosti hrvatskog dijela Jadranskog mora ažuriranim pomorskim kartama  i publikacijama</w:t>
            </w:r>
          </w:p>
        </w:tc>
        <w:tc>
          <w:tcPr>
            <w:tcW w:w="1300" w:type="dxa"/>
          </w:tcPr>
          <w:p w:rsidR="00AC0832" w:rsidRDefault="00AC0832">
            <w:pPr>
              <w:pStyle w:val="CellColumn"/>
            </w:pPr>
            <w:r>
              <w:t xml:space="preserve">Pomorske </w:t>
            </w:r>
          </w:p>
          <w:p w:rsidR="00AC0832" w:rsidRDefault="00AC0832">
            <w:pPr>
              <w:pStyle w:val="CellColumn"/>
            </w:pPr>
            <w:r>
              <w:t xml:space="preserve">karte i </w:t>
            </w:r>
          </w:p>
          <w:p w:rsidR="00AC0832" w:rsidRDefault="00AC0832">
            <w:pPr>
              <w:pStyle w:val="CellColumn"/>
            </w:pPr>
            <w:r>
              <w:t xml:space="preserve">publikacije </w:t>
            </w:r>
          </w:p>
          <w:p w:rsidR="00AC0832" w:rsidRDefault="00AC0832">
            <w:pPr>
              <w:pStyle w:val="CellColumn"/>
            </w:pPr>
            <w:r>
              <w:t xml:space="preserve">moraju se </w:t>
            </w:r>
          </w:p>
          <w:p w:rsidR="00AC0832" w:rsidRDefault="00AC0832">
            <w:pPr>
              <w:pStyle w:val="CellColumn"/>
            </w:pPr>
            <w:r>
              <w:t xml:space="preserve">stalno </w:t>
            </w:r>
          </w:p>
          <w:p w:rsidR="00AC0832" w:rsidRDefault="00AC0832">
            <w:pPr>
              <w:pStyle w:val="CellColumn"/>
            </w:pPr>
            <w:r>
              <w:t xml:space="preserve">ažurirati </w:t>
            </w:r>
          </w:p>
          <w:p w:rsidR="00AC0832" w:rsidRDefault="00AC0832">
            <w:pPr>
              <w:pStyle w:val="CellColumn"/>
            </w:pPr>
            <w:r>
              <w:t xml:space="preserve">zbog </w:t>
            </w:r>
          </w:p>
          <w:p w:rsidR="00AC0832" w:rsidRDefault="00AC0832">
            <w:pPr>
              <w:pStyle w:val="CellColumn"/>
            </w:pPr>
            <w:r>
              <w:t xml:space="preserve">sigurnosti </w:t>
            </w:r>
          </w:p>
          <w:p w:rsidR="00AC0832" w:rsidRDefault="00AC0832">
            <w:pPr>
              <w:pStyle w:val="CellColumn"/>
            </w:pPr>
            <w:r>
              <w:t>plovidbe.</w:t>
            </w:r>
          </w:p>
        </w:tc>
        <w:tc>
          <w:tcPr>
            <w:tcW w:w="1300" w:type="dxa"/>
          </w:tcPr>
          <w:p w:rsidR="00AC0832" w:rsidRDefault="00AC0832">
            <w:pPr>
              <w:pStyle w:val="CellColumn"/>
            </w:pPr>
            <w:r>
              <w:t>%</w:t>
            </w:r>
          </w:p>
        </w:tc>
        <w:tc>
          <w:tcPr>
            <w:tcW w:w="1300" w:type="dxa"/>
          </w:tcPr>
          <w:p w:rsidR="00AC0832" w:rsidRDefault="00AC0832">
            <w:pPr>
              <w:pStyle w:val="CellColumn"/>
            </w:pPr>
            <w:r>
              <w:t>39%</w:t>
            </w:r>
          </w:p>
        </w:tc>
        <w:tc>
          <w:tcPr>
            <w:tcW w:w="1300" w:type="dxa"/>
          </w:tcPr>
          <w:p w:rsidR="00AC0832" w:rsidRDefault="00AC0832">
            <w:pPr>
              <w:pStyle w:val="CellColumn"/>
            </w:pPr>
            <w:r>
              <w:t xml:space="preserve">Oglas za </w:t>
            </w:r>
          </w:p>
          <w:p w:rsidR="00AC0832" w:rsidRDefault="00AC0832">
            <w:pPr>
              <w:pStyle w:val="CellColumn"/>
            </w:pPr>
            <w:r>
              <w:t xml:space="preserve">pomorce, </w:t>
            </w:r>
          </w:p>
          <w:p w:rsidR="00AC0832" w:rsidRDefault="00AC0832">
            <w:pPr>
              <w:pStyle w:val="CellColumn"/>
            </w:pPr>
            <w:r>
              <w:t xml:space="preserve">Katalog </w:t>
            </w:r>
          </w:p>
          <w:p w:rsidR="00AC0832" w:rsidRDefault="00AC0832">
            <w:pPr>
              <w:pStyle w:val="CellColumn"/>
            </w:pPr>
            <w:r>
              <w:t xml:space="preserve">pomorskih </w:t>
            </w:r>
          </w:p>
          <w:p w:rsidR="00AC0832" w:rsidRDefault="00AC0832">
            <w:pPr>
              <w:pStyle w:val="CellColumn"/>
            </w:pPr>
            <w:r>
              <w:t xml:space="preserve">karata i </w:t>
            </w:r>
          </w:p>
          <w:p w:rsidR="00AC0832" w:rsidRDefault="00AC0832">
            <w:pPr>
              <w:pStyle w:val="CellColumn"/>
            </w:pPr>
            <w:r>
              <w:t>publikacija</w:t>
            </w:r>
          </w:p>
        </w:tc>
        <w:tc>
          <w:tcPr>
            <w:tcW w:w="1300" w:type="dxa"/>
          </w:tcPr>
          <w:p w:rsidR="00AC0832" w:rsidRDefault="00AC0832">
            <w:pPr>
              <w:pStyle w:val="CellColumn"/>
            </w:pPr>
            <w:r>
              <w:t>40%</w:t>
            </w:r>
          </w:p>
        </w:tc>
        <w:tc>
          <w:tcPr>
            <w:tcW w:w="1300" w:type="dxa"/>
          </w:tcPr>
          <w:p w:rsidR="00AC0832" w:rsidRDefault="00AC0832">
            <w:pPr>
              <w:pStyle w:val="CellColumn"/>
            </w:pPr>
            <w:r>
              <w:t>41,28</w:t>
            </w:r>
          </w:p>
        </w:tc>
      </w:tr>
    </w:tbl>
    <w:p w:rsidR="00AC0832" w:rsidRDefault="00AC0832">
      <w:pPr>
        <w:jc w:val="left"/>
      </w:pPr>
    </w:p>
    <w:p w:rsidR="00AC0832" w:rsidRDefault="00AC0832">
      <w:pPr>
        <w:pStyle w:val="Heading6"/>
      </w:pPr>
      <w:r>
        <w:t>A663000 ADMINISTRACIJA I UPRAVLJANJE HRVATSKOG HIDROGRAFSKOG INSTITUTA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A663000-ADMINISTRACIJA I UPRAVLJANJE HRVATSKOG HIDROGRAFSKOG INSTITUTA</w:t>
            </w:r>
          </w:p>
        </w:tc>
        <w:tc>
          <w:tcPr>
            <w:tcW w:w="2322" w:type="dxa"/>
          </w:tcPr>
          <w:p w:rsidR="00AC0832" w:rsidRDefault="00AC0832">
            <w:pPr>
              <w:pStyle w:val="CellColumn"/>
            </w:pPr>
            <w:r>
              <w:t>11.288.515</w:t>
            </w:r>
          </w:p>
        </w:tc>
        <w:tc>
          <w:tcPr>
            <w:tcW w:w="2322" w:type="dxa"/>
          </w:tcPr>
          <w:p w:rsidR="00AC0832" w:rsidRDefault="00AC0832">
            <w:pPr>
              <w:pStyle w:val="CellColumn"/>
            </w:pPr>
            <w:r>
              <w:t>10.782.005</w:t>
            </w:r>
          </w:p>
        </w:tc>
        <w:tc>
          <w:tcPr>
            <w:tcW w:w="2322" w:type="dxa"/>
          </w:tcPr>
          <w:p w:rsidR="00AC0832" w:rsidRDefault="00AC0832">
            <w:pPr>
              <w:pStyle w:val="CellColumn"/>
            </w:pPr>
            <w:r>
              <w:t>95,5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Kroz aktivnost Administracija i upravljanje Hrvatskog hidrografskog instituta financiran je najveći dio obavljene hidrografske djelatnosti. Ona se sastoji od rashoda za plaće djelatnika, te troškova održavanja i goriva dva hidrografska istraživačka broda kojima se obavlja terenski istraživački dio poslova, troškova licenci i troškova članarine Međunarodnoj hidrografskoj organizaciji (IHO). Na taj se način dobivaju temeljni podaci kartografskih izvornika koji se koriste za izradu novih i korekciju postojećih pomorskih karata. Oceanološka mjerenja i motrenja provode se s ciljem prikupljanja i pripreme oceanoloških podataka za potrebe pripreme te pri sastavljanju općeg sadržaja pomorske karte, plana ili publikacije, dok se reambulacijom prikupljaju pomorske sigurnosne informacije i podaci o morskim područjima plovidbe sa svrhom održavanja pomorskih karata i publikacija.  </w:t>
      </w:r>
    </w:p>
    <w:p w:rsidR="00AC0832" w:rsidRDefault="00AC0832">
      <w:pPr>
        <w:pStyle w:val="Normal6"/>
      </w:pPr>
      <w:r>
        <w:t xml:space="preserve">U izvještajnom razdoblju primljeno je, obrađeno, prevedeno na engleski jezik i pripremljeno za distribuciju ukupno 260 zahtjeva za objavu radiooglasa, od toga 222 lokalnog karaktera, 34 obalno i 4 Navtex-Navarea. Izvršeno je ažuriranje uredničkih primjeraka karata i publikacija, kako onih izdanja HHI tako i IH Republike Italije (dva puta mjesečno) i British Admiralty (četiri puta mjesečno) za područje Jadranskog i Jonskog mora. Izrađivani su bilteni radio-oglasa i nastavljena validacija elektroničke navigacijske karte (ENC) te dijela planova. Najznačajniji događaj u izdavačkoj aktivnosti je objava novoga 5. izdanja Peljara Jadranskog mora – istočna obala, čime je stavljeno izvan snage prethodno izdanje iz 1999. godine. Nastavljeno je održavanje uspostavljenog e-servisa radiooglasa na snazi koji je izuzetno dobro prihvaćen od sudionika u pomorskom prometu i ustanova koje participiraju u sustavu sigurnosti pomorskog prometa. Sastavljeno je, pripremljeno za tisak, tiskano te distriburirano 12 brojeva Oglasa za pomorce kroz službu HHI kao koordinatora za navigacijske obavijesti koja se odvija kao 24-satna služba tijekom cijele godine. Osim spomenutog novog izdanja Peljara, u novom izdanju objavljene su i publikacije Radioslužba za pomorce, Nautički godišnjak za 2013. godinu, Tablice morskih mijena za 2013. godinu, obalne pomorske karte 100-17 i 100-18, a u pripremi je i cijeli niz ostalih izdanja. U novom izdanju u suradnji i po odobrenju nadležnog MPPI izdana je informativna karta 101 INFO čija je uporaba propisana člankom 56. Pravilnika o brodicama i jahtama. Dio pomorskih karata kod značajnih promjena ažurira se objavom kupona. Tijekom 2012. godine izdana su 2 kupona za plan 37 – Srednji Jadran (prolaz Mali Ždrelac), 1 kupon za plan 22 – Kvarnerić (Uvala Mala Stinica – trajektni pristan) sukladno novoj hidrografskoj izmjeri.  </w:t>
      </w:r>
    </w:p>
    <w:p w:rsidR="00AC0832" w:rsidRDefault="00AC0832">
      <w:pPr>
        <w:pStyle w:val="Normal6"/>
      </w:pPr>
      <w:r>
        <w:t>U izvještajnom razdoblju ukupno je otiskano i zaprimljeno u skladište 74.562 komada pomorskih karata te 6.105 komada publikacija, tj. 80.667 artikala koji su stavljeni na dispoziciju zainteresiranim korisnicima, čime su premašene očekivane planske veličine definirane kroz pokazatelj rezultata zasnovan na ovim podacima.</w:t>
      </w: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Ukupan broj otiskanih pomorskih karata i publikacija zaprimljenih  u skladište i stavljenih na dispoziciju korisnicima</w:t>
            </w:r>
          </w:p>
        </w:tc>
        <w:tc>
          <w:tcPr>
            <w:tcW w:w="1300" w:type="dxa"/>
          </w:tcPr>
          <w:p w:rsidR="00AC0832" w:rsidRDefault="00AC0832">
            <w:pPr>
              <w:pStyle w:val="CellColumn"/>
            </w:pPr>
            <w:r>
              <w:t>Tiskanje pomorskih karata i publikacija rezultat je redovite izdavačke djelatnosti, a orjentiran je prema proizvodnji, tj. konkretnom rezultatu</w:t>
            </w:r>
          </w:p>
        </w:tc>
        <w:tc>
          <w:tcPr>
            <w:tcW w:w="1300" w:type="dxa"/>
          </w:tcPr>
          <w:p w:rsidR="00AC0832" w:rsidRDefault="00AC0832">
            <w:pPr>
              <w:pStyle w:val="CellColumn"/>
            </w:pPr>
            <w:r>
              <w:t>broj</w:t>
            </w:r>
          </w:p>
        </w:tc>
        <w:tc>
          <w:tcPr>
            <w:tcW w:w="1300" w:type="dxa"/>
          </w:tcPr>
          <w:p w:rsidR="00AC0832" w:rsidRDefault="00AC0832">
            <w:pPr>
              <w:pStyle w:val="CellColumn"/>
            </w:pPr>
            <w:r>
              <w:t>61.498</w:t>
            </w:r>
          </w:p>
        </w:tc>
        <w:tc>
          <w:tcPr>
            <w:tcW w:w="1300" w:type="dxa"/>
          </w:tcPr>
          <w:p w:rsidR="00AC0832" w:rsidRDefault="00AC0832">
            <w:pPr>
              <w:pStyle w:val="CellColumn"/>
            </w:pPr>
            <w:r>
              <w:t>Hrvatski hidrografski institut</w:t>
            </w:r>
          </w:p>
        </w:tc>
        <w:tc>
          <w:tcPr>
            <w:tcW w:w="1300" w:type="dxa"/>
          </w:tcPr>
          <w:p w:rsidR="00AC0832" w:rsidRDefault="00AC0832">
            <w:pPr>
              <w:pStyle w:val="CellColumn"/>
            </w:pPr>
            <w:r>
              <w:t>66.510</w:t>
            </w:r>
          </w:p>
        </w:tc>
        <w:tc>
          <w:tcPr>
            <w:tcW w:w="1300" w:type="dxa"/>
          </w:tcPr>
          <w:p w:rsidR="00AC0832" w:rsidRDefault="00AC0832">
            <w:pPr>
              <w:pStyle w:val="CellColumn"/>
            </w:pPr>
            <w:r>
              <w:t>80.667</w:t>
            </w:r>
          </w:p>
        </w:tc>
      </w:tr>
    </w:tbl>
    <w:p w:rsidR="00AC0832" w:rsidRDefault="00AC0832">
      <w:pPr>
        <w:jc w:val="left"/>
      </w:pPr>
    </w:p>
    <w:p w:rsidR="00AC0832" w:rsidRDefault="00AC0832">
      <w:pPr>
        <w:pStyle w:val="Heading6"/>
      </w:pPr>
      <w:r>
        <w:t>K663002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K663002-INFORMATIZACIJA</w:t>
            </w:r>
          </w:p>
        </w:tc>
        <w:tc>
          <w:tcPr>
            <w:tcW w:w="2322" w:type="dxa"/>
          </w:tcPr>
          <w:p w:rsidR="00AC0832" w:rsidRDefault="00AC0832">
            <w:pPr>
              <w:pStyle w:val="CellColumn"/>
            </w:pPr>
            <w:r>
              <w:t>188.293</w:t>
            </w:r>
          </w:p>
        </w:tc>
        <w:tc>
          <w:tcPr>
            <w:tcW w:w="2322" w:type="dxa"/>
          </w:tcPr>
          <w:p w:rsidR="00AC0832" w:rsidRDefault="00AC0832">
            <w:pPr>
              <w:pStyle w:val="CellColumn"/>
            </w:pPr>
            <w:r>
              <w:t>178.899</w:t>
            </w:r>
          </w:p>
        </w:tc>
        <w:tc>
          <w:tcPr>
            <w:tcW w:w="2322" w:type="dxa"/>
          </w:tcPr>
          <w:p w:rsidR="00AC0832" w:rsidRDefault="00AC0832">
            <w:pPr>
              <w:pStyle w:val="CellColumn"/>
            </w:pPr>
            <w:r>
              <w:t>95,0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Projektom informatizacije HHI zanavlja se računalna infrastruktura institucije na kojoj se zasniva kako prikupljanje podataka, tako njihova obrada te interpretacija i priprema za objavu. Tijekom 2012. godine nabavljen je novi računalni poslužitelj te stanoviti broj osobnih računala odgovarajućih memorijskih i procesorskih značajki. Ova računalna oprema u sprezi sa uspostavljenom gigabitnom mrežom omogućava da se zahtjevni grafički podaci kvalitetnije obrađuju</w:t>
      </w:r>
    </w:p>
    <w:p w:rsidR="00AC0832" w:rsidRDefault="00AC0832">
      <w:pPr>
        <w:pStyle w:val="Heading1"/>
      </w:pPr>
      <w:r>
        <w:t>076 MINISTARSTVO GRADITELJSTVA I PROSTORNOGA UREĐENJA</w:t>
      </w:r>
    </w:p>
    <w:p w:rsidR="00AC0832" w:rsidRDefault="00AC0832">
      <w:pPr>
        <w:pStyle w:val="Heading4"/>
      </w:pPr>
      <w:r>
        <w:t>Uvod</w:t>
      </w:r>
    </w:p>
    <w:p w:rsidR="00AC0832" w:rsidRDefault="00AC0832">
      <w:pPr>
        <w:pStyle w:val="Normal3"/>
      </w:pPr>
      <w:r>
        <w:t>Prema Zakonu o ustrojstvu i djelokrugu ministarstava i drugih središnjih tijela državne uprave (NN 150/11, 39/13), djelokrug rada Ministarstva graditeljstva i prostornoga uređenja obuhvaća poslove koji se odnose na zaštitu i očuvanje prostora u skladu s politikom održivog razvitka Republike Hrvatske. U nadležnosti ovog Ministarstva je i nadzor nad poslovanjem Agencije za pravni promet i posredovanje nekretninama i Državne geodetske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07605-Ministarstvo graditeljstva i prostornoga uređenja</w:t>
            </w:r>
          </w:p>
        </w:tc>
        <w:tc>
          <w:tcPr>
            <w:tcW w:w="2322" w:type="dxa"/>
          </w:tcPr>
          <w:p w:rsidR="00AC0832" w:rsidRDefault="00AC0832">
            <w:pPr>
              <w:pStyle w:val="CellColumn"/>
            </w:pPr>
            <w:r>
              <w:t>133.040.590</w:t>
            </w:r>
          </w:p>
        </w:tc>
        <w:tc>
          <w:tcPr>
            <w:tcW w:w="2322" w:type="dxa"/>
          </w:tcPr>
          <w:p w:rsidR="00AC0832" w:rsidRDefault="00AC0832">
            <w:pPr>
              <w:pStyle w:val="CellColumn"/>
            </w:pPr>
            <w:r>
              <w:t>123.016.822</w:t>
            </w:r>
          </w:p>
        </w:tc>
        <w:tc>
          <w:tcPr>
            <w:tcW w:w="2322" w:type="dxa"/>
          </w:tcPr>
          <w:p w:rsidR="00AC0832" w:rsidRDefault="00AC0832">
            <w:pPr>
              <w:pStyle w:val="CellColumn"/>
            </w:pPr>
            <w:r>
              <w:t>92,5</w:t>
            </w:r>
          </w:p>
        </w:tc>
      </w:tr>
      <w:tr w:rsidR="00AC0832" w:rsidTr="00BE20ED">
        <w:trPr>
          <w:jc w:val="center"/>
        </w:trPr>
        <w:tc>
          <w:tcPr>
            <w:tcW w:w="2322" w:type="dxa"/>
          </w:tcPr>
          <w:p w:rsidR="00AC0832" w:rsidRDefault="00AC0832">
            <w:pPr>
              <w:pStyle w:val="CellColumn"/>
            </w:pPr>
            <w:r>
              <w:t>07620-Agencija za pravni promet i posredovanje nekretninama</w:t>
            </w:r>
          </w:p>
        </w:tc>
        <w:tc>
          <w:tcPr>
            <w:tcW w:w="2322" w:type="dxa"/>
          </w:tcPr>
          <w:p w:rsidR="00AC0832" w:rsidRDefault="00AC0832">
            <w:pPr>
              <w:pStyle w:val="CellColumn"/>
            </w:pPr>
            <w:r>
              <w:t>171.341.801</w:t>
            </w:r>
          </w:p>
        </w:tc>
        <w:tc>
          <w:tcPr>
            <w:tcW w:w="2322" w:type="dxa"/>
          </w:tcPr>
          <w:p w:rsidR="00AC0832" w:rsidRDefault="00AC0832">
            <w:pPr>
              <w:pStyle w:val="CellColumn"/>
            </w:pPr>
            <w:r>
              <w:t>160.380.341</w:t>
            </w:r>
          </w:p>
        </w:tc>
        <w:tc>
          <w:tcPr>
            <w:tcW w:w="2322" w:type="dxa"/>
          </w:tcPr>
          <w:p w:rsidR="00AC0832" w:rsidRDefault="00AC0832">
            <w:pPr>
              <w:pStyle w:val="CellColumn"/>
            </w:pPr>
            <w:r>
              <w:t>93,6</w:t>
            </w:r>
          </w:p>
        </w:tc>
      </w:tr>
      <w:tr w:rsidR="00AC0832" w:rsidTr="00BE20ED">
        <w:trPr>
          <w:jc w:val="center"/>
        </w:trPr>
        <w:tc>
          <w:tcPr>
            <w:tcW w:w="2322" w:type="dxa"/>
          </w:tcPr>
          <w:p w:rsidR="00AC0832" w:rsidRDefault="00AC0832">
            <w:pPr>
              <w:pStyle w:val="CellColumn"/>
            </w:pPr>
            <w:r>
              <w:t>07625-Državna geodetska uprava</w:t>
            </w:r>
          </w:p>
        </w:tc>
        <w:tc>
          <w:tcPr>
            <w:tcW w:w="2322" w:type="dxa"/>
          </w:tcPr>
          <w:p w:rsidR="00AC0832" w:rsidRDefault="00AC0832">
            <w:pPr>
              <w:pStyle w:val="CellColumn"/>
            </w:pPr>
            <w:r>
              <w:t>227.185.609</w:t>
            </w:r>
          </w:p>
        </w:tc>
        <w:tc>
          <w:tcPr>
            <w:tcW w:w="2322" w:type="dxa"/>
          </w:tcPr>
          <w:p w:rsidR="00AC0832" w:rsidRDefault="00AC0832">
            <w:pPr>
              <w:pStyle w:val="CellColumn"/>
            </w:pPr>
            <w:r>
              <w:t>199.501.234</w:t>
            </w:r>
          </w:p>
        </w:tc>
        <w:tc>
          <w:tcPr>
            <w:tcW w:w="2322" w:type="dxa"/>
          </w:tcPr>
          <w:p w:rsidR="00AC0832" w:rsidRDefault="00AC0832">
            <w:pPr>
              <w:pStyle w:val="CellColumn"/>
            </w:pPr>
            <w:r>
              <w:t>87,8</w:t>
            </w:r>
          </w:p>
        </w:tc>
      </w:tr>
      <w:tr w:rsidR="00AC0832" w:rsidTr="00BE20ED">
        <w:trPr>
          <w:jc w:val="center"/>
        </w:trPr>
        <w:tc>
          <w:tcPr>
            <w:tcW w:w="2322" w:type="dxa"/>
            <w:shd w:val="clear" w:color="auto" w:fill="B5C0D8"/>
          </w:tcPr>
          <w:p w:rsidR="00AC0832" w:rsidRDefault="00AC0832">
            <w:pPr>
              <w:pStyle w:val="CellColumn"/>
            </w:pPr>
            <w:r>
              <w:t>Ukupno 076-MINISTARSTVO GRADITELJSTVA I PROSTORNOGA UREĐENJA</w:t>
            </w:r>
          </w:p>
        </w:tc>
        <w:tc>
          <w:tcPr>
            <w:tcW w:w="2322" w:type="dxa"/>
            <w:shd w:val="clear" w:color="auto" w:fill="B5C0D8"/>
          </w:tcPr>
          <w:p w:rsidR="00AC0832" w:rsidRDefault="00AC0832">
            <w:pPr>
              <w:pStyle w:val="CellColumn"/>
            </w:pPr>
            <w:r>
              <w:t>531.568.000</w:t>
            </w:r>
          </w:p>
        </w:tc>
        <w:tc>
          <w:tcPr>
            <w:tcW w:w="2322" w:type="dxa"/>
            <w:shd w:val="clear" w:color="auto" w:fill="B5C0D8"/>
          </w:tcPr>
          <w:p w:rsidR="00AC0832" w:rsidRDefault="00AC0832">
            <w:pPr>
              <w:pStyle w:val="CellColumn"/>
            </w:pPr>
            <w:r>
              <w:t>482.898.397</w:t>
            </w:r>
          </w:p>
        </w:tc>
        <w:tc>
          <w:tcPr>
            <w:tcW w:w="2322" w:type="dxa"/>
            <w:shd w:val="clear" w:color="auto" w:fill="B5C0D8"/>
          </w:tcPr>
          <w:p w:rsidR="00AC0832" w:rsidRDefault="00AC0832">
            <w:pPr>
              <w:pStyle w:val="CellColumn"/>
            </w:pPr>
            <w:r>
              <w:t>90,8</w:t>
            </w:r>
          </w:p>
        </w:tc>
      </w:tr>
    </w:tbl>
    <w:p w:rsidR="00AC0832" w:rsidRDefault="00AC0832">
      <w:pPr>
        <w:jc w:val="left"/>
      </w:pPr>
    </w:p>
    <w:p w:rsidR="00AC0832" w:rsidRDefault="00AC0832">
      <w:pPr>
        <w:pStyle w:val="Heading2"/>
      </w:pPr>
      <w:r>
        <w:t>07605 Ministarstvo graditeljstva i prostornoga uređenja</w:t>
      </w:r>
    </w:p>
    <w:p w:rsidR="00AC0832" w:rsidRDefault="00AC0832">
      <w:pPr>
        <w:pStyle w:val="Heading4"/>
      </w:pPr>
      <w:r>
        <w:t>Uvod</w:t>
      </w:r>
    </w:p>
    <w:p w:rsidR="00AC0832" w:rsidRDefault="00AC0832">
      <w:pPr>
        <w:pStyle w:val="Normal3"/>
      </w:pPr>
      <w:r>
        <w:t xml:space="preserve">Prema Zakonu o ustrojstvu i djelokrugu ministarstava i drugih središnjih tijela državne uprave (NN 150/11), djelokrug rada Ministarstva graditeljstva i prostornoga uređenja obuhvaća poslove koji se odnose na zaštitu i očuvanje prostora u skladu s politikom održivog razvitka Republike Hrvatske. </w:t>
      </w:r>
    </w:p>
    <w:p w:rsidR="00AC0832" w:rsidRDefault="00AC0832">
      <w:pPr>
        <w:pStyle w:val="Normal3"/>
      </w:pPr>
      <w:r>
        <w:t>Ministarstvo obavlja upravne i druge poslove koji se odnose na: prostorno uređenje Republike Hrvatske i usklađivanje prostornoga razvitka, planiranje, korištenje i zaštitu prostora, upravne i druge poslove koji se odnose na utvrđivanje uvjeta za projektiranje i gradnju građevina, stanovanje, politiku stanovanja, gradnju stanova i naselja; realizaciju posebnih programa Vlade Republike Hrvatske u stanogradnji; politiku, praćenje i unapređivanje stanja u komunalnom gospodarstvu, ostvarivanje međunarodne suradnje u prostornom planiranju, graditeljstvu i stanovanju.</w:t>
      </w:r>
    </w:p>
    <w:p w:rsidR="00AC0832" w:rsidRDefault="00AC0832">
      <w:pPr>
        <w:pStyle w:val="Normal3"/>
      </w:pPr>
    </w:p>
    <w:p w:rsidR="00AC0832" w:rsidRDefault="00AC0832">
      <w:pPr>
        <w:pStyle w:val="Normal3"/>
      </w:pPr>
    </w:p>
    <w:p w:rsidR="00AC0832" w:rsidRDefault="00AC0832">
      <w:pPr>
        <w:pStyle w:val="Normal3"/>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07605-Ministarstvo graditeljstva i prostornoga uređenja</w:t>
            </w:r>
          </w:p>
        </w:tc>
        <w:tc>
          <w:tcPr>
            <w:tcW w:w="2322" w:type="dxa"/>
          </w:tcPr>
          <w:p w:rsidR="00AC0832" w:rsidRDefault="00AC0832">
            <w:pPr>
              <w:pStyle w:val="CellColumn"/>
            </w:pPr>
            <w:r>
              <w:t>133.040.590</w:t>
            </w:r>
          </w:p>
        </w:tc>
        <w:tc>
          <w:tcPr>
            <w:tcW w:w="2322" w:type="dxa"/>
          </w:tcPr>
          <w:p w:rsidR="00AC0832" w:rsidRDefault="00AC0832">
            <w:pPr>
              <w:pStyle w:val="CellColumn"/>
            </w:pPr>
            <w:r>
              <w:t>123.016.822</w:t>
            </w:r>
          </w:p>
        </w:tc>
        <w:tc>
          <w:tcPr>
            <w:tcW w:w="2322" w:type="dxa"/>
          </w:tcPr>
          <w:p w:rsidR="00AC0832" w:rsidRDefault="00AC0832">
            <w:pPr>
              <w:pStyle w:val="CellColumn"/>
            </w:pPr>
            <w:r>
              <w:t>92,5</w:t>
            </w:r>
          </w:p>
        </w:tc>
      </w:tr>
      <w:tr w:rsidR="00AC0832" w:rsidTr="00BE20ED">
        <w:trPr>
          <w:jc w:val="center"/>
        </w:trPr>
        <w:tc>
          <w:tcPr>
            <w:tcW w:w="2322" w:type="dxa"/>
          </w:tcPr>
          <w:p w:rsidR="00AC0832" w:rsidRDefault="00AC0832">
            <w:pPr>
              <w:pStyle w:val="CellColumnSmall"/>
            </w:pPr>
            <w:r>
              <w:t>3501-RAZVOJ I UPRAVLJANJE PROSTORNIM UREĐENJEM</w:t>
            </w:r>
          </w:p>
        </w:tc>
        <w:tc>
          <w:tcPr>
            <w:tcW w:w="2322" w:type="dxa"/>
          </w:tcPr>
          <w:p w:rsidR="00AC0832" w:rsidRDefault="00AC0832">
            <w:pPr>
              <w:pStyle w:val="CellColumnSmall"/>
            </w:pPr>
            <w:r>
              <w:t>105.150.090</w:t>
            </w:r>
          </w:p>
        </w:tc>
        <w:tc>
          <w:tcPr>
            <w:tcW w:w="2322" w:type="dxa"/>
          </w:tcPr>
          <w:p w:rsidR="00AC0832" w:rsidRDefault="00AC0832">
            <w:pPr>
              <w:pStyle w:val="CellColumnSmall"/>
            </w:pPr>
            <w:r>
              <w:t>98.256.815</w:t>
            </w:r>
          </w:p>
        </w:tc>
        <w:tc>
          <w:tcPr>
            <w:tcW w:w="2322" w:type="dxa"/>
          </w:tcPr>
          <w:p w:rsidR="00AC0832" w:rsidRDefault="00AC0832">
            <w:pPr>
              <w:pStyle w:val="CellColumnSmall"/>
            </w:pPr>
            <w:r>
              <w:t>93,4</w:t>
            </w:r>
          </w:p>
        </w:tc>
      </w:tr>
      <w:tr w:rsidR="00AC0832" w:rsidTr="00BE20ED">
        <w:trPr>
          <w:jc w:val="center"/>
        </w:trPr>
        <w:tc>
          <w:tcPr>
            <w:tcW w:w="2322" w:type="dxa"/>
          </w:tcPr>
          <w:p w:rsidR="00AC0832" w:rsidRDefault="00AC0832">
            <w:pPr>
              <w:pStyle w:val="CellColumnSmall"/>
            </w:pPr>
            <w:r>
              <w:t>3502-REGULATIVA I NADZOR U GRADITELJSTVU</w:t>
            </w:r>
          </w:p>
        </w:tc>
        <w:tc>
          <w:tcPr>
            <w:tcW w:w="2322" w:type="dxa"/>
          </w:tcPr>
          <w:p w:rsidR="00AC0832" w:rsidRDefault="00AC0832">
            <w:pPr>
              <w:pStyle w:val="CellColumnSmall"/>
            </w:pPr>
            <w:r>
              <w:t>9.858.500</w:t>
            </w:r>
          </w:p>
        </w:tc>
        <w:tc>
          <w:tcPr>
            <w:tcW w:w="2322" w:type="dxa"/>
          </w:tcPr>
          <w:p w:rsidR="00AC0832" w:rsidRDefault="00AC0832">
            <w:pPr>
              <w:pStyle w:val="CellColumnSmall"/>
            </w:pPr>
            <w:r>
              <w:t>6.795.070</w:t>
            </w:r>
          </w:p>
        </w:tc>
        <w:tc>
          <w:tcPr>
            <w:tcW w:w="2322" w:type="dxa"/>
          </w:tcPr>
          <w:p w:rsidR="00AC0832" w:rsidRDefault="00AC0832">
            <w:pPr>
              <w:pStyle w:val="CellColumnSmall"/>
            </w:pPr>
            <w:r>
              <w:t>68,9</w:t>
            </w:r>
          </w:p>
        </w:tc>
      </w:tr>
      <w:tr w:rsidR="00AC0832" w:rsidTr="00BE20ED">
        <w:trPr>
          <w:jc w:val="center"/>
        </w:trPr>
        <w:tc>
          <w:tcPr>
            <w:tcW w:w="2322" w:type="dxa"/>
          </w:tcPr>
          <w:p w:rsidR="00AC0832" w:rsidRDefault="00AC0832">
            <w:pPr>
              <w:pStyle w:val="CellColumnSmall"/>
            </w:pPr>
            <w:r>
              <w:t>3504-POTICANJE STAMBENE GRADNJE</w:t>
            </w:r>
          </w:p>
        </w:tc>
        <w:tc>
          <w:tcPr>
            <w:tcW w:w="2322" w:type="dxa"/>
          </w:tcPr>
          <w:p w:rsidR="00AC0832" w:rsidRDefault="00AC0832">
            <w:pPr>
              <w:pStyle w:val="CellColumnSmall"/>
            </w:pPr>
            <w:r>
              <w:t>16.732.000</w:t>
            </w:r>
          </w:p>
        </w:tc>
        <w:tc>
          <w:tcPr>
            <w:tcW w:w="2322" w:type="dxa"/>
          </w:tcPr>
          <w:p w:rsidR="00AC0832" w:rsidRDefault="00AC0832">
            <w:pPr>
              <w:pStyle w:val="CellColumnSmall"/>
            </w:pPr>
            <w:r>
              <w:t>16.708.896</w:t>
            </w:r>
          </w:p>
        </w:tc>
        <w:tc>
          <w:tcPr>
            <w:tcW w:w="2322" w:type="dxa"/>
          </w:tcPr>
          <w:p w:rsidR="00AC0832" w:rsidRDefault="00AC0832">
            <w:pPr>
              <w:pStyle w:val="CellColumnSmall"/>
            </w:pPr>
            <w:r>
              <w:t>99,9</w:t>
            </w:r>
          </w:p>
        </w:tc>
      </w:tr>
      <w:tr w:rsidR="00AC0832" w:rsidTr="00BE20ED">
        <w:trPr>
          <w:jc w:val="center"/>
        </w:trPr>
        <w:tc>
          <w:tcPr>
            <w:tcW w:w="2322" w:type="dxa"/>
          </w:tcPr>
          <w:p w:rsidR="00AC0832" w:rsidRDefault="00AC0832">
            <w:pPr>
              <w:pStyle w:val="CellColumnSmall"/>
            </w:pPr>
            <w:r>
              <w:t>3910-OČUVANJE KULTURNE BAŠTINE - SANACIJA OBJEKATA</w:t>
            </w:r>
          </w:p>
        </w:tc>
        <w:tc>
          <w:tcPr>
            <w:tcW w:w="2322" w:type="dxa"/>
          </w:tcPr>
          <w:p w:rsidR="00AC0832" w:rsidRDefault="00AC0832">
            <w:pPr>
              <w:pStyle w:val="CellColumnSmall"/>
            </w:pPr>
            <w:r>
              <w:t>1.300.000</w:t>
            </w:r>
          </w:p>
        </w:tc>
        <w:tc>
          <w:tcPr>
            <w:tcW w:w="2322" w:type="dxa"/>
          </w:tcPr>
          <w:p w:rsidR="00AC0832" w:rsidRDefault="00AC0832">
            <w:pPr>
              <w:pStyle w:val="CellColumnSmall"/>
            </w:pPr>
            <w:r>
              <w:t>1.256.041</w:t>
            </w:r>
          </w:p>
        </w:tc>
        <w:tc>
          <w:tcPr>
            <w:tcW w:w="2322" w:type="dxa"/>
          </w:tcPr>
          <w:p w:rsidR="00AC0832" w:rsidRDefault="00AC0832">
            <w:pPr>
              <w:pStyle w:val="CellColumnSmall"/>
            </w:pPr>
            <w:r>
              <w:t>96,6</w:t>
            </w:r>
          </w:p>
        </w:tc>
      </w:tr>
    </w:tbl>
    <w:p w:rsidR="00AC0832" w:rsidRDefault="00AC0832">
      <w:pPr>
        <w:jc w:val="left"/>
      </w:pPr>
    </w:p>
    <w:p w:rsidR="00AC0832" w:rsidRDefault="00AC0832">
      <w:pPr>
        <w:pStyle w:val="Heading4"/>
      </w:pPr>
      <w:r>
        <w:t>OBRAZLOŽENJE PROGRAMA</w:t>
      </w:r>
    </w:p>
    <w:p w:rsidR="00AC0832" w:rsidRDefault="00AC0832">
      <w:pPr>
        <w:pStyle w:val="Heading5"/>
      </w:pPr>
      <w:r>
        <w:t>3501 RAZVOJ I UPRAVLJANJE PROSTORNIM UREĐENJEM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3501-RAZVOJ I UPRAVLJANJE PROSTORNIM UREĐENJEM</w:t>
            </w:r>
          </w:p>
        </w:tc>
        <w:tc>
          <w:tcPr>
            <w:tcW w:w="2322" w:type="dxa"/>
          </w:tcPr>
          <w:p w:rsidR="00AC0832" w:rsidRDefault="00AC0832">
            <w:pPr>
              <w:pStyle w:val="CellColumn"/>
            </w:pPr>
            <w:r>
              <w:t>105.150.090</w:t>
            </w:r>
          </w:p>
        </w:tc>
        <w:tc>
          <w:tcPr>
            <w:tcW w:w="2322" w:type="dxa"/>
          </w:tcPr>
          <w:p w:rsidR="00AC0832" w:rsidRDefault="00AC0832">
            <w:pPr>
              <w:pStyle w:val="CellColumn"/>
            </w:pPr>
            <w:r>
              <w:t>98.256.815</w:t>
            </w:r>
          </w:p>
        </w:tc>
        <w:tc>
          <w:tcPr>
            <w:tcW w:w="2322" w:type="dxa"/>
          </w:tcPr>
          <w:p w:rsidR="00AC0832" w:rsidRDefault="00AC0832">
            <w:pPr>
              <w:pStyle w:val="CellColumn"/>
            </w:pPr>
            <w:r>
              <w:t>93,4</w:t>
            </w:r>
          </w:p>
        </w:tc>
      </w:tr>
    </w:tbl>
    <w:p w:rsidR="00AC0832" w:rsidRDefault="00AC0832">
      <w:pPr>
        <w:jc w:val="left"/>
      </w:pPr>
    </w:p>
    <w:p w:rsidR="00AC0832" w:rsidRDefault="00AC0832">
      <w:pPr>
        <w:pStyle w:val="Heading6"/>
      </w:pPr>
      <w:r>
        <w:t>Opis programa</w:t>
      </w:r>
    </w:p>
    <w:p w:rsidR="00AC0832" w:rsidRDefault="00AC0832">
      <w:pPr>
        <w:pStyle w:val="Normal5"/>
      </w:pPr>
      <w:r>
        <w:t>Prostorno uređenje temelji se na sveobuhvatnoj prirodi prostornog planiranja u odnosu na planiranje pojedinih gospodarskih područja, uvažavanju opće prihvaćenih načela zaštite prostora, znanstvenih i stručnih spoznaja te najbolje međunarodne prakse u području prostornog uređenja i zahtjeva za održiv i uravnotežen razvoj. Izazovi u daljnjem djelovanju Ministarstva u kontekstu uključivanja Republike Hrvatske  u EU,  unapređenje informacija i podataka o prostoru te pojačane aktivnosti u okolnostima koje proizlaze iz snažnog pritiska na najvrednije prostore RH (obalno područje) nužno zahtijeva jačanje suradnje Ministarstva i jedinica lokalne samouprave.</w:t>
      </w:r>
    </w:p>
    <w:p w:rsidR="00AC0832" w:rsidRDefault="00AC0832">
      <w:pPr>
        <w:pStyle w:val="Heading6"/>
      </w:pPr>
      <w:r>
        <w:t>Zakonske i druge pravne osnove</w:t>
      </w:r>
    </w:p>
    <w:p w:rsidR="00AC0832" w:rsidRDefault="00AC0832">
      <w:pPr>
        <w:pStyle w:val="Normal5"/>
      </w:pPr>
      <w:r>
        <w:t xml:space="preserve">Strategija prostornog razvoja Republike Hrvatske </w:t>
      </w:r>
    </w:p>
    <w:p w:rsidR="00AC0832" w:rsidRDefault="00AC0832">
      <w:pPr>
        <w:pStyle w:val="Normal5"/>
      </w:pPr>
      <w:r>
        <w:t xml:space="preserve">Zakon o prostornom uređenju i gradnji (NN 38/09) </w:t>
      </w:r>
    </w:p>
    <w:p w:rsidR="00AC0832" w:rsidRDefault="00AC0832">
      <w:pPr>
        <w:pStyle w:val="Normal5"/>
      </w:pPr>
      <w:r>
        <w:t>Program prostornog uređenja Republike Hrvatske</w:t>
      </w:r>
    </w:p>
    <w:p w:rsidR="00AC0832" w:rsidRDefault="00AC0832">
      <w:pPr>
        <w:pStyle w:val="Heading7"/>
      </w:pPr>
      <w:r>
        <w:t>Cilj 1. Unaprijediti dokumente prostornog uređenja</w:t>
      </w:r>
    </w:p>
    <w:p w:rsidR="00AC0832" w:rsidRDefault="00AC0832">
      <w:pPr>
        <w:pStyle w:val="Heading8"/>
        <w:jc w:val="left"/>
      </w:pPr>
      <w:r>
        <w:t>Opis provedbe cilja programa</w:t>
      </w:r>
    </w:p>
    <w:p w:rsidR="00AC0832" w:rsidRDefault="00AC0832">
      <w:pPr>
        <w:pStyle w:val="Normal6"/>
      </w:pPr>
      <w:r>
        <w:t xml:space="preserve">Unapređenje stanja dokumenata prostornog uređenja kroz izradu i donošenje tih dokumenata temeljna je pretpostavka za održivo prostorno uređenje, posebno kada je riječ o dokumentima na razini države (donosi ih Hrvatski sabor) jer se tim planovima određuju veliki nacionalni sustavi, a također su osnova za daljnje planiranje na županijskoj i lokalnoj razini. To je kontinuirani proces koji se obavlja od donošenja Zakona o prostornom uređenju i gradnji. Nositelj te aktivnosti je Zavod za prostorno planiranje ministarstva, a sudjeluju i Županijski zavodi za prostorno uređenje, planerske institucije te nadležna tijela državne uprave.  </w:t>
      </w:r>
    </w:p>
    <w:p w:rsidR="00AC0832" w:rsidRDefault="00AC0832">
      <w:pPr>
        <w:pStyle w:val="Normal6"/>
      </w:pPr>
      <w:r>
        <w:t xml:space="preserve">U 2012. izrađeno je Izvješće o stanju u prostoru koje je upućeno u proceduru donošenja koncem 2012. Izvješće je doneseno. </w:t>
      </w:r>
    </w:p>
    <w:p w:rsidR="00AC0832" w:rsidRDefault="00AC0832">
      <w:pPr>
        <w:pStyle w:val="Normal6"/>
      </w:pPr>
      <w:r>
        <w:t xml:space="preserve">Tijekom 2012. izrađene su i donesene Odluke o izradi IDSPURH i IDPPURH (izvan plana) kojom se će se utvrditi strateško usmjerenje razvoja djelatnosti u prostoru sa smjernicama i prioritetima za postizanje ciljeva prostornog razvoja na regionalnoj i lokalnoj razini, osobito u pogledu razvoja državne infrastrukture u dijelu sustava prometne i energetske infrastrukture. Sukladno donesenim Odlukama zatraženi su podatci nadležnih resora koji su dobiveni do predvidivo studenoga 2012. godine. Temeljem resornih podataka i podataka županijskih zavoda za prostorno uređenje izrađen je nacrt prijedloga IDSPURH i IDPPURH. Nacrt prijedloga IDSPURH i IDPPURH izrađeni su do konca 2012. godine (izrađeno 70%), a početkom 2013. je dokument pripremljen za postupak pripreme za proceduru donošenja. Donošenje IDSPURH i IDPPURH se predviđa u prvoj polovici 2013. godine (izrađenost 100%). </w:t>
      </w:r>
    </w:p>
    <w:p w:rsidR="00AC0832" w:rsidRDefault="00AC0832">
      <w:pPr>
        <w:pStyle w:val="Normal6"/>
      </w:pPr>
      <w:r>
        <w:t xml:space="preserve">Izvan planiranih i zadanih radova Zavod je pripremio i dokument za internu raspravu „Tumač pojmova prostorno planerskih i urbanističkih temeljen na strukturi propisanog sadržaja izrade prostornih planova“ kao podlogu za GIS sustav prostornih planova“ (izrađenost u 2012. 80% izvan plana rada). Početkom 2013. godine provest će se interna rasprava i dopuna Pojmovnika sukladno broju zaprimljenih prijedloga i primjedbi i time će zadatak biti izvršen u cijelosti odnosno 100%. </w:t>
      </w:r>
    </w:p>
    <w:p w:rsidR="00AC0832" w:rsidRDefault="00AC0832">
      <w:pPr>
        <w:pStyle w:val="Normal6"/>
      </w:pPr>
      <w:r>
        <w:t>Dokument, Strategija prostornog razvoja RH, planira se započeti nakon donošenja IDSPURH i IDPPURH, a prema Odluci kojom će se definirati obim poslova i rokovi te će se daljnja izrada odvijati tijekom 2014., 2015. Kao prateći dokument Strategije prostornog razvoja, u posljednjoj fazi izrade iste, planira se priprema Programa prostornog uređenja, i to 30% tijekom 2015., a završetak tijekom 2016. (100%).</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1317"/>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postotka izrađenosti dokumenata</w:t>
            </w:r>
          </w:p>
        </w:tc>
        <w:tc>
          <w:tcPr>
            <w:tcW w:w="1300" w:type="dxa"/>
          </w:tcPr>
          <w:p w:rsidR="00AC0832" w:rsidRDefault="00AC0832">
            <w:pPr>
              <w:pStyle w:val="CellColumn"/>
            </w:pPr>
            <w:r>
              <w:t>Izrada nove strategije, izrada prostornih planova posebnih obilježja, izrada dokumenata lokalne razine</w:t>
            </w:r>
          </w:p>
        </w:tc>
        <w:tc>
          <w:tcPr>
            <w:tcW w:w="1300" w:type="dxa"/>
          </w:tcPr>
          <w:p w:rsidR="00AC0832" w:rsidRDefault="00AC0832">
            <w:pPr>
              <w:pStyle w:val="CellColumn"/>
            </w:pPr>
            <w:r>
              <w:t>%</w:t>
            </w:r>
          </w:p>
        </w:tc>
        <w:tc>
          <w:tcPr>
            <w:tcW w:w="1300" w:type="dxa"/>
          </w:tcPr>
          <w:p w:rsidR="00AC0832" w:rsidRDefault="00AC0832">
            <w:pPr>
              <w:pStyle w:val="CellColumn"/>
            </w:pPr>
            <w:r>
              <w:t>20</w:t>
            </w:r>
          </w:p>
        </w:tc>
        <w:tc>
          <w:tcPr>
            <w:tcW w:w="1300" w:type="dxa"/>
          </w:tcPr>
          <w:p w:rsidR="00AC0832" w:rsidRDefault="00AC0832">
            <w:pPr>
              <w:pStyle w:val="CellColumn"/>
            </w:pPr>
            <w:r>
              <w:t>MGIPU</w:t>
            </w:r>
          </w:p>
        </w:tc>
        <w:tc>
          <w:tcPr>
            <w:tcW w:w="1300" w:type="dxa"/>
          </w:tcPr>
          <w:p w:rsidR="00AC0832" w:rsidRDefault="00AC0832">
            <w:pPr>
              <w:pStyle w:val="CellColumn"/>
            </w:pPr>
            <w:r>
              <w:t>70</w:t>
            </w:r>
          </w:p>
        </w:tc>
        <w:tc>
          <w:tcPr>
            <w:tcW w:w="1300" w:type="dxa"/>
          </w:tcPr>
          <w:p w:rsidR="00AC0832" w:rsidRDefault="00AC0832">
            <w:pPr>
              <w:pStyle w:val="CellColumn"/>
            </w:pPr>
            <w:r>
              <w:t>80</w:t>
            </w:r>
          </w:p>
        </w:tc>
      </w:tr>
    </w:tbl>
    <w:p w:rsidR="00AC0832" w:rsidRDefault="00AC0832">
      <w:pPr>
        <w:jc w:val="left"/>
      </w:pPr>
    </w:p>
    <w:p w:rsidR="00AC0832" w:rsidRDefault="00AC0832">
      <w:pPr>
        <w:pStyle w:val="Heading7"/>
      </w:pPr>
      <w:r>
        <w:t>Cilj 2. Unaprijeđen informacijski sustav prostornog uređenja</w:t>
      </w:r>
    </w:p>
    <w:p w:rsidR="00AC0832" w:rsidRDefault="00AC0832">
      <w:pPr>
        <w:pStyle w:val="Heading8"/>
        <w:jc w:val="left"/>
      </w:pPr>
      <w:r>
        <w:t>Opis provedbe cilja programa</w:t>
      </w:r>
    </w:p>
    <w:p w:rsidR="00AC0832" w:rsidRDefault="00AC0832">
      <w:pPr>
        <w:pStyle w:val="Normal6"/>
      </w:pPr>
      <w:r>
        <w:t>Tijekom 2012 godine nastavljene su aktivnosti na ostvarenju cilja uspostave višeg stupanja korisničkih mogućnosti i proširenje prostorno planskih pokazatelja. GIS PP-RH sadržava slijedeće dokumente prostornog uređenja: PPŽ, PPU JLS G/O, PPPPO za NP i PP, GUP i UPU većih gradova. Ujedno se radilo i na proširenju drugih sadržaja prostornog uređenja (Izvješće o stanju u prostoru, provođenje dokumenata prostornog uređenja i dr.). ISPU sadrži registre podataka o prostoru i druge registre podataka i informacija u vezi s prostornim uređenjem (sadrži podatke i informacije:  o stvarnom korištenju zemljišta i listu prostornih pokazatelja, o uvjetima i ograničenjima korištenja prostora utvrđenih prostornim planovima, o javnoj, komunalnoj i drugoj infrastrukturi, o upravnim i drugim aktima nadležnih tijela donesenim u svrhu provedbe dokumenata prostornog uređenja isl.) ISPU se vodi kao distributivni informacijski sustav sastavljen od većeg broja dislociranih, međusobno usklađenih i povezanih informacijskih sustava tematskih područja, a za to se određuju nadležni referentni centri u županijama.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495"/>
        <w:gridCol w:w="1298"/>
        <w:gridCol w:w="1299"/>
        <w:gridCol w:w="1299"/>
        <w:gridCol w:w="1299"/>
        <w:gridCol w:w="129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postotka proširenja podataka GIS-a</w:t>
            </w:r>
          </w:p>
        </w:tc>
        <w:tc>
          <w:tcPr>
            <w:tcW w:w="1300" w:type="dxa"/>
          </w:tcPr>
          <w:p w:rsidR="00AC0832" w:rsidRDefault="00AC0832">
            <w:pPr>
              <w:pStyle w:val="CellColumn"/>
            </w:pPr>
            <w:r>
              <w:t>Koordinacija uspostave informacijskog sustava</w:t>
            </w:r>
          </w:p>
        </w:tc>
        <w:tc>
          <w:tcPr>
            <w:tcW w:w="1300" w:type="dxa"/>
          </w:tcPr>
          <w:p w:rsidR="00AC0832" w:rsidRDefault="00AC0832">
            <w:pPr>
              <w:pStyle w:val="CellColumn"/>
            </w:pPr>
            <w:r>
              <w:t>%</w:t>
            </w:r>
          </w:p>
        </w:tc>
        <w:tc>
          <w:tcPr>
            <w:tcW w:w="1300" w:type="dxa"/>
          </w:tcPr>
          <w:p w:rsidR="00AC0832" w:rsidRDefault="00AC0832">
            <w:pPr>
              <w:pStyle w:val="CellColumn"/>
            </w:pPr>
            <w:r>
              <w:t>50</w:t>
            </w:r>
          </w:p>
        </w:tc>
        <w:tc>
          <w:tcPr>
            <w:tcW w:w="1300" w:type="dxa"/>
          </w:tcPr>
          <w:p w:rsidR="00AC0832" w:rsidRDefault="00AC0832">
            <w:pPr>
              <w:pStyle w:val="CellColumn"/>
            </w:pPr>
            <w:r>
              <w:t>MGIPU</w:t>
            </w:r>
          </w:p>
        </w:tc>
        <w:tc>
          <w:tcPr>
            <w:tcW w:w="1300" w:type="dxa"/>
          </w:tcPr>
          <w:p w:rsidR="00AC0832" w:rsidRDefault="00AC0832">
            <w:pPr>
              <w:pStyle w:val="CellColumn"/>
            </w:pPr>
            <w:r>
              <w:t>90</w:t>
            </w:r>
          </w:p>
        </w:tc>
        <w:tc>
          <w:tcPr>
            <w:tcW w:w="1300" w:type="dxa"/>
          </w:tcPr>
          <w:p w:rsidR="00AC0832" w:rsidRDefault="00AC0832">
            <w:pPr>
              <w:pStyle w:val="CellColumn"/>
            </w:pPr>
            <w:r>
              <w:t>90</w:t>
            </w:r>
          </w:p>
        </w:tc>
      </w:tr>
    </w:tbl>
    <w:p w:rsidR="00AC0832" w:rsidRDefault="00AC0832">
      <w:pPr>
        <w:jc w:val="left"/>
      </w:pPr>
    </w:p>
    <w:p w:rsidR="00AC0832" w:rsidRDefault="00AC0832">
      <w:pPr>
        <w:pStyle w:val="Heading7"/>
      </w:pPr>
      <w:r>
        <w:t>Cilj 3. Unaprijediti zakonitost izrade, donošenja i provođenja akata prostornog uređenja</w:t>
      </w:r>
    </w:p>
    <w:p w:rsidR="00AC0832" w:rsidRDefault="00AC0832">
      <w:pPr>
        <w:pStyle w:val="Heading8"/>
        <w:jc w:val="left"/>
      </w:pPr>
      <w:r>
        <w:t>Opis provedbe cilja programa</w:t>
      </w:r>
    </w:p>
    <w:p w:rsidR="00AC0832" w:rsidRDefault="00AC0832">
      <w:pPr>
        <w:pStyle w:val="Normal6"/>
      </w:pPr>
      <w:r>
        <w:t>Cilj programa ostvaruje se provođenjem planiranih nadzora urbanističke inspekcije, na način da se inspekcijski nadzor u bitnom usmjerava na preventivno djelovanje tijekom postupka izrade i donošenja prostornih planova. Tijekom obavljanja nadzora, kako planiranih tako i povodom prijava o nepravilnostima i nezakonitostima, sustavno se unaprjeđuju propisani postupci vezani za prostorno planiranje i pojedinačne akte prostornog uređenja.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95"/>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izrađenosti aplikacije</w:t>
            </w:r>
          </w:p>
        </w:tc>
        <w:tc>
          <w:tcPr>
            <w:tcW w:w="1300" w:type="dxa"/>
          </w:tcPr>
          <w:p w:rsidR="00AC0832" w:rsidRDefault="00AC0832">
            <w:pPr>
              <w:pStyle w:val="CellColumn"/>
            </w:pPr>
            <w:r>
              <w:t>Izrada aplikacije za centralizirani sustav izrade dozvola za područje RH</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MGIPU</w:t>
            </w:r>
          </w:p>
        </w:tc>
        <w:tc>
          <w:tcPr>
            <w:tcW w:w="1300" w:type="dxa"/>
          </w:tcPr>
          <w:p w:rsidR="00AC0832" w:rsidRDefault="00AC0832">
            <w:pPr>
              <w:pStyle w:val="CellColumn"/>
            </w:pPr>
            <w:r>
              <w:t>80</w:t>
            </w:r>
          </w:p>
        </w:tc>
        <w:tc>
          <w:tcPr>
            <w:tcW w:w="1300" w:type="dxa"/>
          </w:tcPr>
          <w:p w:rsidR="00AC0832" w:rsidRDefault="00AC0832">
            <w:pPr>
              <w:pStyle w:val="CellColumn"/>
            </w:pPr>
            <w:r>
              <w:t>80</w:t>
            </w:r>
          </w:p>
        </w:tc>
      </w:tr>
      <w:tr w:rsidR="00AC0832" w:rsidTr="00BE20ED">
        <w:trPr>
          <w:jc w:val="center"/>
        </w:trPr>
        <w:tc>
          <w:tcPr>
            <w:tcW w:w="1300" w:type="dxa"/>
          </w:tcPr>
          <w:p w:rsidR="00AC0832" w:rsidRDefault="00AC0832">
            <w:pPr>
              <w:pStyle w:val="CellColumn"/>
            </w:pPr>
            <w:r>
              <w:t>Povećanje postotka zakonitih prostornih planova nad kojima je obavljen nadzor urbanističke inspekcije</w:t>
            </w:r>
          </w:p>
        </w:tc>
        <w:tc>
          <w:tcPr>
            <w:tcW w:w="1300" w:type="dxa"/>
          </w:tcPr>
          <w:p w:rsidR="00AC0832" w:rsidRDefault="00AC0832">
            <w:pPr>
              <w:pStyle w:val="CellColumn"/>
            </w:pPr>
            <w:r>
              <w:t>Planiranim inspekcijskim nadzorima osigurava se usklađenost rada svih sudionika u prostornom planiranju s propisima</w:t>
            </w:r>
          </w:p>
        </w:tc>
        <w:tc>
          <w:tcPr>
            <w:tcW w:w="1300" w:type="dxa"/>
          </w:tcPr>
          <w:p w:rsidR="00AC0832" w:rsidRDefault="00AC0832">
            <w:pPr>
              <w:pStyle w:val="CellColumn"/>
            </w:pPr>
            <w:r>
              <w:t>%</w:t>
            </w:r>
          </w:p>
        </w:tc>
        <w:tc>
          <w:tcPr>
            <w:tcW w:w="1300" w:type="dxa"/>
          </w:tcPr>
          <w:p w:rsidR="00AC0832" w:rsidRDefault="00AC0832">
            <w:pPr>
              <w:pStyle w:val="CellColumn"/>
            </w:pPr>
            <w:r>
              <w:t>40</w:t>
            </w:r>
          </w:p>
        </w:tc>
        <w:tc>
          <w:tcPr>
            <w:tcW w:w="1300" w:type="dxa"/>
          </w:tcPr>
          <w:p w:rsidR="00AC0832" w:rsidRDefault="00AC0832">
            <w:pPr>
              <w:pStyle w:val="CellColumn"/>
            </w:pPr>
            <w:r>
              <w:t>MGIPU</w:t>
            </w:r>
          </w:p>
        </w:tc>
        <w:tc>
          <w:tcPr>
            <w:tcW w:w="1300" w:type="dxa"/>
          </w:tcPr>
          <w:p w:rsidR="00AC0832" w:rsidRDefault="00AC0832">
            <w:pPr>
              <w:pStyle w:val="CellColumn"/>
            </w:pPr>
            <w:r>
              <w:t>50</w:t>
            </w:r>
          </w:p>
        </w:tc>
        <w:tc>
          <w:tcPr>
            <w:tcW w:w="1300" w:type="dxa"/>
          </w:tcPr>
          <w:p w:rsidR="00AC0832" w:rsidRDefault="00AC0832">
            <w:pPr>
              <w:pStyle w:val="CellColumn"/>
            </w:pPr>
            <w:r>
              <w:t>52</w:t>
            </w:r>
          </w:p>
        </w:tc>
      </w:tr>
    </w:tbl>
    <w:p w:rsidR="00AC0832" w:rsidRDefault="00AC0832">
      <w:pPr>
        <w:jc w:val="left"/>
      </w:pPr>
    </w:p>
    <w:p w:rsidR="00AC0832" w:rsidRDefault="00AC0832">
      <w:pPr>
        <w:pStyle w:val="Heading6"/>
      </w:pPr>
      <w:r>
        <w:t>A538027 PRIJENOS SREDSTAVA ZA ZAPOSLENE U JLP(R)S TEMELJEM ZAKONA O PROSTORNOM UREĐENJU I GRADNJI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A538027-PRIJENOS SREDSTAVA ZA ZAPOSLENE U JLP(R)S TEMELJEM ZAKONA O PROSTORNOM UREĐENJU I GRADNJI</w:t>
            </w:r>
          </w:p>
        </w:tc>
        <w:tc>
          <w:tcPr>
            <w:tcW w:w="2322" w:type="dxa"/>
          </w:tcPr>
          <w:p w:rsidR="00AC0832" w:rsidRDefault="00AC0832">
            <w:pPr>
              <w:pStyle w:val="CellColumn"/>
            </w:pPr>
            <w:r>
              <w:t>22.000.000</w:t>
            </w:r>
          </w:p>
        </w:tc>
        <w:tc>
          <w:tcPr>
            <w:tcW w:w="2322" w:type="dxa"/>
          </w:tcPr>
          <w:p w:rsidR="00AC0832" w:rsidRDefault="00AC0832">
            <w:pPr>
              <w:pStyle w:val="CellColumn"/>
            </w:pPr>
            <w:r>
              <w:t>21.999.936</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Temeljem Zakona o prostornom uređenju i gradnji Ministarstvo graditeljstva i prostornoga uređenja je odgovorno za izvršavanje aktivnosti A538027 Prijenos sredstava za zaploslene u JLP(R)S koju je početkom 2012. godine preuzelo od Ministarstva financija. Sredstva planirana u proračunu za 2012. godinu bila su dostatna za isplatu sredstava za pet mjeseci, a činila su ih prenijeta sredstva  od Ministarstva financija u privremenom financiranju u iznosu od 12.000.000,00 kuna, te rebalansom proračuna odobrena sredstva u iznosu od 10.000.00,00 kuna, dok je ostatak sredstava do ukupne potrebe na godišnjoj razini od 48.000.000,00 kuna planiran u proračunu za 2013. godinu i isplaćen Jedinicama lokalne, područne (regionalne) samouprave početkom 2013. godine.</w:t>
      </w:r>
    </w:p>
    <w:p w:rsidR="00AC0832" w:rsidRDefault="00AC0832">
      <w:pPr>
        <w:pStyle w:val="Heading6"/>
      </w:pPr>
      <w:r>
        <w:t>A576007 ADMINISTRACIJA I UPRAVLJANJE MINISTARSTVOM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A576007-ADMINISTRACIJA I UPRAVLJANJE MINISTARSTVOM</w:t>
            </w:r>
          </w:p>
        </w:tc>
        <w:tc>
          <w:tcPr>
            <w:tcW w:w="2322" w:type="dxa"/>
          </w:tcPr>
          <w:p w:rsidR="00AC0832" w:rsidRDefault="00AC0832">
            <w:pPr>
              <w:pStyle w:val="CellColumn"/>
            </w:pPr>
            <w:r>
              <w:t>66.061.851</w:t>
            </w:r>
          </w:p>
        </w:tc>
        <w:tc>
          <w:tcPr>
            <w:tcW w:w="2322" w:type="dxa"/>
          </w:tcPr>
          <w:p w:rsidR="00AC0832" w:rsidRDefault="00AC0832">
            <w:pPr>
              <w:pStyle w:val="CellColumn"/>
            </w:pPr>
            <w:r>
              <w:t>65.732.907</w:t>
            </w:r>
          </w:p>
        </w:tc>
        <w:tc>
          <w:tcPr>
            <w:tcW w:w="2322" w:type="dxa"/>
          </w:tcPr>
          <w:p w:rsidR="00AC0832" w:rsidRDefault="00AC0832">
            <w:pPr>
              <w:pStyle w:val="CellColumn"/>
            </w:pPr>
            <w:r>
              <w:t>99,5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Ministarstvo kontinuirano detaljno, financijski i stručno prati ostvarenje zacrtanih zadataka uključujući zapošljavanje, troškove djelatnika i njihovih materijalnih prava, doprinosa, službenih putovanja, stručnog usavršavanja, materijalnih troškova roba i usluga, redovne režije, naknade, premije osiguranja. Aktivnost se u potpunosti financira iz proračunskih prihoda. Temelj ostvarenja ove aktivnosti je pravovremeno sagledavanje potreba u svim segmentima tzv. „hladnog pogona“ čime se omogućava ažurno obavljanje zacrtanih zadataka.</w:t>
      </w: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Povećani učinak</w:t>
            </w:r>
          </w:p>
        </w:tc>
        <w:tc>
          <w:tcPr>
            <w:tcW w:w="1300" w:type="dxa"/>
          </w:tcPr>
          <w:p w:rsidR="00AC0832" w:rsidRDefault="00AC0832">
            <w:pPr>
              <w:pStyle w:val="CellColumn"/>
            </w:pPr>
            <w:r>
              <w:t>Povečati učinak bez dodatnih ulaganja</w:t>
            </w:r>
          </w:p>
        </w:tc>
        <w:tc>
          <w:tcPr>
            <w:tcW w:w="1300" w:type="dxa"/>
          </w:tcPr>
          <w:p w:rsidR="00AC0832" w:rsidRDefault="00AC0832">
            <w:pPr>
              <w:pStyle w:val="CellColumn"/>
            </w:pPr>
            <w:r>
              <w:t>%</w:t>
            </w:r>
          </w:p>
        </w:tc>
        <w:tc>
          <w:tcPr>
            <w:tcW w:w="1300" w:type="dxa"/>
          </w:tcPr>
          <w:p w:rsidR="00AC0832" w:rsidRDefault="00AC0832">
            <w:pPr>
              <w:pStyle w:val="CellColumn"/>
            </w:pPr>
            <w:r>
              <w:t>100</w:t>
            </w:r>
          </w:p>
        </w:tc>
        <w:tc>
          <w:tcPr>
            <w:tcW w:w="1300" w:type="dxa"/>
          </w:tcPr>
          <w:p w:rsidR="00AC0832" w:rsidRDefault="00AC0832">
            <w:pPr>
              <w:pStyle w:val="CellColumn"/>
            </w:pPr>
            <w:r>
              <w:t>MGIPU</w:t>
            </w:r>
          </w:p>
        </w:tc>
        <w:tc>
          <w:tcPr>
            <w:tcW w:w="1300" w:type="dxa"/>
          </w:tcPr>
          <w:p w:rsidR="00AC0832" w:rsidRDefault="00AC0832">
            <w:pPr>
              <w:pStyle w:val="CellColumn"/>
            </w:pPr>
            <w:r>
              <w:t>100</w:t>
            </w:r>
          </w:p>
        </w:tc>
        <w:tc>
          <w:tcPr>
            <w:tcW w:w="1300" w:type="dxa"/>
          </w:tcPr>
          <w:p w:rsidR="00AC0832" w:rsidRDefault="00AC0832">
            <w:pPr>
              <w:pStyle w:val="CellColumn"/>
            </w:pPr>
            <w:r>
              <w:t>100</w:t>
            </w:r>
          </w:p>
        </w:tc>
      </w:tr>
    </w:tbl>
    <w:p w:rsidR="00AC0832" w:rsidRDefault="00AC0832">
      <w:pPr>
        <w:jc w:val="left"/>
      </w:pPr>
    </w:p>
    <w:p w:rsidR="00AC0832" w:rsidRDefault="00AC0832">
      <w:pPr>
        <w:pStyle w:val="Heading6"/>
      </w:pPr>
      <w:r>
        <w:t>A576060 NADZOR AKATA PROSTORNOG UREĐENJA I GRADNJE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A576060-NADZOR AKATA PROSTORNOG UREĐENJA I GRADNJE</w:t>
            </w:r>
          </w:p>
        </w:tc>
        <w:tc>
          <w:tcPr>
            <w:tcW w:w="2322" w:type="dxa"/>
          </w:tcPr>
          <w:p w:rsidR="00AC0832" w:rsidRDefault="00AC0832">
            <w:pPr>
              <w:pStyle w:val="CellColumn"/>
            </w:pPr>
            <w:r>
              <w:t>4.405.000</w:t>
            </w:r>
          </w:p>
        </w:tc>
        <w:tc>
          <w:tcPr>
            <w:tcW w:w="2322" w:type="dxa"/>
          </w:tcPr>
          <w:p w:rsidR="00AC0832" w:rsidRDefault="00AC0832">
            <w:pPr>
              <w:pStyle w:val="CellColumn"/>
            </w:pPr>
            <w:r>
              <w:t>1.682.809</w:t>
            </w:r>
          </w:p>
        </w:tc>
        <w:tc>
          <w:tcPr>
            <w:tcW w:w="2322" w:type="dxa"/>
          </w:tcPr>
          <w:p w:rsidR="00AC0832" w:rsidRDefault="00AC0832">
            <w:pPr>
              <w:pStyle w:val="CellColumn"/>
            </w:pPr>
            <w:r>
              <w:t>38,2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Urbanistička inspekcija Ministarstva provodi inspekcijski nadzor nad općim i pojedinačnim aktima prostornog uređenja, uvjetima rada osoba ovlaštenih za izradu dokumenata prostornog uređenja te poduzima i druge mjere određene Zakonom. Rad urbanističke inspekcije usmjeren je na prostorne planove, a potom i na druge opće i pojedinačne akte u funkciji izrade prostornih planova, postupka njihova donošenja i provođenja. Obzirom na zahtjevnost sustava prostornog uređenja i složenost postupka donošenja odluka, rad urbanističke inspekcije usmjeren je na preventivno djelovanje u postupku izrade prostornih planova, a manje na nadzor već donesenih prostornih planova. </w:t>
      </w:r>
    </w:p>
    <w:p w:rsidR="00AC0832" w:rsidRDefault="00AC0832">
      <w:pPr>
        <w:pStyle w:val="Normal6"/>
      </w:pPr>
      <w:r>
        <w:t xml:space="preserve"> </w:t>
      </w:r>
    </w:p>
    <w:p w:rsidR="00AC0832" w:rsidRDefault="00AC0832">
      <w:pPr>
        <w:pStyle w:val="Normal6"/>
      </w:pPr>
      <w:r>
        <w:t>Polazište za planiranje sustavnih nadzora građevinske inspekcije su propisi o gradnji kojima je propisana obveza nadzora zakonitosti gradnje i kvalitete građevnih proizvoda. Međutim, obzirom na dugogodišnju pojavu nezakonitog građenja (od 1968. godine), tijekom 2012. godine prioritetno postupanje građevinske inspekcije odnosilo se na nadzor takvih građevina i nadzor područja bitno zahvaćenih takvom gradnjom. Naime,stupanjem na snagu Zakona o postupanju s nezakonito izgrađenim zgradama tijekom 2012. godine , djelovanje građevinske inspekcije usmjereno je na sustavne nadzore zakonitosti građenja nakon 21. lipnja 2011., posebno u zaštićenim područjima, te na prisilna izvršenja inspekcijskih rješenja u tim područjima. Inspektori su također pisanim dopisom sve nezakonite graditelje pozvali da podnesu zahtjeve za „legalizaciju“u propisanom roku, odnosno do31. prosinca 2012. Zbog svega navedenog smanjio se planirani broj ukupnih inspekcijskih nadzora, ali se povećao broj prisilnih izvršenja inspekcijskih rješenja te broj obustavljenih inspekcijskih postupaka zbog promjene legalnosti građevina, što također bitno pridonosi uvođenju reda u prostor.</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9"/>
        <w:gridCol w:w="1395"/>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povečanje broja sustavnih inspekcijskih nadzora</w:t>
            </w:r>
          </w:p>
        </w:tc>
        <w:tc>
          <w:tcPr>
            <w:tcW w:w="1300" w:type="dxa"/>
          </w:tcPr>
          <w:p w:rsidR="00AC0832" w:rsidRDefault="00AC0832">
            <w:pPr>
              <w:pStyle w:val="CellColumn"/>
            </w:pPr>
            <w:r>
              <w:t>Sustavnim inspekcijskim nadzorom utječe se na zakonitost i kvalitetu gradnje</w:t>
            </w:r>
          </w:p>
        </w:tc>
        <w:tc>
          <w:tcPr>
            <w:tcW w:w="1300" w:type="dxa"/>
          </w:tcPr>
          <w:p w:rsidR="00AC0832" w:rsidRDefault="00AC0832">
            <w:pPr>
              <w:pStyle w:val="CellColumn"/>
            </w:pPr>
            <w:r>
              <w:t>broj</w:t>
            </w:r>
          </w:p>
        </w:tc>
        <w:tc>
          <w:tcPr>
            <w:tcW w:w="1300" w:type="dxa"/>
          </w:tcPr>
          <w:p w:rsidR="00AC0832" w:rsidRDefault="00AC0832">
            <w:pPr>
              <w:pStyle w:val="CellColumn"/>
            </w:pPr>
            <w:r>
              <w:t>13500</w:t>
            </w:r>
          </w:p>
        </w:tc>
        <w:tc>
          <w:tcPr>
            <w:tcW w:w="1300" w:type="dxa"/>
          </w:tcPr>
          <w:p w:rsidR="00AC0832" w:rsidRDefault="00AC0832">
            <w:pPr>
              <w:pStyle w:val="CellColumn"/>
            </w:pPr>
            <w:r>
              <w:t>MGIPU</w:t>
            </w:r>
          </w:p>
        </w:tc>
        <w:tc>
          <w:tcPr>
            <w:tcW w:w="1300" w:type="dxa"/>
          </w:tcPr>
          <w:p w:rsidR="00AC0832" w:rsidRDefault="00AC0832">
            <w:pPr>
              <w:pStyle w:val="CellColumn"/>
            </w:pPr>
            <w:r>
              <w:t>14200</w:t>
            </w:r>
          </w:p>
        </w:tc>
        <w:tc>
          <w:tcPr>
            <w:tcW w:w="1300" w:type="dxa"/>
          </w:tcPr>
          <w:p w:rsidR="00AC0832" w:rsidRDefault="00AC0832">
            <w:pPr>
              <w:pStyle w:val="CellColumn"/>
            </w:pPr>
            <w:r>
              <w:t>10900</w:t>
            </w:r>
          </w:p>
        </w:tc>
      </w:tr>
      <w:tr w:rsidR="00AC0832" w:rsidTr="00BE20ED">
        <w:trPr>
          <w:jc w:val="center"/>
        </w:trPr>
        <w:tc>
          <w:tcPr>
            <w:tcW w:w="1300" w:type="dxa"/>
          </w:tcPr>
          <w:p w:rsidR="00AC0832" w:rsidRDefault="00AC0832">
            <w:pPr>
              <w:pStyle w:val="CellColumn"/>
            </w:pPr>
            <w:r>
              <w:t>Povećanje broja sustavnih nadzora</w:t>
            </w:r>
          </w:p>
        </w:tc>
        <w:tc>
          <w:tcPr>
            <w:tcW w:w="1300" w:type="dxa"/>
          </w:tcPr>
          <w:p w:rsidR="00AC0832" w:rsidRDefault="00AC0832">
            <w:pPr>
              <w:pStyle w:val="CellColumn"/>
            </w:pPr>
            <w:r>
              <w:t>Povećanje broja inspekcijskih i upravnih nadzora</w:t>
            </w:r>
          </w:p>
        </w:tc>
        <w:tc>
          <w:tcPr>
            <w:tcW w:w="1300" w:type="dxa"/>
          </w:tcPr>
          <w:p w:rsidR="00AC0832" w:rsidRDefault="00AC0832">
            <w:pPr>
              <w:pStyle w:val="CellColumn"/>
            </w:pPr>
            <w:r>
              <w:t>broj</w:t>
            </w:r>
          </w:p>
        </w:tc>
        <w:tc>
          <w:tcPr>
            <w:tcW w:w="1300" w:type="dxa"/>
          </w:tcPr>
          <w:p w:rsidR="00AC0832" w:rsidRDefault="00AC0832">
            <w:pPr>
              <w:pStyle w:val="CellColumn"/>
            </w:pPr>
            <w:r>
              <w:t>400</w:t>
            </w:r>
          </w:p>
        </w:tc>
        <w:tc>
          <w:tcPr>
            <w:tcW w:w="1300" w:type="dxa"/>
          </w:tcPr>
          <w:p w:rsidR="00AC0832" w:rsidRDefault="00AC0832">
            <w:pPr>
              <w:pStyle w:val="CellColumn"/>
            </w:pPr>
            <w:r>
              <w:t>MGIPU</w:t>
            </w:r>
          </w:p>
        </w:tc>
        <w:tc>
          <w:tcPr>
            <w:tcW w:w="1300" w:type="dxa"/>
          </w:tcPr>
          <w:p w:rsidR="00AC0832" w:rsidRDefault="00AC0832">
            <w:pPr>
              <w:pStyle w:val="CellColumn"/>
            </w:pPr>
            <w:r>
              <w:t>450</w:t>
            </w:r>
          </w:p>
        </w:tc>
        <w:tc>
          <w:tcPr>
            <w:tcW w:w="1300" w:type="dxa"/>
          </w:tcPr>
          <w:p w:rsidR="00AC0832" w:rsidRDefault="00AC0832">
            <w:pPr>
              <w:pStyle w:val="CellColumn"/>
            </w:pPr>
            <w:r>
              <w:t>455</w:t>
            </w:r>
          </w:p>
        </w:tc>
      </w:tr>
    </w:tbl>
    <w:p w:rsidR="00AC0832" w:rsidRDefault="00AC0832">
      <w:pPr>
        <w:jc w:val="left"/>
      </w:pPr>
    </w:p>
    <w:p w:rsidR="00AC0832" w:rsidRDefault="00AC0832">
      <w:pPr>
        <w:pStyle w:val="Heading6"/>
      </w:pPr>
      <w:r>
        <w:t>A576150 DJELOVANJE NA UNAPREĐENJU PROSTORNOG UREĐENJA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A576150-DJELOVANJE NA UNAPREĐENJU PROSTORNOG UREĐENJA</w:t>
            </w:r>
          </w:p>
        </w:tc>
        <w:tc>
          <w:tcPr>
            <w:tcW w:w="2322" w:type="dxa"/>
          </w:tcPr>
          <w:p w:rsidR="00AC0832" w:rsidRDefault="00AC0832">
            <w:pPr>
              <w:pStyle w:val="CellColumn"/>
            </w:pPr>
            <w:r>
              <w:t>650.000</w:t>
            </w:r>
          </w:p>
        </w:tc>
        <w:tc>
          <w:tcPr>
            <w:tcW w:w="2322" w:type="dxa"/>
          </w:tcPr>
          <w:p w:rsidR="00AC0832" w:rsidRDefault="00AC0832">
            <w:pPr>
              <w:pStyle w:val="CellColumn"/>
            </w:pPr>
            <w:r>
              <w:t>516.505</w:t>
            </w:r>
          </w:p>
        </w:tc>
        <w:tc>
          <w:tcPr>
            <w:tcW w:w="2322" w:type="dxa"/>
          </w:tcPr>
          <w:p w:rsidR="00AC0832" w:rsidRDefault="00AC0832">
            <w:pPr>
              <w:pStyle w:val="CellColumn"/>
            </w:pPr>
            <w:r>
              <w:t>79,5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Izvršena je financijska pomoć jedinicama lokalne samouprave u izradi dokumenata prostornog uređenja prema obrađenim zahtjevima, a u skladu s kriterijima za dodjelu sredstava. Cilj je što brža izrada prostornih planova uređenja općina i gradova kao nužni preduvjet za realizaciju razvojnih programa JLS G/O. Sredstva su namjenski korištena, a ciljevi u cijelosti postignuti. Dio sredstava je utrošen na usluge vezane na izradu dokumenata. Sukladno raspoloživim sredstvima i stručnim kapacitetima postavljeni ciljevi su postignuti. U raznorodnim aktivnostima u okviru programa obavljaju se kontinuirano poslovi koji su od važnosti za cjelovito sagledavanje procesa u prostoru kao i djelovanje u pojedinim segmentima (izrada pojmovnika, izrada Izmjena i dopuna Strategije prostornog uređenja RH te Izmjena i dopuna Programa prostornog uređenja RH) što sve predstavlja strateški interes prostornog razvoja i uređenja prostora. Za navedene radove korišteni su vlastiti resursi.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postotka izrađenosti dokumenata prostornog uređenja lokalne razine za koje je dana financijska pomoć</w:t>
            </w:r>
          </w:p>
        </w:tc>
        <w:tc>
          <w:tcPr>
            <w:tcW w:w="1300" w:type="dxa"/>
          </w:tcPr>
          <w:p w:rsidR="00AC0832" w:rsidRDefault="00AC0832">
            <w:pPr>
              <w:pStyle w:val="CellColumn"/>
            </w:pPr>
            <w:r>
              <w:t>Financijska pomoć pri izradi i dovršenju prostornih planova lokalne razine</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MGIPU</w:t>
            </w:r>
          </w:p>
        </w:tc>
        <w:tc>
          <w:tcPr>
            <w:tcW w:w="1300" w:type="dxa"/>
          </w:tcPr>
          <w:p w:rsidR="00AC0832" w:rsidRDefault="00AC0832">
            <w:pPr>
              <w:pStyle w:val="CellColumn"/>
            </w:pPr>
            <w:r>
              <w:t>100</w:t>
            </w:r>
          </w:p>
        </w:tc>
        <w:tc>
          <w:tcPr>
            <w:tcW w:w="1300" w:type="dxa"/>
          </w:tcPr>
          <w:p w:rsidR="00AC0832" w:rsidRDefault="00AC0832">
            <w:pPr>
              <w:pStyle w:val="CellColumn"/>
            </w:pPr>
            <w:r>
              <w:t>100</w:t>
            </w:r>
          </w:p>
        </w:tc>
      </w:tr>
    </w:tbl>
    <w:p w:rsidR="00AC0832" w:rsidRDefault="00AC0832">
      <w:pPr>
        <w:jc w:val="left"/>
      </w:pPr>
    </w:p>
    <w:p w:rsidR="00AC0832" w:rsidRDefault="00AC0832">
      <w:pPr>
        <w:pStyle w:val="Heading6"/>
      </w:pPr>
      <w:r>
        <w:t>A576151 IZRADA DOKUMENATA PROSTORNOG UREĐENJA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A576151-IZRADA DOKUMENATA PROSTORNOG UREĐENJA</w:t>
            </w:r>
          </w:p>
        </w:tc>
        <w:tc>
          <w:tcPr>
            <w:tcW w:w="2322" w:type="dxa"/>
          </w:tcPr>
          <w:p w:rsidR="00AC0832" w:rsidRDefault="00AC0832">
            <w:pPr>
              <w:pStyle w:val="CellColumn"/>
            </w:pPr>
            <w:r>
              <w:t>800.000</w:t>
            </w:r>
          </w:p>
        </w:tc>
        <w:tc>
          <w:tcPr>
            <w:tcW w:w="2322" w:type="dxa"/>
          </w:tcPr>
          <w:p w:rsidR="00AC0832" w:rsidRDefault="00AC0832">
            <w:pPr>
              <w:pStyle w:val="CellColumn"/>
            </w:pPr>
            <w:r>
              <w:t>730.905</w:t>
            </w:r>
          </w:p>
        </w:tc>
        <w:tc>
          <w:tcPr>
            <w:tcW w:w="2322" w:type="dxa"/>
          </w:tcPr>
          <w:p w:rsidR="00AC0832" w:rsidRDefault="00AC0832">
            <w:pPr>
              <w:pStyle w:val="CellColumn"/>
            </w:pPr>
            <w:r>
              <w:t>91,4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2012. godini doneseni su sljedeći Prostorni planovi područja posebnih obilježja: Prostorni plan Nacionalnog parka Sjeverni Velebit (NN br. 35/12.), Prostorni plan Parka prirode Vransko jezero (NN br. 58/12.). Navedeni Planovi su objavljen na web stranicama Ministarstva. Izrađeno je Izvješće o stanju u prostoru Republike Hrvatske 2008.-2012.  </w:t>
      </w:r>
    </w:p>
    <w:p w:rsidR="00AC0832" w:rsidRDefault="00AC0832">
      <w:pPr>
        <w:pStyle w:val="Normal6"/>
      </w:pPr>
      <w:r>
        <w:t xml:space="preserve">Prostorni plan Nacionalnog parka Plitvička jezera: izrađeno Izvješće o javnoj raspravi, obavljena ponovna javna rasprava, izrađeno Izvješće o ponovnoj javnoj raspravi.  </w:t>
      </w:r>
    </w:p>
    <w:p w:rsidR="00AC0832" w:rsidRDefault="00AC0832">
      <w:pPr>
        <w:pStyle w:val="Normal6"/>
      </w:pPr>
      <w:r>
        <w:t xml:space="preserve">Prostorni plan Parka prirode Medvednica: obavljeni su pripremni radovi za ponovnu javnu raspravu.  </w:t>
      </w:r>
    </w:p>
    <w:p w:rsidR="00AC0832" w:rsidRDefault="00AC0832">
      <w:pPr>
        <w:pStyle w:val="Normal6"/>
      </w:pPr>
      <w:r>
        <w:t xml:space="preserve">Prostorni plan Parka prirode Telašćica: obavljeni su pripremni radovi za prethodnu raspravu.  </w:t>
      </w:r>
    </w:p>
    <w:p w:rsidR="00AC0832" w:rsidRDefault="00AC0832">
      <w:pPr>
        <w:pStyle w:val="Normal6"/>
      </w:pPr>
      <w:r>
        <w:t xml:space="preserve">Prostorni plan Parka prirode Žumberak-Samoborsko gorje: nastavak pripremnih radova za prethodnu raspravu.  </w:t>
      </w:r>
    </w:p>
    <w:p w:rsidR="00AC0832" w:rsidRDefault="00AC0832">
      <w:pPr>
        <w:pStyle w:val="Normal6"/>
      </w:pPr>
      <w:r>
        <w:t xml:space="preserve">Prostorni plan Parka prirode Biokovo: nastavak pripremnih radova za prethodnu raspravu.  </w:t>
      </w:r>
    </w:p>
    <w:p w:rsidR="00AC0832" w:rsidRDefault="00AC0832">
      <w:pPr>
        <w:pStyle w:val="Normal6"/>
      </w:pPr>
      <w:r>
        <w:t xml:space="preserve">Planirana sredstva su u cijelosti utrošena s time da je 3-5% utrošen na usluge vezane na izradu dokumenata.  </w:t>
      </w:r>
    </w:p>
    <w:p w:rsidR="00AC0832" w:rsidRDefault="00AC0832">
      <w:pPr>
        <w:pStyle w:val="Normal6"/>
      </w:pPr>
      <w:r>
        <w:t>Sukladno raspoloživim sredstvima i stručnim kapacitetima u cijelosti su izvršeni planirani zadaci. Izvan planiranih zadataka izrađeni su sljedeći prvovažeći dokumenti: Pojmovnik (prateći dokument informacijskog sustava prostornog uređenja), izrada prijedloga Izmjena i dopuna Strategije prostornog uređenja RH te prijedloga Izmjena i dopuna Programa prostornog uređenja RH. Za navedene radove korišteni su vlastiti resursi.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17"/>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postotka izrade Strategije prostornog razvoja RH i Programa prostornog uređenja RH</w:t>
            </w:r>
          </w:p>
        </w:tc>
        <w:tc>
          <w:tcPr>
            <w:tcW w:w="1300" w:type="dxa"/>
          </w:tcPr>
          <w:p w:rsidR="00AC0832" w:rsidRDefault="00AC0832">
            <w:pPr>
              <w:pStyle w:val="CellColumn"/>
            </w:pPr>
            <w:r>
              <w:t>Strateški dokument koji će definirati preduvjete za održivo prostorno uređenje</w:t>
            </w:r>
          </w:p>
        </w:tc>
        <w:tc>
          <w:tcPr>
            <w:tcW w:w="1300" w:type="dxa"/>
          </w:tcPr>
          <w:p w:rsidR="00AC0832" w:rsidRDefault="00AC0832">
            <w:pPr>
              <w:pStyle w:val="CellColumn"/>
            </w:pPr>
            <w:r>
              <w:t>%</w:t>
            </w:r>
          </w:p>
        </w:tc>
        <w:tc>
          <w:tcPr>
            <w:tcW w:w="1300" w:type="dxa"/>
          </w:tcPr>
          <w:p w:rsidR="00AC0832" w:rsidRDefault="00AC0832">
            <w:pPr>
              <w:pStyle w:val="CellColumn"/>
            </w:pPr>
            <w:r>
              <w:t>10</w:t>
            </w:r>
          </w:p>
        </w:tc>
        <w:tc>
          <w:tcPr>
            <w:tcW w:w="1300" w:type="dxa"/>
          </w:tcPr>
          <w:p w:rsidR="00AC0832" w:rsidRDefault="00AC0832">
            <w:pPr>
              <w:pStyle w:val="CellColumn"/>
            </w:pPr>
            <w:r>
              <w:t>MGIPU</w:t>
            </w:r>
          </w:p>
        </w:tc>
        <w:tc>
          <w:tcPr>
            <w:tcW w:w="1300" w:type="dxa"/>
          </w:tcPr>
          <w:p w:rsidR="00AC0832" w:rsidRDefault="00AC0832">
            <w:pPr>
              <w:pStyle w:val="CellColumn"/>
            </w:pPr>
            <w:r>
              <w:t>90</w:t>
            </w:r>
          </w:p>
        </w:tc>
        <w:tc>
          <w:tcPr>
            <w:tcW w:w="1300" w:type="dxa"/>
          </w:tcPr>
          <w:p w:rsidR="00AC0832" w:rsidRDefault="00AC0832">
            <w:pPr>
              <w:pStyle w:val="CellColumn"/>
            </w:pPr>
            <w:r>
              <w:t>20</w:t>
            </w:r>
          </w:p>
        </w:tc>
      </w:tr>
      <w:tr w:rsidR="00AC0832" w:rsidTr="00BE20ED">
        <w:trPr>
          <w:jc w:val="center"/>
        </w:trPr>
        <w:tc>
          <w:tcPr>
            <w:tcW w:w="1300" w:type="dxa"/>
          </w:tcPr>
          <w:p w:rsidR="00AC0832" w:rsidRDefault="00AC0832">
            <w:pPr>
              <w:pStyle w:val="CellColumn"/>
            </w:pPr>
            <w:r>
              <w:t>Povećanje postotka izrade prostornih planova područja posebnih obilježja</w:t>
            </w:r>
          </w:p>
        </w:tc>
        <w:tc>
          <w:tcPr>
            <w:tcW w:w="1300" w:type="dxa"/>
          </w:tcPr>
          <w:p w:rsidR="00AC0832" w:rsidRDefault="00AC0832">
            <w:pPr>
              <w:pStyle w:val="CellColumn"/>
            </w:pPr>
            <w:r>
              <w:t>Koordinacija izrade prostornih planova područja posebnih obilježja NP/PP i ostali</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MGIPU</w:t>
            </w:r>
          </w:p>
        </w:tc>
        <w:tc>
          <w:tcPr>
            <w:tcW w:w="1300" w:type="dxa"/>
          </w:tcPr>
          <w:p w:rsidR="00AC0832" w:rsidRDefault="00AC0832">
            <w:pPr>
              <w:pStyle w:val="CellColumn"/>
            </w:pPr>
            <w:r>
              <w:t>70</w:t>
            </w:r>
          </w:p>
        </w:tc>
        <w:tc>
          <w:tcPr>
            <w:tcW w:w="1300" w:type="dxa"/>
          </w:tcPr>
          <w:p w:rsidR="00AC0832" w:rsidRDefault="00AC0832">
            <w:pPr>
              <w:pStyle w:val="CellColumn"/>
            </w:pPr>
            <w:r>
              <w:t>60</w:t>
            </w:r>
          </w:p>
        </w:tc>
      </w:tr>
    </w:tbl>
    <w:p w:rsidR="00AC0832" w:rsidRDefault="00AC0832">
      <w:pPr>
        <w:jc w:val="left"/>
      </w:pPr>
    </w:p>
    <w:p w:rsidR="00AC0832" w:rsidRDefault="00AC0832">
      <w:pPr>
        <w:pStyle w:val="Heading6"/>
      </w:pPr>
      <w:r>
        <w:t>A576199 PROSTORNO UREĐENJE PODRUČJA NASELJENIH ROMIMA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A576199-PROSTORNO UREĐENJE PODRUČJA NASELJENIH ROMIMA</w:t>
            </w:r>
          </w:p>
        </w:tc>
        <w:tc>
          <w:tcPr>
            <w:tcW w:w="2322" w:type="dxa"/>
          </w:tcPr>
          <w:p w:rsidR="00AC0832" w:rsidRDefault="00AC0832">
            <w:pPr>
              <w:pStyle w:val="CellColumn"/>
            </w:pPr>
            <w:r>
              <w:t>130.000</w:t>
            </w:r>
          </w:p>
        </w:tc>
        <w:tc>
          <w:tcPr>
            <w:tcW w:w="2322" w:type="dxa"/>
          </w:tcPr>
          <w:p w:rsidR="00AC0832" w:rsidRDefault="00AC0832">
            <w:pPr>
              <w:pStyle w:val="CellColumn"/>
            </w:pPr>
            <w:r>
              <w:t>130.000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Izvršena je financijska pomoć jedinicama lokalne samouprave u izradi dokumenata prostornog uređenja prema obrađenim zahtjevima, a u skladu s kriterijima za dodjelu sredstava. Cilj je izrada prostornih planova lokalne razine kao nužni preduvjet za prostorno rješavanje, uređenje i opremanje legaliziranih lokacija naseljenih Romima u okviru Akcijskog plana desetljeća za uključivanje Roma 2005. – 2015. godine. Sredstva su namjenski korištena, a ciljevi u cijelosti postignuti. U okviru programa obavljeno je prisustvovanje radnim sastancima te izrađeno godišnje Izvješće o provedbi (za 2011. i 2012. godinu).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postotka izrađenosti dokumenata prostornog uređenja lokalne razine za koje je dana financijska pomoć</w:t>
            </w:r>
          </w:p>
        </w:tc>
        <w:tc>
          <w:tcPr>
            <w:tcW w:w="1300" w:type="dxa"/>
          </w:tcPr>
          <w:p w:rsidR="00AC0832" w:rsidRDefault="00AC0832">
            <w:pPr>
              <w:pStyle w:val="CellColumn"/>
            </w:pPr>
            <w:r>
              <w:t>Financijska pomoć pri izradi i dovršenju prostornih planova lokalne razine</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MGIPU</w:t>
            </w:r>
          </w:p>
        </w:tc>
        <w:tc>
          <w:tcPr>
            <w:tcW w:w="1300" w:type="dxa"/>
          </w:tcPr>
          <w:p w:rsidR="00AC0832" w:rsidRDefault="00AC0832">
            <w:pPr>
              <w:pStyle w:val="CellColumn"/>
            </w:pPr>
            <w:r>
              <w:t>100</w:t>
            </w:r>
          </w:p>
        </w:tc>
        <w:tc>
          <w:tcPr>
            <w:tcW w:w="1300" w:type="dxa"/>
          </w:tcPr>
          <w:p w:rsidR="00AC0832" w:rsidRDefault="00AC0832">
            <w:pPr>
              <w:pStyle w:val="CellColumn"/>
            </w:pPr>
            <w:r>
              <w:t>100</w:t>
            </w:r>
          </w:p>
        </w:tc>
      </w:tr>
    </w:tbl>
    <w:p w:rsidR="00AC0832" w:rsidRDefault="00AC0832">
      <w:pPr>
        <w:jc w:val="left"/>
      </w:pPr>
    </w:p>
    <w:p w:rsidR="00AC0832" w:rsidRDefault="00AC0832">
      <w:pPr>
        <w:pStyle w:val="Heading6"/>
      </w:pPr>
      <w:r>
        <w:t>K576116 USPOSTAVA INFORMACIJSKOG SUSTAVA PROSTORNOG UREĐENJA REPUBLIKE HRVATSKE - GIS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K576116-USPOSTAVA INFORMACIJSKOG SUSTAVA PROSTORNOG UREĐENJA REPUBLIKE HRVATSKE - GIS</w:t>
            </w:r>
          </w:p>
        </w:tc>
        <w:tc>
          <w:tcPr>
            <w:tcW w:w="2322" w:type="dxa"/>
          </w:tcPr>
          <w:p w:rsidR="00AC0832" w:rsidRDefault="00AC0832">
            <w:pPr>
              <w:pStyle w:val="CellColumn"/>
            </w:pPr>
            <w:r>
              <w:t>4.020.000</w:t>
            </w:r>
          </w:p>
        </w:tc>
        <w:tc>
          <w:tcPr>
            <w:tcW w:w="2322" w:type="dxa"/>
          </w:tcPr>
          <w:p w:rsidR="00AC0832" w:rsidRDefault="00AC0832">
            <w:pPr>
              <w:pStyle w:val="CellColumn"/>
            </w:pPr>
            <w:r>
              <w:t>1.307.133</w:t>
            </w:r>
          </w:p>
        </w:tc>
        <w:tc>
          <w:tcPr>
            <w:tcW w:w="2322" w:type="dxa"/>
          </w:tcPr>
          <w:p w:rsidR="00AC0832" w:rsidRDefault="00AC0832">
            <w:pPr>
              <w:pStyle w:val="CellColumn"/>
            </w:pPr>
            <w:r>
              <w:t>32,5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Tijekom 2012 godine, održavale su se Radne skupine, na kojima su se dogovarale aktivnosti za ostvarenje cilja uspostave višeg stupanja korisničkih mogućnosti i proširenje prostorno planskih pokazatelja. Trend povećanja postotka proširenja podataka GIS-a prostornim planovima i relevantnim podacima pratit će se temeljem sljedećih pokazatelja (2013-90% i 2014-100%). Konačni cilj razvoja ovog sustava je objedinjavanje svih mjerodavnih podataka u jedinstvenu,usklađenu i ažuriranu GIS bazu podataka, koja će biti razumljiva i dostupna. Korisnici istog će biti sve službe Ministarstva graditeljstva i prostornog uređenja, mjerodavna tijela javne vlasti i znanstvene i stručne institucije.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495"/>
        <w:gridCol w:w="1298"/>
        <w:gridCol w:w="1299"/>
        <w:gridCol w:w="1299"/>
        <w:gridCol w:w="1299"/>
        <w:gridCol w:w="129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popunjenja GIS-a prostornim planovima i relevantnim podacima</w:t>
            </w:r>
          </w:p>
        </w:tc>
        <w:tc>
          <w:tcPr>
            <w:tcW w:w="1300" w:type="dxa"/>
          </w:tcPr>
          <w:p w:rsidR="00AC0832" w:rsidRDefault="00AC0832">
            <w:pPr>
              <w:pStyle w:val="CellColumn"/>
            </w:pPr>
            <w:r>
              <w:t>objedinjavanje svih mjerodavnih podataka u jedinstvenu GIS bazu podataka</w:t>
            </w:r>
          </w:p>
        </w:tc>
        <w:tc>
          <w:tcPr>
            <w:tcW w:w="1300" w:type="dxa"/>
          </w:tcPr>
          <w:p w:rsidR="00AC0832" w:rsidRDefault="00AC0832">
            <w:pPr>
              <w:pStyle w:val="CellColumn"/>
            </w:pPr>
            <w:r>
              <w:t>%</w:t>
            </w:r>
          </w:p>
        </w:tc>
        <w:tc>
          <w:tcPr>
            <w:tcW w:w="1300" w:type="dxa"/>
          </w:tcPr>
          <w:p w:rsidR="00AC0832" w:rsidRDefault="00AC0832">
            <w:pPr>
              <w:pStyle w:val="CellColumn"/>
            </w:pPr>
            <w:r>
              <w:t>50</w:t>
            </w:r>
          </w:p>
        </w:tc>
        <w:tc>
          <w:tcPr>
            <w:tcW w:w="1300" w:type="dxa"/>
          </w:tcPr>
          <w:p w:rsidR="00AC0832" w:rsidRDefault="00AC0832">
            <w:pPr>
              <w:pStyle w:val="CellColumn"/>
            </w:pPr>
            <w:r>
              <w:t>MGIPU</w:t>
            </w:r>
          </w:p>
        </w:tc>
        <w:tc>
          <w:tcPr>
            <w:tcW w:w="1300" w:type="dxa"/>
          </w:tcPr>
          <w:p w:rsidR="00AC0832" w:rsidRDefault="00AC0832">
            <w:pPr>
              <w:pStyle w:val="CellColumn"/>
            </w:pPr>
            <w:r>
              <w:t>90</w:t>
            </w:r>
          </w:p>
        </w:tc>
        <w:tc>
          <w:tcPr>
            <w:tcW w:w="1300" w:type="dxa"/>
          </w:tcPr>
          <w:p w:rsidR="00AC0832" w:rsidRDefault="00AC0832">
            <w:pPr>
              <w:pStyle w:val="CellColumn"/>
            </w:pPr>
            <w:r>
              <w:t>80</w:t>
            </w:r>
          </w:p>
        </w:tc>
      </w:tr>
    </w:tbl>
    <w:p w:rsidR="00AC0832" w:rsidRDefault="00AC0832">
      <w:pPr>
        <w:jc w:val="left"/>
      </w:pPr>
    </w:p>
    <w:p w:rsidR="00AC0832" w:rsidRDefault="00AC0832">
      <w:pPr>
        <w:pStyle w:val="Heading6"/>
      </w:pPr>
      <w:r>
        <w:t>K576157 INFORMATIZACIJA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K576157-INFORMATIZACIJA UPRAVE</w:t>
            </w:r>
          </w:p>
        </w:tc>
        <w:tc>
          <w:tcPr>
            <w:tcW w:w="2322" w:type="dxa"/>
          </w:tcPr>
          <w:p w:rsidR="00AC0832" w:rsidRDefault="00AC0832">
            <w:pPr>
              <w:pStyle w:val="CellColumn"/>
            </w:pPr>
            <w:r>
              <w:t>2.450.000</w:t>
            </w:r>
          </w:p>
        </w:tc>
        <w:tc>
          <w:tcPr>
            <w:tcW w:w="2322" w:type="dxa"/>
          </w:tcPr>
          <w:p w:rsidR="00AC0832" w:rsidRDefault="00AC0832">
            <w:pPr>
              <w:pStyle w:val="CellColumn"/>
            </w:pPr>
            <w:r>
              <w:t>2.221.232</w:t>
            </w:r>
          </w:p>
        </w:tc>
        <w:tc>
          <w:tcPr>
            <w:tcW w:w="2322" w:type="dxa"/>
          </w:tcPr>
          <w:p w:rsidR="00AC0832" w:rsidRDefault="00AC0832">
            <w:pPr>
              <w:pStyle w:val="CellColumn"/>
            </w:pPr>
            <w:r>
              <w:t>90,7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Osim standardnog održavanja informatičkog sustava, mreže i informatičke opreme te licenci operativnog sustava konsolidirali smo sustav elektroničke pošte te sustav za kontrolu i upravljanje informacijskim sustavom (System centar). Uvedena je i nova verzija aplikativnog sustava za upravljanje dokumentima (eGOP). Nabavili smo i licence za Autocad, te standardnu informatičku opremu za nove službenike, te kao zamjena za neispravne uređaje koji su neisplativi za popravak.</w:t>
      </w:r>
    </w:p>
    <w:p w:rsidR="00AC0832" w:rsidRDefault="00AC0832">
      <w:pPr>
        <w:pStyle w:val="Heading5"/>
      </w:pPr>
      <w:r>
        <w:t>3502 REGULATIVA I NADZOR U GRADITELJSTVU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3502-REGULATIVA I NADZOR U GRADITELJSTVU</w:t>
            </w:r>
          </w:p>
        </w:tc>
        <w:tc>
          <w:tcPr>
            <w:tcW w:w="2322" w:type="dxa"/>
          </w:tcPr>
          <w:p w:rsidR="00AC0832" w:rsidRDefault="00AC0832">
            <w:pPr>
              <w:pStyle w:val="CellColumn"/>
            </w:pPr>
            <w:r>
              <w:t>9.858.500</w:t>
            </w:r>
          </w:p>
        </w:tc>
        <w:tc>
          <w:tcPr>
            <w:tcW w:w="2322" w:type="dxa"/>
          </w:tcPr>
          <w:p w:rsidR="00AC0832" w:rsidRDefault="00AC0832">
            <w:pPr>
              <w:pStyle w:val="CellColumn"/>
            </w:pPr>
            <w:r>
              <w:t>6.795.070</w:t>
            </w:r>
          </w:p>
        </w:tc>
        <w:tc>
          <w:tcPr>
            <w:tcW w:w="2322" w:type="dxa"/>
          </w:tcPr>
          <w:p w:rsidR="00AC0832" w:rsidRDefault="00AC0832">
            <w:pPr>
              <w:pStyle w:val="CellColumn"/>
            </w:pPr>
            <w:r>
              <w:t>68,9</w:t>
            </w:r>
          </w:p>
        </w:tc>
      </w:tr>
    </w:tbl>
    <w:p w:rsidR="00AC0832" w:rsidRDefault="00AC0832">
      <w:pPr>
        <w:jc w:val="left"/>
      </w:pPr>
    </w:p>
    <w:p w:rsidR="00AC0832" w:rsidRDefault="00AC0832">
      <w:pPr>
        <w:pStyle w:val="Heading6"/>
      </w:pPr>
      <w:r>
        <w:t>Opis programa</w:t>
      </w:r>
    </w:p>
    <w:p w:rsidR="00AC0832" w:rsidRDefault="00AC0832">
      <w:pPr>
        <w:pStyle w:val="Normal5"/>
      </w:pPr>
      <w:r>
        <w:t xml:space="preserve">Zakonom o prostornom uređenju i gradnji ostvaruju se pretpostavke za unapređenje gospodarskih, društvenih, prirodnih, kulturnih i ekoloških polazišta održivog razvitka u prostoru Republike Hrvatske kao osobito vrijednom i ograničenom nacionalnom dobru na načelu integralnog pristupa prostornom planiranju, gdje se gradnjom smatra projektiranje, građenje, uporaba i uklanjanje građevina koji se obavljaju prema odredbama ovoga Zakona i propisa donesenih na temelju ovoga Zakona, te prema odredbama posebnih zakona i propisa donesenih na temelju tih zakona, hrvatskih normi i pravila struke. </w:t>
      </w:r>
    </w:p>
    <w:p w:rsidR="00AC0832" w:rsidRDefault="00AC0832">
      <w:pPr>
        <w:pStyle w:val="Normal5"/>
      </w:pPr>
      <w:r>
        <w:t>Ministarstvo obavlja upravne i stručne poslove u provođenju politike Vlade Republike Hrvatske u području graditeljstva, stanogradnje, stanovanja i komunalnog gospodarstva, te osigurava praćenje i analizu stanja u područjima iz svoje nadležnosti, priprema, planira i predlaže strategije, mjere i programe u cilju unaprjeđenja stanja u području stanovanja i graditeljstva.</w:t>
      </w:r>
    </w:p>
    <w:p w:rsidR="00AC0832" w:rsidRDefault="00AC0832">
      <w:pPr>
        <w:pStyle w:val="Heading6"/>
      </w:pPr>
      <w:r>
        <w:t>Zakonske i druge pravne osnove</w:t>
      </w:r>
    </w:p>
    <w:p w:rsidR="00AC0832" w:rsidRDefault="00AC0832">
      <w:pPr>
        <w:pStyle w:val="Normal5"/>
      </w:pPr>
      <w:r>
        <w:t>Zakon o prostornom uređenju i gradnji NN 38/09</w:t>
      </w:r>
    </w:p>
    <w:p w:rsidR="00AC0832" w:rsidRDefault="00AC0832">
      <w:pPr>
        <w:pStyle w:val="Heading7"/>
      </w:pPr>
      <w:r>
        <w:t>Cilj 1. Poticati održivu gradnju sigurnih, pristupačnih i zdravstveno-ekološki primjerenijih građevina</w:t>
      </w:r>
    </w:p>
    <w:p w:rsidR="00AC0832" w:rsidRDefault="00AC0832">
      <w:pPr>
        <w:pStyle w:val="Heading8"/>
        <w:jc w:val="left"/>
      </w:pPr>
      <w:r>
        <w:t>Opis provedbe cilja programa</w:t>
      </w:r>
    </w:p>
    <w:p w:rsidR="00AC0832" w:rsidRDefault="00AC0832">
      <w:pPr>
        <w:pStyle w:val="Normal6"/>
      </w:pPr>
      <w:r>
        <w:t>U cilju unaprjeđenja kvalitete gradnje poboljšava se regulatorni okvir graditeljstva, pojačava nadzor građenja, stimulira korištenje obnovljivih izvora građevnih materijala i energije te destimulira korištenje prirodnih izvora sirovina i izvora energije koji su štetni za okoliš jačaju se sigurnosna, zdravstveno-ekološka i energetska svojstva građevina i izjednačavaju prava osoba smanjene pokretljivosti, što doprinosi kvaliteti života i rada.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postotka projekata koji ispunjavaju propisane uvjete</w:t>
            </w:r>
          </w:p>
        </w:tc>
        <w:tc>
          <w:tcPr>
            <w:tcW w:w="1300" w:type="dxa"/>
          </w:tcPr>
          <w:p w:rsidR="00AC0832" w:rsidRDefault="00AC0832">
            <w:pPr>
              <w:pStyle w:val="CellColumn"/>
            </w:pPr>
            <w:r>
              <w:t>Postotkom projekta pokazuje se učinak aktivnosti poduzetih za ostvarenje cilja</w:t>
            </w:r>
          </w:p>
        </w:tc>
        <w:tc>
          <w:tcPr>
            <w:tcW w:w="1300" w:type="dxa"/>
          </w:tcPr>
          <w:p w:rsidR="00AC0832" w:rsidRDefault="00AC0832">
            <w:pPr>
              <w:pStyle w:val="CellColumn"/>
            </w:pPr>
            <w:r>
              <w:t>%</w:t>
            </w:r>
          </w:p>
        </w:tc>
        <w:tc>
          <w:tcPr>
            <w:tcW w:w="1300" w:type="dxa"/>
          </w:tcPr>
          <w:p w:rsidR="00AC0832" w:rsidRDefault="00AC0832">
            <w:pPr>
              <w:pStyle w:val="CellColumn"/>
            </w:pPr>
            <w:r>
              <w:t>50</w:t>
            </w:r>
          </w:p>
        </w:tc>
        <w:tc>
          <w:tcPr>
            <w:tcW w:w="1300" w:type="dxa"/>
          </w:tcPr>
          <w:p w:rsidR="00AC0832" w:rsidRDefault="00AC0832">
            <w:pPr>
              <w:pStyle w:val="CellColumn"/>
            </w:pPr>
            <w:r>
              <w:t>MGIPU</w:t>
            </w:r>
          </w:p>
        </w:tc>
        <w:tc>
          <w:tcPr>
            <w:tcW w:w="1300" w:type="dxa"/>
          </w:tcPr>
          <w:p w:rsidR="00AC0832" w:rsidRDefault="00AC0832">
            <w:pPr>
              <w:pStyle w:val="CellColumn"/>
            </w:pPr>
            <w:r>
              <w:t>57</w:t>
            </w:r>
          </w:p>
        </w:tc>
        <w:tc>
          <w:tcPr>
            <w:tcW w:w="1300" w:type="dxa"/>
          </w:tcPr>
          <w:p w:rsidR="00AC0832" w:rsidRDefault="00AC0832">
            <w:pPr>
              <w:pStyle w:val="CellColumn"/>
            </w:pPr>
            <w:r>
              <w:t>80</w:t>
            </w:r>
          </w:p>
        </w:tc>
      </w:tr>
    </w:tbl>
    <w:p w:rsidR="00AC0832" w:rsidRDefault="00AC0832">
      <w:pPr>
        <w:jc w:val="left"/>
      </w:pPr>
    </w:p>
    <w:p w:rsidR="00AC0832" w:rsidRDefault="00AC0832">
      <w:pPr>
        <w:pStyle w:val="Heading7"/>
      </w:pPr>
      <w:r>
        <w:t>Cilj 2. Energetska učinkovitost</w:t>
      </w:r>
    </w:p>
    <w:p w:rsidR="00AC0832" w:rsidRDefault="00AC0832">
      <w:pPr>
        <w:pStyle w:val="Heading8"/>
        <w:jc w:val="left"/>
      </w:pPr>
      <w:r>
        <w:t>Opis provedbe cilja programa</w:t>
      </w:r>
    </w:p>
    <w:p w:rsidR="00AC0832" w:rsidRDefault="00AC0832">
      <w:pPr>
        <w:pStyle w:val="Normal6"/>
      </w:pPr>
      <w:r>
        <w:t xml:space="preserve">Za postizanje sveukupnih ciljeva smanjenja potrošnje energije potrebno je fokusirati se na zgradama kao najvećim pojedinačnim potrošačem energije. Cilj je obnoviti 3% zgrada stambenog sektora u ukupnom iznosu od 3,7 mil.m2, oko 285.000 m2 nestambenih zgrada javne namjene, te oko 0,98 m2 nestambenih zgrada u komercijalnom sektoru. Za ostvarenje tih ciljeva potrebno je izraditi i usvojiti Nacionalne planove: za povećanje broja zgrada koje su gotovo nula energetske,  energetske obnove zgrada javne namjene, energetske obnove stambenih zgrada, energetske obnove komercijalnih zgrada, te uvođenje nacionalnih programa energetski učinkovite javne rasvjete.  </w:t>
      </w:r>
    </w:p>
    <w:p w:rsidR="00AC0832" w:rsidRDefault="00AC0832">
      <w:pPr>
        <w:pStyle w:val="Normal6"/>
      </w:pPr>
      <w:r>
        <w:t>Pripremljen je Nacionalni program energetske učinkovitosti u neposrednoj potrošnji  za razdoblje 2011.-2014. NEAP (nije usvojen u 2012.), određeni dijelovi  istog provodili su se tijekom 2012. Pripremljen je Nacionalni program obnove zgrada javne namjene. Nacionalni program za komercijalne zgrade te Nacionalni program povećanja broja zgrada gotovo nulte potrošnje prebačeni su za 2014. godinu, dok je izrada Nacionalnog programa energetski učinkovite javne rasvjete prebačena u nadležnost Ministarstva gospodarstva.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izrade Nacionalnih akcijskih planova</w:t>
            </w:r>
          </w:p>
        </w:tc>
        <w:tc>
          <w:tcPr>
            <w:tcW w:w="1300" w:type="dxa"/>
          </w:tcPr>
          <w:p w:rsidR="00AC0832" w:rsidRDefault="00AC0832">
            <w:pPr>
              <w:pStyle w:val="CellColumn"/>
            </w:pPr>
            <w:r>
              <w:t>Nacionalni akcijski planovi sadrže mjere čijom se provedbom ostvaruju uštede</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MGIPU</w:t>
            </w:r>
          </w:p>
        </w:tc>
        <w:tc>
          <w:tcPr>
            <w:tcW w:w="1300" w:type="dxa"/>
          </w:tcPr>
          <w:p w:rsidR="00AC0832" w:rsidRDefault="00AC0832">
            <w:pPr>
              <w:pStyle w:val="CellColumn"/>
            </w:pPr>
            <w:r>
              <w:t>100</w:t>
            </w:r>
          </w:p>
        </w:tc>
        <w:tc>
          <w:tcPr>
            <w:tcW w:w="1300" w:type="dxa"/>
          </w:tcPr>
          <w:p w:rsidR="00AC0832" w:rsidRDefault="00AC0832">
            <w:pPr>
              <w:pStyle w:val="CellColumn"/>
            </w:pPr>
            <w:r>
              <w:t>90</w:t>
            </w:r>
          </w:p>
        </w:tc>
      </w:tr>
    </w:tbl>
    <w:p w:rsidR="00AC0832" w:rsidRDefault="00AC0832">
      <w:pPr>
        <w:jc w:val="left"/>
      </w:pPr>
    </w:p>
    <w:p w:rsidR="00AC0832" w:rsidRDefault="00AC0832">
      <w:pPr>
        <w:pStyle w:val="Heading6"/>
      </w:pPr>
      <w:r>
        <w:t>A538049 E-DOZVOLA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A538049-E-DOZVOLA</w:t>
            </w:r>
          </w:p>
        </w:tc>
        <w:tc>
          <w:tcPr>
            <w:tcW w:w="2322" w:type="dxa"/>
          </w:tcPr>
          <w:p w:rsidR="00AC0832" w:rsidRDefault="00AC0832">
            <w:pPr>
              <w:pStyle w:val="CellColumn"/>
            </w:pPr>
            <w:r>
              <w:t>2.100.000</w:t>
            </w:r>
          </w:p>
        </w:tc>
        <w:tc>
          <w:tcPr>
            <w:tcW w:w="2322" w:type="dxa"/>
          </w:tcPr>
          <w:p w:rsidR="00AC0832" w:rsidRDefault="00AC0832">
            <w:pPr>
              <w:pStyle w:val="CellColumn"/>
            </w:pPr>
            <w:r>
              <w:t>43.750</w:t>
            </w:r>
          </w:p>
        </w:tc>
        <w:tc>
          <w:tcPr>
            <w:tcW w:w="2322" w:type="dxa"/>
          </w:tcPr>
          <w:p w:rsidR="00AC0832" w:rsidRDefault="00AC0832">
            <w:pPr>
              <w:pStyle w:val="CellColumn"/>
            </w:pPr>
            <w:r>
              <w:t>2,1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Ministarstvo je u fazi izrade baze podataka kako bi aplikacija za izdavanje dozvola i drugih akata bila tokom 2013., godine uvedena po svim županijama i JLS. Aplikacija će nuditi jednoobraznost i transparentnost  podataka, kontrolu postupaka te moguće pogreške u postupcima  izdavanja dozvola. Istovremeno će omogućavati filtriranje postupaka u bazi kao što su nezakonite radnje, usporavanje ili blokiranje izdavanja dozvola. Kako bi aplikacija imala punu iskorištenost ,neophodno je potrebna edukacija službenika po svim županijama i gradovima nadležnim za izdavanje dozvola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39"/>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izrađenosti aplikacije</w:t>
            </w:r>
          </w:p>
        </w:tc>
        <w:tc>
          <w:tcPr>
            <w:tcW w:w="1300" w:type="dxa"/>
          </w:tcPr>
          <w:p w:rsidR="00AC0832" w:rsidRDefault="00AC0832">
            <w:pPr>
              <w:pStyle w:val="CellColumn"/>
            </w:pPr>
            <w:r>
              <w:t>Izrada aplikacije za centralizirani sustav izrade dozvola za područje RH</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MGIPU</w:t>
            </w:r>
          </w:p>
        </w:tc>
        <w:tc>
          <w:tcPr>
            <w:tcW w:w="1300" w:type="dxa"/>
          </w:tcPr>
          <w:p w:rsidR="00AC0832" w:rsidRDefault="00AC0832">
            <w:pPr>
              <w:pStyle w:val="CellColumn"/>
            </w:pPr>
            <w:r>
              <w:t>80</w:t>
            </w:r>
          </w:p>
        </w:tc>
        <w:tc>
          <w:tcPr>
            <w:tcW w:w="1300" w:type="dxa"/>
          </w:tcPr>
          <w:p w:rsidR="00AC0832" w:rsidRDefault="00AC0832">
            <w:pPr>
              <w:pStyle w:val="CellColumn"/>
            </w:pPr>
            <w:r>
              <w:t>80</w:t>
            </w:r>
          </w:p>
        </w:tc>
      </w:tr>
    </w:tbl>
    <w:p w:rsidR="00AC0832" w:rsidRDefault="00AC0832">
      <w:pPr>
        <w:jc w:val="left"/>
      </w:pPr>
    </w:p>
    <w:p w:rsidR="00AC0832" w:rsidRDefault="00AC0832">
      <w:pPr>
        <w:pStyle w:val="Heading6"/>
      </w:pPr>
      <w:r>
        <w:t>A538050 ZADRŽAVANJE NEZAKONITO IZGRAĐENIH ZGRADA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A538050-ZADRŽAVANJE NEZAKONITO IZGRAĐENIH ZGRADA</w:t>
            </w:r>
          </w:p>
        </w:tc>
        <w:tc>
          <w:tcPr>
            <w:tcW w:w="2322" w:type="dxa"/>
          </w:tcPr>
          <w:p w:rsidR="00AC0832" w:rsidRDefault="00AC0832">
            <w:pPr>
              <w:pStyle w:val="CellColumn"/>
            </w:pPr>
            <w:r>
              <w:t>50.000</w:t>
            </w:r>
          </w:p>
        </w:tc>
        <w:tc>
          <w:tcPr>
            <w:tcW w:w="2322" w:type="dxa"/>
          </w:tcPr>
          <w:p w:rsidR="00AC0832" w:rsidRDefault="00AC0832">
            <w:pPr>
              <w:pStyle w:val="CellColumn"/>
            </w:pPr>
            <w:r>
              <w:t>859.684</w:t>
            </w:r>
          </w:p>
        </w:tc>
        <w:tc>
          <w:tcPr>
            <w:tcW w:w="2322" w:type="dxa"/>
          </w:tcPr>
          <w:p w:rsidR="00AC0832" w:rsidRDefault="00AC0832">
            <w:pPr>
              <w:pStyle w:val="CellColumn"/>
            </w:pPr>
            <w:r>
              <w:t>1719,4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2012. godini je donijet Zakon o postupanju s nezakonito izgrađenim zgradama (NN 86/12) te je Ministarstvo promocijom kroz razne televizijske i radio spotove upoznalo građane na koji način i u kojem roku se mogu legalizirati nezakonito izgrađeni objekti.</w:t>
      </w:r>
    </w:p>
    <w:p w:rsidR="00AC0832" w:rsidRDefault="00AC0832">
      <w:pPr>
        <w:pStyle w:val="Heading6"/>
      </w:pPr>
      <w:r>
        <w:t>A538053 ENERGETSKA UČINKOVITOST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A538053-ENERGETSKA UČINKOVITOST</w:t>
            </w:r>
          </w:p>
        </w:tc>
        <w:tc>
          <w:tcPr>
            <w:tcW w:w="2322" w:type="dxa"/>
          </w:tcPr>
          <w:p w:rsidR="00AC0832" w:rsidRDefault="00AC0832">
            <w:pPr>
              <w:pStyle w:val="CellColumn"/>
            </w:pPr>
            <w:r>
              <w:t>4.330.000</w:t>
            </w:r>
          </w:p>
        </w:tc>
        <w:tc>
          <w:tcPr>
            <w:tcW w:w="2322" w:type="dxa"/>
          </w:tcPr>
          <w:p w:rsidR="00AC0832" w:rsidRDefault="00AC0832">
            <w:pPr>
              <w:pStyle w:val="CellColumn"/>
            </w:pPr>
            <w:r>
              <w:t>4.164.205</w:t>
            </w:r>
          </w:p>
        </w:tc>
        <w:tc>
          <w:tcPr>
            <w:tcW w:w="2322" w:type="dxa"/>
          </w:tcPr>
          <w:p w:rsidR="00AC0832" w:rsidRDefault="00AC0832">
            <w:pPr>
              <w:pStyle w:val="CellColumn"/>
            </w:pPr>
            <w:r>
              <w:t>96,2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Bitna pretpostavka za provedbu mjera energetske učinkovitosti je stvaranje zakonodavno-regulatornog okvira. Izrada regulatornog okvira  uključuje izmjene Zakona o učinkovitom korištenju energije u neposrednoj potrošnji te izmjene i dopune Zakona o prostornom uređenju i gradnji te donošenje podzakonskih akata. Izvršeno je: izmjena i dopuna Zakona o prostornom uređenju i gradnji, Pravilnik o energetskim  pregledima građevina i energetskom certificiranju zgrada, Pravilnik o kontroli energetskih certifikata i izvješća o provedenim energetskim pregledima sustava grijanja i klimatizacije, te Uredba o ugovaranju i provedbi energetske usluge u javnom sektoru. Izmjena tehničkog propisa i racionalnoj uporabi energije i toplinskoj zaštiti u zgradama prebačena je na 2013.-2014. godinu.</w:t>
      </w: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9"/>
        <w:gridCol w:w="1518"/>
        <w:gridCol w:w="1229"/>
        <w:gridCol w:w="1254"/>
        <w:gridCol w:w="1247"/>
        <w:gridCol w:w="1254"/>
        <w:gridCol w:w="126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uspostave zakonodavnog okvira</w:t>
            </w:r>
          </w:p>
        </w:tc>
        <w:tc>
          <w:tcPr>
            <w:tcW w:w="1300" w:type="dxa"/>
          </w:tcPr>
          <w:p w:rsidR="00AC0832" w:rsidRDefault="00AC0832">
            <w:pPr>
              <w:pStyle w:val="CellColumn"/>
            </w:pPr>
            <w:r>
              <w:t>Uspostava zakonodavnog okvira za energetsku učinkovitost</w:t>
            </w:r>
          </w:p>
        </w:tc>
        <w:tc>
          <w:tcPr>
            <w:tcW w:w="1300" w:type="dxa"/>
          </w:tcPr>
          <w:p w:rsidR="00AC0832" w:rsidRDefault="00AC0832">
            <w:pPr>
              <w:pStyle w:val="CellColumn"/>
            </w:pPr>
            <w:r>
              <w:t>%</w:t>
            </w:r>
          </w:p>
        </w:tc>
        <w:tc>
          <w:tcPr>
            <w:tcW w:w="1300" w:type="dxa"/>
          </w:tcPr>
          <w:p w:rsidR="00AC0832" w:rsidRDefault="00AC0832">
            <w:pPr>
              <w:pStyle w:val="CellColumn"/>
            </w:pPr>
            <w:r>
              <w:t>30</w:t>
            </w:r>
          </w:p>
        </w:tc>
        <w:tc>
          <w:tcPr>
            <w:tcW w:w="1300" w:type="dxa"/>
          </w:tcPr>
          <w:p w:rsidR="00AC0832" w:rsidRDefault="00AC0832">
            <w:pPr>
              <w:pStyle w:val="CellColumn"/>
            </w:pPr>
            <w:r>
              <w:t>MGIPU</w:t>
            </w:r>
          </w:p>
        </w:tc>
        <w:tc>
          <w:tcPr>
            <w:tcW w:w="1300" w:type="dxa"/>
          </w:tcPr>
          <w:p w:rsidR="00AC0832" w:rsidRDefault="00AC0832">
            <w:pPr>
              <w:pStyle w:val="CellColumn"/>
            </w:pPr>
            <w:r>
              <w:t>100</w:t>
            </w:r>
          </w:p>
        </w:tc>
        <w:tc>
          <w:tcPr>
            <w:tcW w:w="1300" w:type="dxa"/>
          </w:tcPr>
          <w:p w:rsidR="00AC0832" w:rsidRDefault="00AC0832">
            <w:pPr>
              <w:pStyle w:val="CellColumn"/>
            </w:pPr>
            <w:r>
              <w:t>85</w:t>
            </w:r>
          </w:p>
        </w:tc>
      </w:tr>
    </w:tbl>
    <w:p w:rsidR="00AC0832" w:rsidRDefault="00AC0832">
      <w:pPr>
        <w:jc w:val="left"/>
      </w:pPr>
    </w:p>
    <w:p w:rsidR="00AC0832" w:rsidRDefault="00AC0832">
      <w:pPr>
        <w:pStyle w:val="Heading6"/>
      </w:pPr>
      <w:r>
        <w:t>A576056 STRUČNO-ANALITIČKI, UPRAVNI I NORMATIVNI POSLOVI GRADITELJSTVA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A576056-STRUČNO-ANALITIČKI, UPRAVNI I NORMATIVNI POSLOVI GRADITELJSTVA</w:t>
            </w:r>
          </w:p>
        </w:tc>
        <w:tc>
          <w:tcPr>
            <w:tcW w:w="2322" w:type="dxa"/>
          </w:tcPr>
          <w:p w:rsidR="00AC0832" w:rsidRDefault="00AC0832">
            <w:pPr>
              <w:pStyle w:val="CellColumn"/>
            </w:pPr>
            <w:r>
              <w:t>488.500</w:t>
            </w:r>
          </w:p>
        </w:tc>
        <w:tc>
          <w:tcPr>
            <w:tcW w:w="2322" w:type="dxa"/>
          </w:tcPr>
          <w:p w:rsidR="00AC0832" w:rsidRDefault="00AC0832">
            <w:pPr>
              <w:pStyle w:val="CellColumn"/>
            </w:pPr>
            <w:r>
              <w:t>303.210</w:t>
            </w:r>
          </w:p>
        </w:tc>
        <w:tc>
          <w:tcPr>
            <w:tcW w:w="2322" w:type="dxa"/>
          </w:tcPr>
          <w:p w:rsidR="00AC0832" w:rsidRDefault="00AC0832">
            <w:pPr>
              <w:pStyle w:val="CellColumn"/>
            </w:pPr>
            <w:r>
              <w:t>62,1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Prije početka građenja građevine provodi se postupak izdavanja građevinske dozvole u kojem se utvrđuje je li glavni projekt izrađen u skladu s propisanim zahtjevima koje građevina mora ispuniti. Glavni projekt izrađen u skladu s propisanim zahtjevima osigurava da građevina (ako bude izgrađena u skladu s glavnim projektom) bude tehnički ispravna, sigurna, proistupačna i zdravstveno-ekološki primjerenom.</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9"/>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Smanjenje postotaka glavnih projekata za koje se u postupku izdavanja građevinskih dozvola utvrđuju nedostaci glede ispunjavanja propisanih zahtjeva tijekom projektiranja</w:t>
            </w:r>
          </w:p>
        </w:tc>
        <w:tc>
          <w:tcPr>
            <w:tcW w:w="1300" w:type="dxa"/>
          </w:tcPr>
          <w:p w:rsidR="00AC0832" w:rsidRDefault="00AC0832">
            <w:pPr>
              <w:pStyle w:val="CellColumn"/>
            </w:pPr>
            <w:r>
              <w:t>Na temelju projekta koji nije izrađen u skladu s propisima ne smije se izdavati građevinska dozvola jer bi građevina bila izgrađena suprotno cilju</w:t>
            </w:r>
          </w:p>
        </w:tc>
        <w:tc>
          <w:tcPr>
            <w:tcW w:w="1300" w:type="dxa"/>
          </w:tcPr>
          <w:p w:rsidR="00AC0832" w:rsidRDefault="00AC0832">
            <w:pPr>
              <w:pStyle w:val="CellColumn"/>
            </w:pPr>
            <w:r>
              <w:t>%</w:t>
            </w:r>
          </w:p>
        </w:tc>
        <w:tc>
          <w:tcPr>
            <w:tcW w:w="1300" w:type="dxa"/>
          </w:tcPr>
          <w:p w:rsidR="00AC0832" w:rsidRDefault="00AC0832">
            <w:pPr>
              <w:pStyle w:val="CellColumn"/>
            </w:pPr>
            <w:r>
              <w:t>60</w:t>
            </w:r>
          </w:p>
        </w:tc>
        <w:tc>
          <w:tcPr>
            <w:tcW w:w="1300" w:type="dxa"/>
          </w:tcPr>
          <w:p w:rsidR="00AC0832" w:rsidRDefault="00AC0832">
            <w:pPr>
              <w:pStyle w:val="CellColumn"/>
            </w:pPr>
            <w:r>
              <w:t>MGIPU</w:t>
            </w:r>
          </w:p>
        </w:tc>
        <w:tc>
          <w:tcPr>
            <w:tcW w:w="1300" w:type="dxa"/>
          </w:tcPr>
          <w:p w:rsidR="00AC0832" w:rsidRDefault="00AC0832">
            <w:pPr>
              <w:pStyle w:val="CellColumn"/>
            </w:pPr>
            <w:r>
              <w:t>50</w:t>
            </w:r>
          </w:p>
        </w:tc>
        <w:tc>
          <w:tcPr>
            <w:tcW w:w="1300" w:type="dxa"/>
          </w:tcPr>
          <w:p w:rsidR="00AC0832" w:rsidRDefault="00AC0832">
            <w:pPr>
              <w:pStyle w:val="CellColumn"/>
            </w:pPr>
            <w:r>
              <w:t>80</w:t>
            </w:r>
          </w:p>
        </w:tc>
      </w:tr>
    </w:tbl>
    <w:p w:rsidR="00AC0832" w:rsidRDefault="00AC0832">
      <w:pPr>
        <w:jc w:val="left"/>
      </w:pPr>
    </w:p>
    <w:p w:rsidR="00AC0832" w:rsidRDefault="00AC0832">
      <w:pPr>
        <w:pStyle w:val="Heading6"/>
      </w:pPr>
      <w:r>
        <w:t>A576115 USKLAĐIVANJE GRAĐEVNO-TEHNIČKOGA ZAKONODAVSTVA S TEHNIČKIM ZAKONODAVSTVOM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A576115-USKLAĐIVANJE GRAĐEVNO-TEHNIČKOGA ZAKONODAVSTVA S TEHNIČKIM ZAKONODAVSTVOM EU</w:t>
            </w:r>
          </w:p>
        </w:tc>
        <w:tc>
          <w:tcPr>
            <w:tcW w:w="2322" w:type="dxa"/>
          </w:tcPr>
          <w:p w:rsidR="00AC0832" w:rsidRDefault="00AC0832">
            <w:pPr>
              <w:pStyle w:val="CellColumn"/>
            </w:pPr>
            <w:r>
              <w:t>610.000</w:t>
            </w:r>
          </w:p>
        </w:tc>
        <w:tc>
          <w:tcPr>
            <w:tcW w:w="2322" w:type="dxa"/>
          </w:tcPr>
          <w:p w:rsidR="00AC0832" w:rsidRDefault="00AC0832">
            <w:pPr>
              <w:pStyle w:val="CellColumn"/>
            </w:pPr>
            <w:r>
              <w:t>278.917</w:t>
            </w:r>
          </w:p>
        </w:tc>
        <w:tc>
          <w:tcPr>
            <w:tcW w:w="2322" w:type="dxa"/>
          </w:tcPr>
          <w:p w:rsidR="00AC0832" w:rsidRDefault="00AC0832">
            <w:pPr>
              <w:pStyle w:val="CellColumn"/>
            </w:pPr>
            <w:r>
              <w:t>45,7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Donošenje regulatornog okvira graditeljstva (koje objedinjuje stručno-analitičke, upravne i normativne poslove graditeljstva te građevinarstvo kao gospodarsku djelatnost) te prijenos i primjena pravne stečevine EU u hrvatsko zakonodavstvo jedna je od glavnih zadaća Ministarstva u segmentu graditeljstva.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8"/>
        <w:gridCol w:w="1470"/>
        <w:gridCol w:w="929"/>
        <w:gridCol w:w="1047"/>
        <w:gridCol w:w="1015"/>
        <w:gridCol w:w="1047"/>
        <w:gridCol w:w="111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Održavanje razine postotaka propisa kojima se uređuje uže područje graditeljstva koji se u jednoj godini donose/usklađuju/preispituju (s ciljem da se u roku od 3 godine cjelokupni skup propisa donese/uskladi/preispita)</w:t>
            </w:r>
          </w:p>
        </w:tc>
        <w:tc>
          <w:tcPr>
            <w:tcW w:w="1300" w:type="dxa"/>
          </w:tcPr>
          <w:p w:rsidR="00AC0832" w:rsidRDefault="00AC0832">
            <w:pPr>
              <w:pStyle w:val="CellColumn"/>
            </w:pPr>
            <w:r>
              <w:t>Uže područje graditeljstva uređuju propisi koji se donose temeljem Zakona o prostronom uređenju i gradnji, Zakona o građevnim proizvodima i Zakona o arhitektonskim i inženjerskim poslovima i djelatnostima u prostornom uređenju i gradnji.</w:t>
            </w:r>
          </w:p>
        </w:tc>
        <w:tc>
          <w:tcPr>
            <w:tcW w:w="1300" w:type="dxa"/>
          </w:tcPr>
          <w:p w:rsidR="00AC0832" w:rsidRDefault="00AC0832">
            <w:pPr>
              <w:pStyle w:val="CellColumn"/>
            </w:pPr>
            <w:r>
              <w:t>%</w:t>
            </w:r>
          </w:p>
        </w:tc>
        <w:tc>
          <w:tcPr>
            <w:tcW w:w="1300" w:type="dxa"/>
          </w:tcPr>
          <w:p w:rsidR="00AC0832" w:rsidRDefault="00AC0832">
            <w:pPr>
              <w:pStyle w:val="CellColumn"/>
            </w:pPr>
            <w:r>
              <w:t>40</w:t>
            </w:r>
          </w:p>
        </w:tc>
        <w:tc>
          <w:tcPr>
            <w:tcW w:w="1300" w:type="dxa"/>
          </w:tcPr>
          <w:p w:rsidR="00AC0832" w:rsidRDefault="00AC0832">
            <w:pPr>
              <w:pStyle w:val="CellColumn"/>
            </w:pPr>
            <w:r>
              <w:t>MGIPU</w:t>
            </w:r>
          </w:p>
        </w:tc>
        <w:tc>
          <w:tcPr>
            <w:tcW w:w="1300" w:type="dxa"/>
          </w:tcPr>
          <w:p w:rsidR="00AC0832" w:rsidRDefault="00AC0832">
            <w:pPr>
              <w:pStyle w:val="CellColumn"/>
            </w:pPr>
            <w:r>
              <w:t>40</w:t>
            </w:r>
          </w:p>
        </w:tc>
        <w:tc>
          <w:tcPr>
            <w:tcW w:w="1300" w:type="dxa"/>
          </w:tcPr>
          <w:p w:rsidR="00AC0832" w:rsidRDefault="00AC0832">
            <w:pPr>
              <w:pStyle w:val="CellColumn"/>
            </w:pPr>
            <w:r>
              <w:t>39</w:t>
            </w:r>
          </w:p>
        </w:tc>
      </w:tr>
    </w:tbl>
    <w:p w:rsidR="00AC0832" w:rsidRDefault="00AC0832">
      <w:pPr>
        <w:jc w:val="left"/>
      </w:pPr>
    </w:p>
    <w:p w:rsidR="00AC0832" w:rsidRDefault="00AC0832">
      <w:pPr>
        <w:pStyle w:val="Heading6"/>
      </w:pPr>
    </w:p>
    <w:p w:rsidR="00AC0832" w:rsidRDefault="00AC0832">
      <w:pPr>
        <w:pStyle w:val="Heading6"/>
      </w:pPr>
      <w:r>
        <w:t>A576187 STRUČNI ISPITI I DRUGE AKTIVNOSTI OVLAŠĆIVANJA FIZIČKIH I PRAVNIH OSOBA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A576187-STRUČNI ISPITI I DRUGE AKTIVNOSTI OVLAŠĆIVANJA FIZIČKIH I PRAVNIH OSOBA</w:t>
            </w:r>
          </w:p>
        </w:tc>
        <w:tc>
          <w:tcPr>
            <w:tcW w:w="2322" w:type="dxa"/>
          </w:tcPr>
          <w:p w:rsidR="00AC0832" w:rsidRDefault="00AC0832">
            <w:pPr>
              <w:pStyle w:val="CellColumn"/>
            </w:pPr>
            <w:r>
              <w:t>1.300.000</w:t>
            </w:r>
          </w:p>
        </w:tc>
        <w:tc>
          <w:tcPr>
            <w:tcW w:w="2322" w:type="dxa"/>
          </w:tcPr>
          <w:p w:rsidR="00AC0832" w:rsidRDefault="00AC0832">
            <w:pPr>
              <w:pStyle w:val="CellColumn"/>
            </w:pPr>
            <w:r>
              <w:t>880.787</w:t>
            </w:r>
          </w:p>
        </w:tc>
        <w:tc>
          <w:tcPr>
            <w:tcW w:w="2322" w:type="dxa"/>
          </w:tcPr>
          <w:p w:rsidR="00AC0832" w:rsidRDefault="00AC0832">
            <w:pPr>
              <w:pStyle w:val="CellColumn"/>
            </w:pPr>
            <w:r>
              <w:t>67,8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Provedbom stručnih ispita i drugih aktivnosti ovlašćivanja fizičkih i pravnih osoba osigurava se održavanje razine znanja i spososbnosti fizičkih i pravnih osoba koje rade određene poslove, odnosno koje se bave određenim djelatnostima u graditeljstvu. Fizičke i pravne osobe sa znanjem i sposobnostima doprinose gradnji tehnički ispravnih, sigurnih, prostupačnih i zdravstveno-ekološki primjerenih građevina.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3"/>
        <w:gridCol w:w="1462"/>
        <w:gridCol w:w="1200"/>
        <w:gridCol w:w="1236"/>
        <w:gridCol w:w="1226"/>
        <w:gridCol w:w="1236"/>
        <w:gridCol w:w="125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OdržOdržavanje razine postotaka osoba koje su pristupile stručnom ispitu u godini prijaveavanje razine postotka rješavanja po zahtjevima</w:t>
            </w:r>
          </w:p>
        </w:tc>
        <w:tc>
          <w:tcPr>
            <w:tcW w:w="1300" w:type="dxa"/>
          </w:tcPr>
          <w:p w:rsidR="00AC0832" w:rsidRDefault="00AC0832">
            <w:pPr>
              <w:pStyle w:val="CellColumn"/>
            </w:pPr>
            <w:r>
              <w:t>Stručnost osoba koje obavljaju poslove graditeljstva doprinosi ostvarenju cilja</w:t>
            </w:r>
          </w:p>
        </w:tc>
        <w:tc>
          <w:tcPr>
            <w:tcW w:w="1300" w:type="dxa"/>
          </w:tcPr>
          <w:p w:rsidR="00AC0832" w:rsidRDefault="00AC0832">
            <w:pPr>
              <w:pStyle w:val="CellColumn"/>
            </w:pPr>
            <w:r>
              <w:t>%</w:t>
            </w:r>
          </w:p>
        </w:tc>
        <w:tc>
          <w:tcPr>
            <w:tcW w:w="1300" w:type="dxa"/>
          </w:tcPr>
          <w:p w:rsidR="00AC0832" w:rsidRDefault="00AC0832">
            <w:pPr>
              <w:pStyle w:val="CellColumn"/>
            </w:pPr>
            <w:r>
              <w:t>95</w:t>
            </w:r>
          </w:p>
        </w:tc>
        <w:tc>
          <w:tcPr>
            <w:tcW w:w="1300" w:type="dxa"/>
          </w:tcPr>
          <w:p w:rsidR="00AC0832" w:rsidRDefault="00AC0832">
            <w:pPr>
              <w:pStyle w:val="CellColumn"/>
            </w:pPr>
            <w:r>
              <w:t>MGIPU</w:t>
            </w:r>
          </w:p>
        </w:tc>
        <w:tc>
          <w:tcPr>
            <w:tcW w:w="1300" w:type="dxa"/>
          </w:tcPr>
          <w:p w:rsidR="00AC0832" w:rsidRDefault="00AC0832">
            <w:pPr>
              <w:pStyle w:val="CellColumn"/>
            </w:pPr>
            <w:r>
              <w:t>95</w:t>
            </w:r>
          </w:p>
        </w:tc>
        <w:tc>
          <w:tcPr>
            <w:tcW w:w="1300" w:type="dxa"/>
          </w:tcPr>
          <w:p w:rsidR="00AC0832" w:rsidRDefault="00AC0832">
            <w:pPr>
              <w:pStyle w:val="CellColumn"/>
            </w:pPr>
            <w:r>
              <w:t>82</w:t>
            </w:r>
          </w:p>
        </w:tc>
      </w:tr>
      <w:tr w:rsidR="00AC0832" w:rsidTr="00BE20ED">
        <w:trPr>
          <w:jc w:val="center"/>
        </w:trPr>
        <w:tc>
          <w:tcPr>
            <w:tcW w:w="1300" w:type="dxa"/>
          </w:tcPr>
          <w:p w:rsidR="00AC0832" w:rsidRDefault="00AC0832">
            <w:pPr>
              <w:pStyle w:val="CellColumn"/>
            </w:pPr>
            <w:r>
              <w:t>Održavanje razine postotaka rješavanja po zahtjevima za ovlaštenja, suglasnosti i drugih akata kojima se profesionalnim osobama odobrava provedba reguliranih postupaka, u godini podnosšenja zahtjeva</w:t>
            </w:r>
          </w:p>
        </w:tc>
        <w:tc>
          <w:tcPr>
            <w:tcW w:w="1300" w:type="dxa"/>
          </w:tcPr>
          <w:p w:rsidR="00AC0832" w:rsidRDefault="00AC0832">
            <w:pPr>
              <w:pStyle w:val="CellColumn"/>
            </w:pPr>
            <w:r>
              <w:t>Sposobnost profesionalnih osoba koje obavlajaju regulirane posloev u graditeljkstvu doprinosi ostvarenju cilja</w:t>
            </w:r>
          </w:p>
        </w:tc>
        <w:tc>
          <w:tcPr>
            <w:tcW w:w="1300" w:type="dxa"/>
          </w:tcPr>
          <w:p w:rsidR="00AC0832" w:rsidRDefault="00AC0832">
            <w:pPr>
              <w:pStyle w:val="CellColumn"/>
            </w:pPr>
            <w:r>
              <w:t>%</w:t>
            </w:r>
          </w:p>
        </w:tc>
        <w:tc>
          <w:tcPr>
            <w:tcW w:w="1300" w:type="dxa"/>
          </w:tcPr>
          <w:p w:rsidR="00AC0832" w:rsidRDefault="00AC0832">
            <w:pPr>
              <w:pStyle w:val="CellColumn"/>
            </w:pPr>
            <w:r>
              <w:t>95</w:t>
            </w:r>
          </w:p>
        </w:tc>
        <w:tc>
          <w:tcPr>
            <w:tcW w:w="1300" w:type="dxa"/>
          </w:tcPr>
          <w:p w:rsidR="00AC0832" w:rsidRDefault="00AC0832">
            <w:pPr>
              <w:pStyle w:val="CellColumn"/>
            </w:pPr>
            <w:r>
              <w:t>MGIPU</w:t>
            </w:r>
          </w:p>
        </w:tc>
        <w:tc>
          <w:tcPr>
            <w:tcW w:w="1300" w:type="dxa"/>
          </w:tcPr>
          <w:p w:rsidR="00AC0832" w:rsidRDefault="00AC0832">
            <w:pPr>
              <w:pStyle w:val="CellColumn"/>
            </w:pPr>
            <w:r>
              <w:t>95</w:t>
            </w:r>
          </w:p>
        </w:tc>
        <w:tc>
          <w:tcPr>
            <w:tcW w:w="1300" w:type="dxa"/>
          </w:tcPr>
          <w:p w:rsidR="00AC0832" w:rsidRDefault="00AC0832">
            <w:pPr>
              <w:pStyle w:val="CellColumn"/>
            </w:pPr>
            <w:r>
              <w:t>97</w:t>
            </w:r>
          </w:p>
        </w:tc>
      </w:tr>
    </w:tbl>
    <w:p w:rsidR="00AC0832" w:rsidRDefault="00AC0832">
      <w:pPr>
        <w:jc w:val="left"/>
      </w:pPr>
    </w:p>
    <w:p w:rsidR="00AC0832" w:rsidRDefault="00AC0832">
      <w:pPr>
        <w:pStyle w:val="Heading6"/>
      </w:pPr>
      <w:r>
        <w:t>A576190 TEHNIČKI PREGLEDI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A576190-TEHNIČKI PREGLEDI</w:t>
            </w:r>
          </w:p>
        </w:tc>
        <w:tc>
          <w:tcPr>
            <w:tcW w:w="2322" w:type="dxa"/>
          </w:tcPr>
          <w:p w:rsidR="00AC0832" w:rsidRDefault="00AC0832">
            <w:pPr>
              <w:pStyle w:val="CellColumn"/>
            </w:pPr>
            <w:r>
              <w:t>400.000</w:t>
            </w:r>
          </w:p>
        </w:tc>
        <w:tc>
          <w:tcPr>
            <w:tcW w:w="2322" w:type="dxa"/>
          </w:tcPr>
          <w:p w:rsidR="00AC0832" w:rsidRDefault="00AC0832">
            <w:pPr>
              <w:pStyle w:val="CellColumn"/>
            </w:pPr>
            <w:r>
              <w:t>253.840</w:t>
            </w:r>
          </w:p>
        </w:tc>
        <w:tc>
          <w:tcPr>
            <w:tcW w:w="2322" w:type="dxa"/>
          </w:tcPr>
          <w:p w:rsidR="00AC0832" w:rsidRDefault="00AC0832">
            <w:pPr>
              <w:pStyle w:val="CellColumn"/>
            </w:pPr>
            <w:r>
              <w:t>63,5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Prije početka uporabe građevine provodi se tehnički pregled na kojem se utvrđuje je li građevina izgrađena u skladu s glavnim projektom koji je sastavni dio građevinske dozvole po kojoj je trebala biti izgrađena. Gađevina izgrađena u skladu s projektom smatra se tehnički ispravnom, sigurnom, pristupačnom i zdravstveno-ekološki primjerenom građevinom.</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Smanjenje postotaka građevina za koje se tehničkim pregledom utvrđuju nedostaci glede ispunjavanja propisanih zahtjeva tijekom i neposredno po završetku građenja</w:t>
            </w:r>
          </w:p>
        </w:tc>
        <w:tc>
          <w:tcPr>
            <w:tcW w:w="1300" w:type="dxa"/>
          </w:tcPr>
          <w:p w:rsidR="00AC0832" w:rsidRDefault="00AC0832">
            <w:pPr>
              <w:pStyle w:val="CellColumn"/>
            </w:pPr>
            <w:r>
              <w:t>Na temelju građenja  koje nije provedeno u skladu s propisima ne smije se izdati uporabna dozvola, jer bi građevina bila izgrađena suprotno cilju</w:t>
            </w:r>
          </w:p>
        </w:tc>
        <w:tc>
          <w:tcPr>
            <w:tcW w:w="1300" w:type="dxa"/>
          </w:tcPr>
          <w:p w:rsidR="00AC0832" w:rsidRDefault="00AC0832">
            <w:pPr>
              <w:pStyle w:val="CellColumn"/>
            </w:pPr>
            <w:r>
              <w:t>%</w:t>
            </w:r>
          </w:p>
        </w:tc>
        <w:tc>
          <w:tcPr>
            <w:tcW w:w="1300" w:type="dxa"/>
          </w:tcPr>
          <w:p w:rsidR="00AC0832" w:rsidRDefault="00AC0832">
            <w:pPr>
              <w:pStyle w:val="CellColumn"/>
            </w:pPr>
            <w:r>
              <w:t>50</w:t>
            </w:r>
          </w:p>
        </w:tc>
        <w:tc>
          <w:tcPr>
            <w:tcW w:w="1300" w:type="dxa"/>
          </w:tcPr>
          <w:p w:rsidR="00AC0832" w:rsidRDefault="00AC0832">
            <w:pPr>
              <w:pStyle w:val="CellColumn"/>
            </w:pPr>
            <w:r>
              <w:t>MGIPU</w:t>
            </w:r>
          </w:p>
        </w:tc>
        <w:tc>
          <w:tcPr>
            <w:tcW w:w="1300" w:type="dxa"/>
          </w:tcPr>
          <w:p w:rsidR="00AC0832" w:rsidRDefault="00AC0832">
            <w:pPr>
              <w:pStyle w:val="CellColumn"/>
            </w:pPr>
            <w:r>
              <w:t>40</w:t>
            </w:r>
          </w:p>
        </w:tc>
        <w:tc>
          <w:tcPr>
            <w:tcW w:w="1300" w:type="dxa"/>
          </w:tcPr>
          <w:p w:rsidR="00AC0832" w:rsidRDefault="00AC0832">
            <w:pPr>
              <w:pStyle w:val="CellColumn"/>
            </w:pPr>
            <w:r>
              <w:t>78</w:t>
            </w:r>
          </w:p>
        </w:tc>
      </w:tr>
    </w:tbl>
    <w:p w:rsidR="00AC0832" w:rsidRDefault="00AC0832">
      <w:pPr>
        <w:jc w:val="left"/>
      </w:pPr>
    </w:p>
    <w:p w:rsidR="00AC0832" w:rsidRDefault="00AC0832">
      <w:pPr>
        <w:pStyle w:val="Heading5"/>
      </w:pPr>
      <w:r>
        <w:t>3504 POTICANJE STAMBENE GRADNJE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3504-POTICANJE STAMBENE GRADNJE</w:t>
            </w:r>
          </w:p>
        </w:tc>
        <w:tc>
          <w:tcPr>
            <w:tcW w:w="2322" w:type="dxa"/>
          </w:tcPr>
          <w:p w:rsidR="00AC0832" w:rsidRDefault="00AC0832">
            <w:pPr>
              <w:pStyle w:val="CellColumn"/>
            </w:pPr>
            <w:r>
              <w:t>16.732.000</w:t>
            </w:r>
          </w:p>
        </w:tc>
        <w:tc>
          <w:tcPr>
            <w:tcW w:w="2322" w:type="dxa"/>
          </w:tcPr>
          <w:p w:rsidR="00AC0832" w:rsidRDefault="00AC0832">
            <w:pPr>
              <w:pStyle w:val="CellColumn"/>
            </w:pPr>
            <w:r>
              <w:t>16.708.896</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6"/>
      </w:pPr>
    </w:p>
    <w:p w:rsidR="00AC0832" w:rsidRDefault="00AC0832">
      <w:pPr>
        <w:pStyle w:val="Heading6"/>
      </w:pPr>
    </w:p>
    <w:p w:rsidR="00AC0832" w:rsidRDefault="00AC0832">
      <w:pPr>
        <w:pStyle w:val="Heading6"/>
      </w:pPr>
      <w:r>
        <w:t>Opis programa</w:t>
      </w:r>
    </w:p>
    <w:p w:rsidR="00AC0832" w:rsidRDefault="00AC0832">
      <w:pPr>
        <w:pStyle w:val="Normal5"/>
      </w:pPr>
      <w:r>
        <w:t>Na osnovi Zakona o pravima hrvatskih branitelja iz Domovinskog rata i članova njihovih obitelji, Zakona o društveno poticanoj stanogradnji, Zakona o komunalnom gospodarstvu, Zakona o subvencioniranju i državnom jamstvu stambenih kredita te Akcijskih planova Vlade Republike Hrvatske za rješavanje stambenih potreba građana, cilj ovoga Ministarstva je poboljšati kvalitetu stanovanja što širega kruga građana i ciljanih grupa, te time doprinijeti sprečavanju socijalne isključenosti ranjivih skupina stanovništva.</w:t>
      </w:r>
    </w:p>
    <w:p w:rsidR="00AC0832" w:rsidRDefault="00AC0832">
      <w:pPr>
        <w:pStyle w:val="Heading6"/>
      </w:pPr>
      <w:r>
        <w:t>Zakonske i druge pravne osnove</w:t>
      </w:r>
    </w:p>
    <w:p w:rsidR="00AC0832" w:rsidRDefault="00AC0832">
      <w:pPr>
        <w:pStyle w:val="Normal5"/>
      </w:pPr>
      <w:r>
        <w:t xml:space="preserve">Zakona o pravima hrvatskih branitelja iz Domovinskog rata  </w:t>
      </w:r>
    </w:p>
    <w:p w:rsidR="00AC0832" w:rsidRDefault="00AC0832">
      <w:pPr>
        <w:pStyle w:val="Normal5"/>
      </w:pPr>
      <w:r>
        <w:t>Akcijski plan Vlade Republike Hrvatske</w:t>
      </w:r>
    </w:p>
    <w:p w:rsidR="00AC0832" w:rsidRDefault="00AC0832">
      <w:pPr>
        <w:pStyle w:val="Heading7"/>
      </w:pPr>
      <w:r>
        <w:t>Cilj 1. Stambeno zbrinuti stradalnike domovinskog rata</w:t>
      </w:r>
    </w:p>
    <w:p w:rsidR="00AC0832" w:rsidRDefault="00AC0832">
      <w:pPr>
        <w:pStyle w:val="Heading8"/>
        <w:jc w:val="left"/>
      </w:pPr>
      <w:r>
        <w:t>Opis provedbe cilja programa</w:t>
      </w:r>
    </w:p>
    <w:p w:rsidR="00AC0832" w:rsidRDefault="00AC0832">
      <w:pPr>
        <w:pStyle w:val="Normal6"/>
      </w:pPr>
      <w:r>
        <w:t>U 2012. godini predano je 88 stanova na lokacijama u Zadru (65) i Slunju (23), što čini ukupno 6161 stan. Izgrađeno je  ukupno 6189  stanova, sukladno planiranom broju.  Za 28 izgrađenih stanova u Dubrovniku još nije obavljena primopredaja. Naime, tehnički pregled zgrade je obavljen 19.12.2012. godine, a uporabna dozvola dobivena je 11.03.2013. Primopredaja se očekuje  početkom travnja 2013.godine. Obzirom da su stanovi izgrađeni može se reći da je postavljeni cilj ostvaren.</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provedbe akcijskog plana</w:t>
            </w:r>
          </w:p>
        </w:tc>
        <w:tc>
          <w:tcPr>
            <w:tcW w:w="1300" w:type="dxa"/>
          </w:tcPr>
          <w:p w:rsidR="00AC0832" w:rsidRDefault="00AC0832">
            <w:pPr>
              <w:pStyle w:val="CellColumn"/>
            </w:pPr>
            <w:r>
              <w:t>izgrađeni i kupljeni stanovi u odnosu na potrebe</w:t>
            </w:r>
          </w:p>
        </w:tc>
        <w:tc>
          <w:tcPr>
            <w:tcW w:w="1300" w:type="dxa"/>
          </w:tcPr>
          <w:p w:rsidR="00AC0832" w:rsidRDefault="00AC0832">
            <w:pPr>
              <w:pStyle w:val="CellColumn"/>
            </w:pPr>
            <w:r>
              <w:t>%</w:t>
            </w:r>
          </w:p>
        </w:tc>
        <w:tc>
          <w:tcPr>
            <w:tcW w:w="1300" w:type="dxa"/>
          </w:tcPr>
          <w:p w:rsidR="00AC0832" w:rsidRDefault="00AC0832">
            <w:pPr>
              <w:pStyle w:val="CellColumn"/>
            </w:pPr>
            <w:r>
              <w:t>48,3</w:t>
            </w:r>
          </w:p>
        </w:tc>
        <w:tc>
          <w:tcPr>
            <w:tcW w:w="1300" w:type="dxa"/>
          </w:tcPr>
          <w:p w:rsidR="00AC0832" w:rsidRDefault="00AC0832">
            <w:pPr>
              <w:pStyle w:val="CellColumn"/>
            </w:pPr>
            <w:r>
              <w:t>MGIPU</w:t>
            </w:r>
          </w:p>
        </w:tc>
        <w:tc>
          <w:tcPr>
            <w:tcW w:w="1300" w:type="dxa"/>
          </w:tcPr>
          <w:p w:rsidR="00AC0832" w:rsidRDefault="00AC0832">
            <w:pPr>
              <w:pStyle w:val="CellColumn"/>
            </w:pPr>
            <w:r>
              <w:t>48,51</w:t>
            </w:r>
          </w:p>
        </w:tc>
        <w:tc>
          <w:tcPr>
            <w:tcW w:w="1300" w:type="dxa"/>
          </w:tcPr>
          <w:p w:rsidR="00AC0832" w:rsidRDefault="00AC0832">
            <w:pPr>
              <w:pStyle w:val="CellColumn"/>
            </w:pPr>
            <w:r>
              <w:t>48,51</w:t>
            </w:r>
          </w:p>
        </w:tc>
      </w:tr>
    </w:tbl>
    <w:p w:rsidR="00AC0832" w:rsidRDefault="00AC0832">
      <w:pPr>
        <w:jc w:val="left"/>
      </w:pPr>
    </w:p>
    <w:p w:rsidR="00AC0832" w:rsidRDefault="00AC0832">
      <w:pPr>
        <w:pStyle w:val="Heading6"/>
      </w:pPr>
      <w:r>
        <w:t>K576202 STAMBENO ZBRINJAVANJE INVALIDA IZ DOMOVINSKOG RATA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K576202-STAMBENO ZBRINJAVANJE INVALIDA IZ DOMOVINSKOG RATA</w:t>
            </w:r>
          </w:p>
        </w:tc>
        <w:tc>
          <w:tcPr>
            <w:tcW w:w="2322" w:type="dxa"/>
          </w:tcPr>
          <w:p w:rsidR="00AC0832" w:rsidRDefault="00AC0832">
            <w:pPr>
              <w:pStyle w:val="CellColumn"/>
            </w:pPr>
            <w:r>
              <w:t>16.732.000</w:t>
            </w:r>
          </w:p>
        </w:tc>
        <w:tc>
          <w:tcPr>
            <w:tcW w:w="2322" w:type="dxa"/>
          </w:tcPr>
          <w:p w:rsidR="00AC0832" w:rsidRDefault="00AC0832">
            <w:pPr>
              <w:pStyle w:val="CellColumn"/>
            </w:pPr>
            <w:r>
              <w:t>16.708.896</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Program stambenog zbrinjavanja stradalnika iz Domovinskog rata u završnoj je fazi. U 2012. godini u potpunosti su utrošena planirana financijska sredstva, a planirana sredstva u 2013. i 2014. godini dostatna su za dovršenje programa i izgradnju stanova u Dubrovniku (28)  i Zagrebu (59) stanova. Sa primopredajom navedenih 87 stanova u 2013. godini u Programu će biti dovršeno i predano 6248 stanova.    </w:t>
      </w:r>
    </w:p>
    <w:p w:rsidR="00AC0832" w:rsidRDefault="00AC0832">
      <w:pPr>
        <w:pStyle w:val="Normal6"/>
      </w:pPr>
      <w:r>
        <w:t>U 2012. godini predano je 88 stanova na lokacijama u Zadru (65) i Slunju (23), što čini ukupno 6161 stan. Ciljana vrijednost 6189 nije postignuta jer nije predano 28 stanova u Dubrovniku. Stanovi u Dubrovniku su dovršeni u 2012. godini, tehnički pregled zgrade je obavljen 19.12.2012. godine, a uporabna dozvola dobivena je 11.03.2013. Primopredaja se očekuje početkom travnja 2013. godine čime će se sa manjim zakašnjenjem dostići planirana ciljana vrijednost od 6189 stanova.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Povečanje broja izgrađenih stanova</w:t>
            </w:r>
          </w:p>
        </w:tc>
        <w:tc>
          <w:tcPr>
            <w:tcW w:w="1300" w:type="dxa"/>
          </w:tcPr>
          <w:p w:rsidR="00AC0832" w:rsidRDefault="00AC0832">
            <w:pPr>
              <w:pStyle w:val="CellColumn"/>
            </w:pPr>
            <w:r>
              <w:t>Od 1997. do 2010. godine predano je 6009 stanova od ukupnih potreba 12759</w:t>
            </w:r>
          </w:p>
        </w:tc>
        <w:tc>
          <w:tcPr>
            <w:tcW w:w="1300" w:type="dxa"/>
          </w:tcPr>
          <w:p w:rsidR="00AC0832" w:rsidRDefault="00AC0832">
            <w:pPr>
              <w:pStyle w:val="CellColumn"/>
            </w:pPr>
            <w:r>
              <w:t>broj</w:t>
            </w:r>
          </w:p>
        </w:tc>
        <w:tc>
          <w:tcPr>
            <w:tcW w:w="1300" w:type="dxa"/>
          </w:tcPr>
          <w:p w:rsidR="00AC0832" w:rsidRDefault="00AC0832">
            <w:pPr>
              <w:pStyle w:val="CellColumn"/>
            </w:pPr>
            <w:r>
              <w:t>6009</w:t>
            </w:r>
          </w:p>
        </w:tc>
        <w:tc>
          <w:tcPr>
            <w:tcW w:w="1300" w:type="dxa"/>
          </w:tcPr>
          <w:p w:rsidR="00AC0832" w:rsidRDefault="00AC0832">
            <w:pPr>
              <w:pStyle w:val="CellColumn"/>
            </w:pPr>
            <w:r>
              <w:t>MGIPU</w:t>
            </w:r>
          </w:p>
        </w:tc>
        <w:tc>
          <w:tcPr>
            <w:tcW w:w="1300" w:type="dxa"/>
          </w:tcPr>
          <w:p w:rsidR="00AC0832" w:rsidRDefault="00AC0832">
            <w:pPr>
              <w:pStyle w:val="CellColumn"/>
            </w:pPr>
            <w:r>
              <w:t>6189</w:t>
            </w:r>
          </w:p>
        </w:tc>
        <w:tc>
          <w:tcPr>
            <w:tcW w:w="1300" w:type="dxa"/>
          </w:tcPr>
          <w:p w:rsidR="00AC0832" w:rsidRDefault="00AC0832">
            <w:pPr>
              <w:pStyle w:val="CellColumn"/>
            </w:pPr>
            <w:r>
              <w:t>6189</w:t>
            </w:r>
          </w:p>
        </w:tc>
      </w:tr>
    </w:tbl>
    <w:p w:rsidR="00AC0832" w:rsidRDefault="00AC0832">
      <w:pPr>
        <w:jc w:val="left"/>
      </w:pPr>
    </w:p>
    <w:p w:rsidR="00AC0832" w:rsidRDefault="00AC0832">
      <w:pPr>
        <w:pStyle w:val="Heading5"/>
      </w:pPr>
      <w:r>
        <w:t>3910 OČUVANJE KULTURNE BAŠTINE - SANACIJA OBJEKATA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3910-OČUVANJE KULTURNE BAŠTINE - SANACIJA OBJEKATA</w:t>
            </w:r>
          </w:p>
        </w:tc>
        <w:tc>
          <w:tcPr>
            <w:tcW w:w="2322" w:type="dxa"/>
          </w:tcPr>
          <w:p w:rsidR="00AC0832" w:rsidRDefault="00AC0832">
            <w:pPr>
              <w:pStyle w:val="CellColumn"/>
            </w:pPr>
            <w:r>
              <w:t>1.300.000</w:t>
            </w:r>
          </w:p>
        </w:tc>
        <w:tc>
          <w:tcPr>
            <w:tcW w:w="2322" w:type="dxa"/>
          </w:tcPr>
          <w:p w:rsidR="00AC0832" w:rsidRDefault="00AC0832">
            <w:pPr>
              <w:pStyle w:val="CellColumn"/>
            </w:pPr>
            <w:r>
              <w:t>1.256.041</w:t>
            </w:r>
          </w:p>
        </w:tc>
        <w:tc>
          <w:tcPr>
            <w:tcW w:w="2322" w:type="dxa"/>
          </w:tcPr>
          <w:p w:rsidR="00AC0832" w:rsidRDefault="00AC0832">
            <w:pPr>
              <w:pStyle w:val="CellColumn"/>
            </w:pPr>
            <w:r>
              <w:t>96,6</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Provođenje aktivnosti vezanih za sanaciju i obnovu građevina u osječkoj Tvrđi. Republika Hrvatska, zajedno sa Osječko-baranjskom županijom i Gradom Osijekom, osnovala je Agenciju za obnovu osječke Tvrđe kao javnu ustanovu za pripremu, organizaciju i provođenje programa zaštite, obnove i revitalizacije osječke Tvrđe. Osnivači za osnivanje i rad Agencije osiguravaju sredstva u sljedećim omjerima: </w:t>
      </w:r>
    </w:p>
    <w:p w:rsidR="00AC0832" w:rsidRDefault="00AC0832">
      <w:pPr>
        <w:pStyle w:val="Normal5"/>
      </w:pPr>
      <w:r>
        <w:t xml:space="preserve">Republika Hrvatska 51% sredstava, </w:t>
      </w:r>
    </w:p>
    <w:p w:rsidR="00AC0832" w:rsidRDefault="00AC0832">
      <w:pPr>
        <w:pStyle w:val="Normal5"/>
      </w:pPr>
      <w:r>
        <w:t xml:space="preserve">Osječko-baranjska županija 24,5% sredstava, </w:t>
      </w:r>
    </w:p>
    <w:p w:rsidR="00AC0832" w:rsidRDefault="00AC0832">
      <w:pPr>
        <w:pStyle w:val="Normal5"/>
      </w:pPr>
      <w:r>
        <w:t xml:space="preserve">Grad Osijek 24,5% sredstava. </w:t>
      </w:r>
    </w:p>
    <w:p w:rsidR="00AC0832" w:rsidRDefault="00AC0832">
      <w:pPr>
        <w:pStyle w:val="Normal5"/>
      </w:pPr>
      <w:r>
        <w:t>U ime Republike Hrvatske sredstva za tu namjenu osigurava u svom proračunu Ministarstvo graditeljstva i prostornoga uređenja.</w:t>
      </w:r>
    </w:p>
    <w:p w:rsidR="00AC0832" w:rsidRDefault="00AC0832">
      <w:pPr>
        <w:pStyle w:val="Heading6"/>
      </w:pPr>
      <w:r>
        <w:t>Zakonske i druge pravne osnove</w:t>
      </w:r>
    </w:p>
    <w:p w:rsidR="00AC0832" w:rsidRDefault="00AC0832">
      <w:pPr>
        <w:pStyle w:val="Normal5"/>
      </w:pPr>
      <w:r>
        <w:t>Uredba o osnivanju Agencije za obnovu osječke Tvrđe (NN br. 28/99)</w:t>
      </w:r>
    </w:p>
    <w:p w:rsidR="00AC0832" w:rsidRDefault="00AC0832">
      <w:pPr>
        <w:pStyle w:val="Heading6"/>
      </w:pPr>
      <w:r>
        <w:t>K576118 SANACIJA OSJEČKE TVRĐE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K576118-SANACIJA OSJEČKE TVRĐE</w:t>
            </w:r>
          </w:p>
        </w:tc>
        <w:tc>
          <w:tcPr>
            <w:tcW w:w="2322" w:type="dxa"/>
          </w:tcPr>
          <w:p w:rsidR="00AC0832" w:rsidRDefault="00AC0832">
            <w:pPr>
              <w:pStyle w:val="CellColumn"/>
            </w:pPr>
            <w:r>
              <w:t>1.300.000</w:t>
            </w:r>
          </w:p>
        </w:tc>
        <w:tc>
          <w:tcPr>
            <w:tcW w:w="2322" w:type="dxa"/>
          </w:tcPr>
          <w:p w:rsidR="00AC0832" w:rsidRDefault="00AC0832">
            <w:pPr>
              <w:pStyle w:val="CellColumn"/>
            </w:pPr>
            <w:r>
              <w:t>1.256.041</w:t>
            </w:r>
          </w:p>
        </w:tc>
        <w:tc>
          <w:tcPr>
            <w:tcW w:w="2322" w:type="dxa"/>
          </w:tcPr>
          <w:p w:rsidR="00AC0832" w:rsidRDefault="00AC0832">
            <w:pPr>
              <w:pStyle w:val="CellColumn"/>
            </w:pPr>
            <w:r>
              <w:t>96,6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Republika Hrvatska, odnosno Ministarstvo graditeljstva i prostornoga uređenja zajedno sa Osječko-baranjskom županijom i Gradom Osijekom, preko Agencije za obnovu osječke Tvrđe kao javne ustanove za pripremu, organizaciju i provođenje programa zaštite, obnove i revitalizacije osječke Tvrđe, te sukladno Uredbi o osnivanju Agencije za obnovu osječke Tvrđe (NN br. 28/99) sudjeluje u provođenju aktivnosti vezanih za sanaciju i obnovu građevina u osječkoj Tvrđi.</w:t>
      </w:r>
    </w:p>
    <w:p w:rsidR="00AC0832" w:rsidRDefault="00AC0832">
      <w:pPr>
        <w:pStyle w:val="Heading2"/>
      </w:pPr>
      <w:r>
        <w:t>07620 Agencija za pravni promet i posredovanje nekretninama</w:t>
      </w:r>
    </w:p>
    <w:p w:rsidR="00AC0832" w:rsidRDefault="00AC0832">
      <w:pPr>
        <w:pStyle w:val="Heading4"/>
      </w:pPr>
      <w:r>
        <w:t>Uvod</w:t>
      </w:r>
    </w:p>
    <w:p w:rsidR="00AC0832" w:rsidRDefault="00AC0832">
      <w:pPr>
        <w:pStyle w:val="Normal3"/>
      </w:pPr>
      <w:r>
        <w:t xml:space="preserve">Agencija za pravni promet i posredovanje nekretninama (u daljnjem tekstu: APN) osnovana je Uredbom Vlade Republike Hrvatske. APN ima ovlasti da u svoje ime, a za račun Republike Hrvatske kupuje ili mjenja nekretnine na području Republike Hrvatske, osim nekretnina čiji je pravni promet određen posebnim propisima, a sredstva se osiguravaju iz državnog proračuna i iz drugih izvora. Također Zakonom o društveno poticanoj stanogradnji uređuje se sustavno organizirana stanogradnja poticana javnim sredstvima radi zadovoljavanja stambenih potreba i poboljšanja kvalitete stanovanja što šireg kruga građana, kao i unapređenja graditeljstva. Društveno poticana stanogradnja provodi se izgradnjom stanova, odnosno stambenih zgrada, organiziranom na način kojim se ostvaruje svrhovito korištenje javnih i drugih sredstava za pokriće troškova, osigurava povrat tih sredstava, te omogućuje prodaju stanova uz obročnu otplatu popristupačnijim uvjetima od tržišnih u pogledu kamata i rokova otplate. Temeljem Zakona o subvencioniranju i državnom jamstvu stambenih kredita (NN 31/11) APN je proširio svoju djelatnost. Prema ovom Zakonu APN u ime RH obavlja sve upravne, tehničke i druge poslove vezane uz odobravanje i isplatu subvencija i državnog jamstva za stambene kredite. </w:t>
      </w:r>
    </w:p>
    <w:p w:rsidR="00AC0832" w:rsidRDefault="00AC0832">
      <w:pPr>
        <w:pStyle w:val="Normal3"/>
      </w:pPr>
      <w:r>
        <w:t xml:space="preserve">Plan za 2012. godinu izvršen je sa 93,60%. </w:t>
      </w:r>
    </w:p>
    <w:p w:rsidR="00AC0832" w:rsidRDefault="00AC0832">
      <w:pPr>
        <w:pStyle w:val="Normal3"/>
      </w:pPr>
      <w:r>
        <w:t xml:space="preserve">Odstupanje je nastalo iz razloga što se sredstva na aktivnosti K260345 (Kupovanje određenih nekretnina za račun RH) nisu u potpunosti utrošene jer APN nije dobio odobrenje za kupnju određenih nekretnina (stanova) od Ministarstva regionalnog razvoja i fondova Europske unije. Također na aktivnosti K576201 (Društveno poticana stanogradnja) nisu utrošena cijelokupno planirana sredstva jer APN i područne agencije nisu započele izgradnju svih planiranih projekata. </w:t>
      </w:r>
    </w:p>
    <w:p w:rsidR="00AC0832" w:rsidRDefault="00AC0832">
      <w:pPr>
        <w:pStyle w:val="Normal3"/>
      </w:pPr>
      <w:r>
        <w:t xml:space="preserve">Sredstva na aktivnosti K551024 (Subvencije i državna jamstva za stambene kredite) utrošena su iznad planiranih sredstava jer je APN-u Ministarstvo graditeljstva i prostornog uređenja uplatilo tokom 2012. godine 5.000.000,00 kuna na izvor 43 koja se ne nalaze u planiranim sredstvima. </w:t>
      </w:r>
    </w:p>
    <w:p w:rsidR="00AC0832" w:rsidRDefault="00AC0832">
      <w:pPr>
        <w:pStyle w:val="Normal3"/>
      </w:pPr>
      <w:r>
        <w:t>Aktivnosti A551000 i A551007 (Administracija i upravljanje) izvršena su sa 94,93%, odnosno 95,84%. Sredstva na tim aktivnostima utrošena su radi nesmetanog poslovanja APN-a.</w:t>
      </w:r>
    </w:p>
    <w:p w:rsidR="00AC0832" w:rsidRDefault="00AC0832">
      <w:pPr>
        <w:pStyle w:val="Normal3"/>
      </w:pPr>
    </w:p>
    <w:p w:rsidR="00AC0832" w:rsidRDefault="00AC0832">
      <w:pPr>
        <w:pStyle w:val="Normal3"/>
      </w:pPr>
    </w:p>
    <w:p w:rsidR="00AC0832" w:rsidRDefault="00AC0832">
      <w:pPr>
        <w:pStyle w:val="Normal3"/>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07620-Agencija za pravni promet i posredovanje nekretninama</w:t>
            </w:r>
          </w:p>
        </w:tc>
        <w:tc>
          <w:tcPr>
            <w:tcW w:w="2322" w:type="dxa"/>
          </w:tcPr>
          <w:p w:rsidR="00AC0832" w:rsidRDefault="00AC0832">
            <w:pPr>
              <w:pStyle w:val="CellColumn"/>
            </w:pPr>
            <w:r>
              <w:t>171.341.801</w:t>
            </w:r>
          </w:p>
        </w:tc>
        <w:tc>
          <w:tcPr>
            <w:tcW w:w="2322" w:type="dxa"/>
          </w:tcPr>
          <w:p w:rsidR="00AC0832" w:rsidRDefault="00AC0832">
            <w:pPr>
              <w:pStyle w:val="CellColumn"/>
            </w:pPr>
            <w:r>
              <w:t>160.380.341</w:t>
            </w:r>
          </w:p>
        </w:tc>
        <w:tc>
          <w:tcPr>
            <w:tcW w:w="2322" w:type="dxa"/>
          </w:tcPr>
          <w:p w:rsidR="00AC0832" w:rsidRDefault="00AC0832">
            <w:pPr>
              <w:pStyle w:val="CellColumn"/>
            </w:pPr>
            <w:r>
              <w:t>93,6</w:t>
            </w:r>
          </w:p>
        </w:tc>
      </w:tr>
      <w:tr w:rsidR="00AC0832" w:rsidTr="00BE20ED">
        <w:trPr>
          <w:jc w:val="center"/>
        </w:trPr>
        <w:tc>
          <w:tcPr>
            <w:tcW w:w="2322" w:type="dxa"/>
          </w:tcPr>
          <w:p w:rsidR="00AC0832" w:rsidRDefault="00AC0832">
            <w:pPr>
              <w:pStyle w:val="CellColumnSmall"/>
            </w:pPr>
            <w:r>
              <w:t>3503-PROMETOVANJE NEKRETNINAMA</w:t>
            </w:r>
          </w:p>
        </w:tc>
        <w:tc>
          <w:tcPr>
            <w:tcW w:w="2322" w:type="dxa"/>
          </w:tcPr>
          <w:p w:rsidR="00AC0832" w:rsidRDefault="00AC0832">
            <w:pPr>
              <w:pStyle w:val="CellColumnSmall"/>
            </w:pPr>
            <w:r>
              <w:t>70.623.801</w:t>
            </w:r>
          </w:p>
        </w:tc>
        <w:tc>
          <w:tcPr>
            <w:tcW w:w="2322" w:type="dxa"/>
          </w:tcPr>
          <w:p w:rsidR="00AC0832" w:rsidRDefault="00AC0832">
            <w:pPr>
              <w:pStyle w:val="CellColumnSmall"/>
            </w:pPr>
            <w:r>
              <w:t>63.952.421</w:t>
            </w:r>
          </w:p>
        </w:tc>
        <w:tc>
          <w:tcPr>
            <w:tcW w:w="2322" w:type="dxa"/>
          </w:tcPr>
          <w:p w:rsidR="00AC0832" w:rsidRDefault="00AC0832">
            <w:pPr>
              <w:pStyle w:val="CellColumnSmall"/>
            </w:pPr>
            <w:r>
              <w:t>90,6</w:t>
            </w:r>
          </w:p>
        </w:tc>
      </w:tr>
      <w:tr w:rsidR="00AC0832" w:rsidTr="00BE20ED">
        <w:trPr>
          <w:jc w:val="center"/>
        </w:trPr>
        <w:tc>
          <w:tcPr>
            <w:tcW w:w="2322" w:type="dxa"/>
          </w:tcPr>
          <w:p w:rsidR="00AC0832" w:rsidRDefault="00AC0832">
            <w:pPr>
              <w:pStyle w:val="CellColumnSmall"/>
            </w:pPr>
            <w:r>
              <w:t>3504-POTICANJE STAMBENE GRADNJE</w:t>
            </w:r>
          </w:p>
        </w:tc>
        <w:tc>
          <w:tcPr>
            <w:tcW w:w="2322" w:type="dxa"/>
          </w:tcPr>
          <w:p w:rsidR="00AC0832" w:rsidRDefault="00AC0832">
            <w:pPr>
              <w:pStyle w:val="CellColumnSmall"/>
            </w:pPr>
            <w:r>
              <w:t>100.718.000</w:t>
            </w:r>
          </w:p>
        </w:tc>
        <w:tc>
          <w:tcPr>
            <w:tcW w:w="2322" w:type="dxa"/>
          </w:tcPr>
          <w:p w:rsidR="00AC0832" w:rsidRDefault="00AC0832">
            <w:pPr>
              <w:pStyle w:val="CellColumnSmall"/>
            </w:pPr>
            <w:r>
              <w:t>96.427.920</w:t>
            </w:r>
          </w:p>
        </w:tc>
        <w:tc>
          <w:tcPr>
            <w:tcW w:w="2322" w:type="dxa"/>
          </w:tcPr>
          <w:p w:rsidR="00AC0832" w:rsidRDefault="00AC0832">
            <w:pPr>
              <w:pStyle w:val="CellColumnSmall"/>
            </w:pPr>
            <w:r>
              <w:t>95,7</w:t>
            </w:r>
          </w:p>
        </w:tc>
      </w:tr>
    </w:tbl>
    <w:p w:rsidR="00AC0832" w:rsidRDefault="00AC0832">
      <w:pPr>
        <w:jc w:val="left"/>
      </w:pPr>
    </w:p>
    <w:p w:rsidR="00AC0832" w:rsidRDefault="00AC0832">
      <w:pPr>
        <w:pStyle w:val="Heading4"/>
      </w:pPr>
      <w:r>
        <w:t>OBRAZLOŽENJE PROGRAMA</w:t>
      </w:r>
    </w:p>
    <w:p w:rsidR="00AC0832" w:rsidRDefault="00AC0832">
      <w:pPr>
        <w:pStyle w:val="Heading5"/>
      </w:pPr>
      <w:r>
        <w:t>3503 PROMETOVANJE NEKRETNINAMA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3503-PROMETOVANJE NEKRETNINAMA</w:t>
            </w:r>
          </w:p>
        </w:tc>
        <w:tc>
          <w:tcPr>
            <w:tcW w:w="2322" w:type="dxa"/>
          </w:tcPr>
          <w:p w:rsidR="00AC0832" w:rsidRDefault="00AC0832">
            <w:pPr>
              <w:pStyle w:val="CellColumn"/>
            </w:pPr>
            <w:r>
              <w:t>70.623.801</w:t>
            </w:r>
          </w:p>
        </w:tc>
        <w:tc>
          <w:tcPr>
            <w:tcW w:w="2322" w:type="dxa"/>
          </w:tcPr>
          <w:p w:rsidR="00AC0832" w:rsidRDefault="00AC0832">
            <w:pPr>
              <w:pStyle w:val="CellColumn"/>
            </w:pPr>
            <w:r>
              <w:t>63.952.421</w:t>
            </w:r>
          </w:p>
        </w:tc>
        <w:tc>
          <w:tcPr>
            <w:tcW w:w="2322" w:type="dxa"/>
          </w:tcPr>
          <w:p w:rsidR="00AC0832" w:rsidRDefault="00AC0832">
            <w:pPr>
              <w:pStyle w:val="CellColumn"/>
            </w:pPr>
            <w:r>
              <w:t>90,6</w:t>
            </w:r>
          </w:p>
        </w:tc>
      </w:tr>
    </w:tbl>
    <w:p w:rsidR="00AC0832" w:rsidRDefault="00AC0832">
      <w:pPr>
        <w:jc w:val="left"/>
      </w:pPr>
    </w:p>
    <w:p w:rsidR="00AC0832" w:rsidRDefault="00AC0832">
      <w:pPr>
        <w:pStyle w:val="Heading6"/>
      </w:pPr>
      <w:r>
        <w:t>Opis programa</w:t>
      </w:r>
    </w:p>
    <w:p w:rsidR="00AC0832" w:rsidRDefault="00AC0832">
      <w:pPr>
        <w:pStyle w:val="Normal5"/>
      </w:pPr>
      <w:r>
        <w:t xml:space="preserve">Kupnja nekretnina na aktivnosti K260345 odnosi se na Program stambenog zbrinjavanja bivših nositelja stanarskih prava izvan područja posebne državne skrbi (PPDS). Kupnja je izvršena sa 89,82% odnosno u iznosu od 51.790.076,67 kuna. </w:t>
      </w:r>
    </w:p>
    <w:p w:rsidR="00AC0832" w:rsidRDefault="00AC0832">
      <w:pPr>
        <w:pStyle w:val="Normal5"/>
      </w:pPr>
      <w:r>
        <w:t>Ostatak utrošenih sredstava odnosi se na tekuće izdatke radi nesmetanog poslovanja Agencije.</w:t>
      </w:r>
    </w:p>
    <w:p w:rsidR="00AC0832" w:rsidRDefault="00AC0832">
      <w:pPr>
        <w:pStyle w:val="Heading6"/>
      </w:pPr>
      <w:r>
        <w:t>Zakonske i druge pravne osnove</w:t>
      </w:r>
    </w:p>
    <w:p w:rsidR="00AC0832" w:rsidRDefault="00AC0832">
      <w:pPr>
        <w:pStyle w:val="Normal5"/>
      </w:pPr>
      <w:r>
        <w:t xml:space="preserve">APN je osnovan Uredbom Vlade RH (NN 45/97, 63/97, 65/99, 103/02, 8/04, 27/08, 105/09 i 79/12). </w:t>
      </w:r>
    </w:p>
    <w:p w:rsidR="00AC0832" w:rsidRDefault="00AC0832">
      <w:pPr>
        <w:pStyle w:val="Normal5"/>
      </w:pPr>
      <w:r>
        <w:t>Zaključak Vlade RH od 17.06.2003. o načinu stambenog zbrinjavanja povratnika-bivših nositelja stanarskih prava izvan područja posebne državne skrbi (NN 100/03, 179/04 i 79/05) te Odluke Vlade RH od 02.06.2008. o provedbi stambenog zbrinjavanja povratnika-bivših nositelja stanarskih prava izvan područja posebne državne skrbi (NN 63/08).</w:t>
      </w:r>
    </w:p>
    <w:p w:rsidR="00AC0832" w:rsidRDefault="00AC0832">
      <w:pPr>
        <w:pStyle w:val="Heading7"/>
      </w:pPr>
      <w:r>
        <w:t>Cilj 1. Kupnja stanova radi stambenog zbrinjavanja bivših nositelja stanarskih prava</w:t>
      </w:r>
    </w:p>
    <w:p w:rsidR="00AC0832" w:rsidRDefault="00AC0832">
      <w:pPr>
        <w:pStyle w:val="Heading8"/>
        <w:jc w:val="left"/>
      </w:pPr>
      <w:r>
        <w:t>Opis provedbe cilja programa</w:t>
      </w:r>
    </w:p>
    <w:p w:rsidR="00AC0832" w:rsidRDefault="00AC0832">
      <w:pPr>
        <w:pStyle w:val="Normal6"/>
      </w:pPr>
      <w:r>
        <w:t>Kupnja određenog broja stanova na područjima izvan posebne državne skrbi u svrhu zbrinjavanja povratnika-bivših nositelja stanarskih prava. S raspoloživim sredstvima kupljeno je 104 nekretnine (stana) čime je ostvareno 89,82% plana. Plan nije u potpunosti ispunjen jer za neke nekretnine (stanove) nismo dobili odobrenje za kupnju od Ministarstva regionalnog razvoja i fondova Europske unije koje nam dostavlja plan za kupnju nekretnina izvan PPDS-a.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17"/>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realizacije kupnje u odnosu na potrebe</w:t>
            </w:r>
          </w:p>
        </w:tc>
        <w:tc>
          <w:tcPr>
            <w:tcW w:w="1300" w:type="dxa"/>
          </w:tcPr>
          <w:p w:rsidR="00AC0832" w:rsidRDefault="00AC0832">
            <w:pPr>
              <w:pStyle w:val="CellColumn"/>
            </w:pPr>
            <w:r>
              <w:t>kupnja stanova sa svrhom povrata stanarskih prava povratnicima-bivšim nositeljima stanarskih prava</w:t>
            </w:r>
          </w:p>
        </w:tc>
        <w:tc>
          <w:tcPr>
            <w:tcW w:w="1300" w:type="dxa"/>
          </w:tcPr>
          <w:p w:rsidR="00AC0832" w:rsidRDefault="00AC0832">
            <w:pPr>
              <w:pStyle w:val="CellColumn"/>
            </w:pPr>
            <w:r>
              <w:t>%</w:t>
            </w:r>
          </w:p>
        </w:tc>
        <w:tc>
          <w:tcPr>
            <w:tcW w:w="1300" w:type="dxa"/>
          </w:tcPr>
          <w:p w:rsidR="00AC0832" w:rsidRDefault="00AC0832">
            <w:pPr>
              <w:pStyle w:val="CellColumn"/>
            </w:pPr>
            <w:r>
              <w:t>51</w:t>
            </w:r>
          </w:p>
        </w:tc>
        <w:tc>
          <w:tcPr>
            <w:tcW w:w="1300" w:type="dxa"/>
          </w:tcPr>
          <w:p w:rsidR="00AC0832" w:rsidRDefault="00AC0832">
            <w:pPr>
              <w:pStyle w:val="CellColumn"/>
            </w:pPr>
            <w:r>
              <w:t>APN</w:t>
            </w:r>
          </w:p>
        </w:tc>
        <w:tc>
          <w:tcPr>
            <w:tcW w:w="1300" w:type="dxa"/>
          </w:tcPr>
          <w:p w:rsidR="00AC0832" w:rsidRDefault="00AC0832">
            <w:pPr>
              <w:pStyle w:val="CellColumn"/>
            </w:pPr>
            <w:r>
              <w:t>83</w:t>
            </w:r>
          </w:p>
        </w:tc>
        <w:tc>
          <w:tcPr>
            <w:tcW w:w="1300" w:type="dxa"/>
          </w:tcPr>
          <w:p w:rsidR="00AC0832" w:rsidRDefault="00AC0832">
            <w:pPr>
              <w:pStyle w:val="CellColumn"/>
            </w:pPr>
            <w:r>
              <w:t>71</w:t>
            </w:r>
          </w:p>
        </w:tc>
      </w:tr>
    </w:tbl>
    <w:p w:rsidR="00AC0832" w:rsidRDefault="00AC0832">
      <w:pPr>
        <w:jc w:val="left"/>
      </w:pPr>
    </w:p>
    <w:p w:rsidR="00AC0832" w:rsidRDefault="00AC0832">
      <w:pPr>
        <w:pStyle w:val="Heading6"/>
      </w:pPr>
      <w:r>
        <w:t>K260345 KUPOVANJE ODREĐENIH NEKRETNINA ZA RAČUN RH, TE DAVANJE ZAJMOVA DOMAĆIM FIZIČKIM OSOBAMA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K260345-KUPOVANJE ODREĐENIH NEKRETNINA ZA RAČUN RH, TE DAVANJE ZAJMOVA DOMAĆIM FIZIČKIM OSOBAMA</w:t>
            </w:r>
          </w:p>
        </w:tc>
        <w:tc>
          <w:tcPr>
            <w:tcW w:w="2322" w:type="dxa"/>
          </w:tcPr>
          <w:p w:rsidR="00AC0832" w:rsidRDefault="00AC0832">
            <w:pPr>
              <w:pStyle w:val="CellColumn"/>
            </w:pPr>
            <w:r>
              <w:t>58.715.668</w:t>
            </w:r>
          </w:p>
        </w:tc>
        <w:tc>
          <w:tcPr>
            <w:tcW w:w="2322" w:type="dxa"/>
          </w:tcPr>
          <w:p w:rsidR="00AC0832" w:rsidRDefault="00AC0832">
            <w:pPr>
              <w:pStyle w:val="CellColumn"/>
            </w:pPr>
            <w:r>
              <w:t>52.675.542</w:t>
            </w:r>
          </w:p>
        </w:tc>
        <w:tc>
          <w:tcPr>
            <w:tcW w:w="2322" w:type="dxa"/>
          </w:tcPr>
          <w:p w:rsidR="00AC0832" w:rsidRDefault="00AC0832">
            <w:pPr>
              <w:pStyle w:val="CellColumn"/>
            </w:pPr>
            <w:r>
              <w:t>89,7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Program kupnje nekretnina (stanova) izvan područja posebne državne skrbi u svrhu zbrinjavanja povratnika-bivših nositelja stanarskih prava izvršen je 89,82%. Kupljeno je 104 nekretnine (stana). Plan nije ispunjen u potpunosti jer APN nije dobio odobrenje za kupnju određenih nekretnina od Ministarstva regionalnog razvoja i fondova Europske unije, a i zbog činjenice da je ponuda zadovoljavajućih stanova bila loša.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594"/>
        <w:gridCol w:w="1006"/>
        <w:gridCol w:w="1300"/>
        <w:gridCol w:w="1300"/>
        <w:gridCol w:w="1300"/>
        <w:gridCol w:w="1300"/>
      </w:tblGrid>
      <w:tr w:rsidR="00AC0832" w:rsidTr="007173C2">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594" w:type="dxa"/>
            <w:shd w:val="clear" w:color="auto" w:fill="B5C0D8"/>
          </w:tcPr>
          <w:p w:rsidR="00AC0832" w:rsidRDefault="00AC0832">
            <w:pPr>
              <w:pStyle w:val="CellHeader"/>
            </w:pPr>
            <w:r>
              <w:t>Definicija</w:t>
            </w:r>
          </w:p>
        </w:tc>
        <w:tc>
          <w:tcPr>
            <w:tcW w:w="1006"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7173C2">
        <w:trPr>
          <w:jc w:val="center"/>
        </w:trPr>
        <w:tc>
          <w:tcPr>
            <w:tcW w:w="1300" w:type="dxa"/>
          </w:tcPr>
          <w:p w:rsidR="00AC0832" w:rsidRDefault="00AC0832">
            <w:pPr>
              <w:pStyle w:val="CellColumn"/>
            </w:pPr>
            <w:r>
              <w:t>broj kupljenih stanova</w:t>
            </w:r>
          </w:p>
        </w:tc>
        <w:tc>
          <w:tcPr>
            <w:tcW w:w="1594" w:type="dxa"/>
          </w:tcPr>
          <w:p w:rsidR="00AC0832" w:rsidRDefault="00AC0832">
            <w:pPr>
              <w:pStyle w:val="CellColumn"/>
            </w:pPr>
            <w:r>
              <w:t>kupnja stanova u svrhu zbrinjavanja povratnika-bivših nositelja stanarskih prava</w:t>
            </w:r>
          </w:p>
        </w:tc>
        <w:tc>
          <w:tcPr>
            <w:tcW w:w="1006" w:type="dxa"/>
          </w:tcPr>
          <w:p w:rsidR="00AC0832" w:rsidRDefault="00AC0832">
            <w:pPr>
              <w:pStyle w:val="CellColumn"/>
            </w:pPr>
            <w:r>
              <w:t>broj</w:t>
            </w:r>
          </w:p>
        </w:tc>
        <w:tc>
          <w:tcPr>
            <w:tcW w:w="1300" w:type="dxa"/>
          </w:tcPr>
          <w:p w:rsidR="00AC0832" w:rsidRDefault="00AC0832">
            <w:pPr>
              <w:pStyle w:val="CellColumn"/>
            </w:pPr>
            <w:r>
              <w:t>1409</w:t>
            </w:r>
          </w:p>
        </w:tc>
        <w:tc>
          <w:tcPr>
            <w:tcW w:w="1300" w:type="dxa"/>
          </w:tcPr>
          <w:p w:rsidR="00AC0832" w:rsidRDefault="00AC0832">
            <w:pPr>
              <w:pStyle w:val="CellColumn"/>
            </w:pPr>
            <w:r>
              <w:t>APN</w:t>
            </w:r>
          </w:p>
        </w:tc>
        <w:tc>
          <w:tcPr>
            <w:tcW w:w="1300" w:type="dxa"/>
          </w:tcPr>
          <w:p w:rsidR="00AC0832" w:rsidRDefault="00AC0832">
            <w:pPr>
              <w:pStyle w:val="CellColumn"/>
            </w:pPr>
            <w:r>
              <w:t>1786</w:t>
            </w:r>
          </w:p>
        </w:tc>
        <w:tc>
          <w:tcPr>
            <w:tcW w:w="1300" w:type="dxa"/>
          </w:tcPr>
          <w:p w:rsidR="00AC0832" w:rsidRDefault="00AC0832">
            <w:pPr>
              <w:pStyle w:val="CellColumn"/>
            </w:pPr>
            <w:r>
              <w:t>1513</w:t>
            </w:r>
          </w:p>
        </w:tc>
      </w:tr>
    </w:tbl>
    <w:p w:rsidR="00AC0832" w:rsidRDefault="00AC0832">
      <w:pPr>
        <w:jc w:val="left"/>
      </w:pPr>
    </w:p>
    <w:p w:rsidR="00AC0832" w:rsidRDefault="00AC0832">
      <w:pPr>
        <w:pStyle w:val="Heading5"/>
      </w:pPr>
      <w:r>
        <w:t>3504 POTICANJE STAMBENE GRADNJE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3504-POTICANJE STAMBENE GRADNJE</w:t>
            </w:r>
          </w:p>
        </w:tc>
        <w:tc>
          <w:tcPr>
            <w:tcW w:w="2322" w:type="dxa"/>
          </w:tcPr>
          <w:p w:rsidR="00AC0832" w:rsidRDefault="00AC0832">
            <w:pPr>
              <w:pStyle w:val="CellColumn"/>
            </w:pPr>
            <w:r>
              <w:t>100.718.000</w:t>
            </w:r>
          </w:p>
        </w:tc>
        <w:tc>
          <w:tcPr>
            <w:tcW w:w="2322" w:type="dxa"/>
          </w:tcPr>
          <w:p w:rsidR="00AC0832" w:rsidRDefault="00AC0832">
            <w:pPr>
              <w:pStyle w:val="CellColumn"/>
            </w:pPr>
            <w:r>
              <w:t>96.427.920</w:t>
            </w:r>
          </w:p>
        </w:tc>
        <w:tc>
          <w:tcPr>
            <w:tcW w:w="2322" w:type="dxa"/>
          </w:tcPr>
          <w:p w:rsidR="00AC0832" w:rsidRDefault="00AC0832">
            <w:pPr>
              <w:pStyle w:val="CellColumn"/>
            </w:pPr>
            <w:r>
              <w:t>95,7</w:t>
            </w:r>
          </w:p>
        </w:tc>
      </w:tr>
    </w:tbl>
    <w:p w:rsidR="00AC0832" w:rsidRDefault="00AC0832">
      <w:pPr>
        <w:jc w:val="left"/>
      </w:pPr>
    </w:p>
    <w:p w:rsidR="00AC0832" w:rsidRDefault="00AC0832">
      <w:pPr>
        <w:pStyle w:val="Heading6"/>
      </w:pPr>
      <w:r>
        <w:t>Opis programa</w:t>
      </w:r>
    </w:p>
    <w:p w:rsidR="00AC0832" w:rsidRDefault="00AC0832">
      <w:pPr>
        <w:pStyle w:val="Normal5"/>
      </w:pPr>
      <w:r>
        <w:t>Društveno poticana stanogradnja uređuje sustavno organiziranu stanogradnju poticanu javnim sredstvima radi zadovoljavanja stambenih potreba i poboljšanja kvalitete stanovanja što šireg kruga građana kao i unapređenje graditeljstva. Provodi se izgradnjom stanova odnosno stambenih zgrada i obiteljskih kuća, organiziranom na način kojim se ostvaruje svrhovito korištenje javnih i drugih sredstava te omogućuje prodaja stanova uz obročnu otplatu po pristupačnijim uvjetima od tržišnih u pogledu kamata i rokova otplate. U svrhu poticanja prodaje stanova radi prevladavanja nepovoljnog stanja u stanogradnji donesen je i Zakon o subvencioniranju i državnom jamstvu stambenih kredita koji je zamjenio prijašnji Zakon o poticanju prodaje stanova.</w:t>
      </w:r>
    </w:p>
    <w:p w:rsidR="00AC0832" w:rsidRDefault="00AC0832">
      <w:pPr>
        <w:pStyle w:val="Heading6"/>
      </w:pPr>
      <w:r>
        <w:t>Zakonske i druge pravne osnove</w:t>
      </w:r>
    </w:p>
    <w:p w:rsidR="00AC0832" w:rsidRDefault="00AC0832">
      <w:pPr>
        <w:pStyle w:val="Normal5"/>
      </w:pPr>
      <w:r>
        <w:t xml:space="preserve">Zakon o društveno poticanoj stanogradnji (NN 109/01, 82/04, 76/07, 38/09 i 86/12) </w:t>
      </w:r>
    </w:p>
    <w:p w:rsidR="00AC0832" w:rsidRDefault="00AC0832">
      <w:pPr>
        <w:pStyle w:val="Normal5"/>
      </w:pPr>
      <w:r>
        <w:t>Zakon o subvencioniranju i državnom jamstvu stambenih kredita (NN 31/11)</w:t>
      </w:r>
    </w:p>
    <w:p w:rsidR="00AC0832" w:rsidRDefault="00AC0832">
      <w:pPr>
        <w:pStyle w:val="Heading7"/>
      </w:pPr>
      <w:r>
        <w:t>Cilj 1. Riješavanje stambenog pitanja građana putem poticane stanogradnje</w:t>
      </w:r>
    </w:p>
    <w:p w:rsidR="00AC0832" w:rsidRDefault="00AC0832">
      <w:pPr>
        <w:pStyle w:val="Heading8"/>
        <w:jc w:val="left"/>
      </w:pPr>
      <w:r>
        <w:t>Opis provedbe cilja programa</w:t>
      </w:r>
    </w:p>
    <w:p w:rsidR="00AC0832" w:rsidRDefault="00AC0832">
      <w:pPr>
        <w:pStyle w:val="Normal6"/>
      </w:pPr>
      <w:r>
        <w:t xml:space="preserve">Rješavanje stambenih potreba građana kroz Program Društveno poticane stanogradnje ostvaruje se izgradnjom stanova, kreditiranjem izgradnje obiteljskih kuća i nabave građevinskog materijala. </w:t>
      </w:r>
    </w:p>
    <w:p w:rsidR="00AC0832" w:rsidRDefault="00AC0832">
      <w:pPr>
        <w:pStyle w:val="Normal6"/>
      </w:pPr>
      <w:r>
        <w:t>Tijekom 2012. godine u izgradnji je bilo 389 stanova i odobreno je 6 kredita za izgradnju obiteljskih kuća.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realizirane izgradnje u odnosu na potrebe</w:t>
            </w:r>
          </w:p>
        </w:tc>
        <w:tc>
          <w:tcPr>
            <w:tcW w:w="1300" w:type="dxa"/>
          </w:tcPr>
          <w:p w:rsidR="00AC0832" w:rsidRDefault="00AC0832">
            <w:pPr>
              <w:pStyle w:val="CellColumn"/>
            </w:pPr>
            <w:r>
              <w:t>Izgradnjom stanova rješit će se problem stanovanja određenog broja građana</w:t>
            </w:r>
          </w:p>
        </w:tc>
        <w:tc>
          <w:tcPr>
            <w:tcW w:w="1300" w:type="dxa"/>
          </w:tcPr>
          <w:p w:rsidR="00AC0832" w:rsidRDefault="00AC0832">
            <w:pPr>
              <w:pStyle w:val="CellColumn"/>
            </w:pPr>
            <w:r>
              <w:t>%</w:t>
            </w:r>
          </w:p>
        </w:tc>
        <w:tc>
          <w:tcPr>
            <w:tcW w:w="1300" w:type="dxa"/>
          </w:tcPr>
          <w:p w:rsidR="00AC0832" w:rsidRDefault="00AC0832">
            <w:pPr>
              <w:pStyle w:val="CellColumn"/>
            </w:pPr>
            <w:r>
              <w:t>28,2</w:t>
            </w:r>
          </w:p>
        </w:tc>
        <w:tc>
          <w:tcPr>
            <w:tcW w:w="1300" w:type="dxa"/>
          </w:tcPr>
          <w:p w:rsidR="00AC0832" w:rsidRDefault="00AC0832">
            <w:pPr>
              <w:pStyle w:val="CellColumn"/>
            </w:pPr>
            <w:r>
              <w:t>APN</w:t>
            </w:r>
          </w:p>
        </w:tc>
        <w:tc>
          <w:tcPr>
            <w:tcW w:w="1300" w:type="dxa"/>
          </w:tcPr>
          <w:p w:rsidR="00AC0832" w:rsidRDefault="00AC0832">
            <w:pPr>
              <w:pStyle w:val="CellColumn"/>
            </w:pPr>
            <w:r>
              <w:t>34,3</w:t>
            </w:r>
          </w:p>
        </w:tc>
        <w:tc>
          <w:tcPr>
            <w:tcW w:w="1300" w:type="dxa"/>
          </w:tcPr>
          <w:p w:rsidR="00AC0832" w:rsidRDefault="00AC0832">
            <w:pPr>
              <w:pStyle w:val="CellColumn"/>
            </w:pPr>
            <w:r>
              <w:t>30</w:t>
            </w:r>
          </w:p>
        </w:tc>
      </w:tr>
    </w:tbl>
    <w:p w:rsidR="00AC0832" w:rsidRDefault="00AC0832">
      <w:pPr>
        <w:jc w:val="left"/>
      </w:pPr>
    </w:p>
    <w:p w:rsidR="00AC0832" w:rsidRDefault="00AC0832">
      <w:pPr>
        <w:pStyle w:val="Heading7"/>
      </w:pPr>
      <w:r>
        <w:t>Cilj 2. Poticanje stambenog zbrinjavanja građana kroz subvencionirane stambene kredite i državna jamstva</w:t>
      </w:r>
    </w:p>
    <w:p w:rsidR="00AC0832" w:rsidRDefault="00AC0832">
      <w:pPr>
        <w:pStyle w:val="Heading8"/>
        <w:jc w:val="left"/>
      </w:pPr>
      <w:r>
        <w:t>Opis provedbe cilja programa</w:t>
      </w:r>
    </w:p>
    <w:p w:rsidR="00AC0832" w:rsidRDefault="00AC0832">
      <w:pPr>
        <w:pStyle w:val="Normal6"/>
      </w:pPr>
      <w:r>
        <w:t xml:space="preserve">Odobravanje subvencija i državnih jamstava ima za svrhu prevladavanje nepovoljnog stanja u stanogradnji i pomoć građanima. Zakonom se uređuje subvencioniranje kredita koje građani uzimaju od poslovnih banaka za kupnju stanova radi rješavanja svojeg stambenog pitanja i jamstvo RH poslovnim bankama za otplatu kamata na stambene kredite koje građani ne mogu otplaćivati zbog nenadanog gubitka prihoda. </w:t>
      </w:r>
    </w:p>
    <w:p w:rsidR="00AC0832" w:rsidRDefault="00AC0832">
      <w:pPr>
        <w:pStyle w:val="Normal6"/>
      </w:pPr>
      <w:r>
        <w:t>u 2012. godini odobreno je 791 subvencija za stambene kredite.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62"/>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realizacije odobrenih subvencija</w:t>
            </w:r>
          </w:p>
        </w:tc>
        <w:tc>
          <w:tcPr>
            <w:tcW w:w="1300" w:type="dxa"/>
          </w:tcPr>
          <w:p w:rsidR="00AC0832" w:rsidRDefault="00AC0832">
            <w:pPr>
              <w:pStyle w:val="CellColumn"/>
            </w:pPr>
            <w:r>
              <w:t>Subvencije se dodjeljuju zbog prevladavanja nepovoljnog stanja u stanogradnji kao i za stambeno zbrinjavanje mladih ljudi kojima se omogućava stjecanje adekvatne nekretnine za život.</w:t>
            </w:r>
          </w:p>
        </w:tc>
        <w:tc>
          <w:tcPr>
            <w:tcW w:w="1300" w:type="dxa"/>
          </w:tcPr>
          <w:p w:rsidR="00AC0832" w:rsidRDefault="00AC0832">
            <w:pPr>
              <w:pStyle w:val="CellColumn"/>
            </w:pPr>
            <w:r>
              <w:t>%</w:t>
            </w:r>
          </w:p>
        </w:tc>
        <w:tc>
          <w:tcPr>
            <w:tcW w:w="1300" w:type="dxa"/>
          </w:tcPr>
          <w:p w:rsidR="00AC0832" w:rsidRDefault="00AC0832">
            <w:pPr>
              <w:pStyle w:val="CellColumn"/>
            </w:pPr>
            <w:r>
              <w:t>74</w:t>
            </w:r>
          </w:p>
        </w:tc>
        <w:tc>
          <w:tcPr>
            <w:tcW w:w="1300" w:type="dxa"/>
          </w:tcPr>
          <w:p w:rsidR="00AC0832" w:rsidRDefault="00AC0832">
            <w:pPr>
              <w:pStyle w:val="CellColumn"/>
            </w:pPr>
            <w:r>
              <w:t>APN</w:t>
            </w:r>
          </w:p>
        </w:tc>
        <w:tc>
          <w:tcPr>
            <w:tcW w:w="1300" w:type="dxa"/>
          </w:tcPr>
          <w:p w:rsidR="00AC0832" w:rsidRDefault="00AC0832">
            <w:pPr>
              <w:pStyle w:val="CellColumn"/>
            </w:pPr>
            <w:r>
              <w:t>100</w:t>
            </w:r>
          </w:p>
        </w:tc>
        <w:tc>
          <w:tcPr>
            <w:tcW w:w="1300" w:type="dxa"/>
          </w:tcPr>
          <w:p w:rsidR="00AC0832" w:rsidRDefault="00AC0832">
            <w:pPr>
              <w:pStyle w:val="CellColumn"/>
            </w:pPr>
            <w:r>
              <w:t>113</w:t>
            </w:r>
          </w:p>
        </w:tc>
      </w:tr>
    </w:tbl>
    <w:p w:rsidR="00AC0832" w:rsidRDefault="00AC0832">
      <w:pPr>
        <w:jc w:val="left"/>
      </w:pPr>
    </w:p>
    <w:p w:rsidR="00AC0832" w:rsidRDefault="00AC0832">
      <w:pPr>
        <w:pStyle w:val="Heading6"/>
      </w:pPr>
      <w:r>
        <w:t>K576201 DRUŠTVENO POTICANA STANOGRADNJA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K576201-DRUŠTVENO POTICANA STANOGRADNJA</w:t>
            </w:r>
          </w:p>
        </w:tc>
        <w:tc>
          <w:tcPr>
            <w:tcW w:w="2322" w:type="dxa"/>
          </w:tcPr>
          <w:p w:rsidR="00AC0832" w:rsidRDefault="00AC0832">
            <w:pPr>
              <w:pStyle w:val="CellColumn"/>
            </w:pPr>
            <w:r>
              <w:t>59.758.000</w:t>
            </w:r>
          </w:p>
        </w:tc>
        <w:tc>
          <w:tcPr>
            <w:tcW w:w="2322" w:type="dxa"/>
          </w:tcPr>
          <w:p w:rsidR="00AC0832" w:rsidRDefault="00AC0832">
            <w:pPr>
              <w:pStyle w:val="CellColumn"/>
            </w:pPr>
            <w:r>
              <w:t>51.081.096</w:t>
            </w:r>
          </w:p>
        </w:tc>
        <w:tc>
          <w:tcPr>
            <w:tcW w:w="2322" w:type="dxa"/>
          </w:tcPr>
          <w:p w:rsidR="00AC0832" w:rsidRDefault="00AC0832">
            <w:pPr>
              <w:pStyle w:val="CellColumn"/>
            </w:pPr>
            <w:r>
              <w:t>85,5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APN i lokalne Agencije u Rijeci, Dubrovniku, Varaždinu i Koprivnici utrošili su 51.081.095,52 kuna. Plan nije izvršen u potpunosti jer neki projekti nisu bili realizirani.</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izgrađenih stanova</w:t>
            </w:r>
          </w:p>
        </w:tc>
        <w:tc>
          <w:tcPr>
            <w:tcW w:w="1300" w:type="dxa"/>
          </w:tcPr>
          <w:p w:rsidR="00AC0832" w:rsidRDefault="00AC0832">
            <w:pPr>
              <w:pStyle w:val="CellColumn"/>
            </w:pPr>
            <w:r>
              <w:t>Izgradnjom stanova rješavaju se stambeni problemi određenog broja građana</w:t>
            </w:r>
          </w:p>
        </w:tc>
        <w:tc>
          <w:tcPr>
            <w:tcW w:w="1300" w:type="dxa"/>
          </w:tcPr>
          <w:p w:rsidR="00AC0832" w:rsidRDefault="00AC0832">
            <w:pPr>
              <w:pStyle w:val="CellColumn"/>
            </w:pPr>
            <w:r>
              <w:t>broj</w:t>
            </w:r>
          </w:p>
        </w:tc>
        <w:tc>
          <w:tcPr>
            <w:tcW w:w="1300" w:type="dxa"/>
          </w:tcPr>
          <w:p w:rsidR="00AC0832" w:rsidRDefault="00AC0832">
            <w:pPr>
              <w:pStyle w:val="CellColumn"/>
            </w:pPr>
            <w:r>
              <w:t>5553</w:t>
            </w:r>
          </w:p>
        </w:tc>
        <w:tc>
          <w:tcPr>
            <w:tcW w:w="1300" w:type="dxa"/>
          </w:tcPr>
          <w:p w:rsidR="00AC0832" w:rsidRDefault="00AC0832">
            <w:pPr>
              <w:pStyle w:val="CellColumn"/>
            </w:pPr>
            <w:r>
              <w:t>APN</w:t>
            </w:r>
          </w:p>
        </w:tc>
        <w:tc>
          <w:tcPr>
            <w:tcW w:w="1300" w:type="dxa"/>
          </w:tcPr>
          <w:p w:rsidR="00AC0832" w:rsidRDefault="00AC0832">
            <w:pPr>
              <w:pStyle w:val="CellColumn"/>
            </w:pPr>
            <w:r>
              <w:t>6643</w:t>
            </w:r>
          </w:p>
        </w:tc>
        <w:tc>
          <w:tcPr>
            <w:tcW w:w="1300" w:type="dxa"/>
          </w:tcPr>
          <w:p w:rsidR="00AC0832" w:rsidRDefault="00AC0832">
            <w:pPr>
              <w:pStyle w:val="CellColumn"/>
            </w:pPr>
            <w:r>
              <w:t>5697</w:t>
            </w:r>
          </w:p>
        </w:tc>
      </w:tr>
    </w:tbl>
    <w:p w:rsidR="00AC0832" w:rsidRDefault="00AC0832">
      <w:pPr>
        <w:jc w:val="left"/>
      </w:pPr>
    </w:p>
    <w:p w:rsidR="00AC0832" w:rsidRDefault="00AC0832">
      <w:pPr>
        <w:pStyle w:val="Heading6"/>
      </w:pPr>
      <w:r>
        <w:t>T551024 SUBVENCIJE I DRŽAVNA JAMSTVA ZA STAMBENE KREDITE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T551024-SUBVENCIJE I DRŽAVNA JAMSTVA ZA STAMBENE KREDITE</w:t>
            </w:r>
          </w:p>
        </w:tc>
        <w:tc>
          <w:tcPr>
            <w:tcW w:w="2322" w:type="dxa"/>
          </w:tcPr>
          <w:p w:rsidR="00AC0832" w:rsidRDefault="00AC0832">
            <w:pPr>
              <w:pStyle w:val="CellColumn"/>
            </w:pPr>
            <w:r>
              <w:t>38.600.000</w:t>
            </w:r>
          </w:p>
        </w:tc>
        <w:tc>
          <w:tcPr>
            <w:tcW w:w="2322" w:type="dxa"/>
          </w:tcPr>
          <w:p w:rsidR="00AC0832" w:rsidRDefault="00AC0832">
            <w:pPr>
              <w:pStyle w:val="CellColumn"/>
            </w:pPr>
            <w:r>
              <w:t>43.085.013</w:t>
            </w:r>
          </w:p>
        </w:tc>
        <w:tc>
          <w:tcPr>
            <w:tcW w:w="2322" w:type="dxa"/>
          </w:tcPr>
          <w:p w:rsidR="00AC0832" w:rsidRDefault="00AC0832">
            <w:pPr>
              <w:pStyle w:val="CellColumn"/>
            </w:pPr>
            <w:r>
              <w:t>111,6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2012. godini APN je na odobrio 791 zahtjev za subvencioniranje stambenih kredita i na ime istih utrošio je 43.085.013,32 kuna čime je premašio iznos planiranih sredstava. Plan je manji od izvršenja iz razloga tog što je Ministarstvo graditeljstva i prostornog uređenja na ime subvencija APN-u prenio 5.000.000,00 kuna na izvor 43  tijekom 2012. godine i ta sredstva nisu evidentirana u planu.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7"/>
        <w:gridCol w:w="1517"/>
        <w:gridCol w:w="1293"/>
        <w:gridCol w:w="1295"/>
        <w:gridCol w:w="1294"/>
        <w:gridCol w:w="1295"/>
        <w:gridCol w:w="129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odobrenih subvencija</w:t>
            </w:r>
          </w:p>
        </w:tc>
        <w:tc>
          <w:tcPr>
            <w:tcW w:w="1300" w:type="dxa"/>
          </w:tcPr>
          <w:p w:rsidR="00AC0832" w:rsidRDefault="00AC0832">
            <w:pPr>
              <w:pStyle w:val="CellColumn"/>
            </w:pPr>
            <w:r>
              <w:t>Svrha je prevladavanje nepovoljnog stanja u stanogradnji kao i stambeno zbrinjavanje mladih ljudi i omogućavanje stjecanja adekvatne nekretnine za život</w:t>
            </w:r>
          </w:p>
        </w:tc>
        <w:tc>
          <w:tcPr>
            <w:tcW w:w="1300" w:type="dxa"/>
          </w:tcPr>
          <w:p w:rsidR="00AC0832" w:rsidRDefault="00AC0832">
            <w:pPr>
              <w:pStyle w:val="CellColumn"/>
            </w:pPr>
            <w:r>
              <w:t>broj</w:t>
            </w:r>
          </w:p>
        </w:tc>
        <w:tc>
          <w:tcPr>
            <w:tcW w:w="1300" w:type="dxa"/>
          </w:tcPr>
          <w:p w:rsidR="00AC0832" w:rsidRDefault="00AC0832">
            <w:pPr>
              <w:pStyle w:val="CellColumn"/>
            </w:pPr>
            <w:r>
              <w:t>1000</w:t>
            </w:r>
          </w:p>
        </w:tc>
        <w:tc>
          <w:tcPr>
            <w:tcW w:w="1300" w:type="dxa"/>
          </w:tcPr>
          <w:p w:rsidR="00AC0832" w:rsidRDefault="00AC0832">
            <w:pPr>
              <w:pStyle w:val="CellColumn"/>
            </w:pPr>
            <w:r>
              <w:t>APN</w:t>
            </w:r>
          </w:p>
        </w:tc>
        <w:tc>
          <w:tcPr>
            <w:tcW w:w="1300" w:type="dxa"/>
          </w:tcPr>
          <w:p w:rsidR="00AC0832" w:rsidRDefault="00AC0832">
            <w:pPr>
              <w:pStyle w:val="CellColumn"/>
            </w:pPr>
            <w:r>
              <w:t>2000</w:t>
            </w:r>
          </w:p>
        </w:tc>
        <w:tc>
          <w:tcPr>
            <w:tcW w:w="1300" w:type="dxa"/>
          </w:tcPr>
          <w:p w:rsidR="00AC0832" w:rsidRDefault="00AC0832">
            <w:pPr>
              <w:pStyle w:val="CellColumn"/>
            </w:pPr>
            <w:r>
              <w:t>2253</w:t>
            </w:r>
          </w:p>
        </w:tc>
      </w:tr>
    </w:tbl>
    <w:p w:rsidR="00AC0832" w:rsidRDefault="00AC0832">
      <w:pPr>
        <w:jc w:val="left"/>
      </w:pPr>
    </w:p>
    <w:p w:rsidR="00AC0832" w:rsidRDefault="00AC0832">
      <w:pPr>
        <w:pStyle w:val="Heading2"/>
      </w:pPr>
      <w:r>
        <w:t>07625 Državna geodetska uprava</w:t>
      </w:r>
    </w:p>
    <w:p w:rsidR="00AC0832" w:rsidRDefault="00AC0832">
      <w:pPr>
        <w:pStyle w:val="Heading4"/>
      </w:pPr>
      <w:r>
        <w:t>Uvod</w:t>
      </w:r>
    </w:p>
    <w:p w:rsidR="00AC0832" w:rsidRDefault="00AC0832">
      <w:pPr>
        <w:pStyle w:val="Normal3"/>
      </w:pPr>
      <w:r>
        <w:t xml:space="preserve">Državna geodetska uprava je glava u razdjelu 076 25 i u svoj nadležnosti izvršava sve poslove koji su vezani za Program 3505 Izmjere i upravljanje geodetskim evidencijama kroz Aktivnosti, Tekuće projekte i Kapitalne projekte i to:  </w:t>
      </w:r>
    </w:p>
    <w:p w:rsidR="00AC0832" w:rsidRDefault="00AC0832">
      <w:pPr>
        <w:pStyle w:val="Normal3"/>
      </w:pPr>
      <w:r>
        <w:t xml:space="preserve">     - A251923  Obveze po sudskim rješenjima  </w:t>
      </w:r>
    </w:p>
    <w:p w:rsidR="00AC0832" w:rsidRDefault="00AC0832">
      <w:pPr>
        <w:pStyle w:val="Normal3"/>
      </w:pPr>
      <w:r>
        <w:t xml:space="preserve">     - A664000  Administracija i upravljanje Državne geodetske uprave </w:t>
      </w:r>
    </w:p>
    <w:p w:rsidR="00AC0832" w:rsidRDefault="00AC0832">
      <w:pPr>
        <w:pStyle w:val="Normal3"/>
      </w:pPr>
      <w:r>
        <w:t xml:space="preserve">     - A664001  Održavanje katastra zemljišta i uspostava katastra nekretnina </w:t>
      </w:r>
    </w:p>
    <w:p w:rsidR="00AC0832" w:rsidRDefault="00AC0832">
      <w:pPr>
        <w:pStyle w:val="Normal3"/>
      </w:pPr>
      <w:r>
        <w:t xml:space="preserve">     - A664002  Temeljne geodetske osnove državne izmjere </w:t>
      </w:r>
    </w:p>
    <w:p w:rsidR="00AC0832" w:rsidRDefault="00AC0832">
      <w:pPr>
        <w:pStyle w:val="Normal3"/>
      </w:pPr>
      <w:r>
        <w:t xml:space="preserve">     - A664003  Prostorni informacijski sustav </w:t>
      </w:r>
    </w:p>
    <w:p w:rsidR="00AC0832" w:rsidRDefault="00AC0832">
      <w:pPr>
        <w:pStyle w:val="Normal3"/>
      </w:pPr>
      <w:r>
        <w:t xml:space="preserve">     - A664004  Uspostava i održavanje granične crte RH </w:t>
      </w:r>
    </w:p>
    <w:p w:rsidR="00AC0832" w:rsidRDefault="00AC0832">
      <w:pPr>
        <w:pStyle w:val="Normal3"/>
      </w:pPr>
      <w:r>
        <w:t xml:space="preserve">     - A664006  Registar prostornih jedinica RH </w:t>
      </w:r>
    </w:p>
    <w:p w:rsidR="00AC0832" w:rsidRDefault="00AC0832">
      <w:pPr>
        <w:pStyle w:val="Normal3"/>
      </w:pPr>
      <w:r>
        <w:t xml:space="preserve">     - A664021  Registracija poljoprivrednog zemljišta u vlasništvu RH </w:t>
      </w:r>
    </w:p>
    <w:p w:rsidR="00AC0832" w:rsidRDefault="00AC0832">
      <w:pPr>
        <w:pStyle w:val="Normal3"/>
      </w:pPr>
      <w:r>
        <w:t xml:space="preserve">     - A664033  Uspostava nacionalne infrastrukture prostornih podataka </w:t>
      </w:r>
    </w:p>
    <w:p w:rsidR="00AC0832" w:rsidRDefault="00AC0832">
      <w:pPr>
        <w:pStyle w:val="Normal3"/>
      </w:pPr>
      <w:r>
        <w:t xml:space="preserve">     - A664034  Vođenje i održavanje zajedničkog informacijskog sustava </w:t>
      </w:r>
    </w:p>
    <w:p w:rsidR="00AC0832" w:rsidRDefault="00AC0832">
      <w:pPr>
        <w:pStyle w:val="Normal3"/>
      </w:pPr>
      <w:r>
        <w:t xml:space="preserve">     - A664039  Uspostava katastra nekretnina u funkciji racionalnog upravljanja zemljištem - Izvanredni program </w:t>
      </w:r>
    </w:p>
    <w:p w:rsidR="00AC0832" w:rsidRDefault="00AC0832">
      <w:pPr>
        <w:pStyle w:val="Normal3"/>
      </w:pPr>
      <w:r>
        <w:t xml:space="preserve">     - T664009  Katastar nekretnina doline Neretve </w:t>
      </w:r>
    </w:p>
    <w:p w:rsidR="00AC0832" w:rsidRDefault="00AC0832">
      <w:pPr>
        <w:pStyle w:val="Normal3"/>
      </w:pPr>
      <w:r>
        <w:t xml:space="preserve">     - T664010  Uređenje posjedovne i vlasničko pravne evidencije na otocima </w:t>
      </w:r>
    </w:p>
    <w:p w:rsidR="00AC0832" w:rsidRDefault="00AC0832">
      <w:pPr>
        <w:pStyle w:val="Normal3"/>
      </w:pPr>
      <w:r>
        <w:t xml:space="preserve">     - K251615  Državna službena kartografija </w:t>
      </w:r>
    </w:p>
    <w:p w:rsidR="00AC0832" w:rsidRDefault="00AC0832">
      <w:pPr>
        <w:pStyle w:val="Normal3"/>
      </w:pPr>
      <w:r>
        <w:t xml:space="preserve">     - K664012  Obnova voznog parka </w:t>
      </w:r>
    </w:p>
    <w:p w:rsidR="00AC0832" w:rsidRDefault="00AC0832">
      <w:pPr>
        <w:pStyle w:val="Normal3"/>
      </w:pPr>
      <w:r>
        <w:t xml:space="preserve">     - K664013  Informatizacija Uprave </w:t>
      </w:r>
    </w:p>
    <w:p w:rsidR="00AC0832" w:rsidRDefault="00AC0832">
      <w:pPr>
        <w:pStyle w:val="Normal3"/>
      </w:pPr>
      <w:r>
        <w:t xml:space="preserve">     - K664014  Izgradnja i opremanje poslovnih prostora Uprave i objekata geodetske infrastrukture </w:t>
      </w:r>
    </w:p>
    <w:p w:rsidR="00AC0832" w:rsidRDefault="00AC0832">
      <w:pPr>
        <w:pStyle w:val="Normal3"/>
      </w:pPr>
      <w:r>
        <w:t xml:space="preserve">     - K664031  Izgradnja i opremanje Područnih ureda za katastar </w:t>
      </w:r>
    </w:p>
    <w:p w:rsidR="00AC0832" w:rsidRDefault="00AC0832">
      <w:pPr>
        <w:pStyle w:val="Normal3"/>
      </w:pPr>
      <w:r>
        <w:t xml:space="preserve">     - K664032  Uknjižba nekretnina sa pravom vlasništva ili drugim stvarnim pravom </w:t>
      </w:r>
    </w:p>
    <w:p w:rsidR="00AC0832" w:rsidRDefault="00AC0832">
      <w:pPr>
        <w:pStyle w:val="Normal3"/>
      </w:pPr>
      <w:r>
        <w:t xml:space="preserve">     - K664035  Sustav za identifikaciju zemljišnih čestica (LPIS) </w:t>
      </w:r>
    </w:p>
    <w:p w:rsidR="00AC0832" w:rsidRDefault="00AC0832">
      <w:pPr>
        <w:pStyle w:val="Normal3"/>
      </w:pPr>
      <w:r>
        <w:t xml:space="preserve">     - K664038  IPA 2010 - ILAS  Implementacija integriranog sustava zemljišne administracije  </w:t>
      </w:r>
    </w:p>
    <w:p w:rsidR="00AC0832" w:rsidRDefault="00AC0832">
      <w:pPr>
        <w:pStyle w:val="Normal3"/>
      </w:pPr>
      <w:r>
        <w:t xml:space="preserve">     - K664040  Projekt implementacije integriranog sustava zemljišne administracije (IBRD ZAJAM BR. 8086-HR)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07625-Državna geodetska uprava</w:t>
            </w:r>
          </w:p>
        </w:tc>
        <w:tc>
          <w:tcPr>
            <w:tcW w:w="2322" w:type="dxa"/>
          </w:tcPr>
          <w:p w:rsidR="00AC0832" w:rsidRDefault="00AC0832">
            <w:pPr>
              <w:pStyle w:val="CellColumn"/>
            </w:pPr>
            <w:r>
              <w:t>227.185.609</w:t>
            </w:r>
          </w:p>
        </w:tc>
        <w:tc>
          <w:tcPr>
            <w:tcW w:w="2322" w:type="dxa"/>
          </w:tcPr>
          <w:p w:rsidR="00AC0832" w:rsidRDefault="00AC0832">
            <w:pPr>
              <w:pStyle w:val="CellColumn"/>
            </w:pPr>
            <w:r>
              <w:t>199.501.234</w:t>
            </w:r>
          </w:p>
        </w:tc>
        <w:tc>
          <w:tcPr>
            <w:tcW w:w="2322" w:type="dxa"/>
          </w:tcPr>
          <w:p w:rsidR="00AC0832" w:rsidRDefault="00AC0832">
            <w:pPr>
              <w:pStyle w:val="CellColumn"/>
            </w:pPr>
            <w:r>
              <w:t>87,8</w:t>
            </w:r>
          </w:p>
        </w:tc>
      </w:tr>
      <w:tr w:rsidR="00AC0832" w:rsidTr="00BE20ED">
        <w:trPr>
          <w:jc w:val="center"/>
        </w:trPr>
        <w:tc>
          <w:tcPr>
            <w:tcW w:w="2322" w:type="dxa"/>
          </w:tcPr>
          <w:p w:rsidR="00AC0832" w:rsidRDefault="00AC0832">
            <w:pPr>
              <w:pStyle w:val="CellColumnSmall"/>
            </w:pPr>
            <w:r>
              <w:t>3505-IZMJERE I UPRAVLJANJE GEODETSKIM EVIDENCIJAMA</w:t>
            </w:r>
          </w:p>
        </w:tc>
        <w:tc>
          <w:tcPr>
            <w:tcW w:w="2322" w:type="dxa"/>
          </w:tcPr>
          <w:p w:rsidR="00AC0832" w:rsidRDefault="00AC0832">
            <w:pPr>
              <w:pStyle w:val="CellColumnSmall"/>
            </w:pPr>
            <w:r>
              <w:t>227.185.609</w:t>
            </w:r>
          </w:p>
        </w:tc>
        <w:tc>
          <w:tcPr>
            <w:tcW w:w="2322" w:type="dxa"/>
          </w:tcPr>
          <w:p w:rsidR="00AC0832" w:rsidRDefault="00AC0832">
            <w:pPr>
              <w:pStyle w:val="CellColumnSmall"/>
            </w:pPr>
            <w:r>
              <w:t>199.501.234</w:t>
            </w:r>
          </w:p>
        </w:tc>
        <w:tc>
          <w:tcPr>
            <w:tcW w:w="2322" w:type="dxa"/>
          </w:tcPr>
          <w:p w:rsidR="00AC0832" w:rsidRDefault="00AC0832">
            <w:pPr>
              <w:pStyle w:val="CellColumnSmall"/>
            </w:pPr>
            <w:r>
              <w:t>87,8</w:t>
            </w:r>
          </w:p>
        </w:tc>
      </w:tr>
    </w:tbl>
    <w:p w:rsidR="00AC0832" w:rsidRDefault="00AC0832">
      <w:pPr>
        <w:jc w:val="left"/>
      </w:pPr>
    </w:p>
    <w:p w:rsidR="00AC0832" w:rsidRDefault="00AC0832">
      <w:pPr>
        <w:pStyle w:val="Heading4"/>
      </w:pPr>
      <w:r>
        <w:t>OBRAZLOŽENJE PROGRAMA</w:t>
      </w:r>
    </w:p>
    <w:p w:rsidR="00AC0832" w:rsidRDefault="00AC0832">
      <w:pPr>
        <w:pStyle w:val="Heading5"/>
      </w:pPr>
      <w:r>
        <w:t>3505 IZMJERE I UPRAVLJANJE GEODETSKIM EVIDENCIJAMA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3505-IZMJERE I UPRAVLJANJE GEODETSKIM EVIDENCIJAMA</w:t>
            </w:r>
          </w:p>
        </w:tc>
        <w:tc>
          <w:tcPr>
            <w:tcW w:w="2322" w:type="dxa"/>
          </w:tcPr>
          <w:p w:rsidR="00AC0832" w:rsidRDefault="00AC0832">
            <w:pPr>
              <w:pStyle w:val="CellColumn"/>
            </w:pPr>
            <w:r>
              <w:t>227.185.609</w:t>
            </w:r>
          </w:p>
        </w:tc>
        <w:tc>
          <w:tcPr>
            <w:tcW w:w="2322" w:type="dxa"/>
          </w:tcPr>
          <w:p w:rsidR="00AC0832" w:rsidRDefault="00AC0832">
            <w:pPr>
              <w:pStyle w:val="CellColumn"/>
            </w:pPr>
            <w:r>
              <w:t>199.501.234</w:t>
            </w:r>
          </w:p>
        </w:tc>
        <w:tc>
          <w:tcPr>
            <w:tcW w:w="2322" w:type="dxa"/>
          </w:tcPr>
          <w:p w:rsidR="00AC0832" w:rsidRDefault="00AC0832">
            <w:pPr>
              <w:pStyle w:val="CellColumn"/>
            </w:pPr>
            <w:r>
              <w:t>87,8</w:t>
            </w:r>
          </w:p>
        </w:tc>
      </w:tr>
    </w:tbl>
    <w:p w:rsidR="00AC0832" w:rsidRDefault="00AC0832">
      <w:pPr>
        <w:jc w:val="left"/>
      </w:pPr>
    </w:p>
    <w:p w:rsidR="00AC0832" w:rsidRDefault="00AC0832">
      <w:pPr>
        <w:pStyle w:val="Heading6"/>
      </w:pPr>
      <w:r>
        <w:t>Opis programa</w:t>
      </w:r>
    </w:p>
    <w:p w:rsidR="00AC0832" w:rsidRDefault="00AC0832">
      <w:pPr>
        <w:pStyle w:val="Normal5"/>
      </w:pPr>
      <w:r>
        <w:t>Program predstavlja niz aktivnosti koje u ukupnom dijelu ostvaruju i stvaraju preduvjete za sva daljnja učinkovita upravljanja geodetskim evidencijama u Državnoj geodetskoj upravi, Područnim uredima i Ispostavama.</w:t>
      </w:r>
    </w:p>
    <w:p w:rsidR="00AC0832" w:rsidRDefault="00AC0832">
      <w:pPr>
        <w:pStyle w:val="Heading6"/>
      </w:pPr>
      <w:r>
        <w:t>Zakonske i druge pravne osnove</w:t>
      </w:r>
    </w:p>
    <w:p w:rsidR="00AC0832" w:rsidRDefault="00AC0832">
      <w:pPr>
        <w:pStyle w:val="Normal5"/>
      </w:pPr>
      <w:r>
        <w:t xml:space="preserve">- Zakon o sustavu Državne uprave (NN 190/03) </w:t>
      </w:r>
    </w:p>
    <w:p w:rsidR="00AC0832" w:rsidRDefault="00AC0832">
      <w:pPr>
        <w:pStyle w:val="Normal5"/>
      </w:pPr>
      <w:r>
        <w:t xml:space="preserve">- Strategija stručnog osposobljavanja i usavršavanja državnih službenika i namještenika za razdoblje 2004-2009, (Vlada RH je  </w:t>
      </w:r>
    </w:p>
    <w:p w:rsidR="00AC0832" w:rsidRDefault="00AC0832">
      <w:pPr>
        <w:pStyle w:val="Normal5"/>
      </w:pPr>
      <w:r>
        <w:t xml:space="preserve">  usvojila 6 listopada 2004.) </w:t>
      </w:r>
    </w:p>
    <w:p w:rsidR="00AC0832" w:rsidRDefault="00AC0832">
      <w:pPr>
        <w:pStyle w:val="Normal5"/>
      </w:pPr>
      <w:r>
        <w:t xml:space="preserve">- Zakon o državnim službenicima (NN 92/05, 107/07, 27/08) </w:t>
      </w:r>
    </w:p>
    <w:p w:rsidR="00AC0832" w:rsidRDefault="00AC0832">
      <w:pPr>
        <w:pStyle w:val="Normal5"/>
      </w:pPr>
      <w:r>
        <w:t xml:space="preserve">- Uredba o oblicima, načinima i uvjetima izobrazbe državnih službenika (NN 10/07) </w:t>
      </w:r>
    </w:p>
    <w:p w:rsidR="00AC0832" w:rsidRDefault="00AC0832">
      <w:pPr>
        <w:pStyle w:val="Normal5"/>
      </w:pPr>
      <w:r>
        <w:t xml:space="preserve">- Zakon o državnoj izmjeri i katastru nekretnina (NN 16/07) </w:t>
      </w:r>
    </w:p>
    <w:p w:rsidR="00AC0832" w:rsidRDefault="00AC0832">
      <w:pPr>
        <w:pStyle w:val="Normal5"/>
      </w:pPr>
      <w:r>
        <w:t xml:space="preserve">- Zakon o izmjenama Zakona o državnoj izmjeri i katastru nekretnina (NN 124/10) </w:t>
      </w:r>
    </w:p>
    <w:p w:rsidR="00AC0832" w:rsidRDefault="00AC0832">
      <w:pPr>
        <w:pStyle w:val="Normal5"/>
      </w:pPr>
      <w:r>
        <w:t xml:space="preserve">- Zakon o obavljanju geodetske djelatnosti (NN 152/08) </w:t>
      </w:r>
    </w:p>
    <w:p w:rsidR="00AC0832" w:rsidRDefault="00AC0832">
      <w:pPr>
        <w:pStyle w:val="Normal5"/>
      </w:pPr>
      <w:r>
        <w:t xml:space="preserve">- Zakon o izmjenama Zakona o obavljanju geodetske djelatnosti (NN 61/11) </w:t>
      </w:r>
    </w:p>
    <w:p w:rsidR="00AC0832" w:rsidRDefault="00AC0832">
      <w:pPr>
        <w:pStyle w:val="Normal5"/>
      </w:pPr>
      <w:r>
        <w:t xml:space="preserve">- Odluka Vlade, Provedbeni plan djelovanja za otklanjanje prepreka ulaganjima u RH </w:t>
      </w:r>
    </w:p>
    <w:p w:rsidR="00AC0832" w:rsidRDefault="00AC0832">
      <w:pPr>
        <w:pStyle w:val="Normal5"/>
      </w:pPr>
      <w:r>
        <w:t xml:space="preserve">- Odluka Vlade RH o mjerama za sređivanje imovinskopravnoga, geodetsko-katastarskog stanja u dolini rijeke Neretve (NN 126/00) </w:t>
      </w:r>
    </w:p>
    <w:p w:rsidR="00AC0832" w:rsidRDefault="00AC0832">
      <w:pPr>
        <w:pStyle w:val="Normal5"/>
      </w:pPr>
      <w:r>
        <w:t xml:space="preserve">- Državni program uređenja posjedovne i vlasničko pravne evidencije (katastra i zemljišnih knjiga) na otocima (NN 7/00) </w:t>
      </w:r>
    </w:p>
    <w:p w:rsidR="00AC0832" w:rsidRDefault="00AC0832">
      <w:pPr>
        <w:pStyle w:val="Normal5"/>
      </w:pPr>
      <w:r>
        <w:t xml:space="preserve">- Zaključak VRH-e od 03.08.06., klasa 940-01/05-06/01 u svezi uspješne uknjižbe nekretnina ili drugih stvarnih prava u vlasništvu </w:t>
      </w:r>
    </w:p>
    <w:p w:rsidR="00AC0832" w:rsidRDefault="00AC0832">
      <w:pPr>
        <w:pStyle w:val="Normal5"/>
      </w:pPr>
      <w:r>
        <w:t xml:space="preserve">  RH </w:t>
      </w:r>
    </w:p>
    <w:p w:rsidR="00AC0832" w:rsidRDefault="00AC0832">
      <w:pPr>
        <w:pStyle w:val="Normal5"/>
      </w:pPr>
      <w:r>
        <w:t xml:space="preserve">- Zaključak VRH-e od 21.05.08. o prihvaćanju i provedbi Nacionalnog programa uspostave Sustava za identifikaciju zemljišnih  </w:t>
      </w:r>
    </w:p>
    <w:p w:rsidR="00AC0832" w:rsidRDefault="00AC0832">
      <w:pPr>
        <w:pStyle w:val="Normal5"/>
      </w:pPr>
      <w:r>
        <w:t xml:space="preserve">  čestica (LPIS) u Republici Hrvatskoj </w:t>
      </w:r>
    </w:p>
    <w:p w:rsidR="00AC0832" w:rsidRDefault="00AC0832">
      <w:pPr>
        <w:pStyle w:val="Normal5"/>
      </w:pPr>
      <w:r>
        <w:t xml:space="preserve">- Zakon o pomorskom dobru i morskim lukama (NN 173/03) </w:t>
      </w:r>
    </w:p>
    <w:p w:rsidR="00AC0832" w:rsidRDefault="00AC0832">
      <w:pPr>
        <w:pStyle w:val="Normal5"/>
      </w:pPr>
      <w:r>
        <w:t xml:space="preserve">- Zakon o prostornom uređenju i gradnji (NN 76/07) </w:t>
      </w:r>
    </w:p>
    <w:p w:rsidR="00AC0832" w:rsidRDefault="00AC0832">
      <w:pPr>
        <w:pStyle w:val="Normal5"/>
      </w:pPr>
      <w:r>
        <w:t xml:space="preserve">- Zakon o nadzoru državne granice (NN 173/03) </w:t>
      </w:r>
    </w:p>
    <w:p w:rsidR="00AC0832" w:rsidRDefault="00AC0832">
      <w:pPr>
        <w:pStyle w:val="Normal5"/>
      </w:pPr>
      <w:r>
        <w:t xml:space="preserve">- Odluka o utvrđivanju službenih geodetskih datuma i ravninskih kartografskih projekcija RH (NN 110/04, 117/04) </w:t>
      </w:r>
    </w:p>
    <w:p w:rsidR="00AC0832" w:rsidRDefault="00AC0832">
      <w:pPr>
        <w:pStyle w:val="Normal5"/>
      </w:pPr>
      <w:r>
        <w:t xml:space="preserve">- Zakon o zemljišnim knjigama (NN 92/96) </w:t>
      </w:r>
    </w:p>
    <w:p w:rsidR="00AC0832" w:rsidRDefault="00AC0832">
      <w:pPr>
        <w:pStyle w:val="Normal5"/>
      </w:pPr>
      <w:r>
        <w:t xml:space="preserve">- Zakon o poljoprivrednom zemljištu (NN 66/01) </w:t>
      </w:r>
    </w:p>
    <w:p w:rsidR="00AC0832" w:rsidRDefault="00AC0832">
      <w:pPr>
        <w:pStyle w:val="Normal5"/>
      </w:pPr>
      <w:r>
        <w:t xml:space="preserve">- Zajam o implementaciji integriranog sustava zemljišne administracije (IBRD ZAJAM BR. 8086-HR) </w:t>
      </w:r>
    </w:p>
    <w:p w:rsidR="00AC0832" w:rsidRDefault="00AC0832">
      <w:pPr>
        <w:pStyle w:val="Normal5"/>
      </w:pPr>
      <w:r>
        <w:t>- Zakon o postupanju s nezakonito izgrađenim zgradama (NN 90/2011)</w:t>
      </w:r>
    </w:p>
    <w:p w:rsidR="00AC0832" w:rsidRDefault="00AC0832">
      <w:pPr>
        <w:pStyle w:val="Heading7"/>
      </w:pPr>
      <w:r>
        <w:t>Cilj 1. Povećati usklađenost katastarskih i prostornih podataka sa stanjem u prostoru</w:t>
      </w:r>
    </w:p>
    <w:p w:rsidR="00AC0832" w:rsidRDefault="00AC0832">
      <w:pPr>
        <w:pStyle w:val="Heading8"/>
        <w:jc w:val="left"/>
      </w:pPr>
      <w:r>
        <w:t>Opis provedbe cilja programa</w:t>
      </w:r>
    </w:p>
    <w:p w:rsidR="00AC0832" w:rsidRDefault="00AC0832">
      <w:pPr>
        <w:pStyle w:val="Normal6"/>
      </w:pPr>
      <w:r>
        <w:t xml:space="preserve">Povećanje usklađenosti katastarskih i prostornih podataka u službenim registrima sa stanjem na terenu i osiguranje servisa svim korisnicima omogućuje učinkovitije korištenje podataka o kojima skrbi Državna geodetska uprava sa svojim Područnim uredima i Ispostavama, te fizičkim i pravnim osobama koje su ovlaštene za poslove državne izmjere i katastra nekretnina, uz ažurno usklađivanje sa pozitivnim zakonskim propisima su u funkciji učinkovite zaštite prirode i okoliša te upravljanja prostorom. </w:t>
      </w:r>
    </w:p>
    <w:p w:rsidR="00AC0832" w:rsidRDefault="00AC0832">
      <w:pPr>
        <w:pStyle w:val="Normal6"/>
      </w:pPr>
      <w:r>
        <w:t xml:space="preserve"> </w:t>
      </w:r>
    </w:p>
    <w:p w:rsidR="00AC0832" w:rsidRDefault="00AC0832">
      <w:pPr>
        <w:pStyle w:val="Normal6"/>
      </w:pPr>
      <w:r>
        <w:t xml:space="preserve">Načini ostvarenja postavljenog cilja:  </w:t>
      </w:r>
    </w:p>
    <w:p w:rsidR="00AC0832" w:rsidRDefault="00AC0832">
      <w:pPr>
        <w:pStyle w:val="Normal6"/>
      </w:pPr>
      <w:r>
        <w:t xml:space="preserve">Nadogradnja jedinstvenog elektroničkog servisa svim korisnicima  </w:t>
      </w:r>
    </w:p>
    <w:p w:rsidR="00AC0832" w:rsidRDefault="00AC0832">
      <w:pPr>
        <w:pStyle w:val="Normal6"/>
      </w:pPr>
      <w:r>
        <w:t xml:space="preserve">Sustavna obnova katastra i (ZK) kroz katastarske izmjere i tehničke reambulacije K.O. </w:t>
      </w:r>
    </w:p>
    <w:p w:rsidR="00AC0832" w:rsidRDefault="00AC0832">
      <w:pPr>
        <w:pStyle w:val="Normal6"/>
      </w:pPr>
      <w:r>
        <w:t>Redovito provođenje promjena u katastarskom operatu i drugim registrima koji se vode u katastarskim uredima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5"/>
        <w:gridCol w:w="1395"/>
        <w:gridCol w:w="1298"/>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Povećanjem nadogradnje jedinstvenog elektroničkog servisa utjecati će se na smanjenje broja stranaka</w:t>
            </w:r>
          </w:p>
        </w:tc>
        <w:tc>
          <w:tcPr>
            <w:tcW w:w="1300" w:type="dxa"/>
          </w:tcPr>
          <w:p w:rsidR="00AC0832" w:rsidRDefault="00AC0832">
            <w:pPr>
              <w:pStyle w:val="CellColumn"/>
            </w:pPr>
            <w:r>
              <w:t>Uspostavom jedinstvenog elektroničkog servisa omogućiti će se korisnicima dobivanje svih relevantinih podataka na jednom mjestu.</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DGU</w:t>
            </w:r>
          </w:p>
        </w:tc>
        <w:tc>
          <w:tcPr>
            <w:tcW w:w="1300" w:type="dxa"/>
          </w:tcPr>
          <w:p w:rsidR="00AC0832" w:rsidRDefault="00AC0832">
            <w:pPr>
              <w:pStyle w:val="CellColumn"/>
            </w:pPr>
            <w:r>
              <w:t>50</w:t>
            </w:r>
          </w:p>
        </w:tc>
        <w:tc>
          <w:tcPr>
            <w:tcW w:w="1300" w:type="dxa"/>
          </w:tcPr>
          <w:p w:rsidR="00AC0832" w:rsidRDefault="00AC0832">
            <w:pPr>
              <w:pStyle w:val="CellColumn"/>
            </w:pPr>
            <w:r>
              <w:t>50</w:t>
            </w:r>
          </w:p>
        </w:tc>
      </w:tr>
      <w:tr w:rsidR="00AC0832" w:rsidTr="00BE20ED">
        <w:trPr>
          <w:jc w:val="center"/>
        </w:trPr>
        <w:tc>
          <w:tcPr>
            <w:tcW w:w="1300" w:type="dxa"/>
          </w:tcPr>
          <w:p w:rsidR="00AC0832" w:rsidRDefault="00AC0832">
            <w:pPr>
              <w:pStyle w:val="CellColumn"/>
            </w:pPr>
            <w:r>
              <w:t>Povećanje broja dovršenih obnova K.O.</w:t>
            </w:r>
          </w:p>
        </w:tc>
        <w:tc>
          <w:tcPr>
            <w:tcW w:w="1300" w:type="dxa"/>
          </w:tcPr>
          <w:p w:rsidR="00AC0832" w:rsidRDefault="00AC0832">
            <w:pPr>
              <w:pStyle w:val="CellColumn"/>
            </w:pPr>
            <w:r>
              <w:t>Obnovom katastra i (ZK) podići se se kvaliteta, točnost, pouzdanost i ažurnost podataka</w:t>
            </w:r>
          </w:p>
        </w:tc>
        <w:tc>
          <w:tcPr>
            <w:tcW w:w="1300" w:type="dxa"/>
          </w:tcPr>
          <w:p w:rsidR="00AC0832" w:rsidRDefault="00AC0832">
            <w:pPr>
              <w:pStyle w:val="CellColumn"/>
            </w:pPr>
            <w:r>
              <w:t>broj</w:t>
            </w:r>
          </w:p>
        </w:tc>
        <w:tc>
          <w:tcPr>
            <w:tcW w:w="1300" w:type="dxa"/>
          </w:tcPr>
          <w:p w:rsidR="00AC0832" w:rsidRDefault="00AC0832">
            <w:pPr>
              <w:pStyle w:val="CellColumn"/>
            </w:pPr>
            <w:r>
              <w:t>85</w:t>
            </w:r>
          </w:p>
        </w:tc>
        <w:tc>
          <w:tcPr>
            <w:tcW w:w="1300" w:type="dxa"/>
          </w:tcPr>
          <w:p w:rsidR="00AC0832" w:rsidRDefault="00AC0832">
            <w:pPr>
              <w:pStyle w:val="CellColumn"/>
            </w:pPr>
            <w:r>
              <w:t>DGU</w:t>
            </w:r>
          </w:p>
        </w:tc>
        <w:tc>
          <w:tcPr>
            <w:tcW w:w="1300" w:type="dxa"/>
          </w:tcPr>
          <w:p w:rsidR="00AC0832" w:rsidRDefault="00AC0832">
            <w:pPr>
              <w:pStyle w:val="CellColumn"/>
            </w:pPr>
            <w:r>
              <w:t>135</w:t>
            </w:r>
          </w:p>
        </w:tc>
        <w:tc>
          <w:tcPr>
            <w:tcW w:w="1300" w:type="dxa"/>
          </w:tcPr>
          <w:p w:rsidR="00AC0832" w:rsidRDefault="00AC0832">
            <w:pPr>
              <w:pStyle w:val="CellColumn"/>
            </w:pPr>
            <w:r>
              <w:t>135</w:t>
            </w:r>
          </w:p>
        </w:tc>
      </w:tr>
      <w:tr w:rsidR="00AC0832" w:rsidTr="00BE20ED">
        <w:trPr>
          <w:jc w:val="center"/>
        </w:trPr>
        <w:tc>
          <w:tcPr>
            <w:tcW w:w="1300" w:type="dxa"/>
          </w:tcPr>
          <w:p w:rsidR="00AC0832" w:rsidRDefault="00AC0832">
            <w:pPr>
              <w:pStyle w:val="CellColumn"/>
            </w:pPr>
            <w:r>
              <w:t>Povećanje efikasnosti u provođenju promjena</w:t>
            </w:r>
          </w:p>
        </w:tc>
        <w:tc>
          <w:tcPr>
            <w:tcW w:w="1300" w:type="dxa"/>
          </w:tcPr>
          <w:p w:rsidR="00AC0832" w:rsidRDefault="00AC0832">
            <w:pPr>
              <w:pStyle w:val="CellColumn"/>
            </w:pPr>
            <w:r>
              <w:t>Povećanjem efikasnosti povećati će se kapacitet provođenja promjena</w:t>
            </w:r>
          </w:p>
        </w:tc>
        <w:tc>
          <w:tcPr>
            <w:tcW w:w="1300" w:type="dxa"/>
          </w:tcPr>
          <w:p w:rsidR="00AC0832" w:rsidRDefault="00AC0832">
            <w:pPr>
              <w:pStyle w:val="CellColumn"/>
            </w:pPr>
            <w:r>
              <w:t>%</w:t>
            </w:r>
          </w:p>
        </w:tc>
        <w:tc>
          <w:tcPr>
            <w:tcW w:w="1300" w:type="dxa"/>
          </w:tcPr>
          <w:p w:rsidR="00AC0832" w:rsidRDefault="00AC0832">
            <w:pPr>
              <w:pStyle w:val="CellColumn"/>
            </w:pPr>
            <w:r>
              <w:t>90</w:t>
            </w:r>
          </w:p>
        </w:tc>
        <w:tc>
          <w:tcPr>
            <w:tcW w:w="1300" w:type="dxa"/>
          </w:tcPr>
          <w:p w:rsidR="00AC0832" w:rsidRDefault="00AC0832">
            <w:pPr>
              <w:pStyle w:val="CellColumn"/>
            </w:pPr>
            <w:r>
              <w:t>DGU</w:t>
            </w:r>
          </w:p>
        </w:tc>
        <w:tc>
          <w:tcPr>
            <w:tcW w:w="1300" w:type="dxa"/>
          </w:tcPr>
          <w:p w:rsidR="00AC0832" w:rsidRDefault="00AC0832">
            <w:pPr>
              <w:pStyle w:val="CellColumn"/>
            </w:pPr>
            <w:r>
              <w:t>94</w:t>
            </w:r>
          </w:p>
        </w:tc>
        <w:tc>
          <w:tcPr>
            <w:tcW w:w="1300" w:type="dxa"/>
          </w:tcPr>
          <w:p w:rsidR="00AC0832" w:rsidRDefault="00AC0832">
            <w:pPr>
              <w:pStyle w:val="CellColumn"/>
            </w:pPr>
            <w:r>
              <w:t>94</w:t>
            </w:r>
          </w:p>
        </w:tc>
      </w:tr>
    </w:tbl>
    <w:p w:rsidR="00AC0832" w:rsidRDefault="00AC0832">
      <w:pPr>
        <w:jc w:val="left"/>
      </w:pPr>
    </w:p>
    <w:p w:rsidR="00AC0832" w:rsidRDefault="00AC0832">
      <w:pPr>
        <w:pStyle w:val="Heading7"/>
      </w:pPr>
      <w:r>
        <w:t xml:space="preserve">Cilj 2. Povećati ažurnost prostornih podatka </w:t>
      </w:r>
    </w:p>
    <w:p w:rsidR="00AC0832" w:rsidRDefault="00AC0832">
      <w:pPr>
        <w:pStyle w:val="Heading8"/>
        <w:jc w:val="left"/>
      </w:pPr>
      <w:r>
        <w:t>Opis provedbe cilja programa</w:t>
      </w:r>
    </w:p>
    <w:p w:rsidR="00AC0832" w:rsidRDefault="00AC0832">
      <w:pPr>
        <w:pStyle w:val="Normal6"/>
      </w:pPr>
      <w:r>
        <w:t xml:space="preserve">Ažurirani podaci državne izmjere i službenih državnih prostornih podloga u funkciji su učinkovite zaštite prirode i okoliša te upravljanja prostorom. Ažurni katastarski podaci i prostorni podaci su osnovna pretpostavka za efikasan gospodarski razvoj, kvalitetno i učinkovito funkcioniranje tržišta nekretnina i provedbu kapitalnih i infrastrukturnih projekata države. Ažuran katastar u zajednici sa zemljišnim knjigama doprinosi uspostavi pravne države i vladavini prava. </w:t>
      </w:r>
    </w:p>
    <w:p w:rsidR="00AC0832" w:rsidRDefault="00AC0832">
      <w:pPr>
        <w:pStyle w:val="Normal6"/>
      </w:pPr>
      <w:r>
        <w:t xml:space="preserve"> </w:t>
      </w:r>
    </w:p>
    <w:p w:rsidR="00AC0832" w:rsidRDefault="00AC0832">
      <w:pPr>
        <w:pStyle w:val="Normal6"/>
      </w:pPr>
      <w:r>
        <w:t xml:space="preserve">Načini ostvarenja postavljenog cilja: </w:t>
      </w:r>
    </w:p>
    <w:p w:rsidR="00AC0832" w:rsidRDefault="00AC0832">
      <w:pPr>
        <w:pStyle w:val="Normal6"/>
      </w:pPr>
      <w:r>
        <w:t xml:space="preserve">Izgradnja prve faze integriranog sustava zemljišne administracije (ZIS) </w:t>
      </w:r>
    </w:p>
    <w:p w:rsidR="00AC0832" w:rsidRDefault="00AC0832">
      <w:pPr>
        <w:pStyle w:val="Normal6"/>
      </w:pPr>
      <w:r>
        <w:t xml:space="preserve">Razvoj i uspostava druge faze integriranog sustava zemljišne administracije </w:t>
      </w:r>
    </w:p>
    <w:p w:rsidR="00AC0832" w:rsidRDefault="00AC0832">
      <w:pPr>
        <w:pStyle w:val="Normal6"/>
      </w:pPr>
      <w:r>
        <w:t xml:space="preserve">Edukacija djelatnika  </w:t>
      </w:r>
    </w:p>
    <w:p w:rsidR="00AC0832" w:rsidRDefault="00AC0832">
      <w:pPr>
        <w:pStyle w:val="Normal6"/>
      </w:pPr>
      <w:r>
        <w:t xml:space="preserve">Modernizacija SRPJ </w:t>
      </w:r>
    </w:p>
    <w:p w:rsidR="00AC0832" w:rsidRDefault="00AC0832">
      <w:pPr>
        <w:pStyle w:val="Normal6"/>
      </w:pPr>
      <w:r>
        <w:t xml:space="preserve">Obnova i dovršenje osnovnih geodetskih mreža (visinske, gravimetrijske i magnetometrijske) </w:t>
      </w:r>
    </w:p>
    <w:p w:rsidR="00AC0832" w:rsidRDefault="00AC0832">
      <w:pPr>
        <w:pStyle w:val="Normal6"/>
      </w:pPr>
      <w:r>
        <w:t>Održavanje operabilnosti CROPOS-a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0"/>
        <w:gridCol w:w="1717"/>
        <w:gridCol w:w="1081"/>
        <w:gridCol w:w="1157"/>
        <w:gridCol w:w="1137"/>
        <w:gridCol w:w="1157"/>
        <w:gridCol w:w="119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Izgrađena, integrirana i testirana prva faza</w:t>
            </w:r>
          </w:p>
        </w:tc>
        <w:tc>
          <w:tcPr>
            <w:tcW w:w="1300" w:type="dxa"/>
          </w:tcPr>
          <w:p w:rsidR="00AC0832" w:rsidRDefault="00AC0832">
            <w:pPr>
              <w:pStyle w:val="CellColumn"/>
            </w:pPr>
            <w:r>
              <w:t>Izgradnjom, implementacijom i edukacijom podići će se efikasnost i ažurnost u pružanju i davanju usluga</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DGU</w:t>
            </w:r>
          </w:p>
        </w:tc>
        <w:tc>
          <w:tcPr>
            <w:tcW w:w="1300" w:type="dxa"/>
          </w:tcPr>
          <w:p w:rsidR="00AC0832" w:rsidRDefault="00AC0832">
            <w:pPr>
              <w:pStyle w:val="CellColumn"/>
            </w:pPr>
            <w:r>
              <w:t>85</w:t>
            </w:r>
          </w:p>
        </w:tc>
        <w:tc>
          <w:tcPr>
            <w:tcW w:w="1300" w:type="dxa"/>
          </w:tcPr>
          <w:p w:rsidR="00AC0832" w:rsidRDefault="00AC0832">
            <w:pPr>
              <w:pStyle w:val="CellColumn"/>
            </w:pPr>
            <w:r>
              <w:t>30</w:t>
            </w:r>
          </w:p>
        </w:tc>
      </w:tr>
      <w:tr w:rsidR="00AC0832" w:rsidTr="00BE20ED">
        <w:trPr>
          <w:jc w:val="center"/>
        </w:trPr>
        <w:tc>
          <w:tcPr>
            <w:tcW w:w="1300" w:type="dxa"/>
          </w:tcPr>
          <w:p w:rsidR="00AC0832" w:rsidRDefault="00AC0832">
            <w:pPr>
              <w:pStyle w:val="CellColumn"/>
            </w:pPr>
            <w:r>
              <w:t>Povećanje broja lokacija na kojima je implementiran sustav</w:t>
            </w:r>
          </w:p>
        </w:tc>
        <w:tc>
          <w:tcPr>
            <w:tcW w:w="1300" w:type="dxa"/>
          </w:tcPr>
          <w:p w:rsidR="00AC0832" w:rsidRDefault="00AC0832">
            <w:pPr>
              <w:pStyle w:val="CellColumn"/>
            </w:pPr>
            <w:r>
              <w:t>Izgradnjom, implementacijom i edukacijom podići će se efikasnost i ažurnost u pružanju i davanju usluga</w:t>
            </w:r>
          </w:p>
        </w:tc>
        <w:tc>
          <w:tcPr>
            <w:tcW w:w="1300" w:type="dxa"/>
          </w:tcPr>
          <w:p w:rsidR="00AC0832" w:rsidRDefault="00AC0832">
            <w:pPr>
              <w:pStyle w:val="CellColumn"/>
            </w:pPr>
            <w:r>
              <w:t>Broj lokacija</w:t>
            </w:r>
          </w:p>
        </w:tc>
        <w:tc>
          <w:tcPr>
            <w:tcW w:w="1300" w:type="dxa"/>
          </w:tcPr>
          <w:p w:rsidR="00AC0832" w:rsidRDefault="00AC0832">
            <w:pPr>
              <w:pStyle w:val="CellColumn"/>
            </w:pPr>
            <w:r>
              <w:t>0</w:t>
            </w:r>
          </w:p>
        </w:tc>
        <w:tc>
          <w:tcPr>
            <w:tcW w:w="1300" w:type="dxa"/>
          </w:tcPr>
          <w:p w:rsidR="00AC0832" w:rsidRDefault="00AC0832">
            <w:pPr>
              <w:pStyle w:val="CellColumn"/>
            </w:pPr>
            <w:r>
              <w:t>DGU</w:t>
            </w:r>
          </w:p>
        </w:tc>
        <w:tc>
          <w:tcPr>
            <w:tcW w:w="1300" w:type="dxa"/>
          </w:tcPr>
          <w:p w:rsidR="00AC0832" w:rsidRDefault="00AC0832">
            <w:pPr>
              <w:pStyle w:val="CellColumn"/>
            </w:pPr>
            <w:r>
              <w:t>35</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Povećanje postotka educiranih djelatnika</w:t>
            </w:r>
          </w:p>
        </w:tc>
        <w:tc>
          <w:tcPr>
            <w:tcW w:w="1300" w:type="dxa"/>
          </w:tcPr>
          <w:p w:rsidR="00AC0832" w:rsidRDefault="00AC0832">
            <w:pPr>
              <w:pStyle w:val="CellColumn"/>
            </w:pPr>
            <w:r>
              <w:t>Izgradnjom, implementacijom i edukacijom podići će se efikasnost i ažurnost u pružanju i davanju usluga</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DGU</w:t>
            </w:r>
          </w:p>
        </w:tc>
        <w:tc>
          <w:tcPr>
            <w:tcW w:w="1300" w:type="dxa"/>
          </w:tcPr>
          <w:p w:rsidR="00AC0832" w:rsidRDefault="00AC0832">
            <w:pPr>
              <w:pStyle w:val="CellColumn"/>
            </w:pPr>
            <w:r>
              <w:t>32</w:t>
            </w:r>
          </w:p>
        </w:tc>
        <w:tc>
          <w:tcPr>
            <w:tcW w:w="1300" w:type="dxa"/>
          </w:tcPr>
          <w:p w:rsidR="00AC0832" w:rsidRDefault="00AC0832">
            <w:pPr>
              <w:pStyle w:val="CellColumn"/>
            </w:pPr>
            <w:r>
              <w:t>32</w:t>
            </w:r>
          </w:p>
        </w:tc>
      </w:tr>
      <w:tr w:rsidR="00AC0832" w:rsidTr="00BE20ED">
        <w:trPr>
          <w:jc w:val="center"/>
        </w:trPr>
        <w:tc>
          <w:tcPr>
            <w:tcW w:w="1300" w:type="dxa"/>
          </w:tcPr>
          <w:p w:rsidR="00AC0832" w:rsidRDefault="00AC0832">
            <w:pPr>
              <w:pStyle w:val="CellColumn"/>
            </w:pPr>
            <w:r>
              <w:t>Povećanje broja lokacija sa uspostavljenim PRPJ</w:t>
            </w:r>
          </w:p>
        </w:tc>
        <w:tc>
          <w:tcPr>
            <w:tcW w:w="1300" w:type="dxa"/>
          </w:tcPr>
          <w:p w:rsidR="00AC0832" w:rsidRDefault="00AC0832">
            <w:pPr>
              <w:pStyle w:val="CellColumn"/>
            </w:pPr>
            <w:r>
              <w:t>Povećanjem broja PRPJ omogućiti će se djelotvorniji i pouzdaniji podaci</w:t>
            </w:r>
          </w:p>
        </w:tc>
        <w:tc>
          <w:tcPr>
            <w:tcW w:w="1300" w:type="dxa"/>
          </w:tcPr>
          <w:p w:rsidR="00AC0832" w:rsidRDefault="00AC0832">
            <w:pPr>
              <w:pStyle w:val="CellColumn"/>
            </w:pPr>
            <w:r>
              <w:t>Broj lokacija</w:t>
            </w:r>
          </w:p>
        </w:tc>
        <w:tc>
          <w:tcPr>
            <w:tcW w:w="1300" w:type="dxa"/>
          </w:tcPr>
          <w:p w:rsidR="00AC0832" w:rsidRDefault="00AC0832">
            <w:pPr>
              <w:pStyle w:val="CellColumn"/>
            </w:pPr>
            <w:r>
              <w:t>0</w:t>
            </w:r>
          </w:p>
        </w:tc>
        <w:tc>
          <w:tcPr>
            <w:tcW w:w="1300" w:type="dxa"/>
          </w:tcPr>
          <w:p w:rsidR="00AC0832" w:rsidRDefault="00AC0832">
            <w:pPr>
              <w:pStyle w:val="CellColumn"/>
            </w:pPr>
            <w:r>
              <w:t>DGU</w:t>
            </w:r>
          </w:p>
        </w:tc>
        <w:tc>
          <w:tcPr>
            <w:tcW w:w="1300" w:type="dxa"/>
          </w:tcPr>
          <w:p w:rsidR="00AC0832" w:rsidRDefault="00AC0832">
            <w:pPr>
              <w:pStyle w:val="CellColumn"/>
            </w:pPr>
            <w:r>
              <w:t>7</w:t>
            </w:r>
          </w:p>
        </w:tc>
        <w:tc>
          <w:tcPr>
            <w:tcW w:w="1300" w:type="dxa"/>
          </w:tcPr>
          <w:p w:rsidR="00AC0832" w:rsidRDefault="00AC0832">
            <w:pPr>
              <w:pStyle w:val="CellColumn"/>
            </w:pPr>
            <w:r>
              <w:t>7</w:t>
            </w:r>
          </w:p>
        </w:tc>
      </w:tr>
      <w:tr w:rsidR="00AC0832" w:rsidTr="00BE20ED">
        <w:trPr>
          <w:jc w:val="center"/>
        </w:trPr>
        <w:tc>
          <w:tcPr>
            <w:tcW w:w="1300" w:type="dxa"/>
          </w:tcPr>
          <w:p w:rsidR="00AC0832" w:rsidRDefault="00AC0832">
            <w:pPr>
              <w:pStyle w:val="CellColumn"/>
            </w:pPr>
            <w:r>
              <w:t>Povećanje broja obnovljenih trigonometara i reda</w:t>
            </w:r>
          </w:p>
        </w:tc>
        <w:tc>
          <w:tcPr>
            <w:tcW w:w="1300" w:type="dxa"/>
          </w:tcPr>
          <w:p w:rsidR="00AC0832" w:rsidRDefault="00AC0832">
            <w:pPr>
              <w:pStyle w:val="CellColumn"/>
            </w:pPr>
            <w:r>
              <w:t>Veća funkcionalnost CROPOS-a</w:t>
            </w:r>
          </w:p>
        </w:tc>
        <w:tc>
          <w:tcPr>
            <w:tcW w:w="1300" w:type="dxa"/>
          </w:tcPr>
          <w:p w:rsidR="00AC0832" w:rsidRDefault="00AC0832">
            <w:pPr>
              <w:pStyle w:val="CellColumn"/>
            </w:pPr>
            <w:r>
              <w:t>Broj</w:t>
            </w:r>
          </w:p>
        </w:tc>
        <w:tc>
          <w:tcPr>
            <w:tcW w:w="1300" w:type="dxa"/>
          </w:tcPr>
          <w:p w:rsidR="00AC0832" w:rsidRDefault="00AC0832">
            <w:pPr>
              <w:pStyle w:val="CellColumn"/>
            </w:pPr>
            <w:r>
              <w:t>40</w:t>
            </w:r>
          </w:p>
        </w:tc>
        <w:tc>
          <w:tcPr>
            <w:tcW w:w="1300" w:type="dxa"/>
          </w:tcPr>
          <w:p w:rsidR="00AC0832" w:rsidRDefault="00AC0832">
            <w:pPr>
              <w:pStyle w:val="CellColumn"/>
            </w:pPr>
            <w:r>
              <w:t>DGU</w:t>
            </w:r>
          </w:p>
        </w:tc>
        <w:tc>
          <w:tcPr>
            <w:tcW w:w="1300" w:type="dxa"/>
          </w:tcPr>
          <w:p w:rsidR="00AC0832" w:rsidRDefault="00AC0832">
            <w:pPr>
              <w:pStyle w:val="CellColumn"/>
            </w:pPr>
            <w:r>
              <w:t>50</w:t>
            </w:r>
          </w:p>
        </w:tc>
        <w:tc>
          <w:tcPr>
            <w:tcW w:w="1300" w:type="dxa"/>
          </w:tcPr>
          <w:p w:rsidR="00AC0832" w:rsidRDefault="00AC0832">
            <w:pPr>
              <w:pStyle w:val="CellColumn"/>
            </w:pPr>
            <w:r>
              <w:t>50</w:t>
            </w:r>
          </w:p>
        </w:tc>
      </w:tr>
      <w:tr w:rsidR="00AC0832" w:rsidTr="00BE20ED">
        <w:trPr>
          <w:jc w:val="center"/>
        </w:trPr>
        <w:tc>
          <w:tcPr>
            <w:tcW w:w="1300" w:type="dxa"/>
          </w:tcPr>
          <w:p w:rsidR="00AC0832" w:rsidRDefault="00AC0832">
            <w:pPr>
              <w:pStyle w:val="CellColumn"/>
            </w:pPr>
            <w:r>
              <w:t>Povećanje postotka izvršenih magnetometrijskih izmjera</w:t>
            </w:r>
          </w:p>
        </w:tc>
        <w:tc>
          <w:tcPr>
            <w:tcW w:w="1300" w:type="dxa"/>
          </w:tcPr>
          <w:p w:rsidR="00AC0832" w:rsidRDefault="00AC0832">
            <w:pPr>
              <w:pStyle w:val="CellColumn"/>
            </w:pPr>
            <w:r>
              <w:t>Veća funkcionalnost CROPOS-a</w:t>
            </w:r>
          </w:p>
        </w:tc>
        <w:tc>
          <w:tcPr>
            <w:tcW w:w="1300" w:type="dxa"/>
          </w:tcPr>
          <w:p w:rsidR="00AC0832" w:rsidRDefault="00AC0832">
            <w:pPr>
              <w:pStyle w:val="CellColumn"/>
            </w:pPr>
            <w:r>
              <w:t>%</w:t>
            </w:r>
          </w:p>
        </w:tc>
        <w:tc>
          <w:tcPr>
            <w:tcW w:w="1300" w:type="dxa"/>
          </w:tcPr>
          <w:p w:rsidR="00AC0832" w:rsidRDefault="00AC0832">
            <w:pPr>
              <w:pStyle w:val="CellColumn"/>
            </w:pPr>
            <w:r>
              <w:t>60</w:t>
            </w:r>
          </w:p>
        </w:tc>
        <w:tc>
          <w:tcPr>
            <w:tcW w:w="1300" w:type="dxa"/>
          </w:tcPr>
          <w:p w:rsidR="00AC0832" w:rsidRDefault="00AC0832">
            <w:pPr>
              <w:pStyle w:val="CellColumn"/>
            </w:pPr>
            <w:r>
              <w:t>DGU</w:t>
            </w:r>
          </w:p>
        </w:tc>
        <w:tc>
          <w:tcPr>
            <w:tcW w:w="1300" w:type="dxa"/>
          </w:tcPr>
          <w:p w:rsidR="00AC0832" w:rsidRDefault="00AC0832">
            <w:pPr>
              <w:pStyle w:val="CellColumn"/>
            </w:pPr>
            <w:r>
              <w:t>95</w:t>
            </w:r>
          </w:p>
        </w:tc>
        <w:tc>
          <w:tcPr>
            <w:tcW w:w="1300" w:type="dxa"/>
          </w:tcPr>
          <w:p w:rsidR="00AC0832" w:rsidRDefault="00AC0832">
            <w:pPr>
              <w:pStyle w:val="CellColumn"/>
            </w:pPr>
            <w:r>
              <w:t>95</w:t>
            </w:r>
          </w:p>
        </w:tc>
      </w:tr>
      <w:tr w:rsidR="00AC0832" w:rsidTr="00BE20ED">
        <w:trPr>
          <w:jc w:val="center"/>
        </w:trPr>
        <w:tc>
          <w:tcPr>
            <w:tcW w:w="1300" w:type="dxa"/>
          </w:tcPr>
          <w:p w:rsidR="00AC0832" w:rsidRDefault="00AC0832">
            <w:pPr>
              <w:pStyle w:val="CellColumn"/>
            </w:pPr>
            <w:r>
              <w:t>Povećanje postotka gravimetrijske izmjere</w:t>
            </w:r>
          </w:p>
        </w:tc>
        <w:tc>
          <w:tcPr>
            <w:tcW w:w="1300" w:type="dxa"/>
          </w:tcPr>
          <w:p w:rsidR="00AC0832" w:rsidRDefault="00AC0832">
            <w:pPr>
              <w:pStyle w:val="CellColumn"/>
            </w:pPr>
            <w:r>
              <w:t>Veća funkcionalnost CROPOS-a</w:t>
            </w:r>
          </w:p>
        </w:tc>
        <w:tc>
          <w:tcPr>
            <w:tcW w:w="1300" w:type="dxa"/>
          </w:tcPr>
          <w:p w:rsidR="00AC0832" w:rsidRDefault="00AC0832">
            <w:pPr>
              <w:pStyle w:val="CellColumn"/>
            </w:pPr>
            <w:r>
              <w:t>%</w:t>
            </w:r>
          </w:p>
        </w:tc>
        <w:tc>
          <w:tcPr>
            <w:tcW w:w="1300" w:type="dxa"/>
          </w:tcPr>
          <w:p w:rsidR="00AC0832" w:rsidRDefault="00AC0832">
            <w:pPr>
              <w:pStyle w:val="CellColumn"/>
            </w:pPr>
            <w:r>
              <w:t>50</w:t>
            </w:r>
          </w:p>
        </w:tc>
        <w:tc>
          <w:tcPr>
            <w:tcW w:w="1300" w:type="dxa"/>
          </w:tcPr>
          <w:p w:rsidR="00AC0832" w:rsidRDefault="00AC0832">
            <w:pPr>
              <w:pStyle w:val="CellColumn"/>
            </w:pPr>
            <w:r>
              <w:t>DGU</w:t>
            </w:r>
          </w:p>
        </w:tc>
        <w:tc>
          <w:tcPr>
            <w:tcW w:w="1300" w:type="dxa"/>
          </w:tcPr>
          <w:p w:rsidR="00AC0832" w:rsidRDefault="00AC0832">
            <w:pPr>
              <w:pStyle w:val="CellColumn"/>
            </w:pPr>
            <w:r>
              <w:t>70</w:t>
            </w:r>
          </w:p>
        </w:tc>
        <w:tc>
          <w:tcPr>
            <w:tcW w:w="1300" w:type="dxa"/>
          </w:tcPr>
          <w:p w:rsidR="00AC0832" w:rsidRDefault="00AC0832">
            <w:pPr>
              <w:pStyle w:val="CellColumn"/>
            </w:pPr>
            <w:r>
              <w:t>70</w:t>
            </w:r>
          </w:p>
        </w:tc>
      </w:tr>
    </w:tbl>
    <w:p w:rsidR="00AC0832" w:rsidRDefault="00AC0832">
      <w:pPr>
        <w:jc w:val="left"/>
      </w:pPr>
    </w:p>
    <w:p w:rsidR="00AC0832" w:rsidRDefault="00AC0832">
      <w:pPr>
        <w:pStyle w:val="Heading7"/>
      </w:pPr>
      <w:r>
        <w:t xml:space="preserve">Cilj 3. Uspostaviti cjelovitu digitalnu Državnu službenu kartografiju </w:t>
      </w:r>
    </w:p>
    <w:p w:rsidR="00AC0832" w:rsidRDefault="00AC0832">
      <w:pPr>
        <w:pStyle w:val="Heading8"/>
        <w:jc w:val="left"/>
      </w:pPr>
      <w:r>
        <w:t>Opis provedbe cilja programa</w:t>
      </w:r>
    </w:p>
    <w:p w:rsidR="00AC0832" w:rsidRDefault="00AC0832">
      <w:pPr>
        <w:pStyle w:val="Normal6"/>
      </w:pPr>
      <w:r>
        <w:t xml:space="preserve">Državna geodetska uprava je preuzela postojeću službenu kartografiju u analognom obliku od Vojnogeografskog instituta u Beogradu i nakon osamostaljenja Republike Hrvatske započela sa uspostavom državne službene kartografije RH. Službene državne karte su Hrvatsak osnovna karta (HOK) u mjeriluima 1:5.000 ili 1:10.000, ortofoto karta u mjerilima 1:2.000, 1:5.000 i sitnijem, detaljne topografske karte (DTK) u mjerilima 1:25.000 do 1:250.000 i pregledne topografske karte (PTK) u mjerilu 1:300.000 i sitnijem.  </w:t>
      </w:r>
    </w:p>
    <w:p w:rsidR="00AC0832" w:rsidRDefault="00AC0832">
      <w:pPr>
        <w:pStyle w:val="Normal6"/>
      </w:pPr>
      <w:r>
        <w:t xml:space="preserve">Do sada je obnovljena kartografska građa ortofoto karata, HOK-a i DTK-e koji su pohranjeni u DGU. Ubrzani gospodarski razvoj, prostorno planske potrebe drugih subjekata, provedba kapitalnih i infrastrukturnih projekata potrebni su ažurni prostorni podatci koji se mogu osigurati digitalnom Državnom službenom karografijom. </w:t>
      </w:r>
    </w:p>
    <w:p w:rsidR="00AC0832" w:rsidRDefault="00AC0832">
      <w:pPr>
        <w:pStyle w:val="Normal6"/>
      </w:pPr>
      <w:r>
        <w:t xml:space="preserve"> </w:t>
      </w:r>
    </w:p>
    <w:p w:rsidR="00AC0832" w:rsidRDefault="00AC0832">
      <w:pPr>
        <w:pStyle w:val="Normal6"/>
      </w:pPr>
      <w:r>
        <w:t xml:space="preserve">Načini ostvarenja postavljenog cilja: </w:t>
      </w:r>
    </w:p>
    <w:p w:rsidR="00AC0832" w:rsidRDefault="00AC0832">
      <w:pPr>
        <w:pStyle w:val="Normal6"/>
      </w:pPr>
      <w:r>
        <w:t xml:space="preserve">Cilička i fotogrametrijska snimanja iz zraka </w:t>
      </w:r>
    </w:p>
    <w:p w:rsidR="00AC0832" w:rsidRDefault="00AC0832">
      <w:pPr>
        <w:pStyle w:val="Normal6"/>
      </w:pPr>
      <w:r>
        <w:t>Održavanje kartografskih i topografskih baza podataka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snimljenog</w:t>
            </w:r>
          </w:p>
        </w:tc>
        <w:tc>
          <w:tcPr>
            <w:tcW w:w="1300" w:type="dxa"/>
          </w:tcPr>
          <w:p w:rsidR="00AC0832" w:rsidRDefault="00AC0832">
            <w:pPr>
              <w:pStyle w:val="CellColumn"/>
            </w:pPr>
            <w:r>
              <w:t>Omogućiti što veći postotak za održavanje</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DGU</w:t>
            </w:r>
          </w:p>
        </w:tc>
        <w:tc>
          <w:tcPr>
            <w:tcW w:w="1300" w:type="dxa"/>
          </w:tcPr>
          <w:p w:rsidR="00AC0832" w:rsidRDefault="00AC0832">
            <w:pPr>
              <w:pStyle w:val="CellColumn"/>
            </w:pPr>
            <w:r>
              <w:t>50</w:t>
            </w:r>
          </w:p>
        </w:tc>
        <w:tc>
          <w:tcPr>
            <w:tcW w:w="1300" w:type="dxa"/>
          </w:tcPr>
          <w:p w:rsidR="00AC0832" w:rsidRDefault="00AC0832">
            <w:pPr>
              <w:pStyle w:val="CellColumn"/>
            </w:pPr>
            <w:r>
              <w:t>45</w:t>
            </w:r>
          </w:p>
        </w:tc>
      </w:tr>
      <w:tr w:rsidR="00AC0832" w:rsidTr="00BE20ED">
        <w:trPr>
          <w:jc w:val="center"/>
        </w:trPr>
        <w:tc>
          <w:tcPr>
            <w:tcW w:w="1300" w:type="dxa"/>
          </w:tcPr>
          <w:p w:rsidR="00AC0832" w:rsidRDefault="00AC0832">
            <w:pPr>
              <w:pStyle w:val="CellColumn"/>
            </w:pPr>
            <w:r>
              <w:t>Postotak provedenog od planiranog</w:t>
            </w:r>
          </w:p>
        </w:tc>
        <w:tc>
          <w:tcPr>
            <w:tcW w:w="1300" w:type="dxa"/>
          </w:tcPr>
          <w:p w:rsidR="00AC0832" w:rsidRDefault="00AC0832">
            <w:pPr>
              <w:pStyle w:val="CellColumn"/>
            </w:pPr>
            <w:r>
              <w:t>Poećanjem postotka održavanog i ažurnog doprinosi ostvarenju cilja</w:t>
            </w:r>
          </w:p>
        </w:tc>
        <w:tc>
          <w:tcPr>
            <w:tcW w:w="1300" w:type="dxa"/>
          </w:tcPr>
          <w:p w:rsidR="00AC0832" w:rsidRDefault="00AC0832">
            <w:pPr>
              <w:pStyle w:val="CellColumn"/>
            </w:pPr>
            <w:r>
              <w:t>%</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DGU</w:t>
            </w:r>
          </w:p>
        </w:tc>
        <w:tc>
          <w:tcPr>
            <w:tcW w:w="1300" w:type="dxa"/>
          </w:tcPr>
          <w:p w:rsidR="00AC0832" w:rsidRDefault="00AC0832">
            <w:pPr>
              <w:pStyle w:val="CellColumn"/>
            </w:pPr>
            <w:r>
              <w:t>40</w:t>
            </w:r>
          </w:p>
        </w:tc>
        <w:tc>
          <w:tcPr>
            <w:tcW w:w="1300" w:type="dxa"/>
          </w:tcPr>
          <w:p w:rsidR="00AC0832" w:rsidRDefault="00AC0832">
            <w:pPr>
              <w:pStyle w:val="CellColumn"/>
            </w:pPr>
            <w:r>
              <w:t>40</w:t>
            </w:r>
          </w:p>
        </w:tc>
      </w:tr>
    </w:tbl>
    <w:p w:rsidR="00AC0832" w:rsidRDefault="00AC0832">
      <w:pPr>
        <w:jc w:val="left"/>
      </w:pPr>
    </w:p>
    <w:p w:rsidR="00AC0832" w:rsidRDefault="00AC0832">
      <w:pPr>
        <w:pStyle w:val="Heading7"/>
      </w:pPr>
      <w:r>
        <w:t>Cilj 4. Uspostava Hrvatske nacionalne infrastrukture prostornih podataka i informacijskih servisa nacionalnog geoportala</w:t>
      </w:r>
    </w:p>
    <w:p w:rsidR="00AC0832" w:rsidRDefault="00AC0832">
      <w:pPr>
        <w:pStyle w:val="Heading8"/>
        <w:jc w:val="left"/>
      </w:pPr>
      <w:r>
        <w:t>Opis provedbe cilja programa</w:t>
      </w:r>
    </w:p>
    <w:p w:rsidR="00AC0832" w:rsidRDefault="00AC0832">
      <w:pPr>
        <w:pStyle w:val="Normal6"/>
      </w:pPr>
      <w:r>
        <w:t xml:space="preserve">Uspostavljanje Hrvatskog NIPP-a prostronih podataka u funkciji implementacije efikasnog sustava prikupljanja, obrade i distribucije prostronih informacija subjekata (TDU, TRS, TLS, javni sustavi) obuhvaćenih NIPP-om u skladu sa INSPIRE direktivom EU što će rezultirati učinkovitijim radom javne uprave i smanjenjem troškova poslovanja gospodarstava.  </w:t>
      </w:r>
    </w:p>
    <w:p w:rsidR="00AC0832" w:rsidRDefault="00AC0832">
      <w:pPr>
        <w:pStyle w:val="Normal6"/>
      </w:pPr>
      <w:r>
        <w:t xml:space="preserve"> </w:t>
      </w:r>
    </w:p>
    <w:p w:rsidR="00AC0832" w:rsidRDefault="00AC0832">
      <w:pPr>
        <w:pStyle w:val="Normal6"/>
      </w:pPr>
      <w:r>
        <w:t xml:space="preserve">Načini ostvarenja cilja: </w:t>
      </w:r>
    </w:p>
    <w:p w:rsidR="00AC0832" w:rsidRDefault="00AC0832">
      <w:pPr>
        <w:pStyle w:val="Normal6"/>
      </w:pPr>
      <w:r>
        <w:t xml:space="preserve">Izvršenje godišnjeg plana rada vijeća NIPP-a iskazanog kroz donošenje propisa za izgradnju i porvedbu NIPP-a  </w:t>
      </w:r>
    </w:p>
    <w:p w:rsidR="00AC0832" w:rsidRDefault="00AC0832">
      <w:pPr>
        <w:pStyle w:val="Normal6"/>
      </w:pPr>
      <w:r>
        <w:t>Uspostava servisa metapodataka subjekata NIPP-a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1"/>
        <w:gridCol w:w="1351"/>
        <w:gridCol w:w="1299"/>
        <w:gridCol w:w="1299"/>
        <w:gridCol w:w="1299"/>
        <w:gridCol w:w="1299"/>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Doneseni propisi</w:t>
            </w:r>
          </w:p>
        </w:tc>
        <w:tc>
          <w:tcPr>
            <w:tcW w:w="1300" w:type="dxa"/>
          </w:tcPr>
          <w:p w:rsidR="00AC0832" w:rsidRDefault="00AC0832">
            <w:pPr>
              <w:pStyle w:val="CellColumn"/>
            </w:pPr>
            <w:r>
              <w:t>Definirani propisi jednoznačno ubrzavaju postizanje cilja</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DGU</w:t>
            </w:r>
          </w:p>
        </w:tc>
        <w:tc>
          <w:tcPr>
            <w:tcW w:w="1300" w:type="dxa"/>
          </w:tcPr>
          <w:p w:rsidR="00AC0832" w:rsidRDefault="00AC0832">
            <w:pPr>
              <w:pStyle w:val="CellColumn"/>
            </w:pPr>
            <w:r>
              <w:t>90</w:t>
            </w:r>
          </w:p>
        </w:tc>
        <w:tc>
          <w:tcPr>
            <w:tcW w:w="1300" w:type="dxa"/>
          </w:tcPr>
          <w:p w:rsidR="00AC0832" w:rsidRDefault="00AC0832">
            <w:pPr>
              <w:pStyle w:val="CellColumn"/>
            </w:pPr>
            <w:r>
              <w:t>85</w:t>
            </w:r>
          </w:p>
        </w:tc>
      </w:tr>
      <w:tr w:rsidR="00AC0832" w:rsidTr="00BE20ED">
        <w:trPr>
          <w:jc w:val="center"/>
        </w:trPr>
        <w:tc>
          <w:tcPr>
            <w:tcW w:w="1300" w:type="dxa"/>
          </w:tcPr>
          <w:p w:rsidR="00AC0832" w:rsidRDefault="00AC0832">
            <w:pPr>
              <w:pStyle w:val="CellColumn"/>
            </w:pPr>
            <w:r>
              <w:t>POvećanje broja nadograđenih setova podataka</w:t>
            </w:r>
          </w:p>
        </w:tc>
        <w:tc>
          <w:tcPr>
            <w:tcW w:w="1300" w:type="dxa"/>
          </w:tcPr>
          <w:p w:rsidR="00AC0832" w:rsidRDefault="00AC0832">
            <w:pPr>
              <w:pStyle w:val="CellColumn"/>
            </w:pPr>
            <w:r>
              <w:t>Ispunjenjem plana se ubrzava ostvarenje cilja</w:t>
            </w:r>
          </w:p>
        </w:tc>
        <w:tc>
          <w:tcPr>
            <w:tcW w:w="1300" w:type="dxa"/>
          </w:tcPr>
          <w:p w:rsidR="00AC0832" w:rsidRDefault="00AC0832">
            <w:pPr>
              <w:pStyle w:val="CellColumn"/>
            </w:pPr>
            <w:r>
              <w:t>Broj</w:t>
            </w:r>
          </w:p>
        </w:tc>
        <w:tc>
          <w:tcPr>
            <w:tcW w:w="1300" w:type="dxa"/>
          </w:tcPr>
          <w:p w:rsidR="00AC0832" w:rsidRDefault="00AC0832">
            <w:pPr>
              <w:pStyle w:val="CellColumn"/>
            </w:pPr>
            <w:r>
              <w:t>5</w:t>
            </w:r>
          </w:p>
        </w:tc>
        <w:tc>
          <w:tcPr>
            <w:tcW w:w="1300" w:type="dxa"/>
          </w:tcPr>
          <w:p w:rsidR="00AC0832" w:rsidRDefault="00AC0832">
            <w:pPr>
              <w:pStyle w:val="CellColumn"/>
            </w:pPr>
            <w:r>
              <w:t>DGU</w:t>
            </w:r>
          </w:p>
        </w:tc>
        <w:tc>
          <w:tcPr>
            <w:tcW w:w="1300" w:type="dxa"/>
          </w:tcPr>
          <w:p w:rsidR="00AC0832" w:rsidRDefault="00AC0832">
            <w:pPr>
              <w:pStyle w:val="CellColumn"/>
            </w:pPr>
            <w:r>
              <w:t>8</w:t>
            </w:r>
          </w:p>
        </w:tc>
        <w:tc>
          <w:tcPr>
            <w:tcW w:w="1300" w:type="dxa"/>
          </w:tcPr>
          <w:p w:rsidR="00AC0832" w:rsidRDefault="00AC0832">
            <w:pPr>
              <w:pStyle w:val="CellColumn"/>
            </w:pPr>
            <w:r>
              <w:t>7</w:t>
            </w:r>
          </w:p>
        </w:tc>
      </w:tr>
      <w:tr w:rsidR="00AC0832" w:rsidTr="00BE20ED">
        <w:trPr>
          <w:jc w:val="center"/>
        </w:trPr>
        <w:tc>
          <w:tcPr>
            <w:tcW w:w="1300" w:type="dxa"/>
          </w:tcPr>
          <w:p w:rsidR="00AC0832" w:rsidRDefault="00AC0832">
            <w:pPr>
              <w:pStyle w:val="CellColumn"/>
            </w:pPr>
            <w:r>
              <w:t>Povećanje broja umreženih subjekata NIPP-a</w:t>
            </w:r>
          </w:p>
        </w:tc>
        <w:tc>
          <w:tcPr>
            <w:tcW w:w="1300" w:type="dxa"/>
          </w:tcPr>
          <w:p w:rsidR="00AC0832" w:rsidRDefault="00AC0832">
            <w:pPr>
              <w:pStyle w:val="CellColumn"/>
            </w:pPr>
            <w:r>
              <w:t>Ispunjenjem plana se ubrzava ostvarenje cilja</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DGU</w:t>
            </w:r>
          </w:p>
        </w:tc>
        <w:tc>
          <w:tcPr>
            <w:tcW w:w="1300" w:type="dxa"/>
          </w:tcPr>
          <w:p w:rsidR="00AC0832" w:rsidRDefault="00AC0832">
            <w:pPr>
              <w:pStyle w:val="CellColumn"/>
            </w:pPr>
            <w:r>
              <w:t>4</w:t>
            </w:r>
          </w:p>
        </w:tc>
        <w:tc>
          <w:tcPr>
            <w:tcW w:w="1300" w:type="dxa"/>
          </w:tcPr>
          <w:p w:rsidR="00AC0832" w:rsidRDefault="00AC0832">
            <w:pPr>
              <w:pStyle w:val="CellColumn"/>
            </w:pPr>
            <w:r>
              <w:t>3</w:t>
            </w:r>
          </w:p>
        </w:tc>
      </w:tr>
    </w:tbl>
    <w:p w:rsidR="00AC0832" w:rsidRDefault="00AC0832">
      <w:pPr>
        <w:jc w:val="left"/>
      </w:pPr>
    </w:p>
    <w:p w:rsidR="00AC0832" w:rsidRDefault="00AC0832">
      <w:pPr>
        <w:pStyle w:val="Heading7"/>
      </w:pPr>
      <w:r>
        <w:t>Cilj 5. Poboljšati evidentiranje u katastru građevina za koje su donesena rješenja i potvrde o izvedenom stanju</w:t>
      </w:r>
    </w:p>
    <w:p w:rsidR="00AC0832" w:rsidRDefault="00AC0832">
      <w:pPr>
        <w:pStyle w:val="Heading8"/>
        <w:jc w:val="left"/>
      </w:pPr>
      <w:r>
        <w:t>Opis provedbe cilja programa</w:t>
      </w:r>
    </w:p>
    <w:p w:rsidR="00AC0832" w:rsidRDefault="00AC0832">
      <w:pPr>
        <w:pStyle w:val="Normal6"/>
      </w:pPr>
      <w:r>
        <w:t xml:space="preserve">Donošenjem Zakona o postupanju s nezakonito izgrađenim zgradama (NN 90/11) i očekivanim izmjenama i dopunama  Zakona u 2012. godini stvoriti će se sve pretpostavke za provedbu postupka legalizacije na efikasan i racionalan način. S tim će se značajan  dio stambenog i gospodarskog fonda uključiiti u pravni sustav Republike Hrvatske koji će bit evidentiran u katastarskom operatu i upisivan u zemljišne knjige, što će rezultirati usklađivanjem stanja u registrima sa stanjem u naravi i posljedično doprinijeti stvarnom povećanju tržišta nekretnina. Pri tome će se kroz pojednostavljenje ozakonjenja postojećih zgrada koje služe za obavljanje poljoprivrednih djelatnosti omogućiti ostvarenje nužnog preduvjeta legalnosti za podnošenje zahtjeva za poticaje i sredstva predpristupnih fondova EU (SAPARD IIPARD), odnosno kroz postupak ozakonjenja, omogućiti će se bitno brže sređivanje stanja u vezi nezakonite gradnje. Rezultati ovih aktivnosti biti će i unapređenje stanja u katastarskom operatu i pojednostavljenje i ubrzanje postupka izrade i donošenja prostornih planova lokalne i područne razine stvaranjem ozakonjenja. Ulaganjem dijela ostvarenih prihoda od naknada za zadržavanje nezakonitih zgrada u ubrzanje provedbe katastarske izmjere i obnove zemljišnih knjiga osigurati će se točni, pouzdani i ažurni podatci, povećanje prometa nekretnina kroz zemljišne knjige, smanjenje broja imovinsko-pravnih sporova, povećanje broja registriranih zgrada, povećanje komunalnih prihoda općina i gradova i sl. </w:t>
      </w:r>
    </w:p>
    <w:p w:rsidR="00AC0832" w:rsidRDefault="00AC0832">
      <w:pPr>
        <w:pStyle w:val="Normal6"/>
      </w:pPr>
      <w:r>
        <w:t xml:space="preserve"> </w:t>
      </w:r>
    </w:p>
    <w:p w:rsidR="00AC0832" w:rsidRDefault="00AC0832">
      <w:pPr>
        <w:pStyle w:val="Normal6"/>
      </w:pPr>
      <w:r>
        <w:t xml:space="preserve">Načini ostvarenja postavljenog cilja:  </w:t>
      </w:r>
    </w:p>
    <w:p w:rsidR="00AC0832" w:rsidRDefault="00AC0832">
      <w:pPr>
        <w:pStyle w:val="Normal6"/>
      </w:pPr>
      <w:r>
        <w:t xml:space="preserve">Provedba rješenja o izvedenom stanju za nezakonite zgrade </w:t>
      </w:r>
    </w:p>
    <w:p w:rsidR="00AC0832" w:rsidRDefault="00AC0832">
      <w:pPr>
        <w:pStyle w:val="Normal6"/>
      </w:pPr>
      <w:r>
        <w:t>Povećanje broja dovršenih izmjera K.O.</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4"/>
        <w:gridCol w:w="1923"/>
        <w:gridCol w:w="950"/>
        <w:gridCol w:w="1279"/>
        <w:gridCol w:w="1277"/>
        <w:gridCol w:w="1279"/>
        <w:gridCol w:w="1286"/>
      </w:tblGrid>
      <w:tr w:rsidR="00AC0832" w:rsidTr="007173C2">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980" w:type="dxa"/>
            <w:shd w:val="clear" w:color="auto" w:fill="B5C0D8"/>
          </w:tcPr>
          <w:p w:rsidR="00AC0832" w:rsidRDefault="00AC0832">
            <w:pPr>
              <w:pStyle w:val="CellHeader"/>
            </w:pPr>
            <w:r>
              <w:t>Definicija</w:t>
            </w:r>
          </w:p>
        </w:tc>
        <w:tc>
          <w:tcPr>
            <w:tcW w:w="671"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7173C2">
        <w:trPr>
          <w:jc w:val="center"/>
        </w:trPr>
        <w:tc>
          <w:tcPr>
            <w:tcW w:w="1300" w:type="dxa"/>
          </w:tcPr>
          <w:p w:rsidR="00AC0832" w:rsidRDefault="00AC0832">
            <w:pPr>
              <w:pStyle w:val="CellColumn"/>
            </w:pPr>
            <w:r>
              <w:t>Provedena rješenja o izvedenom stanju nezakonitih zgrada</w:t>
            </w:r>
          </w:p>
        </w:tc>
        <w:tc>
          <w:tcPr>
            <w:tcW w:w="1980" w:type="dxa"/>
          </w:tcPr>
          <w:p w:rsidR="00AC0832" w:rsidRDefault="00AC0832">
            <w:pPr>
              <w:pStyle w:val="CellColumn"/>
            </w:pPr>
            <w:r>
              <w:t>Definirani propisi jednoznačno ubrzavaju postizanje cilja</w:t>
            </w:r>
          </w:p>
        </w:tc>
        <w:tc>
          <w:tcPr>
            <w:tcW w:w="671"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DGU</w:t>
            </w:r>
          </w:p>
        </w:tc>
        <w:tc>
          <w:tcPr>
            <w:tcW w:w="1300" w:type="dxa"/>
          </w:tcPr>
          <w:p w:rsidR="00AC0832" w:rsidRDefault="00AC0832">
            <w:pPr>
              <w:pStyle w:val="CellColumn"/>
            </w:pPr>
            <w:r>
              <w:t>100</w:t>
            </w:r>
          </w:p>
        </w:tc>
        <w:tc>
          <w:tcPr>
            <w:tcW w:w="1300" w:type="dxa"/>
          </w:tcPr>
          <w:p w:rsidR="00AC0832" w:rsidRDefault="00AC0832">
            <w:pPr>
              <w:pStyle w:val="CellColumn"/>
            </w:pPr>
            <w:r>
              <w:t>100</w:t>
            </w:r>
          </w:p>
        </w:tc>
      </w:tr>
      <w:tr w:rsidR="00AC0832" w:rsidTr="007173C2">
        <w:trPr>
          <w:jc w:val="center"/>
        </w:trPr>
        <w:tc>
          <w:tcPr>
            <w:tcW w:w="1300" w:type="dxa"/>
          </w:tcPr>
          <w:p w:rsidR="00AC0832" w:rsidRDefault="00AC0832">
            <w:pPr>
              <w:pStyle w:val="CellColumn"/>
            </w:pPr>
            <w:r>
              <w:t>Povećanje broja dovršenih izmjera K.O.</w:t>
            </w:r>
          </w:p>
        </w:tc>
        <w:tc>
          <w:tcPr>
            <w:tcW w:w="1980" w:type="dxa"/>
          </w:tcPr>
          <w:p w:rsidR="00AC0832" w:rsidRDefault="00AC0832">
            <w:pPr>
              <w:pStyle w:val="CellColumn"/>
            </w:pPr>
            <w:r>
              <w:t>Provedbom izmjera podići će se kvaliteta, točnost, pouzdanost i ažurnost podataka u prostoru</w:t>
            </w:r>
          </w:p>
        </w:tc>
        <w:tc>
          <w:tcPr>
            <w:tcW w:w="671"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DGU</w:t>
            </w:r>
          </w:p>
        </w:tc>
        <w:tc>
          <w:tcPr>
            <w:tcW w:w="1300" w:type="dxa"/>
          </w:tcPr>
          <w:p w:rsidR="00AC0832" w:rsidRDefault="00AC0832">
            <w:pPr>
              <w:pStyle w:val="CellColumn"/>
            </w:pPr>
            <w:r>
              <w:t>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A664001 ODRŽAVANJE KATASTRA ZEMLJIŠTA I USPOSTAVA KATASTRA NEKRETNINA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A664001-ODRŽAVANJE KATASTRA ZEMLJIŠTA I USPOSTAVA KATASTRA NEKRETNINA</w:t>
            </w:r>
          </w:p>
        </w:tc>
        <w:tc>
          <w:tcPr>
            <w:tcW w:w="2322" w:type="dxa"/>
          </w:tcPr>
          <w:p w:rsidR="00AC0832" w:rsidRDefault="00AC0832">
            <w:pPr>
              <w:pStyle w:val="CellColumn"/>
            </w:pPr>
            <w:r>
              <w:t>17.400.000</w:t>
            </w:r>
          </w:p>
        </w:tc>
        <w:tc>
          <w:tcPr>
            <w:tcW w:w="2322" w:type="dxa"/>
          </w:tcPr>
          <w:p w:rsidR="00AC0832" w:rsidRDefault="00AC0832">
            <w:pPr>
              <w:pStyle w:val="CellColumn"/>
            </w:pPr>
            <w:r>
              <w:t>16.444.113</w:t>
            </w:r>
          </w:p>
        </w:tc>
        <w:tc>
          <w:tcPr>
            <w:tcW w:w="2322" w:type="dxa"/>
          </w:tcPr>
          <w:p w:rsidR="00AC0832" w:rsidRDefault="00AC0832">
            <w:pPr>
              <w:pStyle w:val="CellColumn"/>
            </w:pPr>
            <w:r>
              <w:t>94,5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Planirana sredstava iznose 17.400.000 kn, a izvršeno je 16.444.113 kn sa indeksom izvršenja 94,5%. Tijekom 2012. godine u službenu uporabu je stavljeno novih 50 katastarskih općina čiji su podaci harmonizirani sa podacima zemljišne knjige. Svi katastarski planovi za sve katastarske općine su u cjelosti vektorizirani, a planirani ciljevi  su postignuti.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17"/>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dovršenih obnova K.O.</w:t>
            </w:r>
          </w:p>
        </w:tc>
        <w:tc>
          <w:tcPr>
            <w:tcW w:w="1300" w:type="dxa"/>
          </w:tcPr>
          <w:p w:rsidR="00AC0832" w:rsidRDefault="00AC0832">
            <w:pPr>
              <w:pStyle w:val="CellColumn"/>
            </w:pPr>
            <w:r>
              <w:t>Obnovom katastra i (ZK) podići će se kvaliteta, točnost, pouzdanost i ažurnost podataka</w:t>
            </w:r>
          </w:p>
        </w:tc>
        <w:tc>
          <w:tcPr>
            <w:tcW w:w="1300" w:type="dxa"/>
          </w:tcPr>
          <w:p w:rsidR="00AC0832" w:rsidRDefault="00AC0832">
            <w:pPr>
              <w:pStyle w:val="CellColumn"/>
            </w:pPr>
            <w:r>
              <w:t>broj</w:t>
            </w:r>
          </w:p>
        </w:tc>
        <w:tc>
          <w:tcPr>
            <w:tcW w:w="1300" w:type="dxa"/>
          </w:tcPr>
          <w:p w:rsidR="00AC0832" w:rsidRDefault="00AC0832">
            <w:pPr>
              <w:pStyle w:val="CellColumn"/>
            </w:pPr>
            <w:r>
              <w:t>85</w:t>
            </w:r>
          </w:p>
        </w:tc>
        <w:tc>
          <w:tcPr>
            <w:tcW w:w="1300" w:type="dxa"/>
          </w:tcPr>
          <w:p w:rsidR="00AC0832" w:rsidRDefault="00AC0832">
            <w:pPr>
              <w:pStyle w:val="CellColumn"/>
            </w:pPr>
            <w:r>
              <w:t>DGU</w:t>
            </w:r>
          </w:p>
        </w:tc>
        <w:tc>
          <w:tcPr>
            <w:tcW w:w="1300" w:type="dxa"/>
          </w:tcPr>
          <w:p w:rsidR="00AC0832" w:rsidRDefault="00AC0832">
            <w:pPr>
              <w:pStyle w:val="CellColumn"/>
            </w:pPr>
            <w:r>
              <w:t>135</w:t>
            </w:r>
          </w:p>
        </w:tc>
        <w:tc>
          <w:tcPr>
            <w:tcW w:w="1300" w:type="dxa"/>
          </w:tcPr>
          <w:p w:rsidR="00AC0832" w:rsidRDefault="00AC0832">
            <w:pPr>
              <w:pStyle w:val="CellColumn"/>
            </w:pPr>
            <w:r>
              <w:t>135</w:t>
            </w:r>
          </w:p>
        </w:tc>
      </w:tr>
      <w:tr w:rsidR="00AC0832" w:rsidTr="00BE20ED">
        <w:trPr>
          <w:jc w:val="center"/>
        </w:trPr>
        <w:tc>
          <w:tcPr>
            <w:tcW w:w="1300" w:type="dxa"/>
          </w:tcPr>
          <w:p w:rsidR="00AC0832" w:rsidRDefault="00AC0832">
            <w:pPr>
              <w:pStyle w:val="CellColumn"/>
            </w:pPr>
            <w:r>
              <w:t>Povećanje efikasnosti u provođenju promjena</w:t>
            </w:r>
          </w:p>
        </w:tc>
        <w:tc>
          <w:tcPr>
            <w:tcW w:w="1300" w:type="dxa"/>
          </w:tcPr>
          <w:p w:rsidR="00AC0832" w:rsidRDefault="00AC0832">
            <w:pPr>
              <w:pStyle w:val="CellColumn"/>
            </w:pPr>
            <w:r>
              <w:t>Povećanjem efikasnosti povećati će se kapacitet provođenja promjena</w:t>
            </w:r>
          </w:p>
        </w:tc>
        <w:tc>
          <w:tcPr>
            <w:tcW w:w="1300" w:type="dxa"/>
          </w:tcPr>
          <w:p w:rsidR="00AC0832" w:rsidRDefault="00AC0832">
            <w:pPr>
              <w:pStyle w:val="CellColumn"/>
            </w:pPr>
            <w:r>
              <w:t>%</w:t>
            </w:r>
          </w:p>
        </w:tc>
        <w:tc>
          <w:tcPr>
            <w:tcW w:w="1300" w:type="dxa"/>
          </w:tcPr>
          <w:p w:rsidR="00AC0832" w:rsidRDefault="00AC0832">
            <w:pPr>
              <w:pStyle w:val="CellColumn"/>
            </w:pPr>
            <w:r>
              <w:t>90</w:t>
            </w:r>
          </w:p>
        </w:tc>
        <w:tc>
          <w:tcPr>
            <w:tcW w:w="1300" w:type="dxa"/>
          </w:tcPr>
          <w:p w:rsidR="00AC0832" w:rsidRDefault="00AC0832">
            <w:pPr>
              <w:pStyle w:val="CellColumn"/>
            </w:pPr>
            <w:r>
              <w:t>DGU</w:t>
            </w:r>
          </w:p>
        </w:tc>
        <w:tc>
          <w:tcPr>
            <w:tcW w:w="1300" w:type="dxa"/>
          </w:tcPr>
          <w:p w:rsidR="00AC0832" w:rsidRDefault="00AC0832">
            <w:pPr>
              <w:pStyle w:val="CellColumn"/>
            </w:pPr>
            <w:r>
              <w:t>94</w:t>
            </w:r>
          </w:p>
        </w:tc>
        <w:tc>
          <w:tcPr>
            <w:tcW w:w="1300" w:type="dxa"/>
          </w:tcPr>
          <w:p w:rsidR="00AC0832" w:rsidRDefault="00AC0832">
            <w:pPr>
              <w:pStyle w:val="CellColumn"/>
            </w:pPr>
            <w:r>
              <w:t>94</w:t>
            </w:r>
          </w:p>
        </w:tc>
      </w:tr>
    </w:tbl>
    <w:p w:rsidR="00AC0832" w:rsidRDefault="00AC0832">
      <w:pPr>
        <w:jc w:val="left"/>
      </w:pPr>
    </w:p>
    <w:p w:rsidR="00AC0832" w:rsidRDefault="00AC0832">
      <w:pPr>
        <w:pStyle w:val="Heading1"/>
      </w:pPr>
      <w:r>
        <w:t>077 MINISTARSTVO ZAŠTITE OKOLIŠA I PRIRODE</w:t>
      </w:r>
    </w:p>
    <w:p w:rsidR="00AC0832" w:rsidRDefault="00AC0832">
      <w:pPr>
        <w:pStyle w:val="Heading4"/>
      </w:pPr>
      <w:r>
        <w:t>Uvod</w:t>
      </w:r>
    </w:p>
    <w:p w:rsidR="00AC0832" w:rsidRDefault="00AC0832">
      <w:pPr>
        <w:pStyle w:val="Normal3"/>
      </w:pPr>
      <w:r>
        <w:t>Prema Zakonu o ustrojstvu i djelokrugu ministarstava i drugih središnjih tijela državne uprave (NN 150/11), djelokrug rada Ministarstva  zaštite okoliša i prirode obuhvaća poslove koji se odnose na zaštitu i očuvanje okoliša i prirode u skladu s politikom održivog razvitka Republike Hrvatske. U nadležnosti ovog Ministarstva je i nadzor nad poslovanjem Agencije za zaštitu okoliša, Državnog zavoda za zaštitu prirode i Nacionalnih parkova i parkova prirode.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07705-Ministarstvo zaštite okoliša i prirode</w:t>
            </w:r>
          </w:p>
        </w:tc>
        <w:tc>
          <w:tcPr>
            <w:tcW w:w="2322" w:type="dxa"/>
          </w:tcPr>
          <w:p w:rsidR="00AC0832" w:rsidRDefault="00AC0832">
            <w:pPr>
              <w:pStyle w:val="CellColumn"/>
            </w:pPr>
            <w:r>
              <w:t>179.393.145</w:t>
            </w:r>
          </w:p>
        </w:tc>
        <w:tc>
          <w:tcPr>
            <w:tcW w:w="2322" w:type="dxa"/>
          </w:tcPr>
          <w:p w:rsidR="00AC0832" w:rsidRDefault="00AC0832">
            <w:pPr>
              <w:pStyle w:val="CellColumn"/>
            </w:pPr>
            <w:r>
              <w:t>90.926.822</w:t>
            </w:r>
          </w:p>
        </w:tc>
        <w:tc>
          <w:tcPr>
            <w:tcW w:w="2322" w:type="dxa"/>
          </w:tcPr>
          <w:p w:rsidR="00AC0832" w:rsidRDefault="00AC0832">
            <w:pPr>
              <w:pStyle w:val="CellColumn"/>
            </w:pPr>
            <w:r>
              <w:t>50,7</w:t>
            </w:r>
          </w:p>
        </w:tc>
      </w:tr>
      <w:tr w:rsidR="00AC0832" w:rsidTr="00BE20ED">
        <w:trPr>
          <w:jc w:val="center"/>
        </w:trPr>
        <w:tc>
          <w:tcPr>
            <w:tcW w:w="2322" w:type="dxa"/>
          </w:tcPr>
          <w:p w:rsidR="00AC0832" w:rsidRDefault="00AC0832">
            <w:pPr>
              <w:pStyle w:val="CellColumn"/>
            </w:pPr>
            <w:r>
              <w:t>07710-Agencija za zaštitu okoliša</w:t>
            </w:r>
          </w:p>
        </w:tc>
        <w:tc>
          <w:tcPr>
            <w:tcW w:w="2322" w:type="dxa"/>
          </w:tcPr>
          <w:p w:rsidR="00AC0832" w:rsidRDefault="00AC0832">
            <w:pPr>
              <w:pStyle w:val="CellColumn"/>
            </w:pPr>
            <w:r>
              <w:t>19.434.145</w:t>
            </w:r>
          </w:p>
        </w:tc>
        <w:tc>
          <w:tcPr>
            <w:tcW w:w="2322" w:type="dxa"/>
          </w:tcPr>
          <w:p w:rsidR="00AC0832" w:rsidRDefault="00AC0832">
            <w:pPr>
              <w:pStyle w:val="CellColumn"/>
            </w:pPr>
            <w:r>
              <w:t>16.802.207</w:t>
            </w:r>
          </w:p>
        </w:tc>
        <w:tc>
          <w:tcPr>
            <w:tcW w:w="2322" w:type="dxa"/>
          </w:tcPr>
          <w:p w:rsidR="00AC0832" w:rsidRDefault="00AC0832">
            <w:pPr>
              <w:pStyle w:val="CellColumn"/>
            </w:pPr>
            <w:r>
              <w:t>86,5</w:t>
            </w:r>
          </w:p>
        </w:tc>
      </w:tr>
      <w:tr w:rsidR="00AC0832" w:rsidTr="00BE20ED">
        <w:trPr>
          <w:jc w:val="center"/>
        </w:trPr>
        <w:tc>
          <w:tcPr>
            <w:tcW w:w="2322" w:type="dxa"/>
          </w:tcPr>
          <w:p w:rsidR="00AC0832" w:rsidRDefault="00AC0832">
            <w:pPr>
              <w:pStyle w:val="CellColumn"/>
            </w:pPr>
            <w:r>
              <w:t>07715-Nacionalni parkovi i parkovi prirode</w:t>
            </w:r>
          </w:p>
        </w:tc>
        <w:tc>
          <w:tcPr>
            <w:tcW w:w="2322" w:type="dxa"/>
          </w:tcPr>
          <w:p w:rsidR="00AC0832" w:rsidRDefault="00AC0832">
            <w:pPr>
              <w:pStyle w:val="CellColumn"/>
            </w:pPr>
            <w:r>
              <w:t>69.200.825</w:t>
            </w:r>
          </w:p>
        </w:tc>
        <w:tc>
          <w:tcPr>
            <w:tcW w:w="2322" w:type="dxa"/>
          </w:tcPr>
          <w:p w:rsidR="00AC0832" w:rsidRDefault="00AC0832">
            <w:pPr>
              <w:pStyle w:val="CellColumn"/>
            </w:pPr>
            <w:r>
              <w:t>67.607.295</w:t>
            </w:r>
          </w:p>
        </w:tc>
        <w:tc>
          <w:tcPr>
            <w:tcW w:w="2322" w:type="dxa"/>
          </w:tcPr>
          <w:p w:rsidR="00AC0832" w:rsidRDefault="00AC0832">
            <w:pPr>
              <w:pStyle w:val="CellColumn"/>
            </w:pPr>
            <w:r>
              <w:t>97,7</w:t>
            </w:r>
          </w:p>
        </w:tc>
      </w:tr>
      <w:tr w:rsidR="00AC0832" w:rsidTr="00BE20ED">
        <w:trPr>
          <w:jc w:val="center"/>
        </w:trPr>
        <w:tc>
          <w:tcPr>
            <w:tcW w:w="2322" w:type="dxa"/>
            <w:shd w:val="clear" w:color="auto" w:fill="B5C0D8"/>
          </w:tcPr>
          <w:p w:rsidR="00AC0832" w:rsidRDefault="00AC0832">
            <w:pPr>
              <w:pStyle w:val="CellColumn"/>
            </w:pPr>
            <w:r>
              <w:t>Ukupno 077-MINISTARSTVO ZAŠTITE OKOLIŠA I PRIRODE</w:t>
            </w:r>
          </w:p>
        </w:tc>
        <w:tc>
          <w:tcPr>
            <w:tcW w:w="2322" w:type="dxa"/>
            <w:shd w:val="clear" w:color="auto" w:fill="B5C0D8"/>
          </w:tcPr>
          <w:p w:rsidR="00AC0832" w:rsidRDefault="00AC0832">
            <w:pPr>
              <w:pStyle w:val="CellColumn"/>
            </w:pPr>
            <w:r>
              <w:t>268.028.115</w:t>
            </w:r>
          </w:p>
        </w:tc>
        <w:tc>
          <w:tcPr>
            <w:tcW w:w="2322" w:type="dxa"/>
            <w:shd w:val="clear" w:color="auto" w:fill="B5C0D8"/>
          </w:tcPr>
          <w:p w:rsidR="00AC0832" w:rsidRDefault="00AC0832">
            <w:pPr>
              <w:pStyle w:val="CellColumn"/>
            </w:pPr>
            <w:r>
              <w:t>175.336.324</w:t>
            </w:r>
          </w:p>
        </w:tc>
        <w:tc>
          <w:tcPr>
            <w:tcW w:w="2322" w:type="dxa"/>
            <w:shd w:val="clear" w:color="auto" w:fill="B5C0D8"/>
          </w:tcPr>
          <w:p w:rsidR="00AC0832" w:rsidRDefault="00AC0832">
            <w:pPr>
              <w:pStyle w:val="CellColumn"/>
            </w:pPr>
            <w:r>
              <w:t>65,4</w:t>
            </w:r>
          </w:p>
        </w:tc>
      </w:tr>
    </w:tbl>
    <w:p w:rsidR="00AC0832" w:rsidRDefault="00AC0832">
      <w:pPr>
        <w:jc w:val="left"/>
      </w:pPr>
    </w:p>
    <w:p w:rsidR="00AC0832" w:rsidRDefault="00AC0832">
      <w:pPr>
        <w:pStyle w:val="Heading2"/>
      </w:pPr>
      <w:r>
        <w:t>07705 Ministarstvo zaštite okoliša i prirode</w:t>
      </w:r>
    </w:p>
    <w:p w:rsidR="00AC0832" w:rsidRDefault="00AC0832">
      <w:pPr>
        <w:pStyle w:val="Heading4"/>
      </w:pPr>
      <w:r>
        <w:t>Uvod</w:t>
      </w:r>
    </w:p>
    <w:p w:rsidR="00AC0832" w:rsidRDefault="00AC0832">
      <w:pPr>
        <w:pStyle w:val="Normal3"/>
      </w:pPr>
      <w:r>
        <w:t xml:space="preserve">Prema Zakonu o ustrojstvu i djelokrugu ministarstava i drugih središnjih tijela državne uprave (NN 150/11), djelokrug rada Ministarstva  zaštite okoliša i prirode obuhvaća poslove koji se odnose na zaštitu i očuvanje okoliša i prirode u skladu s politikom održivog razvitka Republike Hrvatske. </w:t>
      </w:r>
    </w:p>
    <w:p w:rsidR="00AC0832" w:rsidRDefault="00AC0832">
      <w:pPr>
        <w:pStyle w:val="Normal3"/>
      </w:pPr>
      <w:r>
        <w:t>Ministarstvo obavlja upravne i druge poslove koji se odnose na: opću politiku zaštite okoliša u ostvarivanju uvjeta za održivi razvoj; zaštitu zraka, tla, voda, mora, biljnog i životinjskog svijeta u ukupnosti uzajamnog djelovanja; izradu prijedloga mjera za unapređenje stanja u području zaštite okoliša, provedbu ciljeva zaštite okoliša utvrđenih strategijom zaštite okoliša i izradu izvješća o stanju okoliša u državi, predlaganje, promicanje i praćenje mjera za unapređivanje zaštite okoliša; provedbu procjene utjecaja na okoliš; vođenje informacijskog sustava zaštite okoliša, utvrđivanje mjera, uvjeta i suglasnosti zaštite okoliša; skrb, usklađivanje i vođenje nadzora nad financiranjem programa zaštite okoliša; postupanje s otpadom;  inspekcijske poslove zaštite okoliša; poticanje odgoja i obrazovanja te istraživanja u svezi sa zaštitom okoliša; obavlja upravne i druge poslove koji se odnose na: istraživanje, proučavanje, praćenje, evidentiranje, dokumentiranje i promicanje prirodne baštine, središnju informacijsko-dokumentacijsku službu; utvrđivanje svojstva zaštićenih dijelova prirode te njihovo vrednovanje; vođenje središnjih upisnika zaštićenih dijelova prirode; propisivanje mjerila za utvrđivanje programa javnih potreba u području zaštite prirode Republike Hrvatske;  osiguravanje uvjeta za obrazovanje i usavršavanje stručnih djelatnika u djelatnostima zaštite prirode, provedbu nadzora prometa, uvoza, izvoza zaštićenih dijelova prirode; utvrđivanje uvjeta za korištenje i namjenu zaštićenih dijelova prirode, te upravljanje zaštićenim dijelovima prirode; utvrđivanje uvjeta zaštite prirode.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07705-Ministarstvo zaštite okoliša i prirode</w:t>
            </w:r>
          </w:p>
        </w:tc>
        <w:tc>
          <w:tcPr>
            <w:tcW w:w="2322" w:type="dxa"/>
          </w:tcPr>
          <w:p w:rsidR="00AC0832" w:rsidRDefault="00AC0832">
            <w:pPr>
              <w:pStyle w:val="CellColumn"/>
            </w:pPr>
            <w:r>
              <w:t>179.393.145</w:t>
            </w:r>
          </w:p>
        </w:tc>
        <w:tc>
          <w:tcPr>
            <w:tcW w:w="2322" w:type="dxa"/>
          </w:tcPr>
          <w:p w:rsidR="00AC0832" w:rsidRDefault="00AC0832">
            <w:pPr>
              <w:pStyle w:val="CellColumn"/>
            </w:pPr>
            <w:r>
              <w:t>90.926.822</w:t>
            </w:r>
          </w:p>
        </w:tc>
        <w:tc>
          <w:tcPr>
            <w:tcW w:w="2322" w:type="dxa"/>
          </w:tcPr>
          <w:p w:rsidR="00AC0832" w:rsidRDefault="00AC0832">
            <w:pPr>
              <w:pStyle w:val="CellColumn"/>
            </w:pPr>
            <w:r>
              <w:t>50,7</w:t>
            </w:r>
          </w:p>
        </w:tc>
      </w:tr>
      <w:tr w:rsidR="00AC0832" w:rsidTr="00BE20ED">
        <w:trPr>
          <w:jc w:val="center"/>
        </w:trPr>
        <w:tc>
          <w:tcPr>
            <w:tcW w:w="2322" w:type="dxa"/>
          </w:tcPr>
          <w:p w:rsidR="00AC0832" w:rsidRDefault="00AC0832">
            <w:pPr>
              <w:pStyle w:val="CellColumnSmall"/>
            </w:pPr>
            <w:r>
              <w:t>3401-ZAŠTITA PRIRODE</w:t>
            </w:r>
          </w:p>
        </w:tc>
        <w:tc>
          <w:tcPr>
            <w:tcW w:w="2322" w:type="dxa"/>
          </w:tcPr>
          <w:p w:rsidR="00AC0832" w:rsidRDefault="00AC0832">
            <w:pPr>
              <w:pStyle w:val="CellColumnSmall"/>
            </w:pPr>
            <w:r>
              <w:t>11.419.815</w:t>
            </w:r>
          </w:p>
        </w:tc>
        <w:tc>
          <w:tcPr>
            <w:tcW w:w="2322" w:type="dxa"/>
          </w:tcPr>
          <w:p w:rsidR="00AC0832" w:rsidRDefault="00AC0832">
            <w:pPr>
              <w:pStyle w:val="CellColumnSmall"/>
            </w:pPr>
            <w:r>
              <w:t>6.702.506</w:t>
            </w:r>
          </w:p>
        </w:tc>
        <w:tc>
          <w:tcPr>
            <w:tcW w:w="2322" w:type="dxa"/>
          </w:tcPr>
          <w:p w:rsidR="00AC0832" w:rsidRDefault="00AC0832">
            <w:pPr>
              <w:pStyle w:val="CellColumnSmall"/>
            </w:pPr>
            <w:r>
              <w:t>58,7</w:t>
            </w:r>
          </w:p>
        </w:tc>
      </w:tr>
      <w:tr w:rsidR="00AC0832" w:rsidTr="00BE20ED">
        <w:trPr>
          <w:jc w:val="center"/>
        </w:trPr>
        <w:tc>
          <w:tcPr>
            <w:tcW w:w="2322" w:type="dxa"/>
          </w:tcPr>
          <w:p w:rsidR="00AC0832" w:rsidRDefault="00AC0832">
            <w:pPr>
              <w:pStyle w:val="CellColumnSmall"/>
            </w:pPr>
            <w:r>
              <w:t>3402-ZAŠTITA OKOLIŠA</w:t>
            </w:r>
          </w:p>
        </w:tc>
        <w:tc>
          <w:tcPr>
            <w:tcW w:w="2322" w:type="dxa"/>
          </w:tcPr>
          <w:p w:rsidR="00AC0832" w:rsidRDefault="00AC0832">
            <w:pPr>
              <w:pStyle w:val="CellColumnSmall"/>
            </w:pPr>
            <w:r>
              <w:t>77.501.774</w:t>
            </w:r>
          </w:p>
        </w:tc>
        <w:tc>
          <w:tcPr>
            <w:tcW w:w="2322" w:type="dxa"/>
          </w:tcPr>
          <w:p w:rsidR="00AC0832" w:rsidRDefault="00AC0832">
            <w:pPr>
              <w:pStyle w:val="CellColumnSmall"/>
            </w:pPr>
            <w:r>
              <w:t>64.538.153</w:t>
            </w:r>
          </w:p>
        </w:tc>
        <w:tc>
          <w:tcPr>
            <w:tcW w:w="2322" w:type="dxa"/>
          </w:tcPr>
          <w:p w:rsidR="00AC0832" w:rsidRDefault="00AC0832">
            <w:pPr>
              <w:pStyle w:val="CellColumnSmall"/>
            </w:pPr>
            <w:r>
              <w:t>83,3</w:t>
            </w:r>
          </w:p>
        </w:tc>
      </w:tr>
      <w:tr w:rsidR="00AC0832" w:rsidTr="00BE20ED">
        <w:trPr>
          <w:jc w:val="center"/>
        </w:trPr>
        <w:tc>
          <w:tcPr>
            <w:tcW w:w="2322" w:type="dxa"/>
          </w:tcPr>
          <w:p w:rsidR="00AC0832" w:rsidRDefault="00AC0832">
            <w:pPr>
              <w:pStyle w:val="CellColumnSmall"/>
            </w:pPr>
            <w:r>
              <w:t>3405-GOSPODARENJE OTPADOM</w:t>
            </w:r>
          </w:p>
        </w:tc>
        <w:tc>
          <w:tcPr>
            <w:tcW w:w="2322" w:type="dxa"/>
          </w:tcPr>
          <w:p w:rsidR="00AC0832" w:rsidRDefault="00AC0832">
            <w:pPr>
              <w:pStyle w:val="CellColumnSmall"/>
            </w:pPr>
            <w:r>
              <w:t>90.471.556</w:t>
            </w:r>
          </w:p>
        </w:tc>
        <w:tc>
          <w:tcPr>
            <w:tcW w:w="2322" w:type="dxa"/>
          </w:tcPr>
          <w:p w:rsidR="00AC0832" w:rsidRDefault="00AC0832">
            <w:pPr>
              <w:pStyle w:val="CellColumnSmall"/>
            </w:pPr>
            <w:r>
              <w:t>19.686.163</w:t>
            </w:r>
          </w:p>
        </w:tc>
        <w:tc>
          <w:tcPr>
            <w:tcW w:w="2322" w:type="dxa"/>
          </w:tcPr>
          <w:p w:rsidR="00AC0832" w:rsidRDefault="00AC0832">
            <w:pPr>
              <w:pStyle w:val="CellColumnSmall"/>
            </w:pPr>
            <w:r>
              <w:t>21,8</w:t>
            </w:r>
          </w:p>
        </w:tc>
      </w:tr>
    </w:tbl>
    <w:p w:rsidR="00AC0832" w:rsidRDefault="00AC0832">
      <w:pPr>
        <w:jc w:val="left"/>
      </w:pPr>
    </w:p>
    <w:p w:rsidR="00AC0832" w:rsidRDefault="00AC0832">
      <w:pPr>
        <w:pStyle w:val="Heading4"/>
      </w:pPr>
      <w:r>
        <w:t>OBRAZLOŽENJE PROGRAMA</w:t>
      </w:r>
    </w:p>
    <w:p w:rsidR="00AC0832" w:rsidRDefault="00AC0832">
      <w:pPr>
        <w:pStyle w:val="Heading5"/>
      </w:pPr>
      <w:r>
        <w:t>3401 ZAŠTITA PRIRODE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3401-ZAŠTITA PRIRODE</w:t>
            </w:r>
          </w:p>
        </w:tc>
        <w:tc>
          <w:tcPr>
            <w:tcW w:w="2322" w:type="dxa"/>
          </w:tcPr>
          <w:p w:rsidR="00AC0832" w:rsidRDefault="00AC0832">
            <w:pPr>
              <w:pStyle w:val="CellColumn"/>
            </w:pPr>
            <w:r>
              <w:t>11.419.815</w:t>
            </w:r>
          </w:p>
        </w:tc>
        <w:tc>
          <w:tcPr>
            <w:tcW w:w="2322" w:type="dxa"/>
          </w:tcPr>
          <w:p w:rsidR="00AC0832" w:rsidRDefault="00AC0832">
            <w:pPr>
              <w:pStyle w:val="CellColumn"/>
            </w:pPr>
            <w:r>
              <w:t>6.702.506</w:t>
            </w:r>
          </w:p>
        </w:tc>
        <w:tc>
          <w:tcPr>
            <w:tcW w:w="2322" w:type="dxa"/>
          </w:tcPr>
          <w:p w:rsidR="00AC0832" w:rsidRDefault="00AC0832">
            <w:pPr>
              <w:pStyle w:val="CellColumn"/>
            </w:pPr>
            <w:r>
              <w:t>58,7</w:t>
            </w:r>
          </w:p>
        </w:tc>
      </w:tr>
    </w:tbl>
    <w:p w:rsidR="00AC0832" w:rsidRDefault="00AC0832">
      <w:pPr>
        <w:jc w:val="left"/>
      </w:pPr>
    </w:p>
    <w:p w:rsidR="00AC0832" w:rsidRDefault="00AC0832">
      <w:pPr>
        <w:pStyle w:val="Heading6"/>
      </w:pPr>
      <w:r>
        <w:t>Opis programa</w:t>
      </w:r>
    </w:p>
    <w:p w:rsidR="00AC0832" w:rsidRDefault="00AC0832">
      <w:pPr>
        <w:pStyle w:val="Normal5"/>
      </w:pPr>
      <w:r>
        <w:t>Zaštićena i očuvana priroda osigurati će postojanost temeljnih vrijednosti i potencijala za daljnji razvitak Republike Hrvatske, kao i njenu afirmaciju u europskom okruženju kao zemlje s razvijenom svijesti o značaju očuvanja prirodnog bogatstva koje pametnim, promišljenim i održivim korištenjem osigurava višestruke razvojne pravce. Cilj je osigurati povoljno stanje očuvanosti vrsta i staništa važnih bilo na hrvatskoj i/ili europskoj razini. Definirati će se područja važna za očuvanje ugroženih i rijetkih vrsta i stanišnih tipova Europske unije – mreža NATURA 2000 (N2000); uspostaviti će se mehanizmi održivog upravljanja ekološkom mrežom RH, mrežom N2000, ali i zaštićenim područjima. Proglasiti će se nova zaštićena područja te osigurati upravljanje strogo zaštićenim divljim vrstama. Nadalje, ojačati će se sustav upravljanja i nadzora u zaštiti prirode uspostavom informacijskog sustava zaštite prirode koji će osigurati brži protok i veću dostupnost potrebnih podataka. Edukacijom upravnih tijela županija, kao i stručnih i nadzornih službi javnih ustanova koje upravljaju zaštićenim područjima te aktivnim uključivanjem javnosti i zainteresirane javnosti, podići će se svijest o potrebi očuvanja prirode.</w:t>
      </w:r>
    </w:p>
    <w:p w:rsidR="00AC0832" w:rsidRDefault="00AC0832">
      <w:pPr>
        <w:pStyle w:val="Heading6"/>
      </w:pPr>
      <w:r>
        <w:t>Zakonske i druge pravne osnove</w:t>
      </w:r>
    </w:p>
    <w:p w:rsidR="00AC0832" w:rsidRDefault="00AC0832">
      <w:pPr>
        <w:pStyle w:val="Normal5"/>
      </w:pPr>
      <w:r>
        <w:t>Zakon o zaštiti prirode (NN, 70/05, 139/08 i 57/11); Strategija i akcijski plan zaštite biološke i krajobrazne raznolikosti Republike Hrvatske (NN, 143/08.); Nacionalni strateški referentni okvir.</w:t>
      </w:r>
    </w:p>
    <w:p w:rsidR="00AC0832" w:rsidRDefault="00AC0832">
      <w:pPr>
        <w:pStyle w:val="Heading7"/>
      </w:pPr>
      <w:r>
        <w:t>Cilj 1. Osigurano povoljno stanje očuvanosti vrsta i staništa</w:t>
      </w:r>
    </w:p>
    <w:p w:rsidR="00AC0832" w:rsidRDefault="00AC0832">
      <w:pPr>
        <w:pStyle w:val="Heading8"/>
        <w:jc w:val="left"/>
      </w:pPr>
      <w:r>
        <w:t>Opis provedbe cilja programa</w:t>
      </w:r>
    </w:p>
    <w:p w:rsidR="00AC0832" w:rsidRDefault="00AC0832">
      <w:pPr>
        <w:pStyle w:val="Normal6"/>
      </w:pPr>
      <w:r>
        <w:t>Kako bi očuvali i dugoročno osigurali opstanak divljih vrsta i staništa u povoljnom stanju, a time ispunili i obveze Republike Hrvatske u procesu pridruživanja Europskoj Uniji vršile su se aktivnosti unaprjeđenja upravljanja područjima ekološke mreže, zaštićenim područjima i divljih vrstama. Nastavljena je inventarizacija vrsta i staništa važnih za uspostavu mreže N2000 na kopnu i dijelom na moru, definiranje obuhvata i mehanizama održivog upravljanja kako bi se osigurala postojanost mreže N2000. Uz ostale aktivnosti, ugrađivani su uvjeti i mjere zaštite prirode u dokumente prostornog uređenja, planove gospodarenja prirodnim dobrima, postupcima izdavanja lokacijskih dozvola i dr. postupcima što pridonosi očuvanju vrsta, staništa i krajobraznih vrijednosti, ali i daljnjem razvoju gospodarstva. Također provodile su se aktivnosti na daljnjem jačanju suradnje s relevantnim tijelima i institucijama na međunarodnoj razini (UNESCO, IUCN, itd.), provedbi međunarodnih ugovora, sporazuma, protokola i projekata.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317"/>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usklađenosti sustava zaštite i očuvanja vrsta i staništa s EU standardima</w:t>
            </w:r>
          </w:p>
        </w:tc>
        <w:tc>
          <w:tcPr>
            <w:tcW w:w="1300" w:type="dxa"/>
          </w:tcPr>
          <w:p w:rsidR="00AC0832" w:rsidRDefault="00AC0832">
            <w:pPr>
              <w:pStyle w:val="CellColumn"/>
            </w:pPr>
            <w:r>
              <w:t>Potpuno usklađivanje sustava zaštite i očuvanja vrsta i staništa s EU standardima dovodi do ostvarenja cilja</w:t>
            </w:r>
          </w:p>
        </w:tc>
        <w:tc>
          <w:tcPr>
            <w:tcW w:w="1300" w:type="dxa"/>
          </w:tcPr>
          <w:p w:rsidR="00AC0832" w:rsidRDefault="00AC0832">
            <w:pPr>
              <w:pStyle w:val="CellColumn"/>
            </w:pPr>
            <w:r>
              <w:t>%</w:t>
            </w:r>
          </w:p>
        </w:tc>
        <w:tc>
          <w:tcPr>
            <w:tcW w:w="1300" w:type="dxa"/>
          </w:tcPr>
          <w:p w:rsidR="00AC0832" w:rsidRDefault="00AC0832">
            <w:pPr>
              <w:pStyle w:val="CellColumn"/>
            </w:pPr>
            <w:r>
              <w:t>30</w:t>
            </w:r>
          </w:p>
        </w:tc>
        <w:tc>
          <w:tcPr>
            <w:tcW w:w="1300" w:type="dxa"/>
          </w:tcPr>
          <w:p w:rsidR="00AC0832" w:rsidRDefault="00AC0832">
            <w:pPr>
              <w:pStyle w:val="CellColumn"/>
            </w:pPr>
            <w:r>
              <w:t>MZIP</w:t>
            </w:r>
          </w:p>
        </w:tc>
        <w:tc>
          <w:tcPr>
            <w:tcW w:w="1300" w:type="dxa"/>
          </w:tcPr>
          <w:p w:rsidR="00AC0832" w:rsidRDefault="00AC0832">
            <w:pPr>
              <w:pStyle w:val="CellColumn"/>
            </w:pPr>
            <w:r>
              <w:t>30</w:t>
            </w:r>
          </w:p>
        </w:tc>
        <w:tc>
          <w:tcPr>
            <w:tcW w:w="1300" w:type="dxa"/>
          </w:tcPr>
          <w:p w:rsidR="00AC0832" w:rsidRDefault="00AC0832">
            <w:pPr>
              <w:pStyle w:val="CellColumn"/>
            </w:pPr>
            <w:r>
              <w:t>30</w:t>
            </w:r>
          </w:p>
        </w:tc>
      </w:tr>
    </w:tbl>
    <w:p w:rsidR="00AC0832" w:rsidRDefault="00AC0832">
      <w:pPr>
        <w:jc w:val="left"/>
      </w:pPr>
    </w:p>
    <w:p w:rsidR="00AC0832" w:rsidRDefault="00AC0832">
      <w:pPr>
        <w:pStyle w:val="Heading7"/>
      </w:pPr>
      <w:r>
        <w:t>Cilj 2. Ojačan sustav upravljanja i nadzora u zaštiti prirode</w:t>
      </w:r>
    </w:p>
    <w:p w:rsidR="00AC0832" w:rsidRDefault="00AC0832">
      <w:pPr>
        <w:pStyle w:val="Heading8"/>
        <w:jc w:val="left"/>
      </w:pPr>
      <w:r>
        <w:t>Opis provedbe cilja programa</w:t>
      </w:r>
    </w:p>
    <w:p w:rsidR="00AC0832" w:rsidRDefault="00AC0832">
      <w:pPr>
        <w:pStyle w:val="Normal6"/>
      </w:pPr>
      <w:r>
        <w:t>Radilo se na izradi Nacrta prijedloga Zakon o zaštiti prirode, proveden je postupak informiranja javnosti i zainteresirane javnosti te javna rasprava. Tijekom godine proveden je niz edukativnih radionica te su održane prezentacijsko-edukativna predavanja obilježavanjem Dana zaštite prirode, Dana vlažnih staništa i dr. Nastavljene su aktivnosti na uspostavi jedinstvenog informacijskog sustava zaštite prirode ažuriranjem podataka u postojećim bazama, revizijom Upisnika zaštićenih  područja, objavom podataka na web stranicama Državnog zavoda za zaštitu prirode i Ministarstva, pripremama za uspostavu novih baza. Uspostava sustava edukacije za provedbu nadzora zaštite prirode nije izvršena zbog upute Glavnog tajništva Ministarstva da se svi oblici edukacije djelatnika Ministarstva trebaju pripremati i organizirati iz Glavnog tajništva te se čeka redefiniranje edukacije za inspektore i nadzornike. Izrada Procedura o postupanju u nadzoru – „Protokol o načinu komunikacije u slučaju zbrinjavanja životinja“ je započeo sa primjenom od strane Inspekcije zaštite prirode uz određena ograničenja koja se odnose na ukinuto pasivno dežurstvo za sve inspektore zaštite prirode što je u značajnoj mjeri otežalo primjenu dostupnosti predviđenu Protokolom.</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8"/>
        <w:gridCol w:w="1495"/>
        <w:gridCol w:w="1262"/>
        <w:gridCol w:w="1275"/>
        <w:gridCol w:w="1271"/>
        <w:gridCol w:w="1275"/>
        <w:gridCol w:w="128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baza podataka povezanih u jedinstveni informacijski sustav zaštite prirode doprinijet će jednostavnijoj i bržoj pohrani i prijenosu podataka do krajnjeg korisnika</w:t>
            </w:r>
          </w:p>
        </w:tc>
        <w:tc>
          <w:tcPr>
            <w:tcW w:w="1300" w:type="dxa"/>
          </w:tcPr>
          <w:p w:rsidR="00AC0832" w:rsidRDefault="00AC0832">
            <w:pPr>
              <w:pStyle w:val="CellColumn"/>
            </w:pPr>
            <w:r>
              <w:t>Uspostava jedinstvenog informacijskog sustava zaštite prirode doprinijet će jednostavnijoj i bržoj pohrani i prijenosu podataka do krajnjeg korisnika</w:t>
            </w:r>
          </w:p>
        </w:tc>
        <w:tc>
          <w:tcPr>
            <w:tcW w:w="1300" w:type="dxa"/>
          </w:tcPr>
          <w:p w:rsidR="00AC0832" w:rsidRDefault="00AC0832">
            <w:pPr>
              <w:pStyle w:val="CellColumn"/>
            </w:pPr>
            <w:r>
              <w:t>%</w:t>
            </w:r>
          </w:p>
        </w:tc>
        <w:tc>
          <w:tcPr>
            <w:tcW w:w="1300" w:type="dxa"/>
          </w:tcPr>
          <w:p w:rsidR="00AC0832" w:rsidRDefault="00AC0832">
            <w:pPr>
              <w:pStyle w:val="CellColumn"/>
            </w:pPr>
            <w:r>
              <w:t>15</w:t>
            </w:r>
          </w:p>
        </w:tc>
        <w:tc>
          <w:tcPr>
            <w:tcW w:w="1300" w:type="dxa"/>
          </w:tcPr>
          <w:p w:rsidR="00AC0832" w:rsidRDefault="00AC0832">
            <w:pPr>
              <w:pStyle w:val="CellColumn"/>
            </w:pPr>
            <w:r>
              <w:t>MZOIP</w:t>
            </w:r>
          </w:p>
        </w:tc>
        <w:tc>
          <w:tcPr>
            <w:tcW w:w="1300" w:type="dxa"/>
          </w:tcPr>
          <w:p w:rsidR="00AC0832" w:rsidRDefault="00AC0832">
            <w:pPr>
              <w:pStyle w:val="CellColumn"/>
            </w:pPr>
            <w:r>
              <w:t>30</w:t>
            </w:r>
          </w:p>
        </w:tc>
        <w:tc>
          <w:tcPr>
            <w:tcW w:w="1300" w:type="dxa"/>
          </w:tcPr>
          <w:p w:rsidR="00AC0832" w:rsidRDefault="00AC0832">
            <w:pPr>
              <w:pStyle w:val="CellColumn"/>
            </w:pPr>
            <w:r>
              <w:t>30</w:t>
            </w:r>
          </w:p>
        </w:tc>
      </w:tr>
    </w:tbl>
    <w:p w:rsidR="00AC0832" w:rsidRDefault="00AC0832">
      <w:pPr>
        <w:jc w:val="left"/>
      </w:pPr>
    </w:p>
    <w:p w:rsidR="00AC0832" w:rsidRDefault="00AC0832">
      <w:pPr>
        <w:pStyle w:val="Heading6"/>
      </w:pPr>
      <w:r>
        <w:t>A779003 FINANCIJSKO PRAĆENJE MEĐUNARODNIH PROJEKATA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A779003-FINANCIJSKO PRAĆENJE MEĐUNARODNIH PROJEKATA</w:t>
            </w:r>
          </w:p>
        </w:tc>
        <w:tc>
          <w:tcPr>
            <w:tcW w:w="2322" w:type="dxa"/>
          </w:tcPr>
          <w:p w:rsidR="00AC0832" w:rsidRDefault="00AC0832">
            <w:pPr>
              <w:pStyle w:val="CellColumn"/>
            </w:pPr>
            <w:r>
              <w:t>1.314.000</w:t>
            </w:r>
          </w:p>
        </w:tc>
        <w:tc>
          <w:tcPr>
            <w:tcW w:w="2322" w:type="dxa"/>
          </w:tcPr>
          <w:p w:rsidR="00AC0832" w:rsidRDefault="00AC0832">
            <w:pPr>
              <w:pStyle w:val="CellColumn"/>
            </w:pPr>
            <w:r>
              <w:t>708.824</w:t>
            </w:r>
          </w:p>
        </w:tc>
        <w:tc>
          <w:tcPr>
            <w:tcW w:w="2322" w:type="dxa"/>
          </w:tcPr>
          <w:p w:rsidR="00AC0832" w:rsidRDefault="00AC0832">
            <w:pPr>
              <w:pStyle w:val="CellColumn"/>
            </w:pPr>
            <w:r>
              <w:t>53,9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Kroz ovu aktivnost osiguralo se praćenje međunarodnog projekta „Upravljanje Neretvom i Trebišnjicom“ koji obuhvaća cijelo područje sliva rijeka Neretve i Trebišnjice, a uz sredstva Svjetske banke koja su dana kreditom, Republika Hrvatska sudjeluje i sredstvima koja izdvajaju Hrvatske vode i Ministarstvo zaštite okoliša i prirode. Predmetna sredstva planirana za pokrivanje troškova izrade biciklističko-pješačke staze sa prihvatno-informacijskim centrom za posjetitelje na Baćinskim jezerima nisu u potpunosti utrošena zbog kašnjenja u izvođenju planiranih radova. Budući su radovi kasnili Hrvatske vode nisu ispostavile račun ovome Ministarstvu kao što ga o kašnjenju nisu na vrijeme ni obavijestile. Planirana aktivnost nije provedena u cijelosti, a upitna je njena provedba i u 2013. g. budući Ministarstvo u trenutku definiranja proračuna za 2013. g. nije raspolagalo informacijom da sve planirane aktivnosti neće biti izvršene tijekom 2012. g.</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4"/>
        <w:gridCol w:w="1395"/>
        <w:gridCol w:w="1274"/>
        <w:gridCol w:w="1283"/>
        <w:gridCol w:w="1281"/>
        <w:gridCol w:w="1283"/>
        <w:gridCol w:w="128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Biciklističko-pješačka staza s prihvatno-informacijskim centrom za posjetitelje na Baćinskim jezerima</w:t>
            </w:r>
          </w:p>
        </w:tc>
        <w:tc>
          <w:tcPr>
            <w:tcW w:w="1300" w:type="dxa"/>
          </w:tcPr>
          <w:p w:rsidR="00AC0832" w:rsidRDefault="00AC0832">
            <w:pPr>
              <w:pStyle w:val="CellColumn"/>
            </w:pPr>
            <w:r>
              <w:t>Izgrađena infrastruktura za posjetitelje doprinijeti će podizanju svijesti posjetitelja i lokalnog stanovništva o prirodnim vrijednostima područja i potrebi njihovog očuvanja</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MZOIP</w:t>
            </w:r>
          </w:p>
        </w:tc>
        <w:tc>
          <w:tcPr>
            <w:tcW w:w="1300" w:type="dxa"/>
          </w:tcPr>
          <w:p w:rsidR="00AC0832" w:rsidRDefault="00AC0832">
            <w:pPr>
              <w:pStyle w:val="CellColumn"/>
            </w:pPr>
            <w:r>
              <w:t>1</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A779006 ZAŠTITA PRIRODE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A779006-ZAŠTITA PRIRODE</w:t>
            </w:r>
          </w:p>
        </w:tc>
        <w:tc>
          <w:tcPr>
            <w:tcW w:w="2322" w:type="dxa"/>
          </w:tcPr>
          <w:p w:rsidR="00AC0832" w:rsidRDefault="00AC0832">
            <w:pPr>
              <w:pStyle w:val="CellColumn"/>
            </w:pPr>
            <w:r>
              <w:t>6.150.000</w:t>
            </w:r>
          </w:p>
        </w:tc>
        <w:tc>
          <w:tcPr>
            <w:tcW w:w="2322" w:type="dxa"/>
          </w:tcPr>
          <w:p w:rsidR="00AC0832" w:rsidRDefault="00AC0832">
            <w:pPr>
              <w:pStyle w:val="CellColumn"/>
            </w:pPr>
            <w:r>
              <w:t>5.032.805</w:t>
            </w:r>
          </w:p>
        </w:tc>
        <w:tc>
          <w:tcPr>
            <w:tcW w:w="2322" w:type="dxa"/>
          </w:tcPr>
          <w:p w:rsidR="00AC0832" w:rsidRDefault="00AC0832">
            <w:pPr>
              <w:pStyle w:val="CellColumn"/>
            </w:pPr>
            <w:r>
              <w:t>81,8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Za potrebe definiranja prijedloga Natura 2000, u suradnji s vanjskim suradnicima prikupljeni su novi podaci za pojedine vrste ptica, beskralješnjaka i flore. Na temelju ovih podataka i svih podataka prikupljenih proteklih godina, Državni zavod za zaštitu prirode je završio prijedlog ekološke mreže NATURA 2000 i dostavio Ministarstvu na daljnje postupanje. Isplaćivane su nadoknade za štete koju počine strogo zaštićene vrste što je doprinijelo očuvanju strogo zaštićenih divljih vrsta ali i nesmetanom provođenju gospodarskih aktivnosti. Sklopljeni su i ugovori s pet centara za zbrinjavanje ozlijeđenih, bolesnih i zaplijenjenih divljih vrsta kako bi se osigurao njihovo zbrinjavanje i oporavak te završno povratak u prirodu. Tijekom godine većim dijelom dovršene su i geodetske podloge za 2 zaštićena područja – park šumu Trakošćan (djelomično) i posebni rezervat Đurđevački pijesci (u potpunosti). Do kašnjenja s podlogom za park-šumu Trakošćan došlo je zbog problema s izradom potrebnog parcelacijskog elaborata budući ne postoji valjanja zemljišna knjiga za pojedine katastarske čestice koje ulaze u predmetno područje. Izvršene su planirane aktivnosti vezane uz uspostavu novih baza podataka. Dio aktivnosti vezan uz sklapanje sporazuma s fizičkim/pravnim osobama kako bi se spriječile i/ili smanjile moguće štetne posljedice koje nanesu strogo zaštićene divlje svojte kao i edukativne aktivnosti nisu izvršene u potpunosti zbog objektivnih razloga (smanjenje raspoloživih sredstava kroz rebalans proračuna).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9"/>
        <w:gridCol w:w="1640"/>
        <w:gridCol w:w="1159"/>
        <w:gridCol w:w="1209"/>
        <w:gridCol w:w="1196"/>
        <w:gridCol w:w="1209"/>
        <w:gridCol w:w="123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inventariziranih i kartiranih vrsta značajnih za uspostavu mreže N2000</w:t>
            </w:r>
          </w:p>
        </w:tc>
        <w:tc>
          <w:tcPr>
            <w:tcW w:w="1300" w:type="dxa"/>
          </w:tcPr>
          <w:p w:rsidR="00AC0832" w:rsidRDefault="00AC0832">
            <w:pPr>
              <w:pStyle w:val="CellColumn"/>
            </w:pPr>
            <w:r>
              <w:t>Od ukupno 226 NATURA vrste u RH, do 2011.g. inventarizirano ih je i kartirano do relativno zadovoljavajuće razine 192 te je potrebno nastaviti daljnju inventarizaciju</w:t>
            </w:r>
          </w:p>
        </w:tc>
        <w:tc>
          <w:tcPr>
            <w:tcW w:w="1300" w:type="dxa"/>
          </w:tcPr>
          <w:p w:rsidR="00AC0832" w:rsidRDefault="00AC0832">
            <w:pPr>
              <w:pStyle w:val="CellColumn"/>
            </w:pPr>
            <w:r>
              <w:t>broj</w:t>
            </w:r>
          </w:p>
        </w:tc>
        <w:tc>
          <w:tcPr>
            <w:tcW w:w="1300" w:type="dxa"/>
          </w:tcPr>
          <w:p w:rsidR="00AC0832" w:rsidRDefault="00AC0832">
            <w:pPr>
              <w:pStyle w:val="CellColumn"/>
            </w:pPr>
            <w:r>
              <w:t>192</w:t>
            </w:r>
          </w:p>
        </w:tc>
        <w:tc>
          <w:tcPr>
            <w:tcW w:w="1300" w:type="dxa"/>
          </w:tcPr>
          <w:p w:rsidR="00AC0832" w:rsidRDefault="00AC0832">
            <w:pPr>
              <w:pStyle w:val="CellColumn"/>
            </w:pPr>
            <w:r>
              <w:t>MZOIP</w:t>
            </w:r>
          </w:p>
        </w:tc>
        <w:tc>
          <w:tcPr>
            <w:tcW w:w="1300" w:type="dxa"/>
          </w:tcPr>
          <w:p w:rsidR="00AC0832" w:rsidRDefault="00AC0832">
            <w:pPr>
              <w:pStyle w:val="CellColumn"/>
            </w:pPr>
            <w:r>
              <w:t>200</w:t>
            </w:r>
          </w:p>
        </w:tc>
        <w:tc>
          <w:tcPr>
            <w:tcW w:w="1300" w:type="dxa"/>
          </w:tcPr>
          <w:p w:rsidR="00AC0832" w:rsidRDefault="00AC0832">
            <w:pPr>
              <w:pStyle w:val="CellColumn"/>
            </w:pPr>
            <w:r>
              <w:t>200</w:t>
            </w:r>
          </w:p>
        </w:tc>
      </w:tr>
      <w:tr w:rsidR="00AC0832" w:rsidTr="00BE20ED">
        <w:trPr>
          <w:jc w:val="center"/>
        </w:trPr>
        <w:tc>
          <w:tcPr>
            <w:tcW w:w="1300" w:type="dxa"/>
          </w:tcPr>
          <w:p w:rsidR="00AC0832" w:rsidRDefault="00AC0832">
            <w:pPr>
              <w:pStyle w:val="CellColumn"/>
            </w:pPr>
            <w:r>
              <w:t>Povećanje broj sporazuma s fizičkim/pravnim sobama u cilju provedbe planova upravljanja strogo zaštićenim vrstama</w:t>
            </w:r>
          </w:p>
        </w:tc>
        <w:tc>
          <w:tcPr>
            <w:tcW w:w="1300" w:type="dxa"/>
          </w:tcPr>
          <w:p w:rsidR="00AC0832" w:rsidRDefault="00AC0832">
            <w:pPr>
              <w:pStyle w:val="CellColumn"/>
            </w:pPr>
            <w:r>
              <w:t>Prevencijom (psi čuvari, zaštitne ograde i sl.) pridonijet će se smanjenju mogućih štetnih posljedica i očuvanju strogo zaštićenih vrsta.</w:t>
            </w:r>
          </w:p>
        </w:tc>
        <w:tc>
          <w:tcPr>
            <w:tcW w:w="1300" w:type="dxa"/>
          </w:tcPr>
          <w:p w:rsidR="00AC0832" w:rsidRDefault="00AC0832">
            <w:pPr>
              <w:pStyle w:val="CellColumn"/>
            </w:pPr>
            <w:r>
              <w:t>broj</w:t>
            </w:r>
          </w:p>
        </w:tc>
        <w:tc>
          <w:tcPr>
            <w:tcW w:w="1300" w:type="dxa"/>
          </w:tcPr>
          <w:p w:rsidR="00AC0832" w:rsidRDefault="00AC0832">
            <w:pPr>
              <w:pStyle w:val="CellColumn"/>
            </w:pPr>
            <w:r>
              <w:t>204</w:t>
            </w:r>
          </w:p>
        </w:tc>
        <w:tc>
          <w:tcPr>
            <w:tcW w:w="1300" w:type="dxa"/>
          </w:tcPr>
          <w:p w:rsidR="00AC0832" w:rsidRDefault="00AC0832">
            <w:pPr>
              <w:pStyle w:val="CellColumn"/>
            </w:pPr>
            <w:r>
              <w:t>MZOIP</w:t>
            </w:r>
          </w:p>
        </w:tc>
        <w:tc>
          <w:tcPr>
            <w:tcW w:w="1300" w:type="dxa"/>
          </w:tcPr>
          <w:p w:rsidR="00AC0832" w:rsidRDefault="00AC0832">
            <w:pPr>
              <w:pStyle w:val="CellColumn"/>
            </w:pPr>
            <w:r>
              <w:t>240</w:t>
            </w:r>
          </w:p>
        </w:tc>
        <w:tc>
          <w:tcPr>
            <w:tcW w:w="1300" w:type="dxa"/>
          </w:tcPr>
          <w:p w:rsidR="00AC0832" w:rsidRDefault="00AC0832">
            <w:pPr>
              <w:pStyle w:val="CellColumn"/>
            </w:pPr>
            <w:r>
              <w:t>206</w:t>
            </w:r>
          </w:p>
        </w:tc>
      </w:tr>
      <w:tr w:rsidR="00AC0832" w:rsidTr="00BE20ED">
        <w:trPr>
          <w:jc w:val="center"/>
        </w:trPr>
        <w:tc>
          <w:tcPr>
            <w:tcW w:w="1300" w:type="dxa"/>
          </w:tcPr>
          <w:p w:rsidR="00AC0832" w:rsidRDefault="00AC0832">
            <w:pPr>
              <w:pStyle w:val="CellColumn"/>
            </w:pPr>
            <w:r>
              <w:t>Povećanje broja uspostavljenih baza podataka</w:t>
            </w:r>
          </w:p>
        </w:tc>
        <w:tc>
          <w:tcPr>
            <w:tcW w:w="1300" w:type="dxa"/>
          </w:tcPr>
          <w:p w:rsidR="00AC0832" w:rsidRDefault="00AC0832">
            <w:pPr>
              <w:pStyle w:val="CellColumn"/>
            </w:pPr>
            <w:r>
              <w:t>Novo uspostavljene baze podataka pridonijet će lakšem i bržem poslovanju te će osigurati učinkovitije informiranje i razmjenu podataka</w:t>
            </w:r>
          </w:p>
        </w:tc>
        <w:tc>
          <w:tcPr>
            <w:tcW w:w="1300" w:type="dxa"/>
          </w:tcPr>
          <w:p w:rsidR="00AC0832" w:rsidRDefault="00AC0832">
            <w:pPr>
              <w:pStyle w:val="CellColumn"/>
            </w:pPr>
            <w:r>
              <w:t>broj</w:t>
            </w:r>
          </w:p>
        </w:tc>
        <w:tc>
          <w:tcPr>
            <w:tcW w:w="1300" w:type="dxa"/>
          </w:tcPr>
          <w:p w:rsidR="00AC0832" w:rsidRDefault="00AC0832">
            <w:pPr>
              <w:pStyle w:val="CellColumn"/>
            </w:pPr>
            <w:r>
              <w:t>6</w:t>
            </w:r>
          </w:p>
        </w:tc>
        <w:tc>
          <w:tcPr>
            <w:tcW w:w="1300" w:type="dxa"/>
          </w:tcPr>
          <w:p w:rsidR="00AC0832" w:rsidRDefault="00AC0832">
            <w:pPr>
              <w:pStyle w:val="CellColumn"/>
            </w:pPr>
            <w:r>
              <w:t>MZOIP</w:t>
            </w:r>
          </w:p>
        </w:tc>
        <w:tc>
          <w:tcPr>
            <w:tcW w:w="1300" w:type="dxa"/>
          </w:tcPr>
          <w:p w:rsidR="00AC0832" w:rsidRDefault="00AC0832">
            <w:pPr>
              <w:pStyle w:val="CellColumn"/>
            </w:pPr>
            <w:r>
              <w:t>7</w:t>
            </w:r>
          </w:p>
        </w:tc>
        <w:tc>
          <w:tcPr>
            <w:tcW w:w="1300" w:type="dxa"/>
          </w:tcPr>
          <w:p w:rsidR="00AC0832" w:rsidRDefault="00AC0832">
            <w:pPr>
              <w:pStyle w:val="CellColumn"/>
            </w:pPr>
            <w:r>
              <w:t>7</w:t>
            </w:r>
          </w:p>
        </w:tc>
      </w:tr>
      <w:tr w:rsidR="00AC0832" w:rsidTr="00BE20ED">
        <w:trPr>
          <w:jc w:val="center"/>
        </w:trPr>
        <w:tc>
          <w:tcPr>
            <w:tcW w:w="1300" w:type="dxa"/>
          </w:tcPr>
          <w:p w:rsidR="00AC0832" w:rsidRDefault="00AC0832">
            <w:pPr>
              <w:pStyle w:val="CellColumn"/>
            </w:pPr>
            <w:r>
              <w:t>Povećanje broja zaštićenih područja za koje je izrađena dokumentacija za pokretanje postupka registracije u nadležnim registrima</w:t>
            </w:r>
          </w:p>
        </w:tc>
        <w:tc>
          <w:tcPr>
            <w:tcW w:w="1300" w:type="dxa"/>
          </w:tcPr>
          <w:p w:rsidR="00AC0832" w:rsidRDefault="00AC0832">
            <w:pPr>
              <w:pStyle w:val="CellColumn"/>
            </w:pPr>
            <w:r>
              <w:t>Izrada dokumentacije potrebne za upis u nadležne registre (katastar i zemljišne knjige) pridonijet će rješavanju problematike imovinsko-pravnih odnosa u zaštićenim područjima i ostvarivanju različitih prava (npr. poticaji za očuvanje zaštićenih i N2 područja).</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MZOIP</w:t>
            </w:r>
          </w:p>
        </w:tc>
        <w:tc>
          <w:tcPr>
            <w:tcW w:w="1300" w:type="dxa"/>
          </w:tcPr>
          <w:p w:rsidR="00AC0832" w:rsidRDefault="00AC0832">
            <w:pPr>
              <w:pStyle w:val="CellColumn"/>
            </w:pPr>
            <w:r>
              <w:t>2</w:t>
            </w:r>
          </w:p>
        </w:tc>
        <w:tc>
          <w:tcPr>
            <w:tcW w:w="1300" w:type="dxa"/>
          </w:tcPr>
          <w:p w:rsidR="00AC0832" w:rsidRDefault="00AC0832">
            <w:pPr>
              <w:pStyle w:val="CellColumn"/>
            </w:pPr>
            <w:r>
              <w:t>1</w:t>
            </w:r>
          </w:p>
        </w:tc>
      </w:tr>
    </w:tbl>
    <w:p w:rsidR="00AC0832" w:rsidRDefault="00AC0832">
      <w:pPr>
        <w:jc w:val="left"/>
      </w:pPr>
    </w:p>
    <w:p w:rsidR="00AC0832" w:rsidRDefault="00AC0832">
      <w:pPr>
        <w:pStyle w:val="Heading6"/>
      </w:pPr>
      <w:r>
        <w:t>A784005 TEHNIČKA POMOĆ EUROPSKE KOMISIJE ZA PROVEDBU STRATEGIJE EUROPSKE UNIJE ZA DUNAVSKU REGIJU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A784005-TEHNIČKA POMOĆ EUROPSKE KOMISIJE ZA PROVEDBU STRATEGIJE EUROPSKE UNIJE ZA DUNAVSKU REGIJU</w:t>
            </w:r>
          </w:p>
        </w:tc>
        <w:tc>
          <w:tcPr>
            <w:tcW w:w="2322" w:type="dxa"/>
          </w:tcPr>
          <w:p w:rsidR="00AC0832" w:rsidRDefault="00AC0832">
            <w:pPr>
              <w:pStyle w:val="CellColumn"/>
            </w:pPr>
            <w:r>
              <w:t>635.000</w:t>
            </w:r>
          </w:p>
        </w:tc>
        <w:tc>
          <w:tcPr>
            <w:tcW w:w="2322" w:type="dxa"/>
          </w:tcPr>
          <w:p w:rsidR="00AC0832" w:rsidRDefault="00AC0832">
            <w:pPr>
              <w:pStyle w:val="CellColumn"/>
            </w:pPr>
            <w:r>
              <w:t>32.311</w:t>
            </w:r>
          </w:p>
        </w:tc>
        <w:tc>
          <w:tcPr>
            <w:tcW w:w="2322" w:type="dxa"/>
          </w:tcPr>
          <w:p w:rsidR="00AC0832" w:rsidRDefault="00AC0832">
            <w:pPr>
              <w:pStyle w:val="CellColumn"/>
            </w:pPr>
            <w:r>
              <w:t>5,1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Strategija Europske Unije za dunavsku regiju predstavlja okvir za suradnju 14 zemalja dunavske regije te jačanje dunavskog identiteta, kao i fokusirano korištenje fondova Europske unije. Za svako od ukupno 11 prioritetnih područja Strategije, Europska komisija je imenovala po dva su-koordinatora. Prioritetno područje 6 „Očuvanje bioraznolikosti, krajobraza te kvalitete zraka i tla“ zajednički koordiniraju Bavarsko državno ministarstvo okoliša i javnog zdravstva te Ministarstvo zaštite okoliša i prirode Republike Hrvatske. Za potrebe su-koordiniranja prioritetnog područja 6 s ciljem implementacije Strategije, sredstvima tehničke pomoći Europske komisije osiguravaju se potrebni preduvjeti za učinkovito vođenje i usklađivanje odgovarajućih aktivnosti (regionalne inicijative, umrežavanje relevantnih dionika) kao i koordinaciju Operativne radne skupine, koju čine predstavnici 14 država dunavske regije. Tijekom 2012. godine  provedene su aktivnosti  prema važećem Ugovoru o tehničkoj pomoći za 2012. - 2013., te su u tijeku pripreme za potpisivanje novog ugovora sa Europskom komisijom za 2014. godinu.  </w:t>
      </w:r>
    </w:p>
    <w:p w:rsidR="00AC0832" w:rsidRDefault="00AC0832">
      <w:pPr>
        <w:pStyle w:val="Normal6"/>
      </w:pPr>
      <w:r>
        <w:t>Napominjemo da zbog zaprimanja sredstava Europske komisije tek u travnju 2012. godine, te zbog promjene hrvatskog su-koordinatora prioritetnog područja u svibnju 2012. godine, nisu provedene sve aktivnosti planirane za 2012. godinu. U dogovoru s Europskom komisijom, ista su prebačena za 2013. godinu (zapošljavanje suradnika na projektu, nabava opreme za suradnika na projektu, daljnji troškovi vezano za organizaciju sastanka i osiguravanje sredstava za sudjelovanje na sastancima).</w:t>
      </w:r>
    </w:p>
    <w:p w:rsidR="00AC0832" w:rsidRDefault="00AC0832">
      <w:pPr>
        <w:pStyle w:val="Heading6"/>
      </w:pPr>
      <w:r>
        <w:t>K784004 IPA  I 2009 PRIPREMA PLANOVA UPRAVLJANJA I JAČANJE INSPEKCIJE NATURA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K784004-IPA  I 2009 PRIPREMA PLANOVA UPRAVLJANJA I JAČANJE INSPEKCIJE NATURA 2000</w:t>
            </w:r>
          </w:p>
        </w:tc>
        <w:tc>
          <w:tcPr>
            <w:tcW w:w="2322" w:type="dxa"/>
          </w:tcPr>
          <w:p w:rsidR="00AC0832" w:rsidRDefault="00AC0832">
            <w:pPr>
              <w:pStyle w:val="CellColumn"/>
            </w:pPr>
            <w:r>
              <w:t>3.320.815</w:t>
            </w:r>
          </w:p>
        </w:tc>
        <w:tc>
          <w:tcPr>
            <w:tcW w:w="2322" w:type="dxa"/>
          </w:tcPr>
          <w:p w:rsidR="00AC0832" w:rsidRDefault="00AC0832">
            <w:pPr>
              <w:pStyle w:val="CellColumn"/>
            </w:pPr>
            <w:r>
              <w:t>928.567</w:t>
            </w:r>
          </w:p>
        </w:tc>
        <w:tc>
          <w:tcPr>
            <w:tcW w:w="2322" w:type="dxa"/>
          </w:tcPr>
          <w:p w:rsidR="00AC0832" w:rsidRDefault="00AC0832">
            <w:pPr>
              <w:pStyle w:val="CellColumn"/>
            </w:pPr>
            <w:r>
              <w:t>28,0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Natura MANMON (Natura management and monitoring), kao jedan od ugovora (ugovor tehničke pomoći – TA) doprinosi održivom upravljanju i monitoringu Natura 2000 područja kroz jačanje institucionalnih i administrativnih kapaciteta u zaštiti prirode na državnoj i regionalnoj/lokalnoj razini. Tijekom 2012 godine u okviru komponente izrade planova upravljanja za 6 Natura 2000 područja održano je 3 kruga radionica kroz suradnju s dionicima te odabranim županijskim javnim ustanovama treniranim za pripremu planova upravljanja za 6 Natura 2000 područja te 2 kruga radionica sa relevantnim stručnjacima treniranih za potrebe praktične implementacije i pripreme monitoring programa za ciljne vrste i staništa odabranih 6 Natura 2000 područja. Nastavljen je i razvoj sustava monitoringa NATURA vrsta, staništa i područja za potrebe izvješćivanja EU sukladno obvezama Direktive o staništima i Direktive o pticama te su izrađeni protokoli za praćenje stanja pojedinih vrsta ptica i šišmiša, velike zvijeri te pojedine morske stanišne tipove (veza projekt EU IPA marine). Tijekom 2012. godine završena je realizacija IPA 2009 Twinning light projekta „Razvoj nacionalnog informacijskog sustava za nadzor zaštite prirode“. U tom smislu su izvršena i sva plaćanja vezana za projekt. Kroz projekt je razvijena aplikacija koja će osigurati bolju razmjenu informacija u sustavu nadzora zaštite prirode. Natječajna dokumentacija za IPA 2009 Supply ugovor „Nabava opreme za sustav nadzora zaštite prirode“ je tijekom 2012. pripremljena i tender je objavljen krajem godine. Konačna realizacija projekta će biti izvršena u 2013. godini. Realizacija projekta će osigurati da svi sudionici u nadzoru zaštite prirode (inspekcija zaštite prirode i čuvari prirode) mogu efikasnije i učinkovitije postupati na terenu.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39"/>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izrađenih protokola za praćenje stanja (monitoring) vrsta i staništa</w:t>
            </w:r>
          </w:p>
        </w:tc>
        <w:tc>
          <w:tcPr>
            <w:tcW w:w="1300" w:type="dxa"/>
          </w:tcPr>
          <w:p w:rsidR="00AC0832" w:rsidRDefault="00AC0832">
            <w:pPr>
              <w:pStyle w:val="CellColumn"/>
            </w:pPr>
            <w:r>
              <w:t>Izrada protokola za praćenje stanja osigurat će jedinstveni način prikupljanja podataka o očuvanosti vrsta i staništa u svrhu ocjene stanja i utvrđivanja učinkovitosti mjera zaštite s obzirom na ciljeve očuvanja te u cilju izvješćivanja  temeljem EU direktiva.</w:t>
            </w:r>
          </w:p>
        </w:tc>
        <w:tc>
          <w:tcPr>
            <w:tcW w:w="1300" w:type="dxa"/>
          </w:tcPr>
          <w:p w:rsidR="00AC0832" w:rsidRDefault="00AC0832">
            <w:pPr>
              <w:pStyle w:val="CellColumn"/>
            </w:pPr>
            <w:r>
              <w:t>broj</w:t>
            </w:r>
          </w:p>
        </w:tc>
        <w:tc>
          <w:tcPr>
            <w:tcW w:w="1300" w:type="dxa"/>
          </w:tcPr>
          <w:p w:rsidR="00AC0832" w:rsidRDefault="00AC0832">
            <w:pPr>
              <w:pStyle w:val="CellColumn"/>
            </w:pPr>
            <w:r>
              <w:t>10</w:t>
            </w:r>
          </w:p>
        </w:tc>
        <w:tc>
          <w:tcPr>
            <w:tcW w:w="1300" w:type="dxa"/>
          </w:tcPr>
          <w:p w:rsidR="00AC0832" w:rsidRDefault="00AC0832">
            <w:pPr>
              <w:pStyle w:val="CellColumn"/>
            </w:pPr>
            <w:r>
              <w:t>MZOIP</w:t>
            </w:r>
          </w:p>
        </w:tc>
        <w:tc>
          <w:tcPr>
            <w:tcW w:w="1300" w:type="dxa"/>
          </w:tcPr>
          <w:p w:rsidR="00AC0832" w:rsidRDefault="00AC0832">
            <w:pPr>
              <w:pStyle w:val="CellColumn"/>
            </w:pPr>
            <w:r>
              <w:t>18</w:t>
            </w:r>
          </w:p>
        </w:tc>
        <w:tc>
          <w:tcPr>
            <w:tcW w:w="1300" w:type="dxa"/>
          </w:tcPr>
          <w:p w:rsidR="00AC0832" w:rsidRDefault="00AC0832">
            <w:pPr>
              <w:pStyle w:val="CellColumn"/>
            </w:pPr>
            <w:r>
              <w:t>18</w:t>
            </w:r>
          </w:p>
        </w:tc>
      </w:tr>
    </w:tbl>
    <w:p w:rsidR="00AC0832" w:rsidRDefault="00AC0832">
      <w:pPr>
        <w:jc w:val="left"/>
      </w:pPr>
    </w:p>
    <w:p w:rsidR="00AC0832" w:rsidRDefault="00AC0832">
      <w:pPr>
        <w:pStyle w:val="Heading5"/>
      </w:pPr>
      <w:r>
        <w:t>3402 ZAŠTITA OKOLIŠA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3402-ZAŠTITA OKOLIŠA</w:t>
            </w:r>
          </w:p>
        </w:tc>
        <w:tc>
          <w:tcPr>
            <w:tcW w:w="2322" w:type="dxa"/>
          </w:tcPr>
          <w:p w:rsidR="00AC0832" w:rsidRDefault="00AC0832">
            <w:pPr>
              <w:pStyle w:val="CellColumn"/>
            </w:pPr>
            <w:r>
              <w:t>77.501.774</w:t>
            </w:r>
          </w:p>
        </w:tc>
        <w:tc>
          <w:tcPr>
            <w:tcW w:w="2322" w:type="dxa"/>
          </w:tcPr>
          <w:p w:rsidR="00AC0832" w:rsidRDefault="00AC0832">
            <w:pPr>
              <w:pStyle w:val="CellColumn"/>
            </w:pPr>
            <w:r>
              <w:t>64.538.153</w:t>
            </w:r>
          </w:p>
        </w:tc>
        <w:tc>
          <w:tcPr>
            <w:tcW w:w="2322" w:type="dxa"/>
          </w:tcPr>
          <w:p w:rsidR="00AC0832" w:rsidRDefault="00AC0832">
            <w:pPr>
              <w:pStyle w:val="CellColumn"/>
            </w:pPr>
            <w:r>
              <w:t>83,3</w:t>
            </w:r>
          </w:p>
        </w:tc>
      </w:tr>
    </w:tbl>
    <w:p w:rsidR="00AC0832" w:rsidRDefault="00AC0832">
      <w:pPr>
        <w:jc w:val="left"/>
      </w:pPr>
    </w:p>
    <w:p w:rsidR="00AC0832" w:rsidRDefault="00AC0832">
      <w:pPr>
        <w:pStyle w:val="Heading6"/>
      </w:pPr>
      <w:r>
        <w:t>Opis programa</w:t>
      </w:r>
    </w:p>
    <w:p w:rsidR="00AC0832" w:rsidRDefault="00AC0832">
      <w:pPr>
        <w:pStyle w:val="Normal5"/>
      </w:pPr>
      <w:r>
        <w:t xml:space="preserve">Zaštita okoliša nesumnjivo je jedna od najzahtjevnijih i najsloženijih aktivnosti koja zadire u sve dijelove organizacije ljudskoga društva. Prirodni okoliš u kojem živimo (zrak, voda, zemljište, biljke, životinje, itd.) osigurava nam ostvarenje naših životnih potreba. Međutim, naše potrebe, životne navike i interesi, koje priroda neposredno ne može zadovoljiti, neprestano rastu. Stoga, oslanjajući se na prirodu, stvaramo nove elemente i oblikujemo svoj okoliš, različit od prirodnog. </w:t>
      </w:r>
    </w:p>
    <w:p w:rsidR="00AC0832" w:rsidRDefault="00AC0832">
      <w:pPr>
        <w:pStyle w:val="Normal5"/>
      </w:pPr>
      <w:r>
        <w:t xml:space="preserve">Održivi razvoj je onaj koji zadovoljava potrebe sadašnjih generacija, a da istodobno ne onemogućuje buduće generacije da zadovolje svoje potrebe.  </w:t>
      </w:r>
    </w:p>
    <w:p w:rsidR="00AC0832" w:rsidRDefault="00AC0832">
      <w:pPr>
        <w:pStyle w:val="Normal5"/>
      </w:pPr>
      <w:r>
        <w:t xml:space="preserve">Strategijom održivog razvoja Republike Hrvatske se dugoročno usmjerava gospodarski i socijalni razvoj te zaštita okoliša prema održivom razvoju Države. Strategijom se utvrđuju smjernice dugoročnog djelovanja definiranjem ciljeva i utvrđivanjem mjera za njihovo ostvarenje, uvažavajući postojeće stanje i preuzete međunarodne obveze. </w:t>
      </w:r>
    </w:p>
    <w:p w:rsidR="00AC0832" w:rsidRDefault="00AC0832">
      <w:pPr>
        <w:pStyle w:val="Normal5"/>
      </w:pPr>
      <w:r>
        <w:t xml:space="preserve">Ciljevi u Strategiji zaštite okoliša su zaštita okoliša i očuvanje i održivo korištenje prirodnih resursa, unapređivanje upravljanja okolišem i sprečavanje onečišćenja okoliša, promjena zakonskog, upravljačkog, financijskog i institucionalnog okvira na lokalnoj i na državnoj razini uključujući kadrovsko jačanje, u duhu procesa pristupanja EU, integracija okoliša u druge sektore (u turizam, energetiku, industriju, poljoprivredu, šumarstvo, rudarstvo, promet), uspostava cjelovitog sustava praćenja (monitoring) i jedinstvenog informacijskog sustava te jačanje svijesti i uključivanje javnosti u proces donošenja odluka i provedbe mjera. </w:t>
      </w:r>
    </w:p>
    <w:p w:rsidR="00AC0832" w:rsidRDefault="00AC0832">
      <w:pPr>
        <w:pStyle w:val="Normal5"/>
      </w:pPr>
      <w:r>
        <w:t>Zaštita okoliša, kao jedan od općih ciljeva Ministarstva, proizlazi iz navedenih strategija i dugoročno ostvaruje viziju Ministarstva, dok se misija ispunjava kroz ostvarenje posebnih ciljeva.</w:t>
      </w:r>
    </w:p>
    <w:p w:rsidR="00AC0832" w:rsidRDefault="00AC0832">
      <w:pPr>
        <w:pStyle w:val="Heading6"/>
      </w:pPr>
      <w:r>
        <w:t>Zakonske i druge pravne osnove</w:t>
      </w:r>
    </w:p>
    <w:p w:rsidR="00AC0832" w:rsidRDefault="00AC0832">
      <w:pPr>
        <w:pStyle w:val="Normal5"/>
      </w:pPr>
      <w:r>
        <w:t>Zakonu o zaštiti okoliša (NN broj 110/07), Zakonu o zaštiti zraka (NN, br. 180/11), Zakon o otpadu (NN  178/04, 111/06, 60/08, 87/09)</w:t>
      </w:r>
    </w:p>
    <w:p w:rsidR="00AC0832" w:rsidRDefault="00AC0832">
      <w:pPr>
        <w:pStyle w:val="Heading7"/>
      </w:pPr>
      <w:r>
        <w:t>Cilj 1. Poboljšati preduvjete za sprečavanje svih vrsta onečišćenja okoliša, nadzor i postupanje u zaštiti okoliša</w:t>
      </w:r>
    </w:p>
    <w:p w:rsidR="00AC0832" w:rsidRDefault="00AC0832">
      <w:pPr>
        <w:pStyle w:val="Heading8"/>
        <w:jc w:val="left"/>
      </w:pPr>
      <w:r>
        <w:t>Opis provedbe cilja programa</w:t>
      </w:r>
    </w:p>
    <w:p w:rsidR="00AC0832" w:rsidRDefault="00AC0832">
      <w:pPr>
        <w:pStyle w:val="Normal6"/>
      </w:pPr>
      <w:r>
        <w:t xml:space="preserve">Ministarstvo zaštite okoliša i prirode je do sada uskladilo sve postojeće propise sa zakonodavstvom EU (direktive u dijelu zaštite okoliša).U slijedećem periodu Ministarstvo će uz praćenje promjena u EU zakonodavstvu i izvršavanju potrebnih prilagodbi konstantno raditi na unaprjeđenju i provedbi administrativnih i fiskalnih mjera potrebnih za očuvanje i smanjenje onečišćenja svih sastavnica okoliša. </w:t>
      </w:r>
    </w:p>
    <w:p w:rsidR="00AC0832" w:rsidRDefault="00AC0832">
      <w:pPr>
        <w:pStyle w:val="Normal6"/>
      </w:pPr>
      <w:r>
        <w:t xml:space="preserve">Zakon o zaštiti zraka usvojen je 28. listopada 2011. godine. Zbog kasnog donošenja zakona predviđene aktivnosti donošenja i usvajanja provedbenih propisa iz područja zaštite zraka, klime i ozonskog sloja nisu mogle biti realizirane u 2011. godini te se usvajanje prolongira za 2012. godinu. Ministarstvo izdaje dozvole pravnim osobama za obavljanje djelatnosti praćenja kvalitete zraka i emisija onečišćujućih tvari u zrak iz nepokretnih izvora, izdaje dozvole za obavljanje djelatnosti servisiranja i isključivanja iz uporabe rashladnih i </w:t>
      </w:r>
    </w:p>
    <w:p w:rsidR="00AC0832" w:rsidRDefault="00AC0832">
      <w:pPr>
        <w:pStyle w:val="Normal6"/>
      </w:pPr>
      <w:r>
        <w:t>klimatizacijskih uređaja, servisiranje protupožarnih uređaja, te za prikupljanje, obnavljanje i uporabu uporabljenih kontroliranih i zamjenskih tvari, izdaje dozvole za emisije stakleničkih plinova. Vodi Registar pravnih i fizičkih osoba koje se bave djelatnošću uvoza/izvoza i stavljanja u promet kontroliranih i zamjenskih tvari, servisiranja, prikupljanja, obnavljanja i uporabe tih tvari, baze podataka o instaliranim uređajima koji sadrže 3 kg ili više tvari koje oštećuju ozonski sloj ili zamjenskih tvari i o preuzetim uporabljenim količinama i postupanju s tim tvarima i o količinama unesenih novih ili uporabljenih tvari. Planirani cilj je djelomično ostvaren.</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1551"/>
        <w:gridCol w:w="1210"/>
        <w:gridCol w:w="1242"/>
        <w:gridCol w:w="1233"/>
        <w:gridCol w:w="1242"/>
        <w:gridCol w:w="125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Kontinuirano usklađivanje sustava zaštite zraka, mora i tla s EU standardima i međunarodnim sporazumima</w:t>
            </w:r>
          </w:p>
        </w:tc>
        <w:tc>
          <w:tcPr>
            <w:tcW w:w="1300" w:type="dxa"/>
          </w:tcPr>
          <w:p w:rsidR="00AC0832" w:rsidRDefault="00AC0832">
            <w:pPr>
              <w:pStyle w:val="CellColumn"/>
            </w:pPr>
            <w:r>
              <w:t>Ministarstvo konstantno prati i usklađuje dokumente sa regulativom Eu i međunarodnim sporazumima</w:t>
            </w:r>
          </w:p>
        </w:tc>
        <w:tc>
          <w:tcPr>
            <w:tcW w:w="1300" w:type="dxa"/>
          </w:tcPr>
          <w:p w:rsidR="00AC0832" w:rsidRDefault="00AC0832">
            <w:pPr>
              <w:pStyle w:val="CellColumn"/>
            </w:pPr>
            <w:r>
              <w:t>%</w:t>
            </w:r>
          </w:p>
        </w:tc>
        <w:tc>
          <w:tcPr>
            <w:tcW w:w="1300" w:type="dxa"/>
          </w:tcPr>
          <w:p w:rsidR="00AC0832" w:rsidRDefault="00AC0832">
            <w:pPr>
              <w:pStyle w:val="CellColumn"/>
            </w:pPr>
            <w:r>
              <w:t>90</w:t>
            </w:r>
          </w:p>
        </w:tc>
        <w:tc>
          <w:tcPr>
            <w:tcW w:w="1300" w:type="dxa"/>
          </w:tcPr>
          <w:p w:rsidR="00AC0832" w:rsidRDefault="00AC0832">
            <w:pPr>
              <w:pStyle w:val="CellColumn"/>
            </w:pPr>
            <w:r>
              <w:t>MZOIP</w:t>
            </w:r>
          </w:p>
        </w:tc>
        <w:tc>
          <w:tcPr>
            <w:tcW w:w="1300" w:type="dxa"/>
          </w:tcPr>
          <w:p w:rsidR="00AC0832" w:rsidRDefault="00AC0832">
            <w:pPr>
              <w:pStyle w:val="CellColumn"/>
            </w:pPr>
            <w:r>
              <w:t>98</w:t>
            </w:r>
          </w:p>
        </w:tc>
        <w:tc>
          <w:tcPr>
            <w:tcW w:w="1300" w:type="dxa"/>
          </w:tcPr>
          <w:p w:rsidR="00AC0832" w:rsidRDefault="00AC0832">
            <w:pPr>
              <w:pStyle w:val="CellColumn"/>
            </w:pPr>
            <w:r>
              <w:t>97</w:t>
            </w:r>
          </w:p>
        </w:tc>
      </w:tr>
      <w:tr w:rsidR="00AC0832" w:rsidTr="00BE20ED">
        <w:trPr>
          <w:jc w:val="center"/>
        </w:trPr>
        <w:tc>
          <w:tcPr>
            <w:tcW w:w="1300" w:type="dxa"/>
          </w:tcPr>
          <w:p w:rsidR="00AC0832" w:rsidRDefault="00AC0832">
            <w:pPr>
              <w:pStyle w:val="CellColumn"/>
            </w:pPr>
            <w:r>
              <w:t>Dovršenje projekata</w:t>
            </w:r>
          </w:p>
        </w:tc>
        <w:tc>
          <w:tcPr>
            <w:tcW w:w="1300" w:type="dxa"/>
          </w:tcPr>
          <w:p w:rsidR="00AC0832" w:rsidRDefault="00AC0832">
            <w:pPr>
              <w:pStyle w:val="CellColumn"/>
            </w:pPr>
            <w:r>
              <w:t>Dovršetak započetih projekataizvan Operativnog programa zaštite okoliša</w:t>
            </w:r>
          </w:p>
        </w:tc>
        <w:tc>
          <w:tcPr>
            <w:tcW w:w="1300" w:type="dxa"/>
          </w:tcPr>
          <w:p w:rsidR="00AC0832" w:rsidRDefault="00AC0832">
            <w:pPr>
              <w:pStyle w:val="CellColumn"/>
            </w:pPr>
            <w:r>
              <w:t>broj</w:t>
            </w:r>
          </w:p>
        </w:tc>
        <w:tc>
          <w:tcPr>
            <w:tcW w:w="1300" w:type="dxa"/>
          </w:tcPr>
          <w:p w:rsidR="00AC0832" w:rsidRDefault="00AC0832">
            <w:pPr>
              <w:pStyle w:val="CellColumn"/>
            </w:pPr>
            <w:r>
              <w:t>4</w:t>
            </w:r>
          </w:p>
        </w:tc>
        <w:tc>
          <w:tcPr>
            <w:tcW w:w="1300" w:type="dxa"/>
          </w:tcPr>
          <w:p w:rsidR="00AC0832" w:rsidRDefault="00AC0832">
            <w:pPr>
              <w:pStyle w:val="CellColumn"/>
            </w:pPr>
            <w:r>
              <w:t>MZOIP</w:t>
            </w:r>
          </w:p>
        </w:tc>
        <w:tc>
          <w:tcPr>
            <w:tcW w:w="1300" w:type="dxa"/>
          </w:tcPr>
          <w:p w:rsidR="00AC0832" w:rsidRDefault="00AC0832">
            <w:pPr>
              <w:pStyle w:val="CellColumn"/>
            </w:pPr>
            <w:r>
              <w:t>1</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Povećanje broja dodjela znaka zaštite okoliša</w:t>
            </w:r>
          </w:p>
        </w:tc>
        <w:tc>
          <w:tcPr>
            <w:tcW w:w="1300" w:type="dxa"/>
          </w:tcPr>
          <w:p w:rsidR="00AC0832" w:rsidRDefault="00AC0832">
            <w:pPr>
              <w:pStyle w:val="CellColumn"/>
            </w:pPr>
            <w:r>
              <w:t>Ministarstvo provodi Plann dodjele znaka zaštite okoliša</w:t>
            </w:r>
          </w:p>
        </w:tc>
        <w:tc>
          <w:tcPr>
            <w:tcW w:w="1300" w:type="dxa"/>
          </w:tcPr>
          <w:p w:rsidR="00AC0832" w:rsidRDefault="00AC0832">
            <w:pPr>
              <w:pStyle w:val="CellColumn"/>
            </w:pPr>
            <w:r>
              <w:t>broj</w:t>
            </w:r>
          </w:p>
        </w:tc>
        <w:tc>
          <w:tcPr>
            <w:tcW w:w="1300" w:type="dxa"/>
          </w:tcPr>
          <w:p w:rsidR="00AC0832" w:rsidRDefault="00AC0832">
            <w:pPr>
              <w:pStyle w:val="CellColumn"/>
            </w:pPr>
            <w:r>
              <w:t>25</w:t>
            </w:r>
          </w:p>
        </w:tc>
        <w:tc>
          <w:tcPr>
            <w:tcW w:w="1300" w:type="dxa"/>
          </w:tcPr>
          <w:p w:rsidR="00AC0832" w:rsidRDefault="00AC0832">
            <w:pPr>
              <w:pStyle w:val="CellColumn"/>
            </w:pPr>
            <w:r>
              <w:t>MZOIP</w:t>
            </w:r>
          </w:p>
        </w:tc>
        <w:tc>
          <w:tcPr>
            <w:tcW w:w="1300" w:type="dxa"/>
          </w:tcPr>
          <w:p w:rsidR="00AC0832" w:rsidRDefault="00AC0832">
            <w:pPr>
              <w:pStyle w:val="CellColumn"/>
            </w:pPr>
            <w:r>
              <w:t>27</w:t>
            </w:r>
          </w:p>
        </w:tc>
        <w:tc>
          <w:tcPr>
            <w:tcW w:w="1300" w:type="dxa"/>
          </w:tcPr>
          <w:p w:rsidR="00AC0832" w:rsidRDefault="00AC0832">
            <w:pPr>
              <w:pStyle w:val="CellColumn"/>
            </w:pPr>
            <w:r>
              <w:t>26</w:t>
            </w:r>
          </w:p>
        </w:tc>
      </w:tr>
      <w:tr w:rsidR="00AC0832" w:rsidTr="00BE20ED">
        <w:trPr>
          <w:jc w:val="center"/>
        </w:trPr>
        <w:tc>
          <w:tcPr>
            <w:tcW w:w="1300" w:type="dxa"/>
          </w:tcPr>
          <w:p w:rsidR="00AC0832" w:rsidRDefault="00AC0832">
            <w:pPr>
              <w:pStyle w:val="CellColumn"/>
            </w:pPr>
            <w:r>
              <w:t>Povećanje broja održanih radionica, te povećanje broja promidđbenih materijala</w:t>
            </w:r>
          </w:p>
        </w:tc>
        <w:tc>
          <w:tcPr>
            <w:tcW w:w="1300" w:type="dxa"/>
          </w:tcPr>
          <w:p w:rsidR="00AC0832" w:rsidRDefault="00AC0832">
            <w:pPr>
              <w:pStyle w:val="CellColumn"/>
            </w:pPr>
            <w:r>
              <w:t>Ministarstvo sudjeluje u organizaciji i provođenju edukacije državnih službenika, te stalnoj edukaciji stanovništva kroz edukativne materijale</w:t>
            </w:r>
          </w:p>
        </w:tc>
        <w:tc>
          <w:tcPr>
            <w:tcW w:w="1300" w:type="dxa"/>
          </w:tcPr>
          <w:p w:rsidR="00AC0832" w:rsidRDefault="00AC0832">
            <w:pPr>
              <w:pStyle w:val="CellColumn"/>
            </w:pPr>
            <w:r>
              <w:t>broj</w:t>
            </w:r>
          </w:p>
        </w:tc>
        <w:tc>
          <w:tcPr>
            <w:tcW w:w="1300" w:type="dxa"/>
          </w:tcPr>
          <w:p w:rsidR="00AC0832" w:rsidRDefault="00AC0832">
            <w:pPr>
              <w:pStyle w:val="CellColumn"/>
            </w:pPr>
            <w:r>
              <w:t>1</w:t>
            </w:r>
          </w:p>
        </w:tc>
        <w:tc>
          <w:tcPr>
            <w:tcW w:w="1300" w:type="dxa"/>
          </w:tcPr>
          <w:p w:rsidR="00AC0832" w:rsidRDefault="00AC0832">
            <w:pPr>
              <w:pStyle w:val="CellColumn"/>
            </w:pPr>
            <w:r>
              <w:t>MZOIP</w:t>
            </w:r>
          </w:p>
        </w:tc>
        <w:tc>
          <w:tcPr>
            <w:tcW w:w="1300" w:type="dxa"/>
          </w:tcPr>
          <w:p w:rsidR="00AC0832" w:rsidRDefault="00AC0832">
            <w:pPr>
              <w:pStyle w:val="CellColumn"/>
            </w:pPr>
            <w:r>
              <w:t>4</w:t>
            </w:r>
          </w:p>
        </w:tc>
        <w:tc>
          <w:tcPr>
            <w:tcW w:w="1300" w:type="dxa"/>
          </w:tcPr>
          <w:p w:rsidR="00AC0832" w:rsidRDefault="00AC0832">
            <w:pPr>
              <w:pStyle w:val="CellColumn"/>
            </w:pPr>
            <w:r>
              <w:t>/</w:t>
            </w:r>
          </w:p>
        </w:tc>
      </w:tr>
      <w:tr w:rsidR="00AC0832" w:rsidTr="00BE20ED">
        <w:trPr>
          <w:jc w:val="center"/>
        </w:trPr>
        <w:tc>
          <w:tcPr>
            <w:tcW w:w="1300" w:type="dxa"/>
          </w:tcPr>
          <w:p w:rsidR="00AC0832" w:rsidRDefault="00AC0832">
            <w:pPr>
              <w:pStyle w:val="CellColumn"/>
            </w:pPr>
            <w:r>
              <w:t>Održavanje kontinuiteta provedenih postupaka strateške procjene utjecaja na okoliš (SPUO) i procjene na okoliš (PUO) u odnosu na zaprimljene zahtjeve</w:t>
            </w:r>
          </w:p>
        </w:tc>
        <w:tc>
          <w:tcPr>
            <w:tcW w:w="1300" w:type="dxa"/>
          </w:tcPr>
          <w:p w:rsidR="00AC0832" w:rsidRDefault="00AC0832">
            <w:pPr>
              <w:pStyle w:val="CellColumn"/>
            </w:pPr>
            <w:r>
              <w:t>Ministarstvo provodi stratešku procjenu plana i programa, te utjecaj od određenog zahvata na okoliš</w:t>
            </w:r>
          </w:p>
        </w:tc>
        <w:tc>
          <w:tcPr>
            <w:tcW w:w="1300" w:type="dxa"/>
          </w:tcPr>
          <w:p w:rsidR="00AC0832" w:rsidRDefault="00AC0832">
            <w:pPr>
              <w:pStyle w:val="CellColumn"/>
            </w:pPr>
            <w:r>
              <w:t>%</w:t>
            </w:r>
          </w:p>
        </w:tc>
        <w:tc>
          <w:tcPr>
            <w:tcW w:w="1300" w:type="dxa"/>
          </w:tcPr>
          <w:p w:rsidR="00AC0832" w:rsidRDefault="00AC0832">
            <w:pPr>
              <w:pStyle w:val="CellColumn"/>
            </w:pPr>
            <w:r>
              <w:t>80</w:t>
            </w:r>
          </w:p>
        </w:tc>
        <w:tc>
          <w:tcPr>
            <w:tcW w:w="1300" w:type="dxa"/>
          </w:tcPr>
          <w:p w:rsidR="00AC0832" w:rsidRDefault="00AC0832">
            <w:pPr>
              <w:pStyle w:val="CellColumn"/>
            </w:pPr>
            <w:r>
              <w:t>MZOIP</w:t>
            </w:r>
          </w:p>
        </w:tc>
        <w:tc>
          <w:tcPr>
            <w:tcW w:w="1300" w:type="dxa"/>
          </w:tcPr>
          <w:p w:rsidR="00AC0832" w:rsidRDefault="00AC0832">
            <w:pPr>
              <w:pStyle w:val="CellColumn"/>
            </w:pPr>
            <w:r>
              <w:t>80</w:t>
            </w:r>
          </w:p>
        </w:tc>
        <w:tc>
          <w:tcPr>
            <w:tcW w:w="1300" w:type="dxa"/>
          </w:tcPr>
          <w:p w:rsidR="00AC0832" w:rsidRDefault="00AC0832">
            <w:pPr>
              <w:pStyle w:val="CellColumn"/>
            </w:pPr>
            <w:r>
              <w:t>/</w:t>
            </w:r>
          </w:p>
        </w:tc>
      </w:tr>
      <w:tr w:rsidR="00AC0832" w:rsidTr="00BE20ED">
        <w:trPr>
          <w:jc w:val="center"/>
        </w:trPr>
        <w:tc>
          <w:tcPr>
            <w:tcW w:w="1300" w:type="dxa"/>
          </w:tcPr>
          <w:p w:rsidR="00AC0832" w:rsidRDefault="00AC0832">
            <w:pPr>
              <w:pStyle w:val="CellColumn"/>
            </w:pPr>
            <w:r>
              <w:t>Povećanje postotka izdanih dozvola, mišljenja i rješenja usklađenih s ciljevima iz propisa</w:t>
            </w:r>
          </w:p>
        </w:tc>
        <w:tc>
          <w:tcPr>
            <w:tcW w:w="1300" w:type="dxa"/>
          </w:tcPr>
          <w:p w:rsidR="00AC0832" w:rsidRDefault="00AC0832">
            <w:pPr>
              <w:pStyle w:val="CellColumn"/>
            </w:pPr>
            <w:r>
              <w:t>Ministarstvo izdaje dozvole za emisije stakleničkih plinova, dozvola ili suglasnosti za obavljanje djelatnosti praćenja kakvoće zraka i praćenje emisija u zrak iz stacionarnih izvora, rješenja za servisiranje klima uređaja i rješenja za uvoz i izvoz tvari koje oštećuju ozonski sloj</w:t>
            </w:r>
          </w:p>
        </w:tc>
        <w:tc>
          <w:tcPr>
            <w:tcW w:w="1300" w:type="dxa"/>
          </w:tcPr>
          <w:p w:rsidR="00AC0832" w:rsidRDefault="00AC0832">
            <w:pPr>
              <w:pStyle w:val="CellColumn"/>
            </w:pPr>
            <w:r>
              <w:t>%</w:t>
            </w:r>
          </w:p>
        </w:tc>
        <w:tc>
          <w:tcPr>
            <w:tcW w:w="1300" w:type="dxa"/>
          </w:tcPr>
          <w:p w:rsidR="00AC0832" w:rsidRDefault="00AC0832">
            <w:pPr>
              <w:pStyle w:val="CellColumn"/>
            </w:pPr>
            <w:r>
              <w:t>60</w:t>
            </w:r>
          </w:p>
        </w:tc>
        <w:tc>
          <w:tcPr>
            <w:tcW w:w="1300" w:type="dxa"/>
          </w:tcPr>
          <w:p w:rsidR="00AC0832" w:rsidRDefault="00AC0832">
            <w:pPr>
              <w:pStyle w:val="CellColumn"/>
            </w:pPr>
            <w:r>
              <w:t>MZOIP</w:t>
            </w:r>
          </w:p>
        </w:tc>
        <w:tc>
          <w:tcPr>
            <w:tcW w:w="1300" w:type="dxa"/>
          </w:tcPr>
          <w:p w:rsidR="00AC0832" w:rsidRDefault="00AC0832">
            <w:pPr>
              <w:pStyle w:val="CellColumn"/>
            </w:pPr>
            <w:r>
              <w:t>65</w:t>
            </w:r>
          </w:p>
        </w:tc>
        <w:tc>
          <w:tcPr>
            <w:tcW w:w="1300" w:type="dxa"/>
          </w:tcPr>
          <w:p w:rsidR="00AC0832" w:rsidRDefault="00AC0832">
            <w:pPr>
              <w:pStyle w:val="CellColumn"/>
            </w:pPr>
            <w:r>
              <w:t>64</w:t>
            </w:r>
          </w:p>
        </w:tc>
      </w:tr>
      <w:tr w:rsidR="00AC0832" w:rsidTr="00BE20ED">
        <w:trPr>
          <w:jc w:val="center"/>
        </w:trPr>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7"/>
      </w:pPr>
      <w:r>
        <w:t>Cilj 2. Uspostaviti i razvijati jedinstveni informacijski sustav zaštite okoliša</w:t>
      </w:r>
    </w:p>
    <w:p w:rsidR="00AC0832" w:rsidRDefault="00AC0832">
      <w:pPr>
        <w:pStyle w:val="Heading8"/>
        <w:jc w:val="left"/>
      </w:pPr>
      <w:r>
        <w:t>Opis provedbe cilja programa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5"/>
        <w:gridCol w:w="1339"/>
        <w:gridCol w:w="1173"/>
        <w:gridCol w:w="1217"/>
        <w:gridCol w:w="1205"/>
        <w:gridCol w:w="1217"/>
        <w:gridCol w:w="124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Stupanj završenosti ISZO</w:t>
            </w:r>
          </w:p>
        </w:tc>
        <w:tc>
          <w:tcPr>
            <w:tcW w:w="1300" w:type="dxa"/>
          </w:tcPr>
          <w:p w:rsidR="00AC0832" w:rsidRDefault="00AC0832">
            <w:pPr>
              <w:pStyle w:val="CellColumn"/>
            </w:pPr>
            <w:r>
              <w:t>Poslovi potrebni za ustrojavanje ISZO</w:t>
            </w:r>
          </w:p>
        </w:tc>
        <w:tc>
          <w:tcPr>
            <w:tcW w:w="1300" w:type="dxa"/>
          </w:tcPr>
          <w:p w:rsidR="00AC0832" w:rsidRDefault="00AC0832">
            <w:pPr>
              <w:pStyle w:val="CellColumn"/>
            </w:pPr>
            <w:r>
              <w:t>%</w:t>
            </w:r>
          </w:p>
        </w:tc>
        <w:tc>
          <w:tcPr>
            <w:tcW w:w="1300" w:type="dxa"/>
          </w:tcPr>
          <w:p w:rsidR="00AC0832" w:rsidRDefault="00AC0832">
            <w:pPr>
              <w:pStyle w:val="CellColumn"/>
            </w:pPr>
            <w:r>
              <w:t>60</w:t>
            </w:r>
          </w:p>
        </w:tc>
        <w:tc>
          <w:tcPr>
            <w:tcW w:w="1300" w:type="dxa"/>
          </w:tcPr>
          <w:p w:rsidR="00AC0832" w:rsidRDefault="00AC0832">
            <w:pPr>
              <w:pStyle w:val="CellColumn"/>
            </w:pPr>
            <w:r>
              <w:t>podaci Agencije</w:t>
            </w:r>
          </w:p>
        </w:tc>
        <w:tc>
          <w:tcPr>
            <w:tcW w:w="1300" w:type="dxa"/>
          </w:tcPr>
          <w:p w:rsidR="00AC0832" w:rsidRDefault="00AC0832">
            <w:pPr>
              <w:pStyle w:val="CellColumn"/>
            </w:pPr>
            <w:r>
              <w:t>70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Postotak prikupljenih, obrađenih i unesenih podataka u baze, te na osnovu istih izrađenih izvješća</w:t>
            </w:r>
          </w:p>
        </w:tc>
        <w:tc>
          <w:tcPr>
            <w:tcW w:w="1300" w:type="dxa"/>
          </w:tcPr>
          <w:p w:rsidR="00AC0832" w:rsidRDefault="00AC0832">
            <w:pPr>
              <w:pStyle w:val="CellColumn"/>
            </w:pPr>
            <w:r>
              <w:t>broj zaprimljenih podataka i unesenih u elektronske baze</w:t>
            </w:r>
          </w:p>
        </w:tc>
        <w:tc>
          <w:tcPr>
            <w:tcW w:w="1300" w:type="dxa"/>
          </w:tcPr>
          <w:p w:rsidR="00AC0832" w:rsidRDefault="00AC0832">
            <w:pPr>
              <w:pStyle w:val="CellColumn"/>
            </w:pPr>
            <w:r>
              <w:t>%</w:t>
            </w:r>
          </w:p>
        </w:tc>
        <w:tc>
          <w:tcPr>
            <w:tcW w:w="1300" w:type="dxa"/>
          </w:tcPr>
          <w:p w:rsidR="00AC0832" w:rsidRDefault="00AC0832">
            <w:pPr>
              <w:pStyle w:val="CellColumn"/>
            </w:pPr>
            <w:r>
              <w:t>49</w:t>
            </w:r>
          </w:p>
        </w:tc>
        <w:tc>
          <w:tcPr>
            <w:tcW w:w="1300" w:type="dxa"/>
          </w:tcPr>
          <w:p w:rsidR="00AC0832" w:rsidRDefault="00AC0832">
            <w:pPr>
              <w:pStyle w:val="CellColumn"/>
            </w:pPr>
            <w:r>
              <w:t>podaci Agencije</w:t>
            </w:r>
          </w:p>
        </w:tc>
        <w:tc>
          <w:tcPr>
            <w:tcW w:w="1300" w:type="dxa"/>
          </w:tcPr>
          <w:p w:rsidR="00AC0832" w:rsidRDefault="00AC0832">
            <w:pPr>
              <w:pStyle w:val="CellColumn"/>
            </w:pPr>
            <w:r>
              <w:t>70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Obrađeni i analizirani podaci sukladno međunarodnoj i europskoj metodologiji</w:t>
            </w:r>
          </w:p>
        </w:tc>
        <w:tc>
          <w:tcPr>
            <w:tcW w:w="1300" w:type="dxa"/>
          </w:tcPr>
          <w:p w:rsidR="00AC0832" w:rsidRDefault="00AC0832">
            <w:pPr>
              <w:pStyle w:val="CellColumn"/>
            </w:pPr>
            <w:r>
              <w:t>izvršenje svih zakonski propisanih obveza prikupljanja i obrade podataka u svrhu izvješćivanja i razmjene podataka</w:t>
            </w:r>
          </w:p>
        </w:tc>
        <w:tc>
          <w:tcPr>
            <w:tcW w:w="1300" w:type="dxa"/>
          </w:tcPr>
          <w:p w:rsidR="00AC0832" w:rsidRDefault="00AC0832">
            <w:pPr>
              <w:pStyle w:val="CellColumn"/>
            </w:pPr>
            <w:r>
              <w:t>%</w:t>
            </w:r>
          </w:p>
        </w:tc>
        <w:tc>
          <w:tcPr>
            <w:tcW w:w="1300" w:type="dxa"/>
          </w:tcPr>
          <w:p w:rsidR="00AC0832" w:rsidRDefault="00AC0832">
            <w:pPr>
              <w:pStyle w:val="CellColumn"/>
            </w:pPr>
            <w:r>
              <w:t>60</w:t>
            </w:r>
          </w:p>
        </w:tc>
        <w:tc>
          <w:tcPr>
            <w:tcW w:w="1300" w:type="dxa"/>
          </w:tcPr>
          <w:p w:rsidR="00AC0832" w:rsidRDefault="00AC0832">
            <w:pPr>
              <w:pStyle w:val="CellColumn"/>
            </w:pPr>
            <w:r>
              <w:t>podaci Agencije</w:t>
            </w:r>
          </w:p>
        </w:tc>
        <w:tc>
          <w:tcPr>
            <w:tcW w:w="1300" w:type="dxa"/>
          </w:tcPr>
          <w:p w:rsidR="00AC0832" w:rsidRDefault="00AC0832">
            <w:pPr>
              <w:pStyle w:val="CellColumn"/>
            </w:pPr>
            <w:r>
              <w:t>70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Praćenje postotka redovitog radainformacijskog sustava zaštite okoliša sa malim brojem kritičnih incidenata</w:t>
            </w:r>
          </w:p>
        </w:tc>
        <w:tc>
          <w:tcPr>
            <w:tcW w:w="1300" w:type="dxa"/>
          </w:tcPr>
          <w:p w:rsidR="00AC0832" w:rsidRDefault="00AC0832">
            <w:pPr>
              <w:pStyle w:val="CellColumn"/>
            </w:pPr>
            <w:r>
              <w:t>broj uobičajenih radnih aktivnosti prema ukupnim aktivnostima</w:t>
            </w:r>
          </w:p>
        </w:tc>
        <w:tc>
          <w:tcPr>
            <w:tcW w:w="1300" w:type="dxa"/>
          </w:tcPr>
          <w:p w:rsidR="00AC0832" w:rsidRDefault="00AC0832">
            <w:pPr>
              <w:pStyle w:val="CellColumn"/>
            </w:pPr>
            <w:r>
              <w:t>%</w:t>
            </w:r>
          </w:p>
        </w:tc>
        <w:tc>
          <w:tcPr>
            <w:tcW w:w="1300" w:type="dxa"/>
          </w:tcPr>
          <w:p w:rsidR="00AC0832" w:rsidRDefault="00AC0832">
            <w:pPr>
              <w:pStyle w:val="CellColumn"/>
            </w:pPr>
            <w:r>
              <w:t>80</w:t>
            </w:r>
          </w:p>
        </w:tc>
        <w:tc>
          <w:tcPr>
            <w:tcW w:w="1300" w:type="dxa"/>
          </w:tcPr>
          <w:p w:rsidR="00AC0832" w:rsidRDefault="00AC0832">
            <w:pPr>
              <w:pStyle w:val="CellColumn"/>
            </w:pPr>
            <w:r>
              <w:t>podaci Agencije</w:t>
            </w:r>
          </w:p>
        </w:tc>
        <w:tc>
          <w:tcPr>
            <w:tcW w:w="1300" w:type="dxa"/>
          </w:tcPr>
          <w:p w:rsidR="00AC0832" w:rsidRDefault="00AC0832">
            <w:pPr>
              <w:pStyle w:val="CellColumn"/>
            </w:pPr>
            <w:r>
              <w:t>90</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7"/>
      </w:pPr>
      <w:r>
        <w:t>Cilj 3. Unaprijediti stanje okoliša kontinuiranim nadzorom</w:t>
      </w:r>
    </w:p>
    <w:p w:rsidR="00AC0832" w:rsidRDefault="00AC0832">
      <w:pPr>
        <w:pStyle w:val="Heading8"/>
        <w:jc w:val="left"/>
      </w:pPr>
      <w:r>
        <w:t>Opis provedbe cilja programa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1"/>
        <w:gridCol w:w="1651"/>
        <w:gridCol w:w="1153"/>
        <w:gridCol w:w="1204"/>
        <w:gridCol w:w="1191"/>
        <w:gridCol w:w="1205"/>
        <w:gridCol w:w="123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planiranih inspekcijskih nadzora</w:t>
            </w:r>
          </w:p>
        </w:tc>
        <w:tc>
          <w:tcPr>
            <w:tcW w:w="1300" w:type="dxa"/>
          </w:tcPr>
          <w:p w:rsidR="00AC0832" w:rsidRDefault="00AC0832">
            <w:pPr>
              <w:pStyle w:val="CellColumn"/>
            </w:pPr>
            <w:r>
              <w:t>Provedbom obveznih nadzora osoba određenih djelatnosti s rizikom od onečišćenja okoliša, smanjuje se njihov mogući utjecaj na okoliš iznad propisanih vrijednosti</w:t>
            </w:r>
          </w:p>
        </w:tc>
        <w:tc>
          <w:tcPr>
            <w:tcW w:w="1300" w:type="dxa"/>
          </w:tcPr>
          <w:p w:rsidR="00AC0832" w:rsidRDefault="00AC0832">
            <w:pPr>
              <w:pStyle w:val="CellColumn"/>
            </w:pPr>
            <w:r>
              <w:t>broj</w:t>
            </w:r>
          </w:p>
        </w:tc>
        <w:tc>
          <w:tcPr>
            <w:tcW w:w="1300" w:type="dxa"/>
          </w:tcPr>
          <w:p w:rsidR="00AC0832" w:rsidRDefault="00AC0832">
            <w:pPr>
              <w:pStyle w:val="CellColumn"/>
            </w:pPr>
            <w:r>
              <w:t>6000</w:t>
            </w:r>
          </w:p>
        </w:tc>
        <w:tc>
          <w:tcPr>
            <w:tcW w:w="1300" w:type="dxa"/>
          </w:tcPr>
          <w:p w:rsidR="00AC0832" w:rsidRDefault="00AC0832">
            <w:pPr>
              <w:pStyle w:val="CellColumn"/>
            </w:pPr>
            <w:r>
              <w:t>MZOIP</w:t>
            </w:r>
          </w:p>
        </w:tc>
        <w:tc>
          <w:tcPr>
            <w:tcW w:w="1300" w:type="dxa"/>
          </w:tcPr>
          <w:p w:rsidR="00AC0832" w:rsidRDefault="00AC0832">
            <w:pPr>
              <w:pStyle w:val="CellColumn"/>
            </w:pPr>
            <w:r>
              <w:t>7000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Povećanje broja nadziranih osoba</w:t>
            </w:r>
          </w:p>
        </w:tc>
        <w:tc>
          <w:tcPr>
            <w:tcW w:w="1300" w:type="dxa"/>
          </w:tcPr>
          <w:p w:rsidR="00AC0832" w:rsidRDefault="00AC0832">
            <w:pPr>
              <w:pStyle w:val="CellColumn"/>
            </w:pPr>
            <w:r>
              <w:t>Povećanjem broja nadziranih osoba, osigurava se unapređenje stanja okoliša</w:t>
            </w:r>
          </w:p>
        </w:tc>
        <w:tc>
          <w:tcPr>
            <w:tcW w:w="1300" w:type="dxa"/>
          </w:tcPr>
          <w:p w:rsidR="00AC0832" w:rsidRDefault="00AC0832">
            <w:pPr>
              <w:pStyle w:val="CellColumn"/>
            </w:pPr>
            <w:r>
              <w:t>broj</w:t>
            </w:r>
          </w:p>
        </w:tc>
        <w:tc>
          <w:tcPr>
            <w:tcW w:w="1300" w:type="dxa"/>
          </w:tcPr>
          <w:p w:rsidR="00AC0832" w:rsidRDefault="00AC0832">
            <w:pPr>
              <w:pStyle w:val="CellColumn"/>
            </w:pPr>
            <w:r>
              <w:t>5000</w:t>
            </w:r>
          </w:p>
        </w:tc>
        <w:tc>
          <w:tcPr>
            <w:tcW w:w="1300" w:type="dxa"/>
          </w:tcPr>
          <w:p w:rsidR="00AC0832" w:rsidRDefault="00AC0832">
            <w:pPr>
              <w:pStyle w:val="CellColumn"/>
            </w:pPr>
            <w:r>
              <w:t>MZOIP</w:t>
            </w:r>
          </w:p>
        </w:tc>
        <w:tc>
          <w:tcPr>
            <w:tcW w:w="1300" w:type="dxa"/>
          </w:tcPr>
          <w:p w:rsidR="00AC0832" w:rsidRDefault="00AC0832">
            <w:pPr>
              <w:pStyle w:val="CellColumn"/>
            </w:pPr>
            <w:r>
              <w:t>5300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Povećanje broja nadziranih osoba usklađenih s propisima o zaštiti okoliša, zaštiti zraka i gospodarenju otpadom</w:t>
            </w:r>
          </w:p>
        </w:tc>
        <w:tc>
          <w:tcPr>
            <w:tcW w:w="1300" w:type="dxa"/>
          </w:tcPr>
          <w:p w:rsidR="00AC0832" w:rsidRDefault="00AC0832">
            <w:pPr>
              <w:pStyle w:val="CellColumn"/>
            </w:pPr>
            <w:r>
              <w:t>Usklađenost rada nadziranih osoba osigurava svijest, znanje i postupanje u cilju unapređenja stanja okoliša</w:t>
            </w:r>
          </w:p>
        </w:tc>
        <w:tc>
          <w:tcPr>
            <w:tcW w:w="1300" w:type="dxa"/>
          </w:tcPr>
          <w:p w:rsidR="00AC0832" w:rsidRDefault="00AC0832">
            <w:pPr>
              <w:pStyle w:val="CellColumn"/>
            </w:pPr>
            <w:r>
              <w:t>broj</w:t>
            </w:r>
          </w:p>
        </w:tc>
        <w:tc>
          <w:tcPr>
            <w:tcW w:w="1300" w:type="dxa"/>
          </w:tcPr>
          <w:p w:rsidR="00AC0832" w:rsidRDefault="00AC0832">
            <w:pPr>
              <w:pStyle w:val="CellColumn"/>
            </w:pPr>
            <w:r>
              <w:t>2700</w:t>
            </w:r>
          </w:p>
        </w:tc>
        <w:tc>
          <w:tcPr>
            <w:tcW w:w="1300" w:type="dxa"/>
          </w:tcPr>
          <w:p w:rsidR="00AC0832" w:rsidRDefault="00AC0832">
            <w:pPr>
              <w:pStyle w:val="CellColumn"/>
            </w:pPr>
            <w:r>
              <w:t>MZOIP</w:t>
            </w:r>
          </w:p>
        </w:tc>
        <w:tc>
          <w:tcPr>
            <w:tcW w:w="1300" w:type="dxa"/>
          </w:tcPr>
          <w:p w:rsidR="00AC0832" w:rsidRDefault="00AC0832">
            <w:pPr>
              <w:pStyle w:val="CellColumn"/>
            </w:pPr>
            <w:r>
              <w:t>2950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Broj dana sudjelovanja na stručnom osposobljavanju inspektora zaštite okoliša</w:t>
            </w:r>
          </w:p>
        </w:tc>
        <w:tc>
          <w:tcPr>
            <w:tcW w:w="1300" w:type="dxa"/>
          </w:tcPr>
          <w:p w:rsidR="00AC0832" w:rsidRDefault="00AC0832">
            <w:pPr>
              <w:pStyle w:val="CellColumn"/>
            </w:pPr>
            <w:r>
              <w:t>Sustavno strušno osposobljavanje i edukacija s ciljem razvijanja posebnih vještina i stručnih znanja inspektora radi učinkovite provedbe okolišnog zakonodavstva usklađenog s pravnom stečevinom EU</w:t>
            </w:r>
          </w:p>
        </w:tc>
        <w:tc>
          <w:tcPr>
            <w:tcW w:w="1300" w:type="dxa"/>
          </w:tcPr>
          <w:p w:rsidR="00AC0832" w:rsidRDefault="00AC0832">
            <w:pPr>
              <w:pStyle w:val="CellColumn"/>
            </w:pPr>
            <w:r>
              <w:t>dan</w:t>
            </w:r>
          </w:p>
        </w:tc>
        <w:tc>
          <w:tcPr>
            <w:tcW w:w="1300" w:type="dxa"/>
          </w:tcPr>
          <w:p w:rsidR="00AC0832" w:rsidRDefault="00AC0832">
            <w:pPr>
              <w:pStyle w:val="CellColumn"/>
            </w:pPr>
            <w:r>
              <w:t>4</w:t>
            </w:r>
          </w:p>
        </w:tc>
        <w:tc>
          <w:tcPr>
            <w:tcW w:w="1300" w:type="dxa"/>
          </w:tcPr>
          <w:p w:rsidR="00AC0832" w:rsidRDefault="00AC0832">
            <w:pPr>
              <w:pStyle w:val="CellColumn"/>
            </w:pPr>
            <w:r>
              <w:t>MZOIP</w:t>
            </w:r>
          </w:p>
        </w:tc>
        <w:tc>
          <w:tcPr>
            <w:tcW w:w="1300" w:type="dxa"/>
          </w:tcPr>
          <w:p w:rsidR="00AC0832" w:rsidRDefault="00AC0832">
            <w:pPr>
              <w:pStyle w:val="CellColumn"/>
            </w:pPr>
            <w:r>
              <w:t>8</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Broj podnesenih optužnih prijedloga</w:t>
            </w:r>
          </w:p>
        </w:tc>
        <w:tc>
          <w:tcPr>
            <w:tcW w:w="1300" w:type="dxa"/>
          </w:tcPr>
          <w:p w:rsidR="00AC0832" w:rsidRDefault="00AC0832">
            <w:pPr>
              <w:pStyle w:val="CellColumn"/>
            </w:pPr>
            <w:r>
              <w:t>Povećanje odgovornosti nadziranih osoba nakon njihove prilagodbe na nove propise u području zaštite okoliša</w:t>
            </w:r>
          </w:p>
        </w:tc>
        <w:tc>
          <w:tcPr>
            <w:tcW w:w="1300" w:type="dxa"/>
          </w:tcPr>
          <w:p w:rsidR="00AC0832" w:rsidRDefault="00AC0832">
            <w:pPr>
              <w:pStyle w:val="CellColumn"/>
            </w:pPr>
            <w:r>
              <w:t>broj</w:t>
            </w:r>
          </w:p>
        </w:tc>
        <w:tc>
          <w:tcPr>
            <w:tcW w:w="1300" w:type="dxa"/>
          </w:tcPr>
          <w:p w:rsidR="00AC0832" w:rsidRDefault="00AC0832">
            <w:pPr>
              <w:pStyle w:val="CellColumn"/>
            </w:pPr>
            <w:r>
              <w:t>325</w:t>
            </w:r>
          </w:p>
        </w:tc>
        <w:tc>
          <w:tcPr>
            <w:tcW w:w="1300" w:type="dxa"/>
          </w:tcPr>
          <w:p w:rsidR="00AC0832" w:rsidRDefault="00AC0832">
            <w:pPr>
              <w:pStyle w:val="CellColumn"/>
            </w:pPr>
            <w:r>
              <w:t>MZOIP</w:t>
            </w:r>
          </w:p>
        </w:tc>
        <w:tc>
          <w:tcPr>
            <w:tcW w:w="1300" w:type="dxa"/>
          </w:tcPr>
          <w:p w:rsidR="00AC0832" w:rsidRDefault="00AC0832">
            <w:pPr>
              <w:pStyle w:val="CellColumn"/>
            </w:pPr>
            <w:r>
              <w:t>500</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7"/>
      </w:pPr>
      <w:r>
        <w:t>Cilj 4. Poticati stvaranje dodane vrijednosti uvođenjem zelene tehnologije</w:t>
      </w:r>
    </w:p>
    <w:p w:rsidR="00AC0832" w:rsidRDefault="00AC0832">
      <w:pPr>
        <w:pStyle w:val="Heading8"/>
        <w:jc w:val="left"/>
      </w:pPr>
      <w:r>
        <w:t>Opis provedbe cilja programa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2"/>
        <w:gridCol w:w="1651"/>
        <w:gridCol w:w="1064"/>
        <w:gridCol w:w="1147"/>
        <w:gridCol w:w="1125"/>
        <w:gridCol w:w="1147"/>
        <w:gridCol w:w="119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obrađenih županija</w:t>
            </w:r>
          </w:p>
        </w:tc>
        <w:tc>
          <w:tcPr>
            <w:tcW w:w="1300" w:type="dxa"/>
          </w:tcPr>
          <w:p w:rsidR="00AC0832" w:rsidRDefault="00AC0832">
            <w:pPr>
              <w:pStyle w:val="CellColumn"/>
            </w:pPr>
            <w:r>
              <w:t>Snimka stanja prostornih i ostalih uvjeta po županijama i njihova iskoristivost za primjenu zelenih tehnologija</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MZOIP</w:t>
            </w:r>
          </w:p>
        </w:tc>
        <w:tc>
          <w:tcPr>
            <w:tcW w:w="1300" w:type="dxa"/>
          </w:tcPr>
          <w:p w:rsidR="00AC0832" w:rsidRDefault="00AC0832">
            <w:pPr>
              <w:pStyle w:val="CellColumn"/>
            </w:pPr>
            <w:r>
              <w:t>1</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Povećanje broja segmenata primjene po utvrđenim kriterijima</w:t>
            </w:r>
          </w:p>
        </w:tc>
        <w:tc>
          <w:tcPr>
            <w:tcW w:w="1300" w:type="dxa"/>
          </w:tcPr>
          <w:p w:rsidR="00AC0832" w:rsidRDefault="00AC0832">
            <w:pPr>
              <w:pStyle w:val="CellColumn"/>
            </w:pPr>
            <w:r>
              <w:t>Povećanjem broja segmenata primjene zelene tehnologije potiče se stvaranje dodane vrijednosti poštivajući načela održivog razvoja</w:t>
            </w:r>
          </w:p>
        </w:tc>
        <w:tc>
          <w:tcPr>
            <w:tcW w:w="1300" w:type="dxa"/>
          </w:tcPr>
          <w:p w:rsidR="00AC0832" w:rsidRDefault="00AC0832">
            <w:pPr>
              <w:pStyle w:val="CellColumn"/>
            </w:pPr>
            <w:r>
              <w:t>broj</w:t>
            </w:r>
          </w:p>
        </w:tc>
        <w:tc>
          <w:tcPr>
            <w:tcW w:w="1300" w:type="dxa"/>
          </w:tcPr>
          <w:p w:rsidR="00AC0832" w:rsidRDefault="00AC0832">
            <w:pPr>
              <w:pStyle w:val="CellColumn"/>
            </w:pPr>
            <w:r>
              <w:t>3</w:t>
            </w:r>
          </w:p>
        </w:tc>
        <w:tc>
          <w:tcPr>
            <w:tcW w:w="1300" w:type="dxa"/>
          </w:tcPr>
          <w:p w:rsidR="00AC0832" w:rsidRDefault="00AC0832">
            <w:pPr>
              <w:pStyle w:val="CellColumn"/>
            </w:pPr>
            <w:r>
              <w:t>MZOIP</w:t>
            </w:r>
          </w:p>
        </w:tc>
        <w:tc>
          <w:tcPr>
            <w:tcW w:w="1300" w:type="dxa"/>
          </w:tcPr>
          <w:p w:rsidR="00AC0832" w:rsidRDefault="00AC0832">
            <w:pPr>
              <w:pStyle w:val="CellColumn"/>
            </w:pPr>
            <w:r>
              <w:t>4</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Povećanje broja izrađenih akcijskih planova</w:t>
            </w:r>
          </w:p>
        </w:tc>
        <w:tc>
          <w:tcPr>
            <w:tcW w:w="1300" w:type="dxa"/>
          </w:tcPr>
          <w:p w:rsidR="00AC0832" w:rsidRDefault="00AC0832">
            <w:pPr>
              <w:pStyle w:val="CellColumn"/>
            </w:pPr>
            <w:r>
              <w:t>Potrebno je izraditi akcijski plan za svaki segment primjene zelene tehnologije</w:t>
            </w:r>
          </w:p>
        </w:tc>
        <w:tc>
          <w:tcPr>
            <w:tcW w:w="1300" w:type="dxa"/>
          </w:tcPr>
          <w:p w:rsidR="00AC0832" w:rsidRDefault="00AC0832">
            <w:pPr>
              <w:pStyle w:val="CellColumn"/>
            </w:pPr>
            <w:r>
              <w:t>broj</w:t>
            </w:r>
          </w:p>
        </w:tc>
        <w:tc>
          <w:tcPr>
            <w:tcW w:w="1300" w:type="dxa"/>
          </w:tcPr>
          <w:p w:rsidR="00AC0832" w:rsidRDefault="00AC0832">
            <w:pPr>
              <w:pStyle w:val="CellColumn"/>
            </w:pPr>
            <w:r>
              <w:t>1</w:t>
            </w:r>
          </w:p>
        </w:tc>
        <w:tc>
          <w:tcPr>
            <w:tcW w:w="1300" w:type="dxa"/>
          </w:tcPr>
          <w:p w:rsidR="00AC0832" w:rsidRDefault="00AC0832">
            <w:pPr>
              <w:pStyle w:val="CellColumn"/>
            </w:pPr>
            <w:r>
              <w:t>MZOIP</w:t>
            </w:r>
          </w:p>
        </w:tc>
        <w:tc>
          <w:tcPr>
            <w:tcW w:w="1300" w:type="dxa"/>
          </w:tcPr>
          <w:p w:rsidR="00AC0832" w:rsidRDefault="00AC0832">
            <w:pPr>
              <w:pStyle w:val="CellColumn"/>
            </w:pPr>
            <w:r>
              <w:t>3</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Povećanje broja dodijeljenih certifikata/markica</w:t>
            </w:r>
          </w:p>
        </w:tc>
        <w:tc>
          <w:tcPr>
            <w:tcW w:w="1300" w:type="dxa"/>
          </w:tcPr>
          <w:p w:rsidR="00AC0832" w:rsidRDefault="00AC0832">
            <w:pPr>
              <w:pStyle w:val="CellColumn"/>
            </w:pPr>
            <w:r>
              <w:t>Sustavno stručno osposobljavanje i edukacija s ciljem razvijanja posebnih vještina i stručnih znanja inspektora radi učinkovite provedbe okolišnog zakonodavstva usklađenog s pravnom stečevinom EU</w:t>
            </w:r>
          </w:p>
        </w:tc>
        <w:tc>
          <w:tcPr>
            <w:tcW w:w="1300" w:type="dxa"/>
          </w:tcPr>
          <w:p w:rsidR="00AC0832" w:rsidRDefault="00AC0832">
            <w:pPr>
              <w:pStyle w:val="CellColumn"/>
            </w:pPr>
            <w:r>
              <w:t>broj</w:t>
            </w:r>
          </w:p>
        </w:tc>
        <w:tc>
          <w:tcPr>
            <w:tcW w:w="1300" w:type="dxa"/>
          </w:tcPr>
          <w:p w:rsidR="00AC0832" w:rsidRDefault="00AC0832">
            <w:pPr>
              <w:pStyle w:val="CellColumn"/>
            </w:pPr>
            <w:r>
              <w:t>3</w:t>
            </w:r>
          </w:p>
        </w:tc>
        <w:tc>
          <w:tcPr>
            <w:tcW w:w="1300" w:type="dxa"/>
          </w:tcPr>
          <w:p w:rsidR="00AC0832" w:rsidRDefault="00AC0832">
            <w:pPr>
              <w:pStyle w:val="CellColumn"/>
            </w:pPr>
            <w:r>
              <w:t>MZOIP</w:t>
            </w:r>
          </w:p>
        </w:tc>
        <w:tc>
          <w:tcPr>
            <w:tcW w:w="1300" w:type="dxa"/>
          </w:tcPr>
          <w:p w:rsidR="00AC0832" w:rsidRDefault="00AC0832">
            <w:pPr>
              <w:pStyle w:val="CellColumn"/>
            </w:pPr>
            <w:r>
              <w:t>4</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Povećanje broja održanih radionica/seminara, te povećanje broja promidžbenih materijala</w:t>
            </w:r>
          </w:p>
        </w:tc>
        <w:tc>
          <w:tcPr>
            <w:tcW w:w="1300" w:type="dxa"/>
          </w:tcPr>
          <w:p w:rsidR="00AC0832" w:rsidRDefault="00AC0832">
            <w:pPr>
              <w:pStyle w:val="CellColumn"/>
            </w:pPr>
            <w:r>
              <w:t>Ministarstvo sudjeluje u organizaciji i provođenju edukacije državnih službenika, te stalnoj edukaciji stanovništva kroz edukativne materijale</w:t>
            </w:r>
          </w:p>
        </w:tc>
        <w:tc>
          <w:tcPr>
            <w:tcW w:w="1300" w:type="dxa"/>
          </w:tcPr>
          <w:p w:rsidR="00AC0832" w:rsidRDefault="00AC0832">
            <w:pPr>
              <w:pStyle w:val="CellColumn"/>
            </w:pPr>
            <w:r>
              <w:t>broj</w:t>
            </w:r>
          </w:p>
        </w:tc>
        <w:tc>
          <w:tcPr>
            <w:tcW w:w="1300" w:type="dxa"/>
          </w:tcPr>
          <w:p w:rsidR="00AC0832" w:rsidRDefault="00AC0832">
            <w:pPr>
              <w:pStyle w:val="CellColumn"/>
            </w:pPr>
            <w:r>
              <w:t>2</w:t>
            </w:r>
          </w:p>
        </w:tc>
        <w:tc>
          <w:tcPr>
            <w:tcW w:w="1300" w:type="dxa"/>
          </w:tcPr>
          <w:p w:rsidR="00AC0832" w:rsidRDefault="00AC0832">
            <w:pPr>
              <w:pStyle w:val="CellColumn"/>
            </w:pPr>
            <w:r>
              <w:t>MZOIP</w:t>
            </w:r>
          </w:p>
        </w:tc>
        <w:tc>
          <w:tcPr>
            <w:tcW w:w="1300" w:type="dxa"/>
          </w:tcPr>
          <w:p w:rsidR="00AC0832" w:rsidRDefault="00AC0832">
            <w:pPr>
              <w:pStyle w:val="CellColumn"/>
            </w:pPr>
            <w:r>
              <w:t>4</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A576169 PROVOĐENJE POSTUPKA PROCJENE UTJECAJA NA OKOLIŠ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A576169-PROVOĐENJE POSTUPKA PROCJENE UTJECAJA NA OKOLIŠ</w:t>
            </w:r>
          </w:p>
        </w:tc>
        <w:tc>
          <w:tcPr>
            <w:tcW w:w="2322" w:type="dxa"/>
          </w:tcPr>
          <w:p w:rsidR="00AC0832" w:rsidRDefault="00AC0832">
            <w:pPr>
              <w:pStyle w:val="CellColumn"/>
            </w:pPr>
            <w:r>
              <w:t>1.510.000</w:t>
            </w:r>
          </w:p>
        </w:tc>
        <w:tc>
          <w:tcPr>
            <w:tcW w:w="2322" w:type="dxa"/>
          </w:tcPr>
          <w:p w:rsidR="00AC0832" w:rsidRDefault="00AC0832">
            <w:pPr>
              <w:pStyle w:val="CellColumn"/>
            </w:pPr>
            <w:r>
              <w:t>1.132.979</w:t>
            </w:r>
          </w:p>
        </w:tc>
        <w:tc>
          <w:tcPr>
            <w:tcW w:w="2322" w:type="dxa"/>
          </w:tcPr>
          <w:p w:rsidR="00AC0832" w:rsidRDefault="00AC0832">
            <w:pPr>
              <w:pStyle w:val="CellColumn"/>
            </w:pPr>
            <w:r>
              <w:t>75,0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Ministarstvo zaštite okoliša i prirode provodi postupke procjene utjecaja na okoliš za pojedine zahvate na temelju zahtjeva nositelja zahvata. Troškove nastale tijekom postupka (Savjetodavno stručno povjerenstvo, troškovi očevida lokacije) temeljem Zakona o općem upravnom postupku snosi nositelj zahvata.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Održavanje kontinuiteta provedenih postupaka strateške procjene utjecaja na okoliš (SPUO) i procjene na okoliš (PUO) u odnosu na zaprimljene zahtjeve</w:t>
            </w:r>
          </w:p>
        </w:tc>
        <w:tc>
          <w:tcPr>
            <w:tcW w:w="1300" w:type="dxa"/>
          </w:tcPr>
          <w:p w:rsidR="00AC0832" w:rsidRDefault="00AC0832">
            <w:pPr>
              <w:pStyle w:val="CellColumn"/>
            </w:pPr>
            <w:r>
              <w:t>Ministarstvo provodi stratešku procjenu plana i programa, te utjecaj od određenog zahvata na okoliš</w:t>
            </w:r>
          </w:p>
        </w:tc>
        <w:tc>
          <w:tcPr>
            <w:tcW w:w="1300" w:type="dxa"/>
          </w:tcPr>
          <w:p w:rsidR="00AC0832" w:rsidRDefault="00AC0832">
            <w:pPr>
              <w:pStyle w:val="CellColumn"/>
            </w:pPr>
            <w:r>
              <w:t>%</w:t>
            </w:r>
          </w:p>
        </w:tc>
        <w:tc>
          <w:tcPr>
            <w:tcW w:w="1300" w:type="dxa"/>
          </w:tcPr>
          <w:p w:rsidR="00AC0832" w:rsidRDefault="00AC0832">
            <w:pPr>
              <w:pStyle w:val="CellColumn"/>
            </w:pPr>
            <w:r>
              <w:t>80</w:t>
            </w:r>
          </w:p>
        </w:tc>
        <w:tc>
          <w:tcPr>
            <w:tcW w:w="1300" w:type="dxa"/>
          </w:tcPr>
          <w:p w:rsidR="00AC0832" w:rsidRDefault="00AC0832">
            <w:pPr>
              <w:pStyle w:val="CellColumn"/>
            </w:pPr>
            <w:r>
              <w:t>MZOIP</w:t>
            </w:r>
          </w:p>
        </w:tc>
        <w:tc>
          <w:tcPr>
            <w:tcW w:w="1300" w:type="dxa"/>
          </w:tcPr>
          <w:p w:rsidR="00AC0832" w:rsidRDefault="00AC0832">
            <w:pPr>
              <w:pStyle w:val="CellColumn"/>
            </w:pPr>
            <w:r>
              <w:t>80</w:t>
            </w:r>
          </w:p>
        </w:tc>
        <w:tc>
          <w:tcPr>
            <w:tcW w:w="1300" w:type="dxa"/>
          </w:tcPr>
          <w:p w:rsidR="00AC0832" w:rsidRDefault="00AC0832">
            <w:pPr>
              <w:pStyle w:val="CellColumn"/>
            </w:pPr>
            <w:r>
              <w:t>70</w:t>
            </w:r>
          </w:p>
        </w:tc>
      </w:tr>
      <w:tr w:rsidR="00AC0832" w:rsidTr="00BE20ED">
        <w:trPr>
          <w:jc w:val="center"/>
        </w:trPr>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A576173 SURADNJA NA LOKALNOJ, REGIONALNOJ I MEĐUNARODNOJ RAZINI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A576173-SURADNJA NA LOKALNOJ, REGIONALNOJ I MEĐUNARODNOJ RAZINI</w:t>
            </w:r>
          </w:p>
        </w:tc>
        <w:tc>
          <w:tcPr>
            <w:tcW w:w="2322" w:type="dxa"/>
          </w:tcPr>
          <w:p w:rsidR="00AC0832" w:rsidRDefault="00AC0832">
            <w:pPr>
              <w:pStyle w:val="CellColumn"/>
            </w:pPr>
            <w:r>
              <w:t>2.345.000</w:t>
            </w:r>
          </w:p>
        </w:tc>
        <w:tc>
          <w:tcPr>
            <w:tcW w:w="2322" w:type="dxa"/>
          </w:tcPr>
          <w:p w:rsidR="00AC0832" w:rsidRDefault="00AC0832">
            <w:pPr>
              <w:pStyle w:val="CellColumn"/>
            </w:pPr>
            <w:r>
              <w:t>2.228.945</w:t>
            </w:r>
          </w:p>
        </w:tc>
        <w:tc>
          <w:tcPr>
            <w:tcW w:w="2322" w:type="dxa"/>
          </w:tcPr>
          <w:p w:rsidR="00AC0832" w:rsidRDefault="00AC0832">
            <w:pPr>
              <w:pStyle w:val="CellColumn"/>
            </w:pPr>
            <w:r>
              <w:t>95,1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Sredstva planirana za provedbu suradnje na lokalnoj, regionalnoj i međunarodnoj razini  u okviru ovog Programa namijenjena su za sudjelovanje  predstavnika Ministarstva u aktivnostima zaštite okoliša i održivog razvoja na multilateralnoj (globalnoj), regionalnoj i bilateralnoj razini. Republika Hrvatska stranka je međunarodnih konvencija u području zaštite okoliša i njihovih pratećih protokola za čiju provedbu je izravno zaduženo ovo Ministarstvo. To, između ostalog, podrazumijeva i obvezu sudjelovanja u radu konferencija stranaka i sastanaka radnih tijela konvencija. Također, RH je članica značajnog broja međunarodnih organizacija i buduća članica EU pa se na međunarodnoj razini očekuje njezino aktivno uključivanje u inicijative i procese (poput Rio+20) te doprinos razvoju globalnih politika zaštite okoliša. </w:t>
      </w:r>
    </w:p>
    <w:p w:rsidR="00AC0832" w:rsidRDefault="00AC0832">
      <w:pPr>
        <w:pStyle w:val="Normal6"/>
      </w:pPr>
      <w:r>
        <w:t>RH podliježe obvezi plaćanja 15 doprinosa za članstvo u međunarodnim  sporazumima i organizacijama koji se podmiruju iz ovog Programa. Republika Hrvatska je prema Ugovoru iz 1996. s UNEP-om domaćin Centru za regionalne aktivnosti Mediteranskog Akcijskog Plana Programa UN-a za okoliš u Splitu, a njegovo sufinanciranje osigurava se iz ovog Programa.</w:t>
      </w:r>
    </w:p>
    <w:p w:rsidR="00AC0832" w:rsidRDefault="00AC0832">
      <w:pPr>
        <w:pStyle w:val="Normal6"/>
      </w:pPr>
    </w:p>
    <w:p w:rsidR="00AC0832" w:rsidRDefault="00AC0832">
      <w:pPr>
        <w:pStyle w:val="Normal6"/>
      </w:pPr>
    </w:p>
    <w:p w:rsidR="00AC0832" w:rsidRDefault="00AC0832">
      <w:pPr>
        <w:pStyle w:val="Heading6"/>
      </w:pPr>
      <w:r>
        <w:t>A576189 NADZOR OKOLIŠA I PRIRODE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A576189-NADZOR OKOLIŠA I PRIRODE</w:t>
            </w:r>
          </w:p>
        </w:tc>
        <w:tc>
          <w:tcPr>
            <w:tcW w:w="2322" w:type="dxa"/>
          </w:tcPr>
          <w:p w:rsidR="00AC0832" w:rsidRDefault="00AC0832">
            <w:pPr>
              <w:pStyle w:val="CellColumn"/>
            </w:pPr>
            <w:r>
              <w:t>1.130.000</w:t>
            </w:r>
          </w:p>
        </w:tc>
        <w:tc>
          <w:tcPr>
            <w:tcW w:w="2322" w:type="dxa"/>
          </w:tcPr>
          <w:p w:rsidR="00AC0832" w:rsidRDefault="00AC0832">
            <w:pPr>
              <w:pStyle w:val="CellColumn"/>
            </w:pPr>
            <w:r>
              <w:t>532.572</w:t>
            </w:r>
          </w:p>
        </w:tc>
        <w:tc>
          <w:tcPr>
            <w:tcW w:w="2322" w:type="dxa"/>
          </w:tcPr>
          <w:p w:rsidR="00AC0832" w:rsidRDefault="00AC0832">
            <w:pPr>
              <w:pStyle w:val="CellColumn"/>
            </w:pPr>
            <w:r>
              <w:t>47,1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Inspekcija zaštite okoliša u okviru svojih nadležnosti obavlja inspekcijski nadzor pravnih i fizičkih osoba na temelju odredbi Zakona o zaštiti okoliša, Zakona o zaštiti zraka, Zakona o otpadu, Zakona o zaštiti od svjetlosnog onečišćenja te propisa donesenih na temelju tih zakona u vezi primjene odredbi kojima se reguliraju opća pitanja zaštite okoliša, zaštita zraka i postupanje s otpadom prema godišnjem planu rada. </w:t>
      </w:r>
    </w:p>
    <w:p w:rsidR="00AC0832" w:rsidRDefault="00AC0832">
      <w:pPr>
        <w:pStyle w:val="Normal6"/>
      </w:pPr>
      <w:r>
        <w:t xml:space="preserve">Inspekcijske službe ustrojene u Upravi za inspekcijske poslove u svrhu kontrole provedbe zakona iz djelokruga rada Ministarstva, temeljem propisanih ovlasti obavljaju specifične poslove koji, osim redovnih planiranih aktivnosti, u znatnoj mjeri ovise o trenutnim nepredvidivim zbivanjima u području zaštite okoliša i zaštite prirode (prijave građana, izvanredni događaji, velike nesreće, onečišćenja i sl.). Zbog tih je specifičnosti nužno u proračunu planirati sredstva za realizaciju inspekcijskih nadzora i daljnjih postupaka koji nakon utvrđenja povrede propisa proizlaze, posebice u slučaju onečišćenja okoliša te potrebe sanacije onečišćenog okoliša radi sprječavanja daljnjih šteta u okolišu i prirodi. </w:t>
      </w:r>
    </w:p>
    <w:p w:rsidR="00AC0832" w:rsidRDefault="00AC0832">
      <w:pPr>
        <w:pStyle w:val="Normal6"/>
      </w:pPr>
      <w:r>
        <w:t xml:space="preserve">Inspekcija zaštite okoliša je u 2012. godini pojačala svoje aktivnosti na način da je osim provedbe prvih nadzora obveznika primjene propisa, povećala i broj nadzora onih subjekata kojima je radi usklađenja s propisima o zaštiti okoliša, osobito gospodarenja otpadom, u prethodnom razdoblju bilo naređeno provođenje inspekcijskih mjera. </w:t>
      </w:r>
    </w:p>
    <w:p w:rsidR="00AC0832" w:rsidRDefault="00AC0832">
      <w:pPr>
        <w:pStyle w:val="Normal6"/>
      </w:pPr>
      <w:r>
        <w:t xml:space="preserve">Razlog odstupanja od predviđenih ciljanih vrijednosti je smanjen broj inspektora zaštite okoliša za 5 izvršitelja tijekom 2012. godine zbog odlaska u mirovinu (3 službenika) ili ostalih razloga (smrtni slučaj i odlazak iz državne službe). Istovremeno u 2012. godini zbog mjera štednje na poslove inspekcije zaštite okoliša nije zaposlen niti jedan novi službenik.  </w:t>
      </w:r>
    </w:p>
    <w:p w:rsidR="00AC0832" w:rsidRDefault="00AC0832">
      <w:pPr>
        <w:pStyle w:val="Normal6"/>
      </w:pPr>
      <w:r>
        <w:t xml:space="preserve">Temeljem Sporazuma o suradnji inspekcijskih službi nadležnih u području okoliša tijekom 2012. godine inspekcija zaštite okoliša obavila je 54 planirana koordinirana inspekcijska nadzora operatera obveznika ishođenja objedinjenih uvjeta zaštite okoliša i operatera koji podliježu primjeni propisa kojim se uređuje sprječavanje velikih nesreća zbog opasnih tvari. Obavljeni su i planirani tematski nadzori odlagališta otpada, turističkih pravaca, luka nautičkog turizma, nadzori subjekata koji koriste hlapive organske spojeve, nadzori ovlaštenika za gospodarenje otpadom i obavljanje poslova iz područja zaštite zraka, površinske eksploatacije mineralnih sirovina, kontrolni nadzori, nadzori po prijavama građana i nadzori povodom izvanrednih događaja. Razlog odstupanja od predviđenih ciljanih vrijednosti je smanjen broj inspektora zaštite okoliša za 5 izvršitelja, kao što je navedeno i u prethodnom obrazloženju. </w:t>
      </w:r>
    </w:p>
    <w:p w:rsidR="00AC0832" w:rsidRDefault="00AC0832">
      <w:pPr>
        <w:pStyle w:val="Normal6"/>
      </w:pPr>
      <w:r>
        <w:t xml:space="preserve">Planom rada za 2012. godinu bilo predviđeno je stručno osposobljavanje i unaprjeđenje rada inspektora u okviru implementacije twinning projekta IPA I. Komponenta 2008 „Provedba novog Zakona o zaštiti okoliša usklađenog sa zakonodavstvom EU-a u slučajevima kaznenih djela protiv okoliša“ te implementacije novog twinning projekta u okviru pretpristupnog programa pomoći IPA I. Komponenta 2009 „Jačanje kapaciteta za provedbu nadzora prekograničnog prometa otpadom“, te uključivanjem u rad međunarodnih mreža i institucija. Sve planirane aktivnosti u odnosu na stručno osposobljavanje su provedene u potpunosti. </w:t>
      </w:r>
    </w:p>
    <w:p w:rsidR="00AC0832" w:rsidRDefault="00AC0832">
      <w:pPr>
        <w:pStyle w:val="Normal6"/>
      </w:pPr>
      <w:r>
        <w:t>Zbog povreda propisa iz područja zaštite okoliša tijekom 2012. godine nadležnim prekršajnim sudovima podneseni su optužni prijedlozi na osnovu inspekcijskog postupanja i na osnovu podnesaka Ministarstva unutarnjih poslova.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1"/>
        <w:gridCol w:w="1651"/>
        <w:gridCol w:w="1153"/>
        <w:gridCol w:w="1204"/>
        <w:gridCol w:w="1191"/>
        <w:gridCol w:w="1205"/>
        <w:gridCol w:w="123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planiranih inspekcijskih nadzora</w:t>
            </w:r>
          </w:p>
        </w:tc>
        <w:tc>
          <w:tcPr>
            <w:tcW w:w="1300" w:type="dxa"/>
          </w:tcPr>
          <w:p w:rsidR="00AC0832" w:rsidRDefault="00AC0832">
            <w:pPr>
              <w:pStyle w:val="CellColumn"/>
            </w:pPr>
            <w:r>
              <w:t>Provedbom obveznih nadzora osoba određenih djelatnosti s rizikom od onečišćenja okoliša, smanjuje se njihov mogući utjecaj na okoliš iznad propisanih vrijednosti</w:t>
            </w:r>
          </w:p>
        </w:tc>
        <w:tc>
          <w:tcPr>
            <w:tcW w:w="1300" w:type="dxa"/>
          </w:tcPr>
          <w:p w:rsidR="00AC0832" w:rsidRDefault="00AC0832">
            <w:pPr>
              <w:pStyle w:val="CellColumn"/>
            </w:pPr>
            <w:r>
              <w:t>broj</w:t>
            </w:r>
          </w:p>
        </w:tc>
        <w:tc>
          <w:tcPr>
            <w:tcW w:w="1300" w:type="dxa"/>
          </w:tcPr>
          <w:p w:rsidR="00AC0832" w:rsidRDefault="00AC0832">
            <w:pPr>
              <w:pStyle w:val="CellColumn"/>
            </w:pPr>
            <w:r>
              <w:t>6000</w:t>
            </w:r>
          </w:p>
        </w:tc>
        <w:tc>
          <w:tcPr>
            <w:tcW w:w="1300" w:type="dxa"/>
          </w:tcPr>
          <w:p w:rsidR="00AC0832" w:rsidRDefault="00AC0832">
            <w:pPr>
              <w:pStyle w:val="CellColumn"/>
            </w:pPr>
            <w:r>
              <w:t>MZOIP</w:t>
            </w:r>
          </w:p>
        </w:tc>
        <w:tc>
          <w:tcPr>
            <w:tcW w:w="1300" w:type="dxa"/>
          </w:tcPr>
          <w:p w:rsidR="00AC0832" w:rsidRDefault="00AC0832">
            <w:pPr>
              <w:pStyle w:val="CellColumn"/>
            </w:pPr>
            <w:r>
              <w:t>7000</w:t>
            </w:r>
          </w:p>
        </w:tc>
        <w:tc>
          <w:tcPr>
            <w:tcW w:w="1300" w:type="dxa"/>
          </w:tcPr>
          <w:p w:rsidR="00AC0832" w:rsidRDefault="00AC0832">
            <w:pPr>
              <w:pStyle w:val="CellColumn"/>
            </w:pPr>
            <w:r>
              <w:t>5931</w:t>
            </w:r>
          </w:p>
        </w:tc>
      </w:tr>
      <w:tr w:rsidR="00AC0832" w:rsidTr="00BE20ED">
        <w:trPr>
          <w:jc w:val="center"/>
        </w:trPr>
        <w:tc>
          <w:tcPr>
            <w:tcW w:w="1300" w:type="dxa"/>
          </w:tcPr>
          <w:p w:rsidR="00AC0832" w:rsidRDefault="00AC0832">
            <w:pPr>
              <w:pStyle w:val="CellColumn"/>
            </w:pPr>
            <w:r>
              <w:t>Povećanje broja nadziranih osoba</w:t>
            </w:r>
          </w:p>
        </w:tc>
        <w:tc>
          <w:tcPr>
            <w:tcW w:w="1300" w:type="dxa"/>
          </w:tcPr>
          <w:p w:rsidR="00AC0832" w:rsidRDefault="00AC0832">
            <w:pPr>
              <w:pStyle w:val="CellColumn"/>
            </w:pPr>
            <w:r>
              <w:t>Povećanjem broja nadziranih osoba, osigurava se unapređenje stanja okoliša</w:t>
            </w:r>
          </w:p>
        </w:tc>
        <w:tc>
          <w:tcPr>
            <w:tcW w:w="1300" w:type="dxa"/>
          </w:tcPr>
          <w:p w:rsidR="00AC0832" w:rsidRDefault="00AC0832">
            <w:pPr>
              <w:pStyle w:val="CellColumn"/>
            </w:pPr>
            <w:r>
              <w:t>broj</w:t>
            </w:r>
          </w:p>
        </w:tc>
        <w:tc>
          <w:tcPr>
            <w:tcW w:w="1300" w:type="dxa"/>
          </w:tcPr>
          <w:p w:rsidR="00AC0832" w:rsidRDefault="00AC0832">
            <w:pPr>
              <w:pStyle w:val="CellColumn"/>
            </w:pPr>
            <w:r>
              <w:t>5000</w:t>
            </w:r>
          </w:p>
        </w:tc>
        <w:tc>
          <w:tcPr>
            <w:tcW w:w="1300" w:type="dxa"/>
          </w:tcPr>
          <w:p w:rsidR="00AC0832" w:rsidRDefault="00AC0832">
            <w:pPr>
              <w:pStyle w:val="CellColumn"/>
            </w:pPr>
            <w:r>
              <w:t>MZOIP</w:t>
            </w:r>
          </w:p>
        </w:tc>
        <w:tc>
          <w:tcPr>
            <w:tcW w:w="1300" w:type="dxa"/>
          </w:tcPr>
          <w:p w:rsidR="00AC0832" w:rsidRDefault="00AC0832">
            <w:pPr>
              <w:pStyle w:val="CellColumn"/>
            </w:pPr>
            <w:r>
              <w:t>5300</w:t>
            </w:r>
          </w:p>
        </w:tc>
        <w:tc>
          <w:tcPr>
            <w:tcW w:w="1300" w:type="dxa"/>
          </w:tcPr>
          <w:p w:rsidR="00AC0832" w:rsidRDefault="00AC0832">
            <w:pPr>
              <w:pStyle w:val="CellColumn"/>
            </w:pPr>
            <w:r>
              <w:t>3424</w:t>
            </w:r>
          </w:p>
        </w:tc>
      </w:tr>
      <w:tr w:rsidR="00AC0832" w:rsidTr="00BE20ED">
        <w:trPr>
          <w:jc w:val="center"/>
        </w:trPr>
        <w:tc>
          <w:tcPr>
            <w:tcW w:w="1300" w:type="dxa"/>
          </w:tcPr>
          <w:p w:rsidR="00AC0832" w:rsidRDefault="00AC0832">
            <w:pPr>
              <w:pStyle w:val="CellColumn"/>
            </w:pPr>
            <w:r>
              <w:t>Broj dana sudjelovanja na stučnom osposobljavanju inspektora zaštite okoliša</w:t>
            </w:r>
          </w:p>
        </w:tc>
        <w:tc>
          <w:tcPr>
            <w:tcW w:w="1300" w:type="dxa"/>
          </w:tcPr>
          <w:p w:rsidR="00AC0832" w:rsidRDefault="00AC0832">
            <w:pPr>
              <w:pStyle w:val="CellColumn"/>
            </w:pPr>
            <w:r>
              <w:t>Sustavno stručno osposobljavanje i edukacija s ciljem razvijanja posebnih vještina i stručnih znanja inspektora radi učinkovite provedbe okolišnog zakonodavstva usklađenog s pravnom stečevinom EU</w:t>
            </w:r>
          </w:p>
        </w:tc>
        <w:tc>
          <w:tcPr>
            <w:tcW w:w="1300" w:type="dxa"/>
          </w:tcPr>
          <w:p w:rsidR="00AC0832" w:rsidRDefault="00AC0832">
            <w:pPr>
              <w:pStyle w:val="CellColumn"/>
            </w:pPr>
            <w:r>
              <w:t>dan</w:t>
            </w:r>
          </w:p>
        </w:tc>
        <w:tc>
          <w:tcPr>
            <w:tcW w:w="1300" w:type="dxa"/>
          </w:tcPr>
          <w:p w:rsidR="00AC0832" w:rsidRDefault="00AC0832">
            <w:pPr>
              <w:pStyle w:val="CellColumn"/>
            </w:pPr>
            <w:r>
              <w:t>4</w:t>
            </w:r>
          </w:p>
        </w:tc>
        <w:tc>
          <w:tcPr>
            <w:tcW w:w="1300" w:type="dxa"/>
          </w:tcPr>
          <w:p w:rsidR="00AC0832" w:rsidRDefault="00AC0832">
            <w:pPr>
              <w:pStyle w:val="CellColumn"/>
            </w:pPr>
            <w:r>
              <w:t>MZOIP</w:t>
            </w:r>
          </w:p>
        </w:tc>
        <w:tc>
          <w:tcPr>
            <w:tcW w:w="1300" w:type="dxa"/>
          </w:tcPr>
          <w:p w:rsidR="00AC0832" w:rsidRDefault="00AC0832">
            <w:pPr>
              <w:pStyle w:val="CellColumn"/>
            </w:pPr>
            <w:r>
              <w:t>8</w:t>
            </w:r>
          </w:p>
        </w:tc>
        <w:tc>
          <w:tcPr>
            <w:tcW w:w="1300" w:type="dxa"/>
          </w:tcPr>
          <w:p w:rsidR="00AC0832" w:rsidRDefault="00AC0832">
            <w:pPr>
              <w:pStyle w:val="CellColumn"/>
            </w:pPr>
            <w:r>
              <w:t>10</w:t>
            </w:r>
          </w:p>
        </w:tc>
      </w:tr>
      <w:tr w:rsidR="00AC0832" w:rsidTr="00BE20ED">
        <w:trPr>
          <w:jc w:val="center"/>
        </w:trPr>
        <w:tc>
          <w:tcPr>
            <w:tcW w:w="1300" w:type="dxa"/>
          </w:tcPr>
          <w:p w:rsidR="00AC0832" w:rsidRDefault="00AC0832">
            <w:pPr>
              <w:pStyle w:val="CellColumn"/>
            </w:pPr>
            <w:r>
              <w:t>Broj podnesenih optužnih prijedloga</w:t>
            </w:r>
          </w:p>
        </w:tc>
        <w:tc>
          <w:tcPr>
            <w:tcW w:w="1300" w:type="dxa"/>
          </w:tcPr>
          <w:p w:rsidR="00AC0832" w:rsidRDefault="00AC0832">
            <w:pPr>
              <w:pStyle w:val="CellColumn"/>
            </w:pPr>
            <w:r>
              <w:t>Povećanje odgovornosti nadziranih osoba nakon njihove prilagodbe na nove propise u području zaštite okoliša</w:t>
            </w:r>
          </w:p>
        </w:tc>
        <w:tc>
          <w:tcPr>
            <w:tcW w:w="1300" w:type="dxa"/>
          </w:tcPr>
          <w:p w:rsidR="00AC0832" w:rsidRDefault="00AC0832">
            <w:pPr>
              <w:pStyle w:val="CellColumn"/>
            </w:pPr>
            <w:r>
              <w:t>broj</w:t>
            </w:r>
          </w:p>
        </w:tc>
        <w:tc>
          <w:tcPr>
            <w:tcW w:w="1300" w:type="dxa"/>
          </w:tcPr>
          <w:p w:rsidR="00AC0832" w:rsidRDefault="00AC0832">
            <w:pPr>
              <w:pStyle w:val="CellColumn"/>
            </w:pPr>
            <w:r>
              <w:t>325</w:t>
            </w:r>
          </w:p>
        </w:tc>
        <w:tc>
          <w:tcPr>
            <w:tcW w:w="1300" w:type="dxa"/>
          </w:tcPr>
          <w:p w:rsidR="00AC0832" w:rsidRDefault="00AC0832">
            <w:pPr>
              <w:pStyle w:val="CellColumn"/>
            </w:pPr>
            <w:r>
              <w:t>MZOIP</w:t>
            </w:r>
          </w:p>
        </w:tc>
        <w:tc>
          <w:tcPr>
            <w:tcW w:w="1300" w:type="dxa"/>
          </w:tcPr>
          <w:p w:rsidR="00AC0832" w:rsidRDefault="00AC0832">
            <w:pPr>
              <w:pStyle w:val="CellColumn"/>
            </w:pPr>
            <w:r>
              <w:t>500</w:t>
            </w:r>
          </w:p>
        </w:tc>
        <w:tc>
          <w:tcPr>
            <w:tcW w:w="1300" w:type="dxa"/>
          </w:tcPr>
          <w:p w:rsidR="00AC0832" w:rsidRDefault="00AC0832">
            <w:pPr>
              <w:pStyle w:val="CellColumn"/>
            </w:pPr>
            <w:r>
              <w:t>536</w:t>
            </w:r>
          </w:p>
        </w:tc>
      </w:tr>
    </w:tbl>
    <w:p w:rsidR="00AC0832" w:rsidRDefault="00AC0832">
      <w:pPr>
        <w:jc w:val="left"/>
      </w:pPr>
    </w:p>
    <w:p w:rsidR="00AC0832" w:rsidRDefault="00AC0832">
      <w:pPr>
        <w:pStyle w:val="Heading6"/>
      </w:pPr>
      <w:r>
        <w:t>A576208 PROMICANJE, INFORMIRANJE I ORGANIZIRANJE DOGAĐANJA U ZAŠTITI OKOLIŠA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A576208-PROMICANJE, INFORMIRANJE I ORGANIZIRANJE DOGAĐANJA U ZAŠTITI OKOLIŠA</w:t>
            </w:r>
          </w:p>
        </w:tc>
        <w:tc>
          <w:tcPr>
            <w:tcW w:w="2322" w:type="dxa"/>
          </w:tcPr>
          <w:p w:rsidR="00AC0832" w:rsidRDefault="00AC0832">
            <w:pPr>
              <w:pStyle w:val="CellColumn"/>
            </w:pPr>
            <w:r>
              <w:t>442.000</w:t>
            </w:r>
          </w:p>
        </w:tc>
        <w:tc>
          <w:tcPr>
            <w:tcW w:w="2322" w:type="dxa"/>
          </w:tcPr>
          <w:p w:rsidR="00AC0832" w:rsidRDefault="00AC0832">
            <w:pPr>
              <w:pStyle w:val="CellColumn"/>
            </w:pPr>
            <w:r>
              <w:t>321.480</w:t>
            </w:r>
          </w:p>
        </w:tc>
        <w:tc>
          <w:tcPr>
            <w:tcW w:w="2322" w:type="dxa"/>
          </w:tcPr>
          <w:p w:rsidR="00AC0832" w:rsidRDefault="00AC0832">
            <w:pPr>
              <w:pStyle w:val="CellColumn"/>
            </w:pPr>
            <w:r>
              <w:t>72,7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Bitni preduvjeti za učinkovito ostvarenje ciljeva su jačanje svijesti i uključivanje javnosti u procese donošenja odluka, te jačanje administrativnih i stručnih kapaciteta na nacionalnoj i regionalnoj razini. Ministarstvo održava kontakte sa svim dionicima pri donošenju određenih akata u zaštiti okoliša, održava radionice te svojim radom promiče zaštitu okoliša u svim segmentima djelovanja. Ministarstvo će nastaviti provoditi plan dodjele nacionalnog znaka zaštite okoliša „Prijatelj okoliša“ kojim se promiču visoki standardi zaštite okoliša u proizvodnom i uslužnom sektoru.  Za postignuća u području zaštite okoliša Ministarstvo će dodjeljivati godišnja priznanja i nagrade.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7"/>
        <w:gridCol w:w="1328"/>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održanih radionica</w:t>
            </w:r>
          </w:p>
        </w:tc>
        <w:tc>
          <w:tcPr>
            <w:tcW w:w="1300" w:type="dxa"/>
          </w:tcPr>
          <w:p w:rsidR="00AC0832" w:rsidRDefault="00AC0832">
            <w:pPr>
              <w:pStyle w:val="CellColumn"/>
            </w:pPr>
            <w:r>
              <w:t>Ministarstvo sudjeluje u organizaciji i provođenju ekukacije državnih službenika</w:t>
            </w:r>
          </w:p>
        </w:tc>
        <w:tc>
          <w:tcPr>
            <w:tcW w:w="1300" w:type="dxa"/>
          </w:tcPr>
          <w:p w:rsidR="00AC0832" w:rsidRDefault="00AC0832">
            <w:pPr>
              <w:pStyle w:val="CellColumn"/>
            </w:pPr>
            <w:r>
              <w:t>broj</w:t>
            </w:r>
          </w:p>
        </w:tc>
        <w:tc>
          <w:tcPr>
            <w:tcW w:w="1300" w:type="dxa"/>
          </w:tcPr>
          <w:p w:rsidR="00AC0832" w:rsidRDefault="00AC0832">
            <w:pPr>
              <w:pStyle w:val="CellColumn"/>
            </w:pPr>
            <w:r>
              <w:t>1</w:t>
            </w:r>
          </w:p>
        </w:tc>
        <w:tc>
          <w:tcPr>
            <w:tcW w:w="1300" w:type="dxa"/>
          </w:tcPr>
          <w:p w:rsidR="00AC0832" w:rsidRDefault="00AC0832">
            <w:pPr>
              <w:pStyle w:val="CellColumn"/>
            </w:pPr>
            <w:r>
              <w:t>MZOIP</w:t>
            </w:r>
          </w:p>
        </w:tc>
        <w:tc>
          <w:tcPr>
            <w:tcW w:w="1300" w:type="dxa"/>
          </w:tcPr>
          <w:p w:rsidR="00AC0832" w:rsidRDefault="00AC0832">
            <w:pPr>
              <w:pStyle w:val="CellColumn"/>
            </w:pPr>
            <w:r>
              <w:t>4</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Povećanje broja promidžbenih materijala</w:t>
            </w:r>
          </w:p>
        </w:tc>
        <w:tc>
          <w:tcPr>
            <w:tcW w:w="1300" w:type="dxa"/>
          </w:tcPr>
          <w:p w:rsidR="00AC0832" w:rsidRDefault="00AC0832">
            <w:pPr>
              <w:pStyle w:val="CellColumn"/>
            </w:pPr>
            <w:r>
              <w:t>Ministarstvo sudjeluje u podizanju svijesti o zaštiti okoliša i održivom razvoju stanovništva putem edukativnih materijala</w:t>
            </w:r>
          </w:p>
        </w:tc>
        <w:tc>
          <w:tcPr>
            <w:tcW w:w="1300" w:type="dxa"/>
          </w:tcPr>
          <w:p w:rsidR="00AC0832" w:rsidRDefault="00AC0832">
            <w:pPr>
              <w:pStyle w:val="CellColumn"/>
            </w:pPr>
            <w:r>
              <w:t>broj</w:t>
            </w:r>
          </w:p>
        </w:tc>
        <w:tc>
          <w:tcPr>
            <w:tcW w:w="1300" w:type="dxa"/>
          </w:tcPr>
          <w:p w:rsidR="00AC0832" w:rsidRDefault="00AC0832">
            <w:pPr>
              <w:pStyle w:val="CellColumn"/>
            </w:pPr>
            <w:r>
              <w:t>1</w:t>
            </w:r>
          </w:p>
        </w:tc>
        <w:tc>
          <w:tcPr>
            <w:tcW w:w="1300" w:type="dxa"/>
          </w:tcPr>
          <w:p w:rsidR="00AC0832" w:rsidRDefault="00AC0832">
            <w:pPr>
              <w:pStyle w:val="CellColumn"/>
            </w:pPr>
            <w:r>
              <w:t>MZOIP</w:t>
            </w:r>
          </w:p>
        </w:tc>
        <w:tc>
          <w:tcPr>
            <w:tcW w:w="1300" w:type="dxa"/>
          </w:tcPr>
          <w:p w:rsidR="00AC0832" w:rsidRDefault="00AC0832">
            <w:pPr>
              <w:pStyle w:val="CellColumn"/>
            </w:pPr>
            <w:r>
              <w:t>2</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Povećanje broja dodjela znaka zaštite okoliša</w:t>
            </w:r>
          </w:p>
        </w:tc>
        <w:tc>
          <w:tcPr>
            <w:tcW w:w="1300" w:type="dxa"/>
          </w:tcPr>
          <w:p w:rsidR="00AC0832" w:rsidRDefault="00AC0832">
            <w:pPr>
              <w:pStyle w:val="CellColumn"/>
            </w:pPr>
            <w:r>
              <w:t>Ministarstvo dodjeljuje znak zaštite okoliša "Prijatelj okoliša" za proizvode i usluge koji tijekom cijelog životnog ciklusa manje opterećuju okoliš</w:t>
            </w:r>
          </w:p>
        </w:tc>
        <w:tc>
          <w:tcPr>
            <w:tcW w:w="1300" w:type="dxa"/>
          </w:tcPr>
          <w:p w:rsidR="00AC0832" w:rsidRDefault="00AC0832">
            <w:pPr>
              <w:pStyle w:val="CellColumn"/>
            </w:pPr>
            <w:r>
              <w:t>broj</w:t>
            </w:r>
          </w:p>
        </w:tc>
        <w:tc>
          <w:tcPr>
            <w:tcW w:w="1300" w:type="dxa"/>
          </w:tcPr>
          <w:p w:rsidR="00AC0832" w:rsidRDefault="00AC0832">
            <w:pPr>
              <w:pStyle w:val="CellColumn"/>
            </w:pPr>
            <w:r>
              <w:t>1</w:t>
            </w:r>
          </w:p>
        </w:tc>
        <w:tc>
          <w:tcPr>
            <w:tcW w:w="1300" w:type="dxa"/>
          </w:tcPr>
          <w:p w:rsidR="00AC0832" w:rsidRDefault="00AC0832">
            <w:pPr>
              <w:pStyle w:val="CellColumn"/>
            </w:pPr>
            <w:r>
              <w:t>MZOIP</w:t>
            </w:r>
          </w:p>
        </w:tc>
        <w:tc>
          <w:tcPr>
            <w:tcW w:w="1300" w:type="dxa"/>
          </w:tcPr>
          <w:p w:rsidR="00AC0832" w:rsidRDefault="00AC0832">
            <w:pPr>
              <w:pStyle w:val="CellColumn"/>
            </w:pPr>
            <w:r>
              <w:t>4</w:t>
            </w:r>
          </w:p>
        </w:tc>
        <w:tc>
          <w:tcPr>
            <w:tcW w:w="1300" w:type="dxa"/>
          </w:tcPr>
          <w:p w:rsidR="00AC0832" w:rsidRDefault="00AC0832">
            <w:pPr>
              <w:pStyle w:val="CellColumn"/>
            </w:pPr>
            <w:r>
              <w:t>2</w:t>
            </w:r>
          </w:p>
        </w:tc>
      </w:tr>
    </w:tbl>
    <w:p w:rsidR="00AC0832" w:rsidRDefault="00AC0832">
      <w:pPr>
        <w:jc w:val="left"/>
      </w:pPr>
    </w:p>
    <w:p w:rsidR="00AC0832" w:rsidRDefault="00AC0832">
      <w:pPr>
        <w:pStyle w:val="Heading6"/>
      </w:pPr>
      <w:r>
        <w:t>A576231 UPRAVLJANJE OPERATIVNIM PROGRAMOM I IZGRADNJA SPOSOBNOSTI - IPA  OPERATIVNI PROGRAM - MJERA 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A576231-UPRAVLJANJE OPERATIVNIM PROGRAMOM I IZGRADNJA SPOSOBNOSTI - IPA  OPERATIVNI PROGRAM - MJERA 3.1.</w:t>
            </w:r>
          </w:p>
        </w:tc>
        <w:tc>
          <w:tcPr>
            <w:tcW w:w="2322" w:type="dxa"/>
          </w:tcPr>
          <w:p w:rsidR="00AC0832" w:rsidRDefault="00AC0832">
            <w:pPr>
              <w:pStyle w:val="CellColumn"/>
            </w:pPr>
            <w:r>
              <w:t>1.578.806</w:t>
            </w:r>
          </w:p>
        </w:tc>
        <w:tc>
          <w:tcPr>
            <w:tcW w:w="2322" w:type="dxa"/>
          </w:tcPr>
          <w:p w:rsidR="00AC0832" w:rsidRDefault="00AC0832">
            <w:pPr>
              <w:pStyle w:val="CellColumn"/>
            </w:pPr>
            <w:r>
              <w:t>1.228.248</w:t>
            </w:r>
          </w:p>
        </w:tc>
        <w:tc>
          <w:tcPr>
            <w:tcW w:w="2322" w:type="dxa"/>
          </w:tcPr>
          <w:p w:rsidR="00AC0832" w:rsidRDefault="00AC0832">
            <w:pPr>
              <w:pStyle w:val="CellColumn"/>
            </w:pPr>
            <w:r>
              <w:t>77,8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okviru ove aktivnosti, financiraju se projekti tehničke pomoći kao podrška provedbi IPA Operativnog programa „Zaštita okoliša“. Tijekom 2012. provodila su se tri projekta tehničke pomoći, i sva tri projekta završena su tijekom 2012. godine. </w:t>
      </w:r>
    </w:p>
    <w:p w:rsidR="00AC0832" w:rsidRDefault="00AC0832">
      <w:pPr>
        <w:pStyle w:val="Normal6"/>
      </w:pPr>
      <w:r>
        <w:t xml:space="preserve">U 2012. izvršeno je završno plaćanje po ugovoru za tehničku pomoć za upravljanje Operativnim programom u iznosu od 148.410,05 € tj. 1.108.092 kn na izvoru 51 i 13.427 € tj. 99.984 kn na izvoru 12; te plaćanje predujma po ugovoru organizacija dva Sektorska nadzorna odbora u iznosu od 2.696,80 € tj. 20.172 kn. </w:t>
      </w:r>
    </w:p>
    <w:p w:rsidR="00AC0832" w:rsidRDefault="00AC0832">
      <w:pPr>
        <w:pStyle w:val="Normal6"/>
      </w:pPr>
      <w:r>
        <w:t>Osim ova dva plaćanja planirano je završno plaćanje za ugovor za odnose s javnošću kao i završno plaćanje po ugovoru organizacija dva Sektorska nadzorna odbora međutim tijekom 2012. nisu dostavljeni računi pružatelja usluga, stoga se ova dva plaćanja planirana za realizaciju u 2013.</w:t>
      </w:r>
    </w:p>
    <w:p w:rsidR="00AC0832" w:rsidRDefault="00AC0832">
      <w:pPr>
        <w:pStyle w:val="Heading6"/>
      </w:pPr>
      <w:r>
        <w:t>A576235 IZRADA I PROVEDBA DOKUMENATA ZA POBOLJŠANJE UPRAVLJANJA OKOLIŠEM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A576235-IZRADA I PROVEDBA DOKUMENATA ZA POBOLJŠANJE UPRAVLJANJA OKOLIŠEM</w:t>
            </w:r>
          </w:p>
        </w:tc>
        <w:tc>
          <w:tcPr>
            <w:tcW w:w="2322" w:type="dxa"/>
          </w:tcPr>
          <w:p w:rsidR="00AC0832" w:rsidRDefault="00AC0832">
            <w:pPr>
              <w:pStyle w:val="CellColumn"/>
            </w:pPr>
            <w:r>
              <w:t>7.720.000</w:t>
            </w:r>
          </w:p>
        </w:tc>
        <w:tc>
          <w:tcPr>
            <w:tcW w:w="2322" w:type="dxa"/>
          </w:tcPr>
          <w:p w:rsidR="00AC0832" w:rsidRDefault="00AC0832">
            <w:pPr>
              <w:pStyle w:val="CellColumn"/>
            </w:pPr>
            <w:r>
              <w:t>5.666.896</w:t>
            </w:r>
          </w:p>
        </w:tc>
        <w:tc>
          <w:tcPr>
            <w:tcW w:w="2322" w:type="dxa"/>
          </w:tcPr>
          <w:p w:rsidR="00AC0832" w:rsidRDefault="00AC0832">
            <w:pPr>
              <w:pStyle w:val="CellColumn"/>
            </w:pPr>
            <w:r>
              <w:t>73,4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Temeljem propisanog Programa mjerenja kvalitete zraka u državnoj mreži za trajno praćenje kvalitete zraka (NN, broj 43/02), Ministarstvo zaštite okoliša i prirode redovito ugovara godišnje usluge gravimetrijskih i kemijskih analiza uzoraka lebdećih čestica PM10 uzorkovanih na mjernim postajama državne mreže za trajno praćenje kvalitete zraka “Zagreb-1“, „Sisak-1“ te  „Rijeka-1“. Program mjerenja u državnoj mreži za praćenje kvalitete zraka u RH donesen je sukladno zahtjevima EU direktiva vezanih za kvalitetu zraka. Također, mjerenja i kemijske analize glavnih uzročnika onečišćenja u gradskim i industrijskim područjima omogućuju pregled onečišćenja, lakše definiranje izvora onečišćenja te pomaže pri definiranju mjera za smanjivanje onečišćenja u tim područjima. Sukladno članku 10. Zakona o zaštiti zraka (NN 130/11) Ministarstvo zaštite okoliša i prirode u suradnji sa središnjim tijelima državne uprave nadležnim za područje: zdravlja, energetike, poljoprivrede, šumarstva, znanosti, voda, mora, prometa, turizma, praćenja meteoroloških uvjeta i drugima, nositelj je izrade Plana zaštite zraka, ozonskog sloja i ublažavanja klimatskih promjena za razdoblje 2012. – 2016. Dokumentom će se odrediti ciljevi i prioriteti u zaštiti zraka, ozonskog sloja i ublažavanja klimatskih promjena u Republici Hrvatskoj za razdoblje 2012.-2016. Plan obuhvaća pitanja emisije štetnih tvari i kvalitetu zraka u zonama i aglomeracijama u cilju zaštite zdravlja ljudi i ekosustava. Plan se odnosi i na međunarodne obveze Republike Hrvatske glede obveza u području kvalitete  zraka i emisije onečišćujućih tvari (uključivo stakleničke plinove i tvari koje oštećuju ozonski sloj). Za izradu stručnih poslova za prijenos zakonodavstva EU u dijelu koji se odnosi na klimatske promjene u hrvatsko zakonodavstvo sklopljeni su ugovori između MZOIP-a i tvrtke EKONERG d.o.o. i Fakulteta strojarstva i brodogradnje 1. srpnja 2011. Zakonom o zaštiti zraka (NN 130/11) prenesene su direktive Europske unije vezano uz trgovanje emisijskim jedinicama stakleničkih plinova (EU ETS) za treće razdoblje trgovanja emisijama stakleničkih plinova Europske unije od 2013. do 2020. godine kojim je između ostalog propisan način i uvjeti besplatne dodjele emisijskih jedinica za razdoblje 2013.-2020. za postojeća postrojenja i obvezuje se Ministarstvo koje priprema popis postrojenja, a koja ulaze u shemu trgovanja emisijama, da izračunava količinu emisijskih jedinica koje se dodjeljuju besplatno te podatke dostavlja Komisiji na odobrenje. Temeljem obveza Republike Hrvatske koja proizlazi iz potvrđenog međunarodnog ugovora, MZOIP je sklopila ugovor s tvrtkom EuroLex savjetovanje d.o.o. za pravno uređivanje prijedloga Pravilnika o praćenju, izvješćivanju i verifikaciji izvješća o emisijama stakleničkih plinova iz postrojenje i zrakoplova, prijedloga Pravilnika o načinu korištenja Registra Europske unije, Izmjena i dopuna Pravilnika o praćenju, izvješćivanju i verifikaciji izvješća o emisijama stakleničkih plinova iz postrojenje i zrakoplova. Izvršen je prijedov Uredbe Komisije (EU) br. 1193/2011 kojom se uspostavlaj Registar Unije za razdoblje trgovanja koje započinje 01. siječnja 2013., i za naredna razdoblja trgovanja sustava trgovanja emisija Unije sukladno Direktivi 2003/87/EZ Europskog parlamenta i Vijeća i Odluke br. 280/2004/EZ Europskog parlamenta i Vijeća. </w:t>
      </w:r>
    </w:p>
    <w:p w:rsidR="00AC0832" w:rsidRDefault="00AC0832">
      <w:pPr>
        <w:pStyle w:val="Normal6"/>
      </w:pPr>
      <w:r>
        <w:t>Hladni pogon brodova čistača financiran je sredstvima državnog proračuna i županijskih proračuna. Brodovima upravljaju specijalizirana poduzeća za čišćenje mora, a djeluju sukladno Planu intervencija kod iznenadnih onečišćenja mora u RH. Djelatnost brodova čistača mora prate Savjeti za praćenje rada brodova sastavljeni od predstavnika državne, regionalne i lokalne samouprave i predstavnika koncesionara. Planirana sredstva od 2.890.000 kuna su utrošena na hladni pogon 10 brodova čistača mora raspoređenih u sedam priobalnih županija sukladno Odluci Vlade o predaji brodica čistača mora ECO 13 (5 brodica) u vlasništvo županija i financiranju dijela hladnog pogona, kao i Ugovorima o čišćenju Jadranskog mora (5 brodica). Planirani cilj je ostvaren.</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1551"/>
        <w:gridCol w:w="1210"/>
        <w:gridCol w:w="1242"/>
        <w:gridCol w:w="1233"/>
        <w:gridCol w:w="1242"/>
        <w:gridCol w:w="125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Kontinuiranost usklađenosti sustava zaštite zraka, klime, ozonskog sloja, mora i tla s EU standardima i međunarodnim sporazumima</w:t>
            </w:r>
          </w:p>
        </w:tc>
        <w:tc>
          <w:tcPr>
            <w:tcW w:w="1300" w:type="dxa"/>
          </w:tcPr>
          <w:p w:rsidR="00AC0832" w:rsidRDefault="00AC0832">
            <w:pPr>
              <w:pStyle w:val="CellColumn"/>
            </w:pPr>
            <w:r>
              <w:t>Ministarstvo konstantno prati i usklađuje dokumente sa regulativnom EU i međunarodnim sporazumom</w:t>
            </w:r>
          </w:p>
        </w:tc>
        <w:tc>
          <w:tcPr>
            <w:tcW w:w="1300" w:type="dxa"/>
          </w:tcPr>
          <w:p w:rsidR="00AC0832" w:rsidRDefault="00AC0832">
            <w:pPr>
              <w:pStyle w:val="CellColumn"/>
            </w:pPr>
            <w:r>
              <w:t>%</w:t>
            </w:r>
          </w:p>
        </w:tc>
        <w:tc>
          <w:tcPr>
            <w:tcW w:w="1300" w:type="dxa"/>
          </w:tcPr>
          <w:p w:rsidR="00AC0832" w:rsidRDefault="00AC0832">
            <w:pPr>
              <w:pStyle w:val="CellColumn"/>
            </w:pPr>
            <w:r>
              <w:t>90</w:t>
            </w:r>
          </w:p>
        </w:tc>
        <w:tc>
          <w:tcPr>
            <w:tcW w:w="1300" w:type="dxa"/>
          </w:tcPr>
          <w:p w:rsidR="00AC0832" w:rsidRDefault="00AC0832">
            <w:pPr>
              <w:pStyle w:val="CellColumn"/>
            </w:pPr>
            <w:r>
              <w:t>MZOIP</w:t>
            </w:r>
          </w:p>
        </w:tc>
        <w:tc>
          <w:tcPr>
            <w:tcW w:w="1300" w:type="dxa"/>
          </w:tcPr>
          <w:p w:rsidR="00AC0832" w:rsidRDefault="00AC0832">
            <w:pPr>
              <w:pStyle w:val="CellColumn"/>
            </w:pPr>
            <w:r>
              <w:t>98</w:t>
            </w:r>
          </w:p>
        </w:tc>
        <w:tc>
          <w:tcPr>
            <w:tcW w:w="1300" w:type="dxa"/>
          </w:tcPr>
          <w:p w:rsidR="00AC0832" w:rsidRDefault="00AC0832">
            <w:pPr>
              <w:pStyle w:val="CellColumn"/>
            </w:pPr>
            <w:r>
              <w:t>95</w:t>
            </w:r>
          </w:p>
        </w:tc>
      </w:tr>
    </w:tbl>
    <w:p w:rsidR="00AC0832" w:rsidRDefault="00AC0832">
      <w:pPr>
        <w:jc w:val="left"/>
      </w:pPr>
    </w:p>
    <w:p w:rsidR="00AC0832" w:rsidRDefault="00AC0832">
      <w:pPr>
        <w:pStyle w:val="Heading6"/>
      </w:pPr>
      <w:r>
        <w:t>A576258 IPA 2009 - USPOSTAVA CENTARA ZA PROVEDBU IPPC  DIREKTIVE NA REGIONALNOM NIVOU U HRVATSKOJ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A576258-IPA 2009 - USPOSTAVA CENTARA ZA PROVEDBU IPPC  DIREKTIVE NA REGIONALNOM NIVOU U HRVATSKOJ</w:t>
            </w:r>
          </w:p>
        </w:tc>
        <w:tc>
          <w:tcPr>
            <w:tcW w:w="2322" w:type="dxa"/>
          </w:tcPr>
          <w:p w:rsidR="00AC0832" w:rsidRDefault="00AC0832">
            <w:pPr>
              <w:pStyle w:val="CellColumn"/>
            </w:pPr>
            <w:r>
              <w:t>5.705.000</w:t>
            </w:r>
          </w:p>
        </w:tc>
        <w:tc>
          <w:tcPr>
            <w:tcW w:w="2322" w:type="dxa"/>
          </w:tcPr>
          <w:p w:rsidR="00AC0832" w:rsidRDefault="00AC0832">
            <w:pPr>
              <w:pStyle w:val="CellColumn"/>
            </w:pPr>
            <w:r>
              <w:t>1.841.522</w:t>
            </w:r>
          </w:p>
        </w:tc>
        <w:tc>
          <w:tcPr>
            <w:tcW w:w="2322" w:type="dxa"/>
          </w:tcPr>
          <w:p w:rsidR="00AC0832" w:rsidRDefault="00AC0832">
            <w:pPr>
              <w:pStyle w:val="CellColumn"/>
            </w:pPr>
            <w:r>
              <w:t>32,3</w:t>
            </w:r>
          </w:p>
        </w:tc>
      </w:tr>
    </w:tbl>
    <w:p w:rsidR="00AC0832" w:rsidRDefault="00AC0832">
      <w:pPr>
        <w:jc w:val="left"/>
      </w:pPr>
    </w:p>
    <w:p w:rsidR="00AC0832" w:rsidRDefault="00AC0832">
      <w:pPr>
        <w:pStyle w:val="Heading8"/>
        <w:jc w:val="left"/>
      </w:pPr>
      <w:r>
        <w:t>Opis provedbe aktivnosti / projekta</w:t>
      </w:r>
    </w:p>
    <w:p w:rsidR="00AC0832" w:rsidRDefault="00AC0832">
      <w:pPr>
        <w:pStyle w:val="Heading6"/>
      </w:pPr>
      <w:r>
        <w:t>A576261 IPA I 2007-JAČANJE KAPACITETA ZA PROVEDBU SAPARD (mjera 1 i 2)  I IPARD PROGRAMA (mjere 101 i 103)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A576261-IPA I 2007-JAČANJE KAPACITETA ZA PROVEDBU SAPARD (mjera 1 i 2)  I IPARD PROGRAMA (mjere 101 i 103)</w:t>
            </w:r>
          </w:p>
        </w:tc>
        <w:tc>
          <w:tcPr>
            <w:tcW w:w="2322" w:type="dxa"/>
          </w:tcPr>
          <w:p w:rsidR="00AC0832" w:rsidRDefault="00AC0832">
            <w:pPr>
              <w:pStyle w:val="CellColumn"/>
            </w:pPr>
            <w:r>
              <w:t>490.000</w:t>
            </w:r>
          </w:p>
        </w:tc>
        <w:tc>
          <w:tcPr>
            <w:tcW w:w="2322" w:type="dxa"/>
          </w:tcPr>
          <w:p w:rsidR="00AC0832" w:rsidRDefault="00AC0832">
            <w:pPr>
              <w:pStyle w:val="CellColumn"/>
            </w:pPr>
            <w:r>
              <w:t>00</w:t>
            </w:r>
          </w:p>
        </w:tc>
        <w:tc>
          <w:tcPr>
            <w:tcW w:w="2322" w:type="dxa"/>
          </w:tcPr>
          <w:p w:rsidR="00AC0832" w:rsidRDefault="00AC0832">
            <w:pPr>
              <w:pStyle w:val="CellColumn"/>
            </w:pPr>
            <w:r>
              <w:t>0,0</w:t>
            </w:r>
          </w:p>
        </w:tc>
      </w:tr>
    </w:tbl>
    <w:p w:rsidR="00AC0832" w:rsidRDefault="00AC0832">
      <w:pPr>
        <w:jc w:val="left"/>
      </w:pPr>
    </w:p>
    <w:p w:rsidR="00AC0832" w:rsidRDefault="00AC0832">
      <w:pPr>
        <w:pStyle w:val="Heading8"/>
        <w:jc w:val="left"/>
      </w:pPr>
      <w:r>
        <w:t>Opis provedbe aktivnosti / projekta</w:t>
      </w:r>
    </w:p>
    <w:p w:rsidR="00AC0832" w:rsidRDefault="00AC0832">
      <w:pPr>
        <w:pStyle w:val="Heading6"/>
      </w:pPr>
      <w:r>
        <w:t>K576219 MONITORING JADRANSKOG MORA - IBRD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K576219-MONITORING JADRANSKOG MORA - IBRD</w:t>
            </w:r>
          </w:p>
        </w:tc>
        <w:tc>
          <w:tcPr>
            <w:tcW w:w="2322" w:type="dxa"/>
          </w:tcPr>
          <w:p w:rsidR="00AC0832" w:rsidRDefault="00AC0832">
            <w:pPr>
              <w:pStyle w:val="CellColumn"/>
            </w:pPr>
            <w:r>
              <w:t>Sap podatak nije pronađen!</w:t>
            </w:r>
          </w:p>
        </w:tc>
        <w:tc>
          <w:tcPr>
            <w:tcW w:w="2322" w:type="dxa"/>
          </w:tcPr>
          <w:p w:rsidR="00AC0832" w:rsidRDefault="00AC0832">
            <w:pPr>
              <w:pStyle w:val="CellColumn"/>
            </w:pPr>
            <w:r>
              <w:t>Sap podatak nije pronađen!</w:t>
            </w:r>
          </w:p>
        </w:tc>
        <w:tc>
          <w:tcPr>
            <w:tcW w:w="2322" w:type="dxa"/>
          </w:tcPr>
          <w:p w:rsidR="00AC0832" w:rsidRDefault="00AC0832">
            <w:pPr>
              <w:pStyle w:val="CellColumn"/>
            </w:pPr>
            <w:r>
              <w:t>Sap podatak nije pronađen!</w:t>
            </w:r>
          </w:p>
        </w:tc>
      </w:tr>
    </w:tbl>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pStyle w:val="Heading8"/>
        <w:jc w:val="left"/>
      </w:pPr>
      <w:r>
        <w:t>Opis provedbe aktivnosti / projekta</w:t>
      </w:r>
    </w:p>
    <w:p w:rsidR="00AC0832" w:rsidRDefault="00AC0832">
      <w:pPr>
        <w:pStyle w:val="Heading6"/>
      </w:pPr>
      <w:r>
        <w:t>K576223 MONTREALSKI PROTOKOL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K576223-MONTREALSKI PROTOKOL</w:t>
            </w:r>
          </w:p>
        </w:tc>
        <w:tc>
          <w:tcPr>
            <w:tcW w:w="2322" w:type="dxa"/>
          </w:tcPr>
          <w:p w:rsidR="00AC0832" w:rsidRDefault="00AC0832">
            <w:pPr>
              <w:pStyle w:val="CellColumn"/>
            </w:pPr>
            <w:r>
              <w:t>350.000</w:t>
            </w:r>
          </w:p>
        </w:tc>
        <w:tc>
          <w:tcPr>
            <w:tcW w:w="2322" w:type="dxa"/>
          </w:tcPr>
          <w:p w:rsidR="00AC0832" w:rsidRDefault="00AC0832">
            <w:pPr>
              <w:pStyle w:val="CellColumn"/>
            </w:pPr>
            <w:r>
              <w:t>299.744</w:t>
            </w:r>
          </w:p>
        </w:tc>
        <w:tc>
          <w:tcPr>
            <w:tcW w:w="2322" w:type="dxa"/>
          </w:tcPr>
          <w:p w:rsidR="00AC0832" w:rsidRDefault="00AC0832">
            <w:pPr>
              <w:pStyle w:val="CellColumn"/>
            </w:pPr>
            <w:r>
              <w:t>85,6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2012. godini dobivena su sredstva iz projekta Institucijsko osnaživanje iznosila su oko 370.000,00 kuna. </w:t>
      </w:r>
    </w:p>
    <w:p w:rsidR="00AC0832" w:rsidRDefault="00AC0832">
      <w:pPr>
        <w:pStyle w:val="Normal6"/>
      </w:pPr>
      <w:r>
        <w:t xml:space="preserve">Iz dobivenih sredstava isplaćuje se plaća u bruto iznosu od 10.250,00 kuna mjesečno za obavljanje poslova voditelja projekta. </w:t>
      </w:r>
    </w:p>
    <w:p w:rsidR="00AC0832" w:rsidRDefault="00AC0832">
      <w:pPr>
        <w:pStyle w:val="Normal6"/>
      </w:pPr>
      <w:r>
        <w:t xml:space="preserve">Isto tako u 2012. godini navedena sredstva su utrošena na osvješćivanje javnosti: </w:t>
      </w:r>
    </w:p>
    <w:p w:rsidR="00AC0832" w:rsidRDefault="00AC0832">
      <w:pPr>
        <w:pStyle w:val="Normal6"/>
      </w:pPr>
      <w:r>
        <w:t xml:space="preserve">- Objavljen je edukativni članak u časopisu za zemljopis, povijest, ekologiju i putovanja „Meridijani“ na temu „Ozonski sloj- suncobran za život na zemlji“. </w:t>
      </w:r>
    </w:p>
    <w:p w:rsidR="00AC0832" w:rsidRDefault="00AC0832">
      <w:pPr>
        <w:pStyle w:val="Normal6"/>
      </w:pPr>
      <w:r>
        <w:t xml:space="preserve">- Suradnja s drogerie marktom (DM-om) i Hrvatskim dermatovenerološkim društvom. Izrađene su prigodne vrećice i šeširići koji su distribuirani na javnim plažama u gradovima diljem Hrvatske obale te Osijeku i Zagrebu.  </w:t>
      </w:r>
    </w:p>
    <w:p w:rsidR="00AC0832" w:rsidRDefault="00AC0832">
      <w:pPr>
        <w:pStyle w:val="Normal6"/>
      </w:pPr>
      <w:r>
        <w:t xml:space="preserve">- Donacija promotivnih letaka, platnenih – ekoloških vrećica, Ozzy Ozone igre (A3 formata) te Ozzy Ozone velike igre za igranje na tlu (formata 3x3metra) Hrvatskim SOS selima Ladimirevci i Lekenik, osnovnim školama i vrtićima te gradovima koji sudjeluju u projektu „Europski tjedan kretanja“. </w:t>
      </w:r>
    </w:p>
    <w:p w:rsidR="00AC0832" w:rsidRDefault="00AC0832">
      <w:pPr>
        <w:pStyle w:val="Normal6"/>
      </w:pPr>
      <w:r>
        <w:t xml:space="preserve">Na aktivnosti osvješćivanja javnosti potrošeno je oko 130.000 kuna u 2012. godini. </w:t>
      </w:r>
    </w:p>
    <w:p w:rsidR="00AC0832" w:rsidRDefault="00AC0832">
      <w:pPr>
        <w:pStyle w:val="Normal6"/>
      </w:pPr>
      <w:r>
        <w:t>Iz projekata se također financirala nabava uredske opreme u iznosu od oko 30 000 kuna: 2 monitora, 2 kompjutera, 1 prijenosno računalo, 2 pisača.</w:t>
      </w:r>
    </w:p>
    <w:p w:rsidR="00AC0832" w:rsidRDefault="00AC0832">
      <w:pPr>
        <w:pStyle w:val="Heading6"/>
      </w:pPr>
      <w:r>
        <w:t>K576225 USPOSTAVA SUSTAVA PRAĆENJA I UPRAVLJANJA KAKVOĆOM ZRAKA - PHARE 2006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K576225-USPOSTAVA SUSTAVA PRAĆENJA I UPRAVLJANJA KAKVOĆOM ZRAKA - PHARE 2006</w:t>
            </w:r>
          </w:p>
        </w:tc>
        <w:tc>
          <w:tcPr>
            <w:tcW w:w="2322" w:type="dxa"/>
          </w:tcPr>
          <w:p w:rsidR="00AC0832" w:rsidRDefault="00AC0832">
            <w:pPr>
              <w:pStyle w:val="CellColumn"/>
            </w:pPr>
            <w:r>
              <w:t>780.000</w:t>
            </w:r>
          </w:p>
        </w:tc>
        <w:tc>
          <w:tcPr>
            <w:tcW w:w="2322" w:type="dxa"/>
          </w:tcPr>
          <w:p w:rsidR="00AC0832" w:rsidRDefault="00AC0832">
            <w:pPr>
              <w:pStyle w:val="CellColumn"/>
            </w:pPr>
            <w:r>
              <w:t>00</w:t>
            </w:r>
          </w:p>
        </w:tc>
        <w:tc>
          <w:tcPr>
            <w:tcW w:w="2322" w:type="dxa"/>
          </w:tcPr>
          <w:p w:rsidR="00AC0832" w:rsidRDefault="00AC0832">
            <w:pPr>
              <w:pStyle w:val="CellColumn"/>
            </w:pPr>
            <w:r>
              <w:t>0,0</w:t>
            </w:r>
          </w:p>
        </w:tc>
      </w:tr>
    </w:tbl>
    <w:p w:rsidR="00AC0832" w:rsidRDefault="00AC0832">
      <w:pPr>
        <w:jc w:val="left"/>
      </w:pPr>
    </w:p>
    <w:p w:rsidR="00AC0832" w:rsidRDefault="00AC0832">
      <w:pPr>
        <w:pStyle w:val="Heading5"/>
      </w:pPr>
      <w:r>
        <w:t>3405 GOSPODARENJE OTPADOM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3405-GOSPODARENJE OTPADOM</w:t>
            </w:r>
          </w:p>
        </w:tc>
        <w:tc>
          <w:tcPr>
            <w:tcW w:w="2322" w:type="dxa"/>
          </w:tcPr>
          <w:p w:rsidR="00AC0832" w:rsidRDefault="00AC0832">
            <w:pPr>
              <w:pStyle w:val="CellColumn"/>
            </w:pPr>
            <w:r>
              <w:t>90.471.556</w:t>
            </w:r>
          </w:p>
        </w:tc>
        <w:tc>
          <w:tcPr>
            <w:tcW w:w="2322" w:type="dxa"/>
          </w:tcPr>
          <w:p w:rsidR="00AC0832" w:rsidRDefault="00AC0832">
            <w:pPr>
              <w:pStyle w:val="CellColumn"/>
            </w:pPr>
            <w:r>
              <w:t>19.686.163</w:t>
            </w:r>
          </w:p>
        </w:tc>
        <w:tc>
          <w:tcPr>
            <w:tcW w:w="2322" w:type="dxa"/>
          </w:tcPr>
          <w:p w:rsidR="00AC0832" w:rsidRDefault="00AC0832">
            <w:pPr>
              <w:pStyle w:val="CellColumn"/>
            </w:pPr>
            <w:r>
              <w:t>21,8</w:t>
            </w:r>
          </w:p>
        </w:tc>
      </w:tr>
    </w:tbl>
    <w:p w:rsidR="00AC0832" w:rsidRDefault="00AC0832">
      <w:pPr>
        <w:jc w:val="left"/>
      </w:pPr>
    </w:p>
    <w:p w:rsidR="00AC0832" w:rsidRDefault="00AC0832">
      <w:pPr>
        <w:pStyle w:val="Heading6"/>
      </w:pPr>
      <w:r>
        <w:t>Opis programa</w:t>
      </w:r>
    </w:p>
    <w:p w:rsidR="00AC0832" w:rsidRDefault="00AC0832">
      <w:pPr>
        <w:pStyle w:val="Normal5"/>
      </w:pPr>
      <w:r>
        <w:t>Neodgovarajuće gospodarenje otpadom najveći je problem zaštite okoliša u Hrvatskoj. Potencijalno najveće štetno djelovanje može izazvati otpad (uključujući i opasni otpad) koji se gomila kod posjednika otpada zbog mogućeg rizika za okoliš i ljudsko zdravlje. Prepoznat kao glavni izazov i problem zahtjeva i najveće napore Ministarstva za njegovo djelotvorno rješenje. Od ukupnih godišnjih količina otpada koji nastaje na teritoriju Republike Hrvatske 53% se odnosi na otpad iz poljoprivrede i šumarstva, 20% na građevinski otpad, 12% na otpad iz industrije i rudarstva, 9% na komunalni otpad, 2% na odvojeno skupljeni otpad, 1% na opasni otpad te 3% na ostali otpad. U Hrvatskoj je zakonodavni dio sustava gospodarenja otpadom najvećim dijelom riješen i usklađen s propisima EU. Provedba propisa međutim još nije zadovoljavajuća, nije odgovarajući stupanj kontrole kao i poznavanje podataka o količinama i tokovima otpada. Potrebno je razvijati infrastrukturu za uporabu i zbrinjavanje otpada, odnosno postojeću prilagoditi standardima EU, te jačati edukaciju i aktivnosti podizanja svijesti javnosti.</w:t>
      </w:r>
    </w:p>
    <w:p w:rsidR="00AC0832" w:rsidRDefault="00AC0832">
      <w:pPr>
        <w:pStyle w:val="Heading6"/>
      </w:pPr>
      <w:r>
        <w:t>Zakonske i druge pravne osnove</w:t>
      </w:r>
    </w:p>
    <w:p w:rsidR="00AC0832" w:rsidRDefault="00AC0832">
      <w:pPr>
        <w:pStyle w:val="Normal5"/>
      </w:pPr>
      <w:r>
        <w:t>Zakon o otpadu (NN  178/04, 111/06, 60/08, 87/09), Strategija gospodarenja otpadom Republike Hrvatske (NN 130/05), Uredba o kategorijama, vrstama i klasifikaciji otpada s katalogom otpada i listom opasnog otpada ( NN 50/05, 39/09), Pravilnik o gospodarenju otpadom (NN 23/07, 111/07)</w:t>
      </w:r>
    </w:p>
    <w:p w:rsidR="00AC0832" w:rsidRDefault="00AC0832">
      <w:pPr>
        <w:pStyle w:val="Heading7"/>
      </w:pPr>
      <w:r>
        <w:t>Cilj 1. Osigurati preduvjete za uspostavu cjelovitog sustava gospodarenja otpadom</w:t>
      </w:r>
    </w:p>
    <w:p w:rsidR="00AC0832" w:rsidRDefault="00AC0832">
      <w:pPr>
        <w:pStyle w:val="Heading8"/>
        <w:jc w:val="left"/>
      </w:pPr>
      <w:r>
        <w:t>Opis provedbe cilja programa</w:t>
      </w:r>
    </w:p>
    <w:p w:rsidR="00AC0832" w:rsidRDefault="00AC0832">
      <w:pPr>
        <w:pStyle w:val="Normal6"/>
      </w:pPr>
      <w:r>
        <w:t>Ministarstvo je zaduženo za provedbu IPA IIIb Operativnog programa zaštite okoliša, a bit će i Upravljačko tijelo za Operativni program „Okoliš“ za EU strukturne fondove. Jedan od temeljnih prioriteta oba operativna programa je i razvoj infrastrukture za gospodarenje otpadom radi uspostave cjelovitog sustava gospodarenja otpadom. Aktivnosti u okviru tog prioriteta su: uspostava centara za gospodarenje otpadom na županijskoj/regionalnoj razini; sanacija lokacija visoko onečišćenih okolišem te sanacija odlagališta komunalnog otpada. Provedba operativnog programa tj. pojedinih projekata odvija se u suradnji s provedbenim tijelom/korisnikom te krajnjim korisnicima. Sredstva za provedbu aktivnosti tj. pojedinih projekata osiguravaju se iz EU pretpristupne pomoći, Fonda za zaštitu okoliša i energetsku učinkovitost, proračuna jedinica regionalne/lokalne samouprave, a dijelom i iz državnog proračuna (razdjel Ministarstva). U nadležnosti ministarstva je priprema i izrada podloga i dokumentacije te osiguravanje i praćenje pravilnosti povlačenja financijskih sredstava iz EU fondova, za što su preduvjet adekvatni administrativni kapaciteti.</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3"/>
        <w:gridCol w:w="1806"/>
        <w:gridCol w:w="1192"/>
        <w:gridCol w:w="1229"/>
        <w:gridCol w:w="1219"/>
        <w:gridCol w:w="1229"/>
        <w:gridCol w:w="125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Kontinuirano usklađivanje zakonskih podloga s EU standardima</w:t>
            </w:r>
          </w:p>
        </w:tc>
        <w:tc>
          <w:tcPr>
            <w:tcW w:w="1300" w:type="dxa"/>
          </w:tcPr>
          <w:p w:rsidR="00AC0832" w:rsidRDefault="00AC0832">
            <w:pPr>
              <w:pStyle w:val="CellColumn"/>
            </w:pPr>
            <w:r>
              <w:t>MZOIP kontinuirano prati promjene u EU zakonodavstvu i usklađuje se po potrebi</w:t>
            </w:r>
          </w:p>
        </w:tc>
        <w:tc>
          <w:tcPr>
            <w:tcW w:w="1300" w:type="dxa"/>
          </w:tcPr>
          <w:p w:rsidR="00AC0832" w:rsidRDefault="00AC0832">
            <w:pPr>
              <w:pStyle w:val="CellColumn"/>
            </w:pPr>
            <w:r>
              <w:t>%</w:t>
            </w:r>
          </w:p>
        </w:tc>
        <w:tc>
          <w:tcPr>
            <w:tcW w:w="1300" w:type="dxa"/>
          </w:tcPr>
          <w:p w:rsidR="00AC0832" w:rsidRDefault="00AC0832">
            <w:pPr>
              <w:pStyle w:val="CellColumn"/>
            </w:pPr>
            <w:r>
              <w:t>100</w:t>
            </w:r>
          </w:p>
        </w:tc>
        <w:tc>
          <w:tcPr>
            <w:tcW w:w="1300" w:type="dxa"/>
          </w:tcPr>
          <w:p w:rsidR="00AC0832" w:rsidRDefault="00AC0832">
            <w:pPr>
              <w:pStyle w:val="CellColumn"/>
            </w:pPr>
            <w:r>
              <w:t>MZOIP</w:t>
            </w:r>
          </w:p>
        </w:tc>
        <w:tc>
          <w:tcPr>
            <w:tcW w:w="1300" w:type="dxa"/>
          </w:tcPr>
          <w:p w:rsidR="00AC0832" w:rsidRDefault="00AC0832">
            <w:pPr>
              <w:pStyle w:val="CellColumn"/>
            </w:pPr>
            <w:r>
              <w:t>100</w:t>
            </w:r>
          </w:p>
        </w:tc>
        <w:tc>
          <w:tcPr>
            <w:tcW w:w="1300" w:type="dxa"/>
          </w:tcPr>
          <w:p w:rsidR="00AC0832" w:rsidRDefault="00AC0832">
            <w:pPr>
              <w:pStyle w:val="CellColumn"/>
            </w:pPr>
            <w:r>
              <w:t>90</w:t>
            </w:r>
          </w:p>
        </w:tc>
      </w:tr>
      <w:tr w:rsidR="00AC0832" w:rsidTr="00BE20ED">
        <w:trPr>
          <w:jc w:val="center"/>
        </w:trPr>
        <w:tc>
          <w:tcPr>
            <w:tcW w:w="1300" w:type="dxa"/>
          </w:tcPr>
          <w:p w:rsidR="00AC0832" w:rsidRDefault="00AC0832">
            <w:pPr>
              <w:pStyle w:val="CellColumn"/>
            </w:pPr>
            <w:r>
              <w:t>Povećanje i kontinuirano održavanje kapaciteta za uporabu (materijalnu i energetsku) i zbrinjavanje u odnosu na ukupnu količinu otpada nastalog u RH</w:t>
            </w:r>
          </w:p>
        </w:tc>
        <w:tc>
          <w:tcPr>
            <w:tcW w:w="1300" w:type="dxa"/>
          </w:tcPr>
          <w:p w:rsidR="00AC0832" w:rsidRDefault="00AC0832">
            <w:pPr>
              <w:pStyle w:val="CellColumn"/>
            </w:pPr>
            <w:r>
              <w:t>Prati se pokrivenost kapaciteta i valjanost dozvola radi održavanja cjelovitog sustava</w:t>
            </w:r>
          </w:p>
        </w:tc>
        <w:tc>
          <w:tcPr>
            <w:tcW w:w="1300" w:type="dxa"/>
          </w:tcPr>
          <w:p w:rsidR="00AC0832" w:rsidRDefault="00AC0832">
            <w:pPr>
              <w:pStyle w:val="CellColumn"/>
            </w:pPr>
            <w:r>
              <w:t>%</w:t>
            </w:r>
          </w:p>
        </w:tc>
        <w:tc>
          <w:tcPr>
            <w:tcW w:w="1300" w:type="dxa"/>
          </w:tcPr>
          <w:p w:rsidR="00AC0832" w:rsidRDefault="00AC0832">
            <w:pPr>
              <w:pStyle w:val="CellColumn"/>
            </w:pPr>
            <w:r>
              <w:t>50</w:t>
            </w:r>
          </w:p>
        </w:tc>
        <w:tc>
          <w:tcPr>
            <w:tcW w:w="1300" w:type="dxa"/>
          </w:tcPr>
          <w:p w:rsidR="00AC0832" w:rsidRDefault="00AC0832">
            <w:pPr>
              <w:pStyle w:val="CellColumn"/>
            </w:pPr>
            <w:r>
              <w:t>MZOIP</w:t>
            </w:r>
          </w:p>
        </w:tc>
        <w:tc>
          <w:tcPr>
            <w:tcW w:w="1300" w:type="dxa"/>
          </w:tcPr>
          <w:p w:rsidR="00AC0832" w:rsidRDefault="00AC0832">
            <w:pPr>
              <w:pStyle w:val="CellColumn"/>
            </w:pPr>
            <w:r>
              <w:t>80</w:t>
            </w:r>
          </w:p>
        </w:tc>
        <w:tc>
          <w:tcPr>
            <w:tcW w:w="1300" w:type="dxa"/>
          </w:tcPr>
          <w:p w:rsidR="00AC0832" w:rsidRDefault="00AC0832">
            <w:pPr>
              <w:pStyle w:val="CellColumn"/>
            </w:pPr>
            <w:r>
              <w:t>40</w:t>
            </w:r>
          </w:p>
        </w:tc>
      </w:tr>
      <w:tr w:rsidR="00AC0832" w:rsidTr="00BE20ED">
        <w:trPr>
          <w:jc w:val="center"/>
        </w:trPr>
        <w:tc>
          <w:tcPr>
            <w:tcW w:w="1300" w:type="dxa"/>
          </w:tcPr>
          <w:p w:rsidR="00AC0832" w:rsidRDefault="00AC0832">
            <w:pPr>
              <w:pStyle w:val="CellColumn"/>
            </w:pPr>
            <w:r>
              <w:t>Povećanje postotka sakupljenog, recikliranog i obrađenog otpada u odnosu na ciljeve propisane pravilnicima o posebnim kategorijama otpada</w:t>
            </w:r>
          </w:p>
        </w:tc>
        <w:tc>
          <w:tcPr>
            <w:tcW w:w="1300" w:type="dxa"/>
          </w:tcPr>
          <w:p w:rsidR="00AC0832" w:rsidRDefault="00AC0832">
            <w:pPr>
              <w:pStyle w:val="CellColumn"/>
            </w:pPr>
            <w:r>
              <w:t>MZOIP prati pokrivenost i valjanost koncesija radi održavanja cjelovitog sustava</w:t>
            </w:r>
          </w:p>
        </w:tc>
        <w:tc>
          <w:tcPr>
            <w:tcW w:w="1300" w:type="dxa"/>
          </w:tcPr>
          <w:p w:rsidR="00AC0832" w:rsidRDefault="00AC0832">
            <w:pPr>
              <w:pStyle w:val="CellColumn"/>
            </w:pPr>
            <w:r>
              <w:t>%</w:t>
            </w:r>
          </w:p>
        </w:tc>
        <w:tc>
          <w:tcPr>
            <w:tcW w:w="1300" w:type="dxa"/>
          </w:tcPr>
          <w:p w:rsidR="00AC0832" w:rsidRDefault="00AC0832">
            <w:pPr>
              <w:pStyle w:val="CellColumn"/>
            </w:pPr>
            <w:r>
              <w:t>65</w:t>
            </w:r>
          </w:p>
        </w:tc>
        <w:tc>
          <w:tcPr>
            <w:tcW w:w="1300" w:type="dxa"/>
          </w:tcPr>
          <w:p w:rsidR="00AC0832" w:rsidRDefault="00AC0832">
            <w:pPr>
              <w:pStyle w:val="CellColumn"/>
            </w:pPr>
            <w:r>
              <w:t>MZOIP</w:t>
            </w:r>
          </w:p>
        </w:tc>
        <w:tc>
          <w:tcPr>
            <w:tcW w:w="1300" w:type="dxa"/>
          </w:tcPr>
          <w:p w:rsidR="00AC0832" w:rsidRDefault="00AC0832">
            <w:pPr>
              <w:pStyle w:val="CellColumn"/>
            </w:pPr>
            <w:r>
              <w:t>80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Održavanje kontinuiteta postotka utrošenih sredstava za projekte u odnosu na planirano za svaku godinu Operativnog programa zaštite okoliša (godišnja vrijednost 100%)</w:t>
            </w:r>
          </w:p>
        </w:tc>
        <w:tc>
          <w:tcPr>
            <w:tcW w:w="1300" w:type="dxa"/>
          </w:tcPr>
          <w:p w:rsidR="00AC0832" w:rsidRDefault="00AC0832">
            <w:pPr>
              <w:pStyle w:val="CellColumn"/>
            </w:pPr>
            <w:r>
              <w:t>Izrada podloga i dokumentacije u suradnji s provedbenim tijelom/korisnikom te praćenje povlaćenja sredstava EU fondova namjenjenih za gospodarenje otpadom sukladno Operativnom programu</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MZOIP</w:t>
            </w:r>
          </w:p>
        </w:tc>
        <w:tc>
          <w:tcPr>
            <w:tcW w:w="1300" w:type="dxa"/>
          </w:tcPr>
          <w:p w:rsidR="00AC0832" w:rsidRDefault="00AC0832">
            <w:pPr>
              <w:pStyle w:val="CellColumn"/>
            </w:pPr>
            <w:r>
              <w:t>100</w:t>
            </w:r>
          </w:p>
        </w:tc>
        <w:tc>
          <w:tcPr>
            <w:tcW w:w="1300" w:type="dxa"/>
          </w:tcPr>
          <w:p w:rsidR="00AC0832" w:rsidRDefault="00AC0832">
            <w:pPr>
              <w:pStyle w:val="CellColumn"/>
            </w:pPr>
            <w:r>
              <w:t>20%</w:t>
            </w:r>
          </w:p>
        </w:tc>
      </w:tr>
      <w:tr w:rsidR="00AC0832" w:rsidTr="00BE20ED">
        <w:trPr>
          <w:jc w:val="center"/>
        </w:trPr>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A576183 POSTUPANJE S OTPADOM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A576183-POSTUPANJE S OTPADOM</w:t>
            </w:r>
          </w:p>
        </w:tc>
        <w:tc>
          <w:tcPr>
            <w:tcW w:w="2322" w:type="dxa"/>
          </w:tcPr>
          <w:p w:rsidR="00AC0832" w:rsidRDefault="00AC0832">
            <w:pPr>
              <w:pStyle w:val="CellColumn"/>
            </w:pPr>
            <w:r>
              <w:t>145.000</w:t>
            </w:r>
          </w:p>
        </w:tc>
        <w:tc>
          <w:tcPr>
            <w:tcW w:w="2322" w:type="dxa"/>
          </w:tcPr>
          <w:p w:rsidR="00AC0832" w:rsidRDefault="00AC0832">
            <w:pPr>
              <w:pStyle w:val="CellColumn"/>
            </w:pPr>
            <w:r>
              <w:t>98.356</w:t>
            </w:r>
          </w:p>
        </w:tc>
        <w:tc>
          <w:tcPr>
            <w:tcW w:w="2322" w:type="dxa"/>
          </w:tcPr>
          <w:p w:rsidR="00AC0832" w:rsidRDefault="00AC0832">
            <w:pPr>
              <w:pStyle w:val="CellColumn"/>
            </w:pPr>
            <w:r>
              <w:t>67,8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Izrada i provedba dokumenata i propisa, prijenos i primjena pravne stečevine EU. Postupak usklađivanja s novim Direktivama EU na području gospodarenja otpadom. Provedba postojećih propisa u gospodarenju otpadom  iz nadležnosti ministarstva (izdavanje dozvola, rješenja i potvrda) i stručna suradnja sa ostalim institucijama i tijelima vlasti na području gospodarenja otpadom.</w:t>
      </w:r>
    </w:p>
    <w:p w:rsidR="00AC0832" w:rsidRDefault="00AC0832">
      <w:pPr>
        <w:pStyle w:val="Heading6"/>
      </w:pPr>
      <w:r>
        <w:t>A576233 SANACIJA LOKACIJA VISOKO ONEČIŠĆENIH OTPADOM (CRNE TOČKE) - IPA OPERATIVNI PROGRAM - MJERA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A576233-SANACIJA LOKACIJA VISOKO ONEČIŠĆENIH OTPADOM (CRNE TOČKE) - IPA OPERATIVNI PROGRAM - MJERA 1.2.</w:t>
            </w:r>
          </w:p>
        </w:tc>
        <w:tc>
          <w:tcPr>
            <w:tcW w:w="2322" w:type="dxa"/>
          </w:tcPr>
          <w:p w:rsidR="00AC0832" w:rsidRDefault="00AC0832">
            <w:pPr>
              <w:pStyle w:val="CellColumn"/>
            </w:pPr>
            <w:r>
              <w:t>5.476.560</w:t>
            </w:r>
          </w:p>
        </w:tc>
        <w:tc>
          <w:tcPr>
            <w:tcW w:w="2322" w:type="dxa"/>
          </w:tcPr>
          <w:p w:rsidR="00AC0832" w:rsidRDefault="00AC0832">
            <w:pPr>
              <w:pStyle w:val="CellColumn"/>
            </w:pPr>
            <w:r>
              <w:t>2.040.582</w:t>
            </w:r>
          </w:p>
        </w:tc>
        <w:tc>
          <w:tcPr>
            <w:tcW w:w="2322" w:type="dxa"/>
          </w:tcPr>
          <w:p w:rsidR="00AC0832" w:rsidRDefault="00AC0832">
            <w:pPr>
              <w:pStyle w:val="CellColumn"/>
            </w:pPr>
            <w:r>
              <w:t>37,3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Za ugovor za izradu dokumentacije za sanaciju crne točke Sovjak izvršeno je plaćanje predujma u iznosu od 274.380 € odnosno 2.042.582 kn u listopadu 2012.  </w:t>
      </w:r>
    </w:p>
    <w:p w:rsidR="00AC0832" w:rsidRDefault="00AC0832">
      <w:pPr>
        <w:pStyle w:val="Normal6"/>
      </w:pPr>
      <w:r>
        <w:t>Međutim ova stavka je prilikom planiranja uključivala i IPA ugovor za tehničku pomoć za izradu dokumentacije za izgradnju 3 CGO-a (za koji je bilo predviđeno plaćanje od 437.400 € cca 3.237.000 kn), koji je otkazan u ožujku 2012. zbog promjene u konceptu izgradnje CGO-a (prijelaz sa županijskog na regionalni koncept).</w:t>
      </w:r>
    </w:p>
    <w:p w:rsidR="00AC0832" w:rsidRDefault="00AC0832">
      <w:pPr>
        <w:pStyle w:val="Heading6"/>
      </w:pPr>
      <w:r>
        <w:t>A576263 IPA I 2009 JAČANJE KAPACITETA ZA NADZOR PREKOGRANIČNOG PROMETA OTPADOM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A576263-IPA I 2009 JAČANJE KAPACITETA ZA NADZOR PREKOGRANIČNOG PROMETA OTPADOM</w:t>
            </w:r>
          </w:p>
        </w:tc>
        <w:tc>
          <w:tcPr>
            <w:tcW w:w="2322" w:type="dxa"/>
          </w:tcPr>
          <w:p w:rsidR="00AC0832" w:rsidRDefault="00AC0832">
            <w:pPr>
              <w:pStyle w:val="CellColumn"/>
            </w:pPr>
            <w:r>
              <w:t>8.221.500</w:t>
            </w:r>
          </w:p>
        </w:tc>
        <w:tc>
          <w:tcPr>
            <w:tcW w:w="2322" w:type="dxa"/>
          </w:tcPr>
          <w:p w:rsidR="00AC0832" w:rsidRDefault="00AC0832">
            <w:pPr>
              <w:pStyle w:val="CellColumn"/>
            </w:pPr>
            <w:r>
              <w:t>3.982.253</w:t>
            </w:r>
          </w:p>
        </w:tc>
        <w:tc>
          <w:tcPr>
            <w:tcW w:w="2322" w:type="dxa"/>
          </w:tcPr>
          <w:p w:rsidR="00AC0832" w:rsidRDefault="00AC0832">
            <w:pPr>
              <w:pStyle w:val="CellColumn"/>
            </w:pPr>
            <w:r>
              <w:t>48,4</w:t>
            </w:r>
          </w:p>
        </w:tc>
      </w:tr>
    </w:tbl>
    <w:p w:rsidR="00AC0832" w:rsidRDefault="00AC0832">
      <w:pPr>
        <w:jc w:val="left"/>
      </w:pPr>
    </w:p>
    <w:p w:rsidR="00AC0832" w:rsidRDefault="00AC0832">
      <w:pPr>
        <w:pStyle w:val="Heading8"/>
        <w:jc w:val="left"/>
      </w:pPr>
      <w:r>
        <w:t>Opis provedbe aktivnosti / projekta</w:t>
      </w:r>
    </w:p>
    <w:p w:rsidR="00AC0832" w:rsidRDefault="00AC0832">
      <w:pPr>
        <w:pStyle w:val="Heading6"/>
      </w:pPr>
      <w:r>
        <w:t>K576253 IZGRADNJA ŽUPANIJSKOG CENTRA ZA GOSPODARENJE OTPADOM MARIŠĆINA - IPA OPERATIVNI PROGRAM 2007-2009 MJERA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K576253-IZGRADNJA ŽUPANIJSKOG CENTRA ZA GOSPODARENJE OTPADOM MARIŠĆINA - IPA OPERATIVNI PROGRAM 2007-2009 MJERA 1.1</w:t>
            </w:r>
          </w:p>
        </w:tc>
        <w:tc>
          <w:tcPr>
            <w:tcW w:w="2322" w:type="dxa"/>
          </w:tcPr>
          <w:p w:rsidR="00AC0832" w:rsidRDefault="00AC0832">
            <w:pPr>
              <w:pStyle w:val="CellColumn"/>
            </w:pPr>
            <w:r>
              <w:t>37.542.852</w:t>
            </w:r>
          </w:p>
        </w:tc>
        <w:tc>
          <w:tcPr>
            <w:tcW w:w="2322" w:type="dxa"/>
          </w:tcPr>
          <w:p w:rsidR="00AC0832" w:rsidRDefault="00AC0832">
            <w:pPr>
              <w:pStyle w:val="CellColumn"/>
            </w:pPr>
            <w:r>
              <w:t>10.730.684</w:t>
            </w:r>
          </w:p>
        </w:tc>
        <w:tc>
          <w:tcPr>
            <w:tcW w:w="2322" w:type="dxa"/>
          </w:tcPr>
          <w:p w:rsidR="00AC0832" w:rsidRDefault="00AC0832">
            <w:pPr>
              <w:pStyle w:val="CellColumn"/>
            </w:pPr>
            <w:r>
              <w:t>28,6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2012. su na kontu kapitalne pomoći planirana sredstva za provedbu ugovora za radove i ugovora za nabavu opreme. Međutim zbog objektivnih razloga, a  u dogovoru s Delegacijom EU (problemi s skladištenjem opreme i trajanjem garancije na opremu te nakraju i nemogućnošću korištenja do izgradnje samog centra) ugovaranje opreme je odgođeno za 2013. Istovremeno je došlo do kašnjenja po ugovoru za radove te je tek krajem godine izvršeno plaćanje (nakon ishođenja građevinskih dozvola) u iznosu od 1.205.035 € cca 9.102.834 kn. </w:t>
      </w:r>
    </w:p>
    <w:p w:rsidR="00AC0832" w:rsidRDefault="00AC0832">
      <w:pPr>
        <w:pStyle w:val="Normal6"/>
      </w:pPr>
      <w:r>
        <w:t xml:space="preserve">Na kontu tekuće pomoći izvršena su plaćanja 219.562 € cca 1.627.850 kn. Od planiranih plaćanja za usluge u 2012. nisu izvršena međuplaćanja po ugovoru za tehničku pomoć i nadzor radova zbog toga što su ugovori potpisani kasnije od očekivanog pa su samo izvršena plaćanja predujma. Također ugovori su potpisani na iznose manje od planiranih stoga su i izvršena plaćanja predujma bila u manjem iznosu od planiranog. </w:t>
      </w:r>
    </w:p>
    <w:p w:rsidR="00AC0832" w:rsidRDefault="00AC0832">
      <w:pPr>
        <w:pStyle w:val="Normal6"/>
      </w:pPr>
      <w:r>
        <w:t xml:space="preserve">Sva plaćanja koja nisu izvršena u 2012. biti će izvršena u 2013. godini. </w:t>
      </w:r>
    </w:p>
    <w:p w:rsidR="00AC0832" w:rsidRDefault="00AC0832">
      <w:pPr>
        <w:pStyle w:val="Normal6"/>
      </w:pPr>
      <w:r>
        <w:t>NAPOMENA Prilikom rebalansa proračuna sredstva na kontima nisu smanjivanja  s obzirom da je za projekt  ŽCGO Marišćina 20. kolovoza 2012. poslan zahtjev Europskoj komisiji za povećanje EU udjela u sufinanciranju te se očekivalo da će Odluka biti donesena početkom prosinca 2012. te će se u skladu s njom povećati i EU iznosi plaćanja prikazani na izvoru 51, međutim Odluka je donesena 17. prosinca 2012. te će se tek u 2013. plaćati u skladu s povećanim EU udjelom i izvršiti će se poravnanja za dosada plaćene iznose.</w:t>
      </w:r>
    </w:p>
    <w:p w:rsidR="00AC0832" w:rsidRDefault="00AC0832">
      <w:pPr>
        <w:pStyle w:val="Heading6"/>
      </w:pPr>
      <w:r>
        <w:t>K576254 IZGRADNJA ŽUPANIJSKOG CENTRA ZA GOSPODARENJE OTPADOM KAŠTIJUN - IPA OPERATIVNI PROGRAM 2007-2009 MJERA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K576254-IZGRADNJA ŽUPANIJSKOG CENTRA ZA GOSPODARENJE OTPADOM KAŠTIJUN - IPA OPERATIVNI PROGRAM 2007-2009 MJERA 1.1</w:t>
            </w:r>
          </w:p>
        </w:tc>
        <w:tc>
          <w:tcPr>
            <w:tcW w:w="2322" w:type="dxa"/>
          </w:tcPr>
          <w:p w:rsidR="00AC0832" w:rsidRDefault="00AC0832">
            <w:pPr>
              <w:pStyle w:val="CellColumn"/>
            </w:pPr>
            <w:r>
              <w:t>38.985.644</w:t>
            </w:r>
          </w:p>
        </w:tc>
        <w:tc>
          <w:tcPr>
            <w:tcW w:w="2322" w:type="dxa"/>
          </w:tcPr>
          <w:p w:rsidR="00AC0832" w:rsidRDefault="00AC0832">
            <w:pPr>
              <w:pStyle w:val="CellColumn"/>
            </w:pPr>
            <w:r>
              <w:t>2.834.288</w:t>
            </w:r>
          </w:p>
        </w:tc>
        <w:tc>
          <w:tcPr>
            <w:tcW w:w="2322" w:type="dxa"/>
          </w:tcPr>
          <w:p w:rsidR="00AC0832" w:rsidRDefault="00AC0832">
            <w:pPr>
              <w:pStyle w:val="CellColumn"/>
            </w:pPr>
            <w:r>
              <w:t>7,3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2012. su na kontu kapitalne pomoći planirana sredstva za provedbu ugovora za radove i ugovora za nabavu opreme. Međutim zbog objektivnih razloga, a u dogovoru s Delegacijom EU (problemi s skladištenjem opreme i trajanjem garancije na opremu te nakraju i nemogućnošću korištenja do izgradnje samog centra) ugovaranje opreme je odgođeno za 2013. Istovremeno je došlo do značajnog kašnjenja po ugovoru za radove, te nije na vrijeme završena priprema glavnih projekata i stoga nije izvršeno planirano plaćanje (uvjet za plaćanje je ishođenje građevinskih dozvola). </w:t>
      </w:r>
    </w:p>
    <w:p w:rsidR="00AC0832" w:rsidRDefault="00AC0832">
      <w:pPr>
        <w:pStyle w:val="Normal6"/>
      </w:pPr>
      <w:r>
        <w:t xml:space="preserve">Na kontu tekuće pomoći izvršenu su plaćanja 376.826 € tj. 2.834.288 kn. Sva planirana plaćanja su  i izvršena međutim u manjem iznosu od planiranog s obzirom da je za ugovor za tehničku pomoć produžena provedba, a ugovor o nadzoru radova potpisan je na iznos manji od planiranog. </w:t>
      </w:r>
    </w:p>
    <w:p w:rsidR="00AC0832" w:rsidRDefault="00AC0832">
      <w:pPr>
        <w:pStyle w:val="Normal6"/>
      </w:pPr>
      <w:r>
        <w:t>NAPOMENA Prilikom rebalansa proračuna sredstva na kontima nisu smanjivanja s obzirom da je za projekt ŽCGO Kaštijun 20. kolovoza 2012. poslan zahtjev Europskoj komisiji za povećanje EU udjela u sufinanciranju te se očekivalo da će Odluka biti donesena početkom prosinca 2012. te će se u skladu s njom povećati i EU iznosi plaćanja prikazani na izvoru 51, međutim Odluka je donesena 17. prosinca 2012. te će se tek u 2013. plaćati u skladu s povećanim EU udjelom i izvršiti će se poravnanja za dosada plaćene iznose.</w:t>
      </w:r>
    </w:p>
    <w:p w:rsidR="00AC0832" w:rsidRDefault="00AC0832">
      <w:pPr>
        <w:pStyle w:val="Heading2"/>
      </w:pPr>
      <w:r>
        <w:t>07710 Agencija za zaštitu okoliša</w:t>
      </w:r>
    </w:p>
    <w:p w:rsidR="00AC0832" w:rsidRDefault="00AC0832">
      <w:pPr>
        <w:pStyle w:val="Heading4"/>
      </w:pPr>
      <w:r>
        <w:t>Uvod</w:t>
      </w:r>
    </w:p>
    <w:p w:rsidR="00AC0832" w:rsidRDefault="00AC0832">
      <w:pPr>
        <w:pStyle w:val="Normal3"/>
      </w:pPr>
      <w:r>
        <w:t xml:space="preserve">Uredbom Vlade osnovana je Agencija za zaštitu okoliša (u daljnjem tekstu: Agencija) kao centralna javna ustanova za praćenje stanja i izvješćivanje o okolišu, uspostavu, vođenje, nadogradnju i održavanje jedinstvenog informacijskog sustava zaštite okoliša na nacionalnoj razini, te kao centralna institucija za suradnju i razmjenu podataka o okolišu sa EU. </w:t>
      </w:r>
    </w:p>
    <w:p w:rsidR="00AC0832" w:rsidRDefault="00AC0832">
      <w:pPr>
        <w:pStyle w:val="Normal3"/>
      </w:pPr>
      <w:r>
        <w:t xml:space="preserve"> </w:t>
      </w:r>
    </w:p>
    <w:p w:rsidR="00AC0832" w:rsidRDefault="00AC0832">
      <w:pPr>
        <w:pStyle w:val="Normal3"/>
      </w:pPr>
      <w:r>
        <w:t xml:space="preserve">Agencija za zaštitu okoliša osigurava za tijela državne uprave, Vladu i Hrvatski sabor informacije potrebne za ocjenu strateško-planskih dokumenata (Strategija održivog razvitka RH - NN 30/09 i Nacionalni plan djelovanja za okoliš, NN 46/02) tj.,  provedbu politike u području zaštite okoliša, temeljem prikupljenih i obrađenih podataka, informacija te dokumenata (izvješća). Nastavno na to, Agencija prati i realizaciju ciljeva Strategije "Informacijska i komunikacijska tehnologija – Hrvatska u 21. stoljeću“. </w:t>
      </w:r>
    </w:p>
    <w:p w:rsidR="00AC0832" w:rsidRDefault="00AC0832">
      <w:pPr>
        <w:pStyle w:val="Normal3"/>
      </w:pPr>
      <w:r>
        <w:t xml:space="preserve"> </w:t>
      </w:r>
    </w:p>
    <w:p w:rsidR="00AC0832" w:rsidRDefault="00AC0832">
      <w:pPr>
        <w:pStyle w:val="Normal3"/>
      </w:pPr>
      <w:r>
        <w:t xml:space="preserve">Cilj Agencije je dugoročno osigurati praćenje stanja okoliša, ustrojiti za to neophodne baze podataka, osigurati razmjenu i jednostavnu dostupnost podacima o okolišu mjerodavnim institucijama, stručnim organizacijama i javnosti, u tome poticati razvoj i korištenje informacijskih tehnologija, te time   osigurati preduvjete za   oblikovanje novog, modernog sustava zaštite okoliša utemeljenog na europskoj praksi. Sama Agencija time će se profilirati u učinkovitu, stručnu i otvorenu instituciju, jednu od ključnih u području zaštite okoliša na nacionalnoj razini ali i središnje tijelo za razmjenu okolišnih podatka sa EU. </w:t>
      </w:r>
    </w:p>
    <w:p w:rsidR="00AC0832" w:rsidRDefault="00AC0832">
      <w:pPr>
        <w:pStyle w:val="Normal3"/>
      </w:pPr>
      <w:r>
        <w:t xml:space="preserve"> </w:t>
      </w:r>
    </w:p>
    <w:p w:rsidR="00AC0832" w:rsidRDefault="00AC0832">
      <w:pPr>
        <w:pStyle w:val="Normal3"/>
      </w:pPr>
      <w:r>
        <w:t xml:space="preserve">Od ukupnih, proračunom odobrenih sredstava kojima je raspolagala  Agencija  tijekom  2012. godine,  u  iznosu  od 19.434.145 kn (17.270.145 kn odnosi se na sredstva Proračuna;   2.164.000 kn odnosi se na ino pomoći), za plaćanja i preknjiženja je iskorišteno ukupno   16.804.274,50 kn.  Od ukupno planiranih (19.434.145 kn) a neiskorištenih sredstava (2.629.870,50 kn), 893.246,26 kn se odnosi na sredstva proračuna, a 1.736.624,24 kn se odnosi na sredstva ino  pomoći (sredstva ino pomoći se prenose u 2013. godinu zajedno sa neiskorištenim sredstvima iz prijašnjih razdoblja.)  </w:t>
      </w:r>
    </w:p>
    <w:p w:rsidR="00AC0832" w:rsidRDefault="00AC0832">
      <w:pPr>
        <w:pStyle w:val="Normal3"/>
      </w:pPr>
      <w:r>
        <w:t xml:space="preserve"> </w:t>
      </w:r>
    </w:p>
    <w:p w:rsidR="00AC0832" w:rsidRDefault="00AC0832">
      <w:pPr>
        <w:pStyle w:val="Normal3"/>
      </w:pPr>
      <w:r>
        <w:t xml:space="preserve">Ukupna realizacija AZO plana, iznosi 86,47%; promatrajući izdvojeno postotak izvršenosti    </w:t>
      </w:r>
    </w:p>
    <w:p w:rsidR="00AC0832" w:rsidRDefault="00AC0832">
      <w:pPr>
        <w:pStyle w:val="Normal3"/>
      </w:pPr>
      <w:r>
        <w:t xml:space="preserve">(korištenja) proračunskih sredstava (94,83%),  dolazimo do zaključka da su proračunska sredstva planirano izuzetno pažljivo te da je stupanj njihove iskorištenosti visok. Niska iskorištenost sredstava ino-pomoći rezultat su određenih tehničkih problema u korištenju  sredstava koji su doveli do produženja rokova završetaka Projekata u 2013. godinu i  specifičnosti svakoga projekata.  Kako korisnik ino pomoći u trošenju ino-sredstava nije ograničen planom za proračunsku  godinu već, trošenje tih sredstava ovisi o visini stvarno uplaćenih sredstava (uplaćeno ranijih  </w:t>
      </w:r>
    </w:p>
    <w:p w:rsidR="00AC0832" w:rsidRDefault="00AC0832">
      <w:pPr>
        <w:pStyle w:val="Normal3"/>
      </w:pPr>
      <w:r>
        <w:t xml:space="preserve">godina i 2012.)  i statusu poslova na projektu, dozvoljava se prijenos neutrošenih sredstava u slijedeće razdoblje.  </w:t>
      </w:r>
    </w:p>
    <w:p w:rsidR="00AC0832" w:rsidRDefault="00AC0832">
      <w:pPr>
        <w:pStyle w:val="Normal3"/>
      </w:pPr>
      <w:r>
        <w:t xml:space="preserve">            </w:t>
      </w:r>
    </w:p>
    <w:p w:rsidR="00AC0832" w:rsidRDefault="00AC0832">
      <w:pPr>
        <w:pStyle w:val="Normal3"/>
      </w:pPr>
      <w:r>
        <w:t xml:space="preserve">Analiza realizacije proračunskih sredstava utrošenih po aktivnostima, pokazuje da je od ukupno  realiziranih proračunskih sredstava u iznosu od 16.376.898,74 kn  na </w:t>
      </w:r>
    </w:p>
    <w:p w:rsidR="00AC0832" w:rsidRDefault="00AC0832">
      <w:pPr>
        <w:pStyle w:val="Normal3"/>
      </w:pPr>
      <w:r>
        <w:t xml:space="preserve"> osnovne administrativne funkcije, aktivnost A730012, utrošeno tijekom 2012. godine, 9.880.025,51 kn, odnosno, 60,33%; </w:t>
      </w:r>
    </w:p>
    <w:p w:rsidR="00AC0832" w:rsidRDefault="00AC0832">
      <w:pPr>
        <w:pStyle w:val="Normal3"/>
      </w:pPr>
      <w:r>
        <w:t> na sve ostale aktivnosti Agencije, utrošeno je tijekom 2012. godine, 6.496.873,23 kn, odnosno, 39,67%; unutar ukupnosti ovih aktivnosti (Informacijski sustav zaštite okoliša, Projekti s međunarodnim agencijama, Nacionalno izvješće o stanju okoliša RH, Informatizacija Agencije i Opremanje zgrade), najviše je sredstava utrošeno na aktivnosti: Informacijski sustav zaštite okoliša, Nacionalno izvješće o stanju okoliša u RH i Informatizaciju Agencije, ukupno: 5.863.423,23, odnosno, 35,80% ukupnih rashoda proračunskih sredstava.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07710-Agencija za zaštitu okoliša</w:t>
            </w:r>
          </w:p>
        </w:tc>
        <w:tc>
          <w:tcPr>
            <w:tcW w:w="2322" w:type="dxa"/>
          </w:tcPr>
          <w:p w:rsidR="00AC0832" w:rsidRDefault="00AC0832">
            <w:pPr>
              <w:pStyle w:val="CellColumn"/>
            </w:pPr>
            <w:r>
              <w:t>19.434.145</w:t>
            </w:r>
          </w:p>
        </w:tc>
        <w:tc>
          <w:tcPr>
            <w:tcW w:w="2322" w:type="dxa"/>
          </w:tcPr>
          <w:p w:rsidR="00AC0832" w:rsidRDefault="00AC0832">
            <w:pPr>
              <w:pStyle w:val="CellColumn"/>
            </w:pPr>
            <w:r>
              <w:t>16.802.207</w:t>
            </w:r>
          </w:p>
        </w:tc>
        <w:tc>
          <w:tcPr>
            <w:tcW w:w="2322" w:type="dxa"/>
          </w:tcPr>
          <w:p w:rsidR="00AC0832" w:rsidRDefault="00AC0832">
            <w:pPr>
              <w:pStyle w:val="CellColumn"/>
            </w:pPr>
            <w:r>
              <w:t>86,5</w:t>
            </w:r>
          </w:p>
        </w:tc>
      </w:tr>
      <w:tr w:rsidR="00AC0832" w:rsidTr="00BE20ED">
        <w:trPr>
          <w:jc w:val="center"/>
        </w:trPr>
        <w:tc>
          <w:tcPr>
            <w:tcW w:w="2322" w:type="dxa"/>
          </w:tcPr>
          <w:p w:rsidR="00AC0832" w:rsidRDefault="00AC0832">
            <w:pPr>
              <w:pStyle w:val="CellColumnSmall"/>
            </w:pPr>
            <w:r>
              <w:t>3402-ZAŠTITA OKOLIŠA</w:t>
            </w:r>
          </w:p>
        </w:tc>
        <w:tc>
          <w:tcPr>
            <w:tcW w:w="2322" w:type="dxa"/>
          </w:tcPr>
          <w:p w:rsidR="00AC0832" w:rsidRDefault="00AC0832">
            <w:pPr>
              <w:pStyle w:val="CellColumnSmall"/>
            </w:pPr>
            <w:r>
              <w:t>19.434.145</w:t>
            </w:r>
          </w:p>
        </w:tc>
        <w:tc>
          <w:tcPr>
            <w:tcW w:w="2322" w:type="dxa"/>
          </w:tcPr>
          <w:p w:rsidR="00AC0832" w:rsidRDefault="00AC0832">
            <w:pPr>
              <w:pStyle w:val="CellColumnSmall"/>
            </w:pPr>
            <w:r>
              <w:t>16.802.207</w:t>
            </w:r>
          </w:p>
        </w:tc>
        <w:tc>
          <w:tcPr>
            <w:tcW w:w="2322" w:type="dxa"/>
          </w:tcPr>
          <w:p w:rsidR="00AC0832" w:rsidRDefault="00AC0832">
            <w:pPr>
              <w:pStyle w:val="CellColumnSmall"/>
            </w:pPr>
            <w:r>
              <w:t>86,5</w:t>
            </w:r>
          </w:p>
        </w:tc>
      </w:tr>
    </w:tbl>
    <w:p w:rsidR="00AC0832" w:rsidRDefault="00AC0832">
      <w:pPr>
        <w:jc w:val="left"/>
      </w:pPr>
    </w:p>
    <w:p w:rsidR="00AC0832" w:rsidRDefault="00AC0832">
      <w:pPr>
        <w:pStyle w:val="Heading4"/>
      </w:pPr>
      <w:r>
        <w:t>OBRAZLOŽENJE PROGRAMA</w:t>
      </w:r>
    </w:p>
    <w:p w:rsidR="00AC0832" w:rsidRDefault="00AC0832">
      <w:pPr>
        <w:pStyle w:val="Heading5"/>
      </w:pPr>
      <w:r>
        <w:t>3402 ZAŠTITA OKOLIŠA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3402-ZAŠTITA OKOLIŠA</w:t>
            </w:r>
          </w:p>
        </w:tc>
        <w:tc>
          <w:tcPr>
            <w:tcW w:w="2322" w:type="dxa"/>
          </w:tcPr>
          <w:p w:rsidR="00AC0832" w:rsidRDefault="00AC0832">
            <w:pPr>
              <w:pStyle w:val="CellColumn"/>
            </w:pPr>
            <w:r>
              <w:t>19.434.145</w:t>
            </w:r>
          </w:p>
        </w:tc>
        <w:tc>
          <w:tcPr>
            <w:tcW w:w="2322" w:type="dxa"/>
          </w:tcPr>
          <w:p w:rsidR="00AC0832" w:rsidRDefault="00AC0832">
            <w:pPr>
              <w:pStyle w:val="CellColumn"/>
            </w:pPr>
            <w:r>
              <w:t>16.802.207</w:t>
            </w:r>
          </w:p>
        </w:tc>
        <w:tc>
          <w:tcPr>
            <w:tcW w:w="2322" w:type="dxa"/>
          </w:tcPr>
          <w:p w:rsidR="00AC0832" w:rsidRDefault="00AC0832">
            <w:pPr>
              <w:pStyle w:val="CellColumn"/>
            </w:pPr>
            <w:r>
              <w:t>86,5</w:t>
            </w:r>
          </w:p>
        </w:tc>
      </w:tr>
    </w:tbl>
    <w:p w:rsidR="00AC0832" w:rsidRDefault="00AC0832">
      <w:pPr>
        <w:jc w:val="left"/>
      </w:pPr>
    </w:p>
    <w:p w:rsidR="00AC0832" w:rsidRDefault="00AC0832">
      <w:pPr>
        <w:pStyle w:val="Heading6"/>
      </w:pPr>
      <w:r>
        <w:t>Opis programa</w:t>
      </w:r>
    </w:p>
    <w:p w:rsidR="00AC0832" w:rsidRDefault="00AC0832">
      <w:pPr>
        <w:pStyle w:val="Normal5"/>
      </w:pPr>
      <w:r>
        <w:t xml:space="preserve">Kroz Program Zaštite okoliša, Agencija će dugoročno osigurati praćenje i procjenu stanja okoliša, ustrojiti za to neophodne baze podataka, osigurati jednostavnu dostupnost podacima o okolišu mjerodavnim institucijama, stručnim organizacijama i javnosti, u tome poticati razvoj  i  korištenje  informacijskih  tehnologija,  te  time  osigurati  preduvjete  za oblikovanje novog, modernog sustava zaštite okoliša utemeljenog na europskoj praksi. Sama Agencija time će se profilirati u učinkovitu, stručnu i otvorenu instituciju, jednu od ključnih u području zaštite okoliša na nacionalnoj razini, ali i središnje tijelo za razmjenu podatka o okolišu sa EU. </w:t>
      </w:r>
    </w:p>
    <w:p w:rsidR="00AC0832" w:rsidRDefault="00AC0832">
      <w:pPr>
        <w:pStyle w:val="Normal5"/>
      </w:pPr>
      <w:r>
        <w:t xml:space="preserve"> </w:t>
      </w:r>
    </w:p>
    <w:p w:rsidR="00AC0832" w:rsidRDefault="00AC0832">
      <w:pPr>
        <w:pStyle w:val="Normal5"/>
      </w:pPr>
      <w:r>
        <w:t>Za provođenje Programa Zaštite okoliša, u Agenciji su organizirane aktivnosti čiji opis, zakonodavni okvir, ciljeve i pokazatelje uspješnosti niže navodimo.</w:t>
      </w:r>
    </w:p>
    <w:p w:rsidR="00AC0832" w:rsidRDefault="00AC0832">
      <w:pPr>
        <w:pStyle w:val="Heading6"/>
      </w:pPr>
      <w:r>
        <w:t>Zakonske i druge pravne osnove</w:t>
      </w:r>
    </w:p>
    <w:p w:rsidR="00AC0832" w:rsidRDefault="00AC0832">
      <w:pPr>
        <w:pStyle w:val="Normal5"/>
      </w:pPr>
      <w:r>
        <w:t xml:space="preserve">Zakon o zaštiti okoliša (NN 110/07); Uredba informacijskom sustavu zaštite okoliša (NN </w:t>
      </w:r>
    </w:p>
    <w:p w:rsidR="00AC0832" w:rsidRDefault="00AC0832">
      <w:pPr>
        <w:pStyle w:val="Normal5"/>
      </w:pPr>
      <w:r>
        <w:t>68/08),  čl. 7.;  Nacionalni  plan djelovanja za okoliš (NN 46/02); Strategija održivog razvitka Republike Hrvatske (NN 30/09); Zakon o  zaštiti zraka (NN  130/11); Zakonom o otpadu (NN 178/04, 111/06, 60/08, 87/09); Zakonske odredbe koje određuju zakonsko-pravno, komercijalno, financijsko, računovodstveno-knjigovodstveno i sigurnosno poslovanje (Zakon o javnoj nabavi, Zakon o fiskalnoj odgovornosti, Zakon o proračunu, Zakon o izvršavanju državnog proračuna za 2013., Zakon o računovodstvu...); Zakon o potvrđivanju Konvencije o pristupu informacijama, sudjelovanju javnosti u odlučivanju i pristupu pravosuđu u pitanjima okoliša (NN MU 01/07, čl. 3 – 5.); Zakon o pravu na pristup informacijama (NN 25/13); Zakon o medijima (NN 59/04, čl. 6.); svi pripadajući podzakonski akti, Uredbe, Pravilnici  i Odluke koje se odnose na gore navedene Zakone.</w:t>
      </w:r>
    </w:p>
    <w:p w:rsidR="00AC0832" w:rsidRDefault="00AC0832">
      <w:pPr>
        <w:pStyle w:val="Heading7"/>
      </w:pPr>
      <w:r>
        <w:t xml:space="preserve">Cilj 1. Osigurati  praćenje  stanja  okoliša </w:t>
      </w:r>
    </w:p>
    <w:p w:rsidR="00AC0832" w:rsidRDefault="00AC0832">
      <w:pPr>
        <w:pStyle w:val="Heading8"/>
        <w:jc w:val="left"/>
      </w:pPr>
      <w:r>
        <w:t>Opis provedbe cilja programa</w:t>
      </w:r>
    </w:p>
    <w:p w:rsidR="00AC0832" w:rsidRDefault="00AC0832">
      <w:pPr>
        <w:pStyle w:val="Normal6"/>
      </w:pPr>
      <w:r>
        <w:t xml:space="preserve">Agencija osigurava dugoročno praćenje stanja okoliša temeljem prikupljenih podataka i informacija o stanju pojedinih sastavnica okoliša (zrak, voda, tlo…), opterećenja (otpad, industrija…) i drugih (općih) pitanja zaštite okoliša (dokumenti i politika zaštite okoliša, ekonomski instrumenti, upravljanje okolišem i dr.). Te podatke i informacije, slijedom svojih redovnih djelatnosti, prate i prikupljaju suradničke institucije Agencije: tijela državne uprave, javne i znanstvene te stručne institucije, a surađuju i udruge civilnog društva. Isti se pohranjuju u javno dostupnim bazama podataka Informacijskog sustava zaštite okoliša (ISZO), a Agencija ih obrađuje te izrađuje procjene stanja okoliša, predviđanje budućih trendova te davanje smjernica donosiocima odluka, kako za pojedinačno tematsko područje okoliša/opterećenja, tako i za nacionalnu razinu četverogodišnjim Izvješćem o stanju okoliša u RH. Objavom ne samo podataka i informacija o okolišu, već i procjena stanja okoliša i mjera politike, Agencija osigurava ostvarivanje načela pristupa informacijama i sudjelovanja javnosti. Za dio podataka i informacija, nužnih za praćenje stanja okoliša, koji trenutno nisu dio ISZO-a, biti će uspostavljen tok podataka i time olakšano praćenje stanja okoliša i njegova procjena, kao i izvješćivanje prema tijelima EU-a. </w:t>
      </w:r>
    </w:p>
    <w:p w:rsidR="00AC0832" w:rsidRDefault="00AC0832">
      <w:pPr>
        <w:pStyle w:val="Normal6"/>
      </w:pPr>
      <w:r>
        <w:t>Treba napomenuti da drugo po redu „Izvješće o stanju okoliša RH za razdoblje 2005. – 2008.“, kojeg na usvajanje šalje Ministarstvo nadležno za okoliš,  jest kao nacrt bilo prihvaćeno na Vladi RH (135. sjednica održana 21. lipnja 2011.), zatim na Odboru za zaštitu okoliša (sjednica održana 27. rujna 2011.), nakon čega je njegovo podnošenje bilo predviđeno kao 60. točka Dnevnog reda 24. sjednice 6. saziva Hrvatskoga sabora, nije usvojeno radi raspuštanja Hrvatskog sabora, te je u 2012. poslano u ponovnu proceduru usvajanja. Izviješće je konačno usvojeno na 4. sjednici Hrvatskog sabora, 15. lipnja 2012.</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Profiliranje Agencije kao   središnje institucije zaštite okoliša u RH</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95</w:t>
            </w:r>
          </w:p>
        </w:tc>
        <w:tc>
          <w:tcPr>
            <w:tcW w:w="1300" w:type="dxa"/>
          </w:tcPr>
          <w:p w:rsidR="00AC0832" w:rsidRDefault="00AC0832">
            <w:pPr>
              <w:pStyle w:val="CellColumn"/>
            </w:pPr>
            <w:r>
              <w:t>Agencija</w:t>
            </w:r>
          </w:p>
        </w:tc>
        <w:tc>
          <w:tcPr>
            <w:tcW w:w="1300" w:type="dxa"/>
          </w:tcPr>
          <w:p w:rsidR="00AC0832" w:rsidRDefault="00AC0832">
            <w:pPr>
              <w:pStyle w:val="CellColumn"/>
            </w:pPr>
            <w:r>
              <w:t>96</w:t>
            </w:r>
          </w:p>
        </w:tc>
        <w:tc>
          <w:tcPr>
            <w:tcW w:w="1300" w:type="dxa"/>
          </w:tcPr>
          <w:p w:rsidR="00AC0832" w:rsidRDefault="00AC0832">
            <w:pPr>
              <w:pStyle w:val="CellColumn"/>
            </w:pPr>
            <w:r>
              <w:t>95</w:t>
            </w:r>
          </w:p>
        </w:tc>
      </w:tr>
    </w:tbl>
    <w:p w:rsidR="00AC0832" w:rsidRDefault="00AC0832">
      <w:pPr>
        <w:jc w:val="left"/>
      </w:pPr>
    </w:p>
    <w:p w:rsidR="00AC0832" w:rsidRDefault="00AC0832">
      <w:pPr>
        <w:pStyle w:val="Heading7"/>
      </w:pPr>
      <w:r>
        <w:t xml:space="preserve">Cilj 2. Povezivanje svih postojećih podataka obveznika zaštite okoliša  i  informacijskih  tokova </w:t>
      </w:r>
    </w:p>
    <w:p w:rsidR="00AC0832" w:rsidRDefault="00AC0832">
      <w:pPr>
        <w:pStyle w:val="Heading8"/>
        <w:jc w:val="left"/>
      </w:pPr>
      <w:r>
        <w:t>Opis provedbe cilja programa</w:t>
      </w:r>
    </w:p>
    <w:p w:rsidR="00AC0832" w:rsidRDefault="00AC0832">
      <w:pPr>
        <w:pStyle w:val="Normal6"/>
      </w:pPr>
      <w:r>
        <w:t xml:space="preserve">•unutar Informacijskog sustava postrojenja i emisija (ISPE), u 2012. osigurano je preventivno i korektivno održavanje aplikacijskog sustava Registra onečišćavanja okoliša (ROO)  </w:t>
      </w:r>
    </w:p>
    <w:p w:rsidR="00AC0832" w:rsidRDefault="00AC0832">
      <w:pPr>
        <w:pStyle w:val="Normal6"/>
      </w:pPr>
      <w:r>
        <w:t xml:space="preserve">•Napravljen je Hrvatski nacionalni portal registra onečišćavanja okoliša (HNPROO) s podacima o ispuštanjima onečišćujućih tvari i otpadu </w:t>
      </w:r>
    </w:p>
    <w:p w:rsidR="00AC0832" w:rsidRDefault="00AC0832">
      <w:pPr>
        <w:pStyle w:val="Normal6"/>
      </w:pPr>
      <w:r>
        <w:t xml:space="preserve">•aplikacije ROO, RPOT, OPVN i BOUDR nadograđivane su u smislu nadogradnje  novih funkcionalnosti  </w:t>
      </w:r>
    </w:p>
    <w:p w:rsidR="00AC0832" w:rsidRDefault="00AC0832">
      <w:pPr>
        <w:pStyle w:val="Normal6"/>
      </w:pPr>
      <w:r>
        <w:t xml:space="preserve">•unutar Informacijskog sustava gospodarenja otpadom (ISGO) u 2012.  godini aktivnosti su bile usmjerene na održavanje i nadogradnju postojećih aplikacija/baza podataka o „Prekograničnom prometu otpadom“ (P16/02) i „Registru dozvola za gospodarenje otpadom“ (P16/03) novim funkcionalnostima.  </w:t>
      </w:r>
    </w:p>
    <w:p w:rsidR="00AC0832" w:rsidRDefault="00AC0832">
      <w:pPr>
        <w:pStyle w:val="Normal6"/>
      </w:pPr>
      <w:r>
        <w:t xml:space="preserve">• WEB GIS preglednik „Katastar odlagališta otpada“ (P16/01) migriran je na noviju verziju programske opreme i nadopunjen novim podatkovnim slojevima te je preimenovan u „GIS preglednik Gospodarenje otpadom“. </w:t>
      </w:r>
    </w:p>
    <w:p w:rsidR="00AC0832" w:rsidRDefault="00AC0832">
      <w:pPr>
        <w:pStyle w:val="Normal6"/>
      </w:pPr>
      <w:r>
        <w:t xml:space="preserve">•U Informacijskom sustavu općih tema zaštite okoliša (ISOTZO) u 2012.g. nadograđena je aplikacija /baza podataka „Baza dokumenata održivog razvitka i zaštite okoliša“ </w:t>
      </w:r>
    </w:p>
    <w:p w:rsidR="00AC0832" w:rsidRDefault="00AC0832">
      <w:pPr>
        <w:pStyle w:val="Normal6"/>
      </w:pPr>
      <w:r>
        <w:t xml:space="preserve">•Unutar Informacijskog sustava kakvoće zraka (ISKZ) u 2012.  godini aktivnosti su bile usmjerene na održavanje i nadogradnju postojećih aplikacija/baza podataka: „Baze podataka o kakvoći proizvoda i opremi na terminalima i benzinskim postajama – TNG“ (P11/01), Baza podataka o kvaliteti zraka u Republici Hrvatskoj (P11/07), Baza podataka o izvorima onečišćivanja zraka iz nepokretnih izvora (P11/08) </w:t>
      </w:r>
    </w:p>
    <w:p w:rsidR="00AC0832" w:rsidRDefault="00AC0832">
      <w:pPr>
        <w:pStyle w:val="Normal6"/>
      </w:pPr>
      <w:r>
        <w:t xml:space="preserve">•unutar „Baza podataka o emisijama hlapivih organskih spojeva - EHOS“ (P11/02) i „Baza podataka o hlapivim organskim spojevima u bojama i lakovima - BLV“ u 2012. godini implementirana su poboljšanja postojećih te  novih funkcionalnosti postojećih aplikacija/baza podataka </w:t>
      </w:r>
    </w:p>
    <w:p w:rsidR="00AC0832" w:rsidRDefault="00AC0832">
      <w:pPr>
        <w:pStyle w:val="Normal6"/>
      </w:pPr>
      <w:r>
        <w:t xml:space="preserve">•Unutar Hrvatskog informacijskog sustava tla u 2012.godini započelo se sa nadogradnjom CORINE Land Cover za 2012.godinu. </w:t>
      </w:r>
    </w:p>
    <w:p w:rsidR="00AC0832" w:rsidRDefault="00AC0832">
      <w:pPr>
        <w:pStyle w:val="Normal6"/>
      </w:pPr>
      <w:r>
        <w:t xml:space="preserve">•U Informacijskom sustavu kopnenih voda (ISKV) u 2012. godini daljnjih aktivnosti glede nadogradnje novih funkcionalnosti/baza informacijskog sustava nije bilo </w:t>
      </w:r>
    </w:p>
    <w:p w:rsidR="00AC0832" w:rsidRDefault="00AC0832">
      <w:pPr>
        <w:pStyle w:val="Normal6"/>
      </w:pPr>
      <w:r>
        <w:t xml:space="preserve">•U Informacijskom sustavu mora (ISM) aktivnosti u 2012. godini bile su vezane uz informatičku nadogradnju i održavanje postojećih aplikacija „Baza podataka i pokazatelja stanja morskog okoliša, marikulture i ribarstva” (P13/01) te „Baza podataka kakvoća mora za kupanje u RH“ (P13/03) za potrebe međunarodnog izvješćivanja prema EEA i Europskoj komisiji, koje kao referentni centar Agencije vodi Institut za oceanografiju i ribarstvo (IOR). Uslijed nedostatka sredstava i djelatnika nisu provedene planirane aktivnosti vezane uz ažuriranje i nadogradnju GIS preglednika „Kakvoća mora za kupanje“. </w:t>
      </w:r>
    </w:p>
    <w:p w:rsidR="00AC0832" w:rsidRDefault="00AC0832">
      <w:pPr>
        <w:pStyle w:val="Normal6"/>
      </w:pPr>
      <w:r>
        <w:t>•Napravljena provjera razine sigurnosti informacijskog sustava na podlozi norme ISO27001</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6"/>
        <w:gridCol w:w="1297"/>
        <w:gridCol w:w="1296"/>
        <w:gridCol w:w="1297"/>
        <w:gridCol w:w="1297"/>
        <w:gridCol w:w="1297"/>
        <w:gridCol w:w="129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 xml:space="preserve">Poboljšanje provedbe Aktivnosti vođenja Informacijskog </w:t>
            </w:r>
          </w:p>
          <w:p w:rsidR="00AC0832" w:rsidRDefault="00AC0832">
            <w:pPr>
              <w:pStyle w:val="CellColumn"/>
            </w:pPr>
            <w:r>
              <w:t>sustava zaštite okoliša za 2012-2014</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60</w:t>
            </w:r>
          </w:p>
        </w:tc>
        <w:tc>
          <w:tcPr>
            <w:tcW w:w="1300" w:type="dxa"/>
          </w:tcPr>
          <w:p w:rsidR="00AC0832" w:rsidRDefault="00AC0832">
            <w:pPr>
              <w:pStyle w:val="CellColumn"/>
            </w:pPr>
            <w:r>
              <w:t>Agencija</w:t>
            </w:r>
          </w:p>
        </w:tc>
        <w:tc>
          <w:tcPr>
            <w:tcW w:w="1300" w:type="dxa"/>
          </w:tcPr>
          <w:p w:rsidR="00AC0832" w:rsidRDefault="00AC0832">
            <w:pPr>
              <w:pStyle w:val="CellColumn"/>
            </w:pPr>
            <w:r>
              <w:t>65</w:t>
            </w:r>
          </w:p>
        </w:tc>
        <w:tc>
          <w:tcPr>
            <w:tcW w:w="1300" w:type="dxa"/>
          </w:tcPr>
          <w:p w:rsidR="00AC0832" w:rsidRDefault="00AC0832">
            <w:pPr>
              <w:pStyle w:val="CellColumn"/>
            </w:pPr>
            <w:r>
              <w:t>62</w:t>
            </w:r>
          </w:p>
        </w:tc>
      </w:tr>
      <w:tr w:rsidR="00AC0832" w:rsidTr="00BE20ED">
        <w:trPr>
          <w:jc w:val="center"/>
        </w:trPr>
        <w:tc>
          <w:tcPr>
            <w:tcW w:w="1300" w:type="dxa"/>
          </w:tcPr>
          <w:p w:rsidR="00AC0832" w:rsidRDefault="00AC0832">
            <w:pPr>
              <w:pStyle w:val="CellColumn"/>
            </w:pPr>
            <w:r>
              <w:t>Postotak prikupljenih, obrađenih i unesenih podataka  u  baze,  te na osnovu istih izrađenih izvješća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49</w:t>
            </w:r>
          </w:p>
        </w:tc>
        <w:tc>
          <w:tcPr>
            <w:tcW w:w="1300" w:type="dxa"/>
          </w:tcPr>
          <w:p w:rsidR="00AC0832" w:rsidRDefault="00AC0832">
            <w:pPr>
              <w:pStyle w:val="CellColumn"/>
            </w:pPr>
            <w:r>
              <w:t>Agencija</w:t>
            </w:r>
          </w:p>
        </w:tc>
        <w:tc>
          <w:tcPr>
            <w:tcW w:w="1300" w:type="dxa"/>
          </w:tcPr>
          <w:p w:rsidR="00AC0832" w:rsidRDefault="00AC0832">
            <w:pPr>
              <w:pStyle w:val="CellColumn"/>
            </w:pPr>
            <w:r>
              <w:t>58</w:t>
            </w:r>
          </w:p>
        </w:tc>
        <w:tc>
          <w:tcPr>
            <w:tcW w:w="1300" w:type="dxa"/>
          </w:tcPr>
          <w:p w:rsidR="00AC0832" w:rsidRDefault="00AC0832">
            <w:pPr>
              <w:pStyle w:val="CellColumn"/>
            </w:pPr>
            <w:r>
              <w:t>72</w:t>
            </w:r>
          </w:p>
        </w:tc>
      </w:tr>
    </w:tbl>
    <w:p w:rsidR="00AC0832" w:rsidRDefault="00AC0832">
      <w:pPr>
        <w:jc w:val="left"/>
      </w:pPr>
    </w:p>
    <w:p w:rsidR="00AC0832" w:rsidRDefault="00AC0832">
      <w:pPr>
        <w:pStyle w:val="Heading7"/>
      </w:pPr>
      <w:r>
        <w:t xml:space="preserve">Cilj 3. Omogućavanje prikupljanja i davanje podataka koji su obrađeni i analizirani sukladno međunarodnoj i europskoj metodologiji </w:t>
      </w:r>
    </w:p>
    <w:p w:rsidR="00AC0832" w:rsidRDefault="00AC0832">
      <w:pPr>
        <w:pStyle w:val="Heading8"/>
        <w:jc w:val="left"/>
      </w:pPr>
      <w:r>
        <w:t>Opis provedbe cilja programa</w:t>
      </w:r>
    </w:p>
    <w:p w:rsidR="00AC0832" w:rsidRDefault="00AC0832">
      <w:pPr>
        <w:pStyle w:val="Normal6"/>
      </w:pPr>
      <w:r>
        <w:t>Agencija je, temeljem Zakona o zaštiti okoliša (NN 110/07) nadležna za izvješćivanje i koordinaciju izvješćivanja u Države u području okoliša. Kako bi se osigurala spremnost Države da izvješćuje prema tijelima EK i međunarodnom tijelima i organizacijama za područje okoliša, u 2012. je, nastavno na projekt „IPA 2007 Twinning Light Project Improving Environmental Reporting in Croatia“i Reporting obligation database - ROD (http://rod.eionet.europa.eu/), načinjen „Popis obveza RH u području izvješćivanja o okolišu prema Europskoj komisiji i drugim tijelima EU, međunarodnim tijelima i organizacijama“. Radi se o inventaru pravne stečevine i nacionalnih propisa, kao i u popisu odgovornosti i suradnje za pojedinu izvještajnu obvezu (trenutno ih ima 245) . Temeljem tog dokumenta, ukupno 20 institucija RH treba surađivati u svim fazama (prikupljanje podataka, izrada izvješća i slanje izvješća), kako bi RH ispunila svoje obveze koje je preuzela potpisivanjem Pristupnog ugovora s EU te drugih međunarodnih obveza. Za potrebe međunarodnog izvješćivanja prema EEA i Europskoj komisiji, digitalne baze navedene pod Cilj2 nadograđene su u smislu prilagodbe strukture modela podataka dok su  aplikacije implementirale nove funkcionalnosti .</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6"/>
        <w:gridCol w:w="1297"/>
        <w:gridCol w:w="1296"/>
        <w:gridCol w:w="1297"/>
        <w:gridCol w:w="1297"/>
        <w:gridCol w:w="1297"/>
        <w:gridCol w:w="129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 xml:space="preserve">Poboljšanje stanja provedbe Aktivnosti vođenja </w:t>
            </w:r>
          </w:p>
          <w:p w:rsidR="00AC0832" w:rsidRDefault="00AC0832">
            <w:pPr>
              <w:pStyle w:val="CellColumn"/>
            </w:pPr>
            <w:r>
              <w:t xml:space="preserve">Informacijskog </w:t>
            </w:r>
          </w:p>
          <w:p w:rsidR="00AC0832" w:rsidRDefault="00AC0832">
            <w:pPr>
              <w:pStyle w:val="CellColumn"/>
            </w:pPr>
            <w:r>
              <w:t xml:space="preserve">sustava zaštite okoliša </w:t>
            </w:r>
          </w:p>
          <w:p w:rsidR="00AC0832" w:rsidRDefault="00AC0832">
            <w:pPr>
              <w:pStyle w:val="CellColumn"/>
            </w:pPr>
            <w:r>
              <w:t>RH za  2012-2014.</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60</w:t>
            </w:r>
          </w:p>
        </w:tc>
        <w:tc>
          <w:tcPr>
            <w:tcW w:w="1300" w:type="dxa"/>
          </w:tcPr>
          <w:p w:rsidR="00AC0832" w:rsidRDefault="00AC0832">
            <w:pPr>
              <w:pStyle w:val="CellColumn"/>
            </w:pPr>
            <w:r>
              <w:t>Agencija</w:t>
            </w:r>
          </w:p>
        </w:tc>
        <w:tc>
          <w:tcPr>
            <w:tcW w:w="1300" w:type="dxa"/>
          </w:tcPr>
          <w:p w:rsidR="00AC0832" w:rsidRDefault="00AC0832">
            <w:pPr>
              <w:pStyle w:val="CellColumn"/>
            </w:pPr>
            <w:r>
              <w:t>65</w:t>
            </w:r>
          </w:p>
        </w:tc>
        <w:tc>
          <w:tcPr>
            <w:tcW w:w="1300" w:type="dxa"/>
          </w:tcPr>
          <w:p w:rsidR="00AC0832" w:rsidRDefault="00AC0832">
            <w:pPr>
              <w:pStyle w:val="CellColumn"/>
            </w:pPr>
            <w:r>
              <w:t>68</w:t>
            </w:r>
          </w:p>
        </w:tc>
      </w:tr>
    </w:tbl>
    <w:p w:rsidR="00AC0832" w:rsidRDefault="00AC0832">
      <w:pPr>
        <w:jc w:val="left"/>
      </w:pPr>
    </w:p>
    <w:p w:rsidR="00AC0832" w:rsidRDefault="00AC0832">
      <w:pPr>
        <w:pStyle w:val="Heading7"/>
      </w:pPr>
      <w:r>
        <w:t xml:space="preserve">Cilj 4. Održavanje  Informacijskog  sustava  zaštite  okoliša </w:t>
      </w:r>
    </w:p>
    <w:p w:rsidR="00AC0832" w:rsidRDefault="00AC0832">
      <w:pPr>
        <w:pStyle w:val="Heading8"/>
        <w:jc w:val="left"/>
      </w:pPr>
      <w:r>
        <w:t>Opis provedbe cilja programa</w:t>
      </w:r>
    </w:p>
    <w:p w:rsidR="00AC0832" w:rsidRDefault="00AC0832">
      <w:pPr>
        <w:pStyle w:val="Normal6"/>
      </w:pPr>
      <w:r>
        <w:t xml:space="preserve">•Izvršena je migracija baza podataka u sklopu aktivnosti proširenja kapaciteta i poboljšanja protoka podataka u IT sustavu kao dodatna aktivnost neplanirana za 2012. </w:t>
      </w:r>
    </w:p>
    <w:p w:rsidR="00AC0832" w:rsidRDefault="00AC0832">
      <w:pPr>
        <w:pStyle w:val="Normal6"/>
      </w:pPr>
      <w:r>
        <w:t xml:space="preserve">• Osigurani su dodatni SQL server produkcijski i domain controler (zamjena za stari) koji nisu bili u planu 2012 </w:t>
      </w:r>
    </w:p>
    <w:p w:rsidR="00AC0832" w:rsidRDefault="00AC0832">
      <w:pPr>
        <w:pStyle w:val="Normal6"/>
      </w:pPr>
      <w:r>
        <w:t xml:space="preserve">•Izvršena je reorganizacija SQL baza podataka kao dodatna neplanirana aktivnost (definiranje novih 4  instanci) čime su povećani sigurnosni uvjeti upravljanja i održavanja baza podataka  </w:t>
      </w:r>
    </w:p>
    <w:p w:rsidR="00AC0832" w:rsidRDefault="00AC0832">
      <w:pPr>
        <w:pStyle w:val="Normal6"/>
      </w:pPr>
      <w:r>
        <w:t xml:space="preserve">•Dodatno neplanirano u 2012 je nabava Data domain servera s svrhom ubrzanja rada backupa i osigura veći dodatni kapacitet pohrane </w:t>
      </w:r>
    </w:p>
    <w:p w:rsidR="00AC0832" w:rsidRDefault="00AC0832">
      <w:pPr>
        <w:pStyle w:val="Normal6"/>
      </w:pPr>
      <w:r>
        <w:t xml:space="preserve">•Dodatna neplanirana aktivnost je osiguranje je WIFI mreže na obje lokacije čime se uspostavila bolja protočnost informacija i uvjeti korištenja postojećih aplikacija </w:t>
      </w:r>
    </w:p>
    <w:p w:rsidR="00AC0832" w:rsidRDefault="00AC0832">
      <w:pPr>
        <w:pStyle w:val="Normal6"/>
      </w:pPr>
      <w:r>
        <w:t xml:space="preserve">•Izvršen je prvi kontrolni nadzor po normi ISO 27001:2005 kojom se regulira sustav upravljanja sigurnošću informacija </w:t>
      </w:r>
    </w:p>
    <w:p w:rsidR="00AC0832" w:rsidRDefault="00AC0832">
      <w:pPr>
        <w:pStyle w:val="Normal6"/>
      </w:pPr>
      <w:r>
        <w:t xml:space="preserve">•Nabava GIS se za potrebe uspostave WEB GIS preglednika nije realizirana jer je navedeno održavanje pokriveno iz sredstava MZOIP. Sredstva su iskorištena za gore navedene dodatne aktivnosti </w:t>
      </w:r>
    </w:p>
    <w:p w:rsidR="00AC0832" w:rsidRDefault="00AC0832">
      <w:pPr>
        <w:pStyle w:val="Normal6"/>
      </w:pPr>
      <w:r>
        <w:t>•Dodatno neplanirane aktivnosti uključile su pokretanje uspostave HELP DESKa unutar AZO koji se realizirano u svojoj prvoj fazi implementacije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5"/>
        <w:gridCol w:w="1299"/>
        <w:gridCol w:w="1298"/>
        <w:gridCol w:w="1299"/>
        <w:gridCol w:w="1299"/>
        <w:gridCol w:w="1299"/>
        <w:gridCol w:w="129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postotka redovitog rada informacijskog sustava zaštite  okoliša  sa malim brojem kritičnih incidenata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80</w:t>
            </w:r>
          </w:p>
        </w:tc>
        <w:tc>
          <w:tcPr>
            <w:tcW w:w="1300" w:type="dxa"/>
          </w:tcPr>
          <w:p w:rsidR="00AC0832" w:rsidRDefault="00AC0832">
            <w:pPr>
              <w:pStyle w:val="CellColumn"/>
            </w:pPr>
            <w:r>
              <w:t>Agencija</w:t>
            </w:r>
          </w:p>
        </w:tc>
        <w:tc>
          <w:tcPr>
            <w:tcW w:w="1300" w:type="dxa"/>
          </w:tcPr>
          <w:p w:rsidR="00AC0832" w:rsidRDefault="00AC0832">
            <w:pPr>
              <w:pStyle w:val="CellColumn"/>
            </w:pPr>
            <w:r>
              <w:t>90</w:t>
            </w:r>
          </w:p>
        </w:tc>
        <w:tc>
          <w:tcPr>
            <w:tcW w:w="1300" w:type="dxa"/>
          </w:tcPr>
          <w:p w:rsidR="00AC0832" w:rsidRDefault="00AC0832">
            <w:pPr>
              <w:pStyle w:val="CellColumn"/>
            </w:pPr>
            <w:r>
              <w:t>92</w:t>
            </w:r>
          </w:p>
        </w:tc>
      </w:tr>
    </w:tbl>
    <w:p w:rsidR="00AC0832" w:rsidRDefault="00AC0832">
      <w:pPr>
        <w:jc w:val="left"/>
      </w:pPr>
    </w:p>
    <w:p w:rsidR="00AC0832" w:rsidRDefault="00AC0832">
      <w:pPr>
        <w:pStyle w:val="Heading7"/>
      </w:pPr>
      <w:r>
        <w:t xml:space="preserve">Cilj 5. Određivanje  referentnih  centara  Agencije  za  zaštitu  okoliša </w:t>
      </w:r>
    </w:p>
    <w:p w:rsidR="00AC0832" w:rsidRDefault="00AC0832">
      <w:pPr>
        <w:pStyle w:val="Heading8"/>
        <w:jc w:val="left"/>
      </w:pPr>
      <w:r>
        <w:t>Opis provedbe cilja programa</w:t>
      </w:r>
    </w:p>
    <w:p w:rsidR="00AC0832" w:rsidRDefault="00AC0832">
      <w:pPr>
        <w:pStyle w:val="Normal6"/>
      </w:pPr>
      <w:r>
        <w:t xml:space="preserve">Određivanje referentnih centara Agencije za zaštitu okoliša propisano je Zakonom o zaštiti okoliša (NN 110/07), članak 123. Cilj koji  treba postići je kroz određivanje referentnih centara, unaprijediti sustav izvješćivanja o stanju okoliša kroz uspostavu sustava toka podataka za sve sastavnice okoliša definirane Zakonom o zaštiti okoliša, te unaprijediti kvalitetu i cjelovitost podataka i informacija. Započete su procedure vezane na imenovanje Referentnih centara Agencije  (Vode, Priroda, Zrak)* nakon što je u 2012 od strane Vlade RH imenovan Referentni centar za more - Institut za oceanografiju i ribarstvo iz Splita </w:t>
      </w:r>
    </w:p>
    <w:p w:rsidR="00AC0832" w:rsidRDefault="00AC0832">
      <w:pPr>
        <w:pStyle w:val="Normal6"/>
      </w:pPr>
      <w:r>
        <w:t>*radi se o tri zasebna referentna centra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2"/>
        <w:gridCol w:w="1289"/>
        <w:gridCol w:w="1285"/>
        <w:gridCol w:w="1290"/>
        <w:gridCol w:w="1289"/>
        <w:gridCol w:w="1290"/>
        <w:gridCol w:w="129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pokrivenosti tematskih područja odgovarajućim referentnim centrima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5</w:t>
            </w:r>
          </w:p>
        </w:tc>
        <w:tc>
          <w:tcPr>
            <w:tcW w:w="1300" w:type="dxa"/>
          </w:tcPr>
          <w:p w:rsidR="00AC0832" w:rsidRDefault="00AC0832">
            <w:pPr>
              <w:pStyle w:val="CellColumn"/>
            </w:pPr>
            <w:r>
              <w:t>Agencija</w:t>
            </w:r>
          </w:p>
        </w:tc>
        <w:tc>
          <w:tcPr>
            <w:tcW w:w="1300" w:type="dxa"/>
          </w:tcPr>
          <w:p w:rsidR="00AC0832" w:rsidRDefault="00AC0832">
            <w:pPr>
              <w:pStyle w:val="CellColumn"/>
            </w:pPr>
            <w:r>
              <w:t>25</w:t>
            </w:r>
          </w:p>
        </w:tc>
        <w:tc>
          <w:tcPr>
            <w:tcW w:w="1300" w:type="dxa"/>
          </w:tcPr>
          <w:p w:rsidR="00AC0832" w:rsidRDefault="00AC0832">
            <w:pPr>
              <w:pStyle w:val="CellColumn"/>
            </w:pPr>
            <w:r>
              <w:t>25</w:t>
            </w:r>
          </w:p>
        </w:tc>
      </w:tr>
      <w:tr w:rsidR="00AC0832" w:rsidTr="00BE20ED">
        <w:trPr>
          <w:jc w:val="center"/>
        </w:trPr>
        <w:tc>
          <w:tcPr>
            <w:tcW w:w="1300" w:type="dxa"/>
          </w:tcPr>
          <w:p w:rsidR="00AC0832" w:rsidRDefault="00AC0832">
            <w:pPr>
              <w:pStyle w:val="CellColumn"/>
            </w:pPr>
            <w:r>
              <w:t>Postotak uspostavljanog</w:t>
            </w:r>
            <w:r>
              <w:tab/>
              <w:t>toka podataka</w:t>
            </w:r>
            <w:r>
              <w:tab/>
            </w:r>
            <w:r>
              <w:tab/>
              <w:t>po tematskim područjima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5</w:t>
            </w:r>
          </w:p>
        </w:tc>
        <w:tc>
          <w:tcPr>
            <w:tcW w:w="1300" w:type="dxa"/>
          </w:tcPr>
          <w:p w:rsidR="00AC0832" w:rsidRDefault="00AC0832">
            <w:pPr>
              <w:pStyle w:val="CellColumn"/>
            </w:pPr>
            <w:r>
              <w:t>Agencija</w:t>
            </w:r>
          </w:p>
        </w:tc>
        <w:tc>
          <w:tcPr>
            <w:tcW w:w="1300" w:type="dxa"/>
          </w:tcPr>
          <w:p w:rsidR="00AC0832" w:rsidRDefault="00AC0832">
            <w:pPr>
              <w:pStyle w:val="CellColumn"/>
            </w:pPr>
            <w:r>
              <w:t>25</w:t>
            </w:r>
          </w:p>
        </w:tc>
        <w:tc>
          <w:tcPr>
            <w:tcW w:w="1300" w:type="dxa"/>
          </w:tcPr>
          <w:p w:rsidR="00AC0832" w:rsidRDefault="00AC0832">
            <w:pPr>
              <w:pStyle w:val="CellColumn"/>
            </w:pPr>
            <w:r>
              <w:t>25</w:t>
            </w:r>
          </w:p>
        </w:tc>
      </w:tr>
      <w:tr w:rsidR="00AC0832" w:rsidTr="00BE20ED">
        <w:trPr>
          <w:jc w:val="center"/>
        </w:trPr>
        <w:tc>
          <w:tcPr>
            <w:tcW w:w="1300" w:type="dxa"/>
          </w:tcPr>
          <w:p w:rsidR="00AC0832" w:rsidRDefault="00AC0832">
            <w:pPr>
              <w:pStyle w:val="CellColumn"/>
            </w:pPr>
            <w:r>
              <w:t>Postotak cjelovitosti i kakvoće podataka i informacija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5</w:t>
            </w:r>
          </w:p>
        </w:tc>
        <w:tc>
          <w:tcPr>
            <w:tcW w:w="1300" w:type="dxa"/>
          </w:tcPr>
          <w:p w:rsidR="00AC0832" w:rsidRDefault="00AC0832">
            <w:pPr>
              <w:pStyle w:val="CellColumn"/>
            </w:pPr>
            <w:r>
              <w:t>Agencija</w:t>
            </w:r>
          </w:p>
        </w:tc>
        <w:tc>
          <w:tcPr>
            <w:tcW w:w="1300" w:type="dxa"/>
          </w:tcPr>
          <w:p w:rsidR="00AC0832" w:rsidRDefault="00AC0832">
            <w:pPr>
              <w:pStyle w:val="CellColumn"/>
            </w:pPr>
            <w:r>
              <w:t>25</w:t>
            </w:r>
          </w:p>
        </w:tc>
        <w:tc>
          <w:tcPr>
            <w:tcW w:w="1300" w:type="dxa"/>
          </w:tcPr>
          <w:p w:rsidR="00AC0832" w:rsidRDefault="00AC0832">
            <w:pPr>
              <w:pStyle w:val="CellColumn"/>
            </w:pPr>
            <w:r>
              <w:t>25</w:t>
            </w:r>
          </w:p>
        </w:tc>
      </w:tr>
    </w:tbl>
    <w:p w:rsidR="00AC0832" w:rsidRDefault="00AC0832">
      <w:pPr>
        <w:jc w:val="left"/>
      </w:pPr>
    </w:p>
    <w:p w:rsidR="00AC0832" w:rsidRDefault="00AC0832">
      <w:pPr>
        <w:pStyle w:val="Heading7"/>
      </w:pPr>
      <w:r>
        <w:t xml:space="preserve">Cilj 6. Unapređenje  kvalitete  i  cjelovitosti  podataka  i  informacija </w:t>
      </w:r>
    </w:p>
    <w:p w:rsidR="00AC0832" w:rsidRDefault="00AC0832">
      <w:pPr>
        <w:pStyle w:val="Heading8"/>
        <w:jc w:val="left"/>
      </w:pPr>
      <w:r>
        <w:t>Opis provedbe cilja programa</w:t>
      </w:r>
    </w:p>
    <w:p w:rsidR="00AC0832" w:rsidRDefault="00AC0832">
      <w:pPr>
        <w:pStyle w:val="Normal6"/>
      </w:pPr>
      <w:r>
        <w:t xml:space="preserve">Sa svrhom osiguranja kvalitetnijih, cjelovitih podataka i informacija, Agencija je  tijekom 2012. osigurala podršku obveznicima;                                </w:t>
      </w:r>
    </w:p>
    <w:p w:rsidR="00AC0832" w:rsidRDefault="00AC0832">
      <w:pPr>
        <w:pStyle w:val="Normal6"/>
      </w:pPr>
      <w:r>
        <w:t xml:space="preserve">•Izrađen je  Plan osiguranja i kontrole kvalitete (QA/QC) za izradu LRTAP I NIR izvješća </w:t>
      </w:r>
    </w:p>
    <w:p w:rsidR="00AC0832" w:rsidRDefault="00AC0832">
      <w:pPr>
        <w:pStyle w:val="Normal6"/>
      </w:pPr>
      <w:r>
        <w:t xml:space="preserve">•Osiguran „help desk“ za  baze Informacijskog sustava zaštite okoliša (npr. uz „Bazu podataka o emisijama hlapivih organskih spojeva (EHOS)“, „Bazu podataka o kakvoći proizvoda i opremi na terminalima i benzinskim postajama (TNG)“  „Bazu podatak o  kvaliteti zraka u RH“, te „Bazu podataka o bojama i lakovima i proizvodima za završnu obradu vozila (BLV)“ i „Bazu podataka o emisijama iz stacionarnih izvora“, Registar onečišćenja okoliša i dr.), te za Registar Unije (za trgovanje emisijskim jedinicama stakleničkih plinova). </w:t>
      </w:r>
    </w:p>
    <w:p w:rsidR="00AC0832" w:rsidRDefault="00AC0832">
      <w:pPr>
        <w:pStyle w:val="Normal6"/>
      </w:pPr>
      <w:r>
        <w:t xml:space="preserve">•Uz svaku bazu podataka osigurana je i putem interneta dostupnost  uputama za rad s bazom </w:t>
      </w:r>
    </w:p>
    <w:p w:rsidR="00AC0832" w:rsidRDefault="00AC0832">
      <w:pPr>
        <w:pStyle w:val="Normal6"/>
      </w:pPr>
      <w:r>
        <w:t>•Na Internetu su dostupni i odgovori na  najčešće postavljena pitanja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primarno dostavljenih kvalitetnih podataka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45</w:t>
            </w:r>
          </w:p>
        </w:tc>
        <w:tc>
          <w:tcPr>
            <w:tcW w:w="1300" w:type="dxa"/>
          </w:tcPr>
          <w:p w:rsidR="00AC0832" w:rsidRDefault="00AC0832">
            <w:pPr>
              <w:pStyle w:val="CellColumn"/>
            </w:pPr>
            <w:r>
              <w:t>Agencija</w:t>
            </w:r>
          </w:p>
        </w:tc>
        <w:tc>
          <w:tcPr>
            <w:tcW w:w="1300" w:type="dxa"/>
          </w:tcPr>
          <w:p w:rsidR="00AC0832" w:rsidRDefault="00AC0832">
            <w:pPr>
              <w:pStyle w:val="CellColumn"/>
            </w:pPr>
            <w:r>
              <w:t>70</w:t>
            </w:r>
          </w:p>
        </w:tc>
        <w:tc>
          <w:tcPr>
            <w:tcW w:w="1300" w:type="dxa"/>
          </w:tcPr>
          <w:p w:rsidR="00AC0832" w:rsidRDefault="00AC0832">
            <w:pPr>
              <w:pStyle w:val="CellColumn"/>
            </w:pPr>
            <w:r>
              <w:t>85</w:t>
            </w:r>
          </w:p>
        </w:tc>
      </w:tr>
      <w:tr w:rsidR="00AC0832" w:rsidTr="00BE20ED">
        <w:trPr>
          <w:jc w:val="center"/>
        </w:trPr>
        <w:tc>
          <w:tcPr>
            <w:tcW w:w="1300" w:type="dxa"/>
          </w:tcPr>
          <w:p w:rsidR="00AC0832" w:rsidRDefault="00AC0832">
            <w:pPr>
              <w:pStyle w:val="CellColumn"/>
            </w:pPr>
            <w:r>
              <w:t>Postotak zahtjeva za dodatnom provjerom kvalitete podataka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70</w:t>
            </w:r>
          </w:p>
        </w:tc>
        <w:tc>
          <w:tcPr>
            <w:tcW w:w="1300" w:type="dxa"/>
          </w:tcPr>
          <w:p w:rsidR="00AC0832" w:rsidRDefault="00AC0832">
            <w:pPr>
              <w:pStyle w:val="CellColumn"/>
            </w:pPr>
            <w:r>
              <w:t>Agencija</w:t>
            </w:r>
          </w:p>
        </w:tc>
        <w:tc>
          <w:tcPr>
            <w:tcW w:w="1300" w:type="dxa"/>
          </w:tcPr>
          <w:p w:rsidR="00AC0832" w:rsidRDefault="00AC0832">
            <w:pPr>
              <w:pStyle w:val="CellColumn"/>
            </w:pPr>
            <w:r>
              <w:t>50</w:t>
            </w:r>
          </w:p>
        </w:tc>
        <w:tc>
          <w:tcPr>
            <w:tcW w:w="1300" w:type="dxa"/>
          </w:tcPr>
          <w:p w:rsidR="00AC0832" w:rsidRDefault="00AC0832">
            <w:pPr>
              <w:pStyle w:val="CellColumn"/>
            </w:pPr>
            <w:r>
              <w:t>35</w:t>
            </w:r>
          </w:p>
        </w:tc>
      </w:tr>
      <w:tr w:rsidR="00AC0832" w:rsidTr="00BE20ED">
        <w:trPr>
          <w:jc w:val="center"/>
        </w:trPr>
        <w:tc>
          <w:tcPr>
            <w:tcW w:w="1300" w:type="dxa"/>
          </w:tcPr>
          <w:p w:rsidR="00AC0832" w:rsidRDefault="00AC0832">
            <w:pPr>
              <w:pStyle w:val="CellColumn"/>
            </w:pPr>
            <w:r>
              <w:t>Postotak uputa i odgovora na upite obveznika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70</w:t>
            </w:r>
          </w:p>
        </w:tc>
        <w:tc>
          <w:tcPr>
            <w:tcW w:w="1300" w:type="dxa"/>
          </w:tcPr>
          <w:p w:rsidR="00AC0832" w:rsidRDefault="00AC0832">
            <w:pPr>
              <w:pStyle w:val="CellColumn"/>
            </w:pPr>
            <w:r>
              <w:t>Agencija</w:t>
            </w:r>
          </w:p>
        </w:tc>
        <w:tc>
          <w:tcPr>
            <w:tcW w:w="1300" w:type="dxa"/>
          </w:tcPr>
          <w:p w:rsidR="00AC0832" w:rsidRDefault="00AC0832">
            <w:pPr>
              <w:pStyle w:val="CellColumn"/>
            </w:pPr>
            <w:r>
              <w:t>50</w:t>
            </w:r>
          </w:p>
        </w:tc>
        <w:tc>
          <w:tcPr>
            <w:tcW w:w="1300" w:type="dxa"/>
          </w:tcPr>
          <w:p w:rsidR="00AC0832" w:rsidRDefault="00AC0832">
            <w:pPr>
              <w:pStyle w:val="CellColumn"/>
            </w:pPr>
            <w:r>
              <w:t>35</w:t>
            </w:r>
          </w:p>
        </w:tc>
      </w:tr>
    </w:tbl>
    <w:p w:rsidR="00AC0832" w:rsidRDefault="00AC0832">
      <w:pPr>
        <w:jc w:val="left"/>
      </w:pPr>
    </w:p>
    <w:p w:rsidR="00AC0832" w:rsidRDefault="00AC0832">
      <w:pPr>
        <w:pStyle w:val="Heading7"/>
      </w:pPr>
      <w:r>
        <w:t xml:space="preserve">Cilj 7. Informiranje  i  prikaz  podataka  javnosti </w:t>
      </w:r>
    </w:p>
    <w:p w:rsidR="00AC0832" w:rsidRDefault="00AC0832">
      <w:pPr>
        <w:pStyle w:val="Heading8"/>
        <w:jc w:val="left"/>
      </w:pPr>
      <w:r>
        <w:t>Opis provedbe cilja programa</w:t>
      </w:r>
    </w:p>
    <w:p w:rsidR="00AC0832" w:rsidRDefault="00AC0832">
      <w:pPr>
        <w:pStyle w:val="Normal6"/>
      </w:pPr>
      <w:r>
        <w:t xml:space="preserve">Informiranje i prikaz podataka javnosti znatno je olakšano restrukturiranjem Internet stranice Agencije koje je informacije učinilo dostupnijima. Prepolovljeni broj upita zaprimljenih tijekom 2012. u odnosu na godinu prije dokaz su kako su redizajnirane stranice omogućile krajnjim korisnicima lakše snalaženje i brži put do traženih podataka te nije bilo potrebe za upućivanjem zahtjeva. Također, veći broj građana osobno je zatražilo podatke u Info-centru za građane u sjedištu Agencije. </w:t>
      </w:r>
    </w:p>
    <w:p w:rsidR="00AC0832" w:rsidRDefault="00AC0832">
      <w:pPr>
        <w:pStyle w:val="Normal6"/>
      </w:pPr>
      <w:r>
        <w:t>Publikaciji, koja se temelji isključivo na pokazateljima stanja okoliša, - „Okoliš na dlanu“, koju Agencija za širu javnost izdaje već 9-mu godinu zaredom. Također, u  2012. izrađena je nova publikacija „Odabrani pokazatelji stanja okoliša u RH“. Ciljana publika ove publikacije jesu, prije svega, donosioci odluka, kojima se sažeto, ali jezgrovito, ovom publikacijom daje uvid u cjelokupno stanje pojedine sastavnice okoliša kroz procjenu stanja okoliša (zrak, tlo, voda, more, biološka raznolikost) i sektorskih opterećenja (energetika, poljoprivreda, industrija, turizam, i dr.), ali i putem odabranih pokazatelja stanja okoliša.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objavljenih podataka na Internet stranici Agencije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8500</w:t>
            </w:r>
          </w:p>
        </w:tc>
        <w:tc>
          <w:tcPr>
            <w:tcW w:w="1300" w:type="dxa"/>
          </w:tcPr>
          <w:p w:rsidR="00AC0832" w:rsidRDefault="00AC0832">
            <w:pPr>
              <w:pStyle w:val="CellColumn"/>
            </w:pPr>
            <w:r>
              <w:t>Agencija</w:t>
            </w:r>
          </w:p>
        </w:tc>
        <w:tc>
          <w:tcPr>
            <w:tcW w:w="1300" w:type="dxa"/>
          </w:tcPr>
          <w:p w:rsidR="00AC0832" w:rsidRDefault="00AC0832">
            <w:pPr>
              <w:pStyle w:val="CellColumn"/>
            </w:pPr>
            <w:r>
              <w:t>11000</w:t>
            </w:r>
          </w:p>
        </w:tc>
        <w:tc>
          <w:tcPr>
            <w:tcW w:w="1300" w:type="dxa"/>
          </w:tcPr>
          <w:p w:rsidR="00AC0832" w:rsidRDefault="00AC0832">
            <w:pPr>
              <w:pStyle w:val="CellColumn"/>
            </w:pPr>
            <w:r>
              <w:t>11.000</w:t>
            </w:r>
          </w:p>
        </w:tc>
      </w:tr>
      <w:tr w:rsidR="00AC0832" w:rsidTr="00BE20ED">
        <w:trPr>
          <w:jc w:val="center"/>
        </w:trPr>
        <w:tc>
          <w:tcPr>
            <w:tcW w:w="1300" w:type="dxa"/>
          </w:tcPr>
          <w:p w:rsidR="00AC0832" w:rsidRDefault="00AC0832">
            <w:pPr>
              <w:pStyle w:val="CellColumn"/>
            </w:pPr>
            <w:r>
              <w:t xml:space="preserve">Broj dostavljenih podataka prema zahtjevima </w:t>
            </w:r>
          </w:p>
          <w:p w:rsidR="00AC0832" w:rsidRDefault="00AC0832">
            <w:pPr>
              <w:pStyle w:val="CellColumn"/>
            </w:pPr>
            <w:r>
              <w:t>Ovlaštenika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30</w:t>
            </w:r>
          </w:p>
        </w:tc>
        <w:tc>
          <w:tcPr>
            <w:tcW w:w="1300" w:type="dxa"/>
          </w:tcPr>
          <w:p w:rsidR="00AC0832" w:rsidRDefault="00AC0832">
            <w:pPr>
              <w:pStyle w:val="CellColumn"/>
            </w:pPr>
            <w:r>
              <w:t>Agencija</w:t>
            </w:r>
          </w:p>
        </w:tc>
        <w:tc>
          <w:tcPr>
            <w:tcW w:w="1300" w:type="dxa"/>
          </w:tcPr>
          <w:p w:rsidR="00AC0832" w:rsidRDefault="00AC0832">
            <w:pPr>
              <w:pStyle w:val="CellColumn"/>
            </w:pPr>
            <w:r>
              <w:t>40</w:t>
            </w:r>
          </w:p>
        </w:tc>
        <w:tc>
          <w:tcPr>
            <w:tcW w:w="1300" w:type="dxa"/>
          </w:tcPr>
          <w:p w:rsidR="00AC0832" w:rsidRDefault="00AC0832">
            <w:pPr>
              <w:pStyle w:val="CellColumn"/>
            </w:pPr>
            <w:r>
              <w:t>50</w:t>
            </w:r>
          </w:p>
        </w:tc>
      </w:tr>
      <w:tr w:rsidR="00AC0832" w:rsidTr="00BE20ED">
        <w:trPr>
          <w:jc w:val="center"/>
        </w:trPr>
        <w:tc>
          <w:tcPr>
            <w:tcW w:w="1300" w:type="dxa"/>
          </w:tcPr>
          <w:p w:rsidR="00AC0832" w:rsidRDefault="00AC0832">
            <w:pPr>
              <w:pStyle w:val="CellColumn"/>
            </w:pPr>
            <w:r>
              <w:t>Broj upita zaprimljenih iz šire javnosti</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700</w:t>
            </w:r>
          </w:p>
        </w:tc>
        <w:tc>
          <w:tcPr>
            <w:tcW w:w="1300" w:type="dxa"/>
          </w:tcPr>
          <w:p w:rsidR="00AC0832" w:rsidRDefault="00AC0832">
            <w:pPr>
              <w:pStyle w:val="CellColumn"/>
            </w:pPr>
            <w:r>
              <w:t>Agencija</w:t>
            </w:r>
          </w:p>
        </w:tc>
        <w:tc>
          <w:tcPr>
            <w:tcW w:w="1300" w:type="dxa"/>
          </w:tcPr>
          <w:p w:rsidR="00AC0832" w:rsidRDefault="00AC0832">
            <w:pPr>
              <w:pStyle w:val="CellColumn"/>
            </w:pPr>
            <w:r>
              <w:t>900</w:t>
            </w:r>
          </w:p>
        </w:tc>
        <w:tc>
          <w:tcPr>
            <w:tcW w:w="1300" w:type="dxa"/>
          </w:tcPr>
          <w:p w:rsidR="00AC0832" w:rsidRDefault="00AC0832">
            <w:pPr>
              <w:pStyle w:val="CellColumn"/>
            </w:pPr>
            <w:r>
              <w:t>500</w:t>
            </w:r>
          </w:p>
        </w:tc>
      </w:tr>
    </w:tbl>
    <w:p w:rsidR="00AC0832" w:rsidRDefault="00AC0832">
      <w:pPr>
        <w:jc w:val="left"/>
      </w:pPr>
    </w:p>
    <w:p w:rsidR="00AC0832" w:rsidRDefault="00AC0832">
      <w:pPr>
        <w:pStyle w:val="Heading7"/>
      </w:pPr>
      <w:r>
        <w:t xml:space="preserve">Cilj 8. Jačanje  svijesti  i  uključivanje  javnosti </w:t>
      </w:r>
    </w:p>
    <w:p w:rsidR="00AC0832" w:rsidRDefault="00AC0832">
      <w:pPr>
        <w:pStyle w:val="Heading8"/>
        <w:jc w:val="left"/>
      </w:pPr>
      <w:r>
        <w:t>Opis provedbe cilja programa</w:t>
      </w:r>
    </w:p>
    <w:p w:rsidR="00AC0832" w:rsidRDefault="00AC0832">
      <w:pPr>
        <w:pStyle w:val="Normal6"/>
      </w:pPr>
      <w:r>
        <w:t>Zbog skromnih financijskih sredstava dodijeljenih u 2012. godini tiskano je manje izvješća od planiranih, no s druge strane povećana je prisutnost u javnosti redovitim informiranjima putem medija i akcijama za javnost. Također, Info centar za građane u sklopu sjedišta Agencije (s djelatnim vremenom od ponedjeljka do petka od 11 do 14 sati), u 2012. godini posjetilo je 300-njak građana. Stoga je u konačnici porasla razina podizanja svijesti i uključivanja javnosti.</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9"/>
        <w:gridCol w:w="1171"/>
        <w:gridCol w:w="1300"/>
        <w:gridCol w:w="1300"/>
        <w:gridCol w:w="1300"/>
        <w:gridCol w:w="1300"/>
        <w:gridCol w:w="1300"/>
      </w:tblGrid>
      <w:tr w:rsidR="00AC0832" w:rsidTr="007173C2">
        <w:trPr>
          <w:jc w:val="center"/>
        </w:trPr>
        <w:tc>
          <w:tcPr>
            <w:tcW w:w="1479" w:type="dxa"/>
            <w:shd w:val="clear" w:color="auto" w:fill="B5C0D8"/>
          </w:tcPr>
          <w:p w:rsidR="00AC0832" w:rsidRPr="00BE20ED" w:rsidRDefault="00AC0832">
            <w:pPr>
              <w:rPr>
                <w:sz w:val="20"/>
                <w:lang w:eastAsia="hr-HR"/>
              </w:rPr>
            </w:pPr>
            <w:r w:rsidRPr="00BE20ED">
              <w:rPr>
                <w:sz w:val="20"/>
                <w:lang w:eastAsia="hr-HR"/>
              </w:rPr>
              <w:t>Pokazatelj učinka</w:t>
            </w:r>
          </w:p>
        </w:tc>
        <w:tc>
          <w:tcPr>
            <w:tcW w:w="1171"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7173C2">
        <w:trPr>
          <w:jc w:val="center"/>
        </w:trPr>
        <w:tc>
          <w:tcPr>
            <w:tcW w:w="1479" w:type="dxa"/>
          </w:tcPr>
          <w:p w:rsidR="00AC0832" w:rsidRDefault="00AC0832">
            <w:pPr>
              <w:pStyle w:val="CellColumn"/>
            </w:pPr>
            <w:r>
              <w:t>Broj tiskanih i distribuiranih izvješća i ostalih tiskanih materijala</w:t>
            </w:r>
          </w:p>
        </w:tc>
        <w:tc>
          <w:tcPr>
            <w:tcW w:w="1171"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20</w:t>
            </w:r>
          </w:p>
        </w:tc>
        <w:tc>
          <w:tcPr>
            <w:tcW w:w="1300" w:type="dxa"/>
          </w:tcPr>
          <w:p w:rsidR="00AC0832" w:rsidRDefault="00AC0832">
            <w:pPr>
              <w:pStyle w:val="CellColumn"/>
            </w:pPr>
            <w:r>
              <w:t>Agencija</w:t>
            </w:r>
          </w:p>
        </w:tc>
        <w:tc>
          <w:tcPr>
            <w:tcW w:w="1300" w:type="dxa"/>
          </w:tcPr>
          <w:p w:rsidR="00AC0832" w:rsidRDefault="00AC0832">
            <w:pPr>
              <w:pStyle w:val="CellColumn"/>
            </w:pPr>
            <w:r>
              <w:t>30</w:t>
            </w:r>
          </w:p>
        </w:tc>
        <w:tc>
          <w:tcPr>
            <w:tcW w:w="1300" w:type="dxa"/>
          </w:tcPr>
          <w:p w:rsidR="00AC0832" w:rsidRDefault="00AC0832">
            <w:pPr>
              <w:pStyle w:val="CellColumn"/>
            </w:pPr>
            <w:r>
              <w:t>11</w:t>
            </w:r>
          </w:p>
        </w:tc>
      </w:tr>
      <w:tr w:rsidR="00AC0832" w:rsidTr="007173C2">
        <w:trPr>
          <w:jc w:val="center"/>
        </w:trPr>
        <w:tc>
          <w:tcPr>
            <w:tcW w:w="1479" w:type="dxa"/>
          </w:tcPr>
          <w:p w:rsidR="00AC0832" w:rsidRDefault="00AC0832">
            <w:pPr>
              <w:pStyle w:val="CellColumn"/>
            </w:pPr>
            <w:r>
              <w:t>Broj objavljenih informacija u medijima i sudjelovanja u akcijama za širu javnost</w:t>
            </w:r>
          </w:p>
        </w:tc>
        <w:tc>
          <w:tcPr>
            <w:tcW w:w="1171"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30</w:t>
            </w:r>
          </w:p>
        </w:tc>
        <w:tc>
          <w:tcPr>
            <w:tcW w:w="1300" w:type="dxa"/>
          </w:tcPr>
          <w:p w:rsidR="00AC0832" w:rsidRDefault="00AC0832">
            <w:pPr>
              <w:pStyle w:val="CellColumn"/>
            </w:pPr>
            <w:r>
              <w:t>Agencija</w:t>
            </w:r>
          </w:p>
        </w:tc>
        <w:tc>
          <w:tcPr>
            <w:tcW w:w="1300" w:type="dxa"/>
          </w:tcPr>
          <w:p w:rsidR="00AC0832" w:rsidRDefault="00AC0832">
            <w:pPr>
              <w:pStyle w:val="CellColumn"/>
            </w:pPr>
            <w:r>
              <w:t>50</w:t>
            </w:r>
          </w:p>
        </w:tc>
        <w:tc>
          <w:tcPr>
            <w:tcW w:w="1300" w:type="dxa"/>
          </w:tcPr>
          <w:p w:rsidR="00AC0832" w:rsidRDefault="00AC0832">
            <w:pPr>
              <w:pStyle w:val="CellColumn"/>
            </w:pPr>
            <w:r>
              <w:t>103</w:t>
            </w:r>
          </w:p>
        </w:tc>
      </w:tr>
    </w:tbl>
    <w:p w:rsidR="00AC0832" w:rsidRDefault="00AC0832">
      <w:pPr>
        <w:jc w:val="left"/>
      </w:pPr>
    </w:p>
    <w:p w:rsidR="00AC0832" w:rsidRDefault="00AC0832">
      <w:pPr>
        <w:pStyle w:val="Heading7"/>
      </w:pPr>
      <w:r>
        <w:t xml:space="preserve">Cilj 9. Ispunjavanje obveza   temeljem međunarodnih ugovora i sporazuma kojih je država stranka, te obveza nastalih temeljem  preuzimanja  Europske  pravne  stečevine   </w:t>
      </w:r>
    </w:p>
    <w:p w:rsidR="00AC0832" w:rsidRDefault="00AC0832">
      <w:pPr>
        <w:pStyle w:val="Heading8"/>
        <w:jc w:val="left"/>
      </w:pPr>
      <w:r>
        <w:t>Opis provedbe cilja programa</w:t>
      </w:r>
    </w:p>
    <w:p w:rsidR="00AC0832" w:rsidRDefault="00AC0832">
      <w:pPr>
        <w:pStyle w:val="Normal6"/>
      </w:pPr>
      <w:r>
        <w:t>Agencija je središnje državno tijelo za izvještavanje i koordinaciju izvještavanja o stanju okoliša prema Europskoj komisiji, Europskoj agenciji za okoliš, te međunarodnim konvencijama kojih je Hrvatska stranka.  Za sada, dok još nismo punopravna članica EU izvještavamo prema tzv. osnovnom skupu pokazatelja stanja okoliša i u tom smislu svake godine postoji napredak. No valja napomenuti da za neke pokazatelje u Hrvatskoj uopće nije uspostavljen sustav motrenja, pa tako i ne postoje podaci, te da Agencija, osim u području otpada, nema vlastite podatke nego ovisi o podacima drugih institucija, nadležnih za prikupljanje podataka prema posebnim zakonima, što može predstavljati „usko grlo“ u protoku podataka. Obzirom na činjenice da će se pristupanjem Hrvatske EU broj obveza izvještavanja znatno povećati, prikazana dinamika napretka u izvještavanju kroz iduće godine realno je postavljena tijekom 2012. započeta je izrada protokola za razmjenu podataka, informacija i izvješća kojima će se definirati rokovi i način dostave podataka prema europskim direktivama i prema Agenciji sukladno člancima 37. i 130. Zakona o zaštiti okoliša.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Indeks izvršenih obveza u odnosu na ukupni broj obveza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index</w:t>
            </w:r>
          </w:p>
        </w:tc>
        <w:tc>
          <w:tcPr>
            <w:tcW w:w="1300" w:type="dxa"/>
          </w:tcPr>
          <w:p w:rsidR="00AC0832" w:rsidRDefault="00AC0832">
            <w:pPr>
              <w:pStyle w:val="CellColumn"/>
            </w:pPr>
            <w:r>
              <w:t>100</w:t>
            </w:r>
          </w:p>
        </w:tc>
        <w:tc>
          <w:tcPr>
            <w:tcW w:w="1300" w:type="dxa"/>
          </w:tcPr>
          <w:p w:rsidR="00AC0832" w:rsidRDefault="00AC0832">
            <w:pPr>
              <w:pStyle w:val="CellColumn"/>
            </w:pPr>
            <w:r>
              <w:t>Agencija</w:t>
            </w:r>
          </w:p>
        </w:tc>
        <w:tc>
          <w:tcPr>
            <w:tcW w:w="1300" w:type="dxa"/>
          </w:tcPr>
          <w:p w:rsidR="00AC0832" w:rsidRDefault="00AC0832">
            <w:pPr>
              <w:pStyle w:val="CellColumn"/>
            </w:pPr>
            <w:r>
              <w:t>75</w:t>
            </w:r>
          </w:p>
        </w:tc>
        <w:tc>
          <w:tcPr>
            <w:tcW w:w="1300" w:type="dxa"/>
          </w:tcPr>
          <w:p w:rsidR="00AC0832" w:rsidRDefault="00AC0832">
            <w:pPr>
              <w:pStyle w:val="CellColumn"/>
            </w:pPr>
            <w:r>
              <w:t>75</w:t>
            </w:r>
          </w:p>
        </w:tc>
      </w:tr>
    </w:tbl>
    <w:p w:rsidR="00AC0832" w:rsidRDefault="00AC0832">
      <w:pPr>
        <w:jc w:val="left"/>
      </w:pPr>
    </w:p>
    <w:p w:rsidR="00AC0832" w:rsidRDefault="00AC0832">
      <w:pPr>
        <w:pStyle w:val="Heading7"/>
      </w:pPr>
      <w:r>
        <w:t xml:space="preserve">Cilj 10. Suradnja sa srodnim međunarodnim institucijama i organizacijama  u  kontekstu  globalnih napora usmjerenih na zaštitu okoliša i održivi razvitak   </w:t>
      </w:r>
    </w:p>
    <w:p w:rsidR="00AC0832" w:rsidRDefault="00AC0832">
      <w:pPr>
        <w:pStyle w:val="Heading8"/>
        <w:jc w:val="left"/>
      </w:pPr>
      <w:r>
        <w:t>Opis provedbe cilja programa</w:t>
      </w:r>
    </w:p>
    <w:p w:rsidR="00AC0832" w:rsidRDefault="00AC0832">
      <w:pPr>
        <w:pStyle w:val="Normal6"/>
      </w:pPr>
      <w:r>
        <w:t>Agencija na razne načine, kvantitativno i kvalitativno, unapređuje suradnja sa srodnim međunarodnim institucijama i organizacijama. Prvenstveno putem provedbe projekata, bilo da smo njihovi korisnici ili izvođači. Nadalje, putem sudjelovanja u radu Europske agencije za okoliš i drugih europskih i međunarodnih institucija, na međunarodnim skupovima i drugim događanjima vezanim uz teme zaštite okoliša i održivog razvitka. Navedeni oblici suradnje se nastoje  kontinuirano proširivati, no pri prikazu dinamike tih aktivnosti u gornjoj tablici ipak se vodilo računa o restriktivnom proračunu, osobito na stavkama službenih putovanja i međunarodne suradnje</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Obim     i kvaliteta suradnje u odnosu na prethodne godine ili vremenska razdoblja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50</w:t>
            </w:r>
          </w:p>
        </w:tc>
        <w:tc>
          <w:tcPr>
            <w:tcW w:w="1300" w:type="dxa"/>
          </w:tcPr>
          <w:p w:rsidR="00AC0832" w:rsidRDefault="00AC0832">
            <w:pPr>
              <w:pStyle w:val="CellColumn"/>
            </w:pPr>
            <w:r>
              <w:t>Agencija</w:t>
            </w:r>
          </w:p>
        </w:tc>
        <w:tc>
          <w:tcPr>
            <w:tcW w:w="1300" w:type="dxa"/>
          </w:tcPr>
          <w:p w:rsidR="00AC0832" w:rsidRDefault="00AC0832">
            <w:pPr>
              <w:pStyle w:val="CellColumn"/>
            </w:pPr>
            <w:r>
              <w:t>60</w:t>
            </w:r>
          </w:p>
        </w:tc>
        <w:tc>
          <w:tcPr>
            <w:tcW w:w="1300" w:type="dxa"/>
          </w:tcPr>
          <w:p w:rsidR="00AC0832" w:rsidRDefault="00AC0832">
            <w:pPr>
              <w:pStyle w:val="CellColumn"/>
            </w:pPr>
            <w:r>
              <w:t>60</w:t>
            </w:r>
          </w:p>
        </w:tc>
      </w:tr>
    </w:tbl>
    <w:p w:rsidR="00AC0832" w:rsidRDefault="00AC0832">
      <w:pPr>
        <w:jc w:val="left"/>
      </w:pPr>
    </w:p>
    <w:p w:rsidR="00AC0832" w:rsidRDefault="00AC0832">
      <w:pPr>
        <w:pStyle w:val="Heading7"/>
      </w:pPr>
      <w:r>
        <w:t xml:space="preserve">Cilj 11. Sudjelovanje  u  radu  Europske  agencije  za  zaštitu  okoliša </w:t>
      </w:r>
    </w:p>
    <w:p w:rsidR="00AC0832" w:rsidRDefault="00AC0832">
      <w:pPr>
        <w:pStyle w:val="Heading8"/>
        <w:jc w:val="left"/>
      </w:pPr>
      <w:r>
        <w:t>Opis provedbe cilja programa</w:t>
      </w:r>
    </w:p>
    <w:p w:rsidR="00AC0832" w:rsidRDefault="00AC0832">
      <w:pPr>
        <w:pStyle w:val="Normal6"/>
      </w:pPr>
      <w:r>
        <w:t>Kao i kod prethodnog cilja Agencija, putem svojih nominiranih predstavnika sudjeluje na stručnim radionicama, interesnim i radnim grupama, plenarnim sastancima nacionalnih žarišnih točaka i direktora(ravnatelja) u radu Europske agencije za okoliš – za sada u statusu suradničke organizacije. No, priključenjem Hrvatske EU i Agencija će postati punopravna članica Europske agencije za okoliš, te će se razina sudjelovanja kontinuirano povećavati. U 2012. godini Agencija je surađivala s EEA i drugim državama članicama na projektima SENSE – 2 (Shared European National State of the Environment) I FRESH (Foresighted Reasoning on Environmental Stressors and Health)….</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Indeks aktivnosti u odnosu na prethodno razdoblje (godinu)</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index</w:t>
            </w:r>
          </w:p>
        </w:tc>
        <w:tc>
          <w:tcPr>
            <w:tcW w:w="1300" w:type="dxa"/>
          </w:tcPr>
          <w:p w:rsidR="00AC0832" w:rsidRDefault="00AC0832">
            <w:pPr>
              <w:pStyle w:val="CellColumn"/>
            </w:pPr>
            <w:r>
              <w:t>100</w:t>
            </w:r>
          </w:p>
        </w:tc>
        <w:tc>
          <w:tcPr>
            <w:tcW w:w="1300" w:type="dxa"/>
          </w:tcPr>
          <w:p w:rsidR="00AC0832" w:rsidRDefault="00AC0832">
            <w:pPr>
              <w:pStyle w:val="CellColumn"/>
            </w:pPr>
            <w:r>
              <w:t>Agencija</w:t>
            </w:r>
          </w:p>
        </w:tc>
        <w:tc>
          <w:tcPr>
            <w:tcW w:w="1300" w:type="dxa"/>
          </w:tcPr>
          <w:p w:rsidR="00AC0832" w:rsidRDefault="00AC0832">
            <w:pPr>
              <w:pStyle w:val="CellColumn"/>
            </w:pPr>
            <w:r>
              <w:t>150</w:t>
            </w:r>
          </w:p>
        </w:tc>
        <w:tc>
          <w:tcPr>
            <w:tcW w:w="1300" w:type="dxa"/>
          </w:tcPr>
          <w:p w:rsidR="00AC0832" w:rsidRDefault="00AC0832">
            <w:pPr>
              <w:pStyle w:val="CellColumn"/>
            </w:pPr>
            <w:r>
              <w:t>165</w:t>
            </w:r>
          </w:p>
        </w:tc>
      </w:tr>
    </w:tbl>
    <w:p w:rsidR="00AC0832" w:rsidRDefault="00AC0832">
      <w:pPr>
        <w:jc w:val="left"/>
      </w:pPr>
    </w:p>
    <w:p w:rsidR="00AC0832" w:rsidRDefault="00AC0832">
      <w:pPr>
        <w:pStyle w:val="Heading6"/>
      </w:pPr>
      <w:r>
        <w:t>A730007 INFORMACIJSKI SUSTAV ZAŠTITE OKOLIŠA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A730007-INFORMACIJSKI SUSTAV ZAŠTITE OKOLIŠA</w:t>
            </w:r>
          </w:p>
        </w:tc>
        <w:tc>
          <w:tcPr>
            <w:tcW w:w="2322" w:type="dxa"/>
          </w:tcPr>
          <w:p w:rsidR="00AC0832" w:rsidRDefault="00AC0832">
            <w:pPr>
              <w:pStyle w:val="CellColumn"/>
            </w:pPr>
            <w:r>
              <w:t>2.735.728</w:t>
            </w:r>
          </w:p>
        </w:tc>
        <w:tc>
          <w:tcPr>
            <w:tcW w:w="2322" w:type="dxa"/>
          </w:tcPr>
          <w:p w:rsidR="00AC0832" w:rsidRDefault="00AC0832">
            <w:pPr>
              <w:pStyle w:val="CellColumn"/>
            </w:pPr>
            <w:r>
              <w:t>2.649.566</w:t>
            </w:r>
          </w:p>
        </w:tc>
        <w:tc>
          <w:tcPr>
            <w:tcW w:w="2322" w:type="dxa"/>
          </w:tcPr>
          <w:p w:rsidR="00AC0832" w:rsidRDefault="00AC0832">
            <w:pPr>
              <w:pStyle w:val="CellColumn"/>
            </w:pPr>
            <w:r>
              <w:t>96,9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Ostvarenje svih planiranih zadataka ove aktivnosti u 2012.godini izvršeno je gotovo u potpunosti. U 2013. godini za realizaciju ove aktivnosti iz Državnog proračuna dobiveno je 944.000,00 kn, što je znatno manje u odnosu na 2012.godinu kada su sredstva za ovu aktivnost iznosila 2.735.728,00 kn. </w:t>
      </w:r>
    </w:p>
    <w:p w:rsidR="00AC0832" w:rsidRDefault="00AC0832">
      <w:pPr>
        <w:pStyle w:val="Normal6"/>
      </w:pPr>
      <w:r>
        <w:t xml:space="preserve"> </w:t>
      </w:r>
    </w:p>
    <w:p w:rsidR="00AC0832" w:rsidRDefault="00AC0832">
      <w:pPr>
        <w:pStyle w:val="Normal6"/>
      </w:pPr>
      <w:r>
        <w:t>Smanjenja sredstava u 2013.godini za potrebe Informacijskog sustava zaštite okoliša u slučaju da se ne osiguraju drugi izvori financiranja mogu u konačnici dovesti da se određeni planirani projekti neće moći provesti što može dovesti do neispunjavanja dijela obaveze Agencije, a samim time i Države.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Redoviti rad sa jako malim brojem kritičnih incidenata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80</w:t>
            </w:r>
          </w:p>
        </w:tc>
        <w:tc>
          <w:tcPr>
            <w:tcW w:w="1300" w:type="dxa"/>
          </w:tcPr>
          <w:p w:rsidR="00AC0832" w:rsidRDefault="00AC0832">
            <w:pPr>
              <w:pStyle w:val="CellColumn"/>
            </w:pPr>
            <w:r>
              <w:t>Agencija</w:t>
            </w:r>
          </w:p>
        </w:tc>
        <w:tc>
          <w:tcPr>
            <w:tcW w:w="1300" w:type="dxa"/>
          </w:tcPr>
          <w:p w:rsidR="00AC0832" w:rsidRDefault="00AC0832">
            <w:pPr>
              <w:pStyle w:val="CellColumn"/>
            </w:pPr>
            <w:r>
              <w:t>90</w:t>
            </w:r>
          </w:p>
        </w:tc>
        <w:tc>
          <w:tcPr>
            <w:tcW w:w="1300" w:type="dxa"/>
          </w:tcPr>
          <w:p w:rsidR="00AC0832" w:rsidRDefault="00AC0832">
            <w:pPr>
              <w:pStyle w:val="CellColumn"/>
            </w:pPr>
            <w:r>
              <w:t>85</w:t>
            </w:r>
          </w:p>
        </w:tc>
      </w:tr>
    </w:tbl>
    <w:p w:rsidR="00AC0832" w:rsidRDefault="00AC0832">
      <w:pPr>
        <w:jc w:val="left"/>
      </w:pPr>
    </w:p>
    <w:p w:rsidR="00AC0832" w:rsidRDefault="00AC0832">
      <w:pPr>
        <w:pStyle w:val="Heading6"/>
      </w:pPr>
      <w:r>
        <w:t>A730012 ADMINISTRACIJA I UPRAVLJANJE AGENCIJOM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A730012-ADMINISTRACIJA I UPRAVLJANJE AGENCIJOM</w:t>
            </w:r>
          </w:p>
        </w:tc>
        <w:tc>
          <w:tcPr>
            <w:tcW w:w="2322" w:type="dxa"/>
          </w:tcPr>
          <w:p w:rsidR="00AC0832" w:rsidRDefault="00AC0832">
            <w:pPr>
              <w:pStyle w:val="CellColumn"/>
            </w:pPr>
            <w:r>
              <w:t>10.423.795</w:t>
            </w:r>
          </w:p>
        </w:tc>
        <w:tc>
          <w:tcPr>
            <w:tcW w:w="2322" w:type="dxa"/>
          </w:tcPr>
          <w:p w:rsidR="00AC0832" w:rsidRDefault="00AC0832">
            <w:pPr>
              <w:pStyle w:val="CellColumn"/>
            </w:pPr>
            <w:r>
              <w:t>9.877.958</w:t>
            </w:r>
          </w:p>
        </w:tc>
        <w:tc>
          <w:tcPr>
            <w:tcW w:w="2322" w:type="dxa"/>
          </w:tcPr>
          <w:p w:rsidR="00AC0832" w:rsidRDefault="00AC0832">
            <w:pPr>
              <w:pStyle w:val="CellColumn"/>
            </w:pPr>
            <w:r>
              <w:t>94,8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Kroz ovu aktivnost Agencija, na zakonski utemeljen način, provodi realizaciju Plana rada Agencije radi ostvarenja svih svojih obaveza prema uposlenim djelatnicima uključujući isplate osobnih dohodaka i doprinosa zajedno sa svim materijalnim troškovima koji prate nesmetan rad djelatnika radi ostvarenja svih ciljeva i zadataka Agencije. </w:t>
      </w:r>
    </w:p>
    <w:p w:rsidR="00AC0832" w:rsidRDefault="00AC0832">
      <w:pPr>
        <w:pStyle w:val="Normal6"/>
      </w:pPr>
      <w:r>
        <w:t xml:space="preserve">Početno odobrena sredstva za 2012. godinu – 9.600.795 (NN 24 / 2012) bila su nedovoljna u dijelu plaća, ostalih rashoda za zaposlene, doprinosa za plaće, naknade troškova zaposlenima i rashodima za materijal i energiju što je odmah primijećeno resornom Ministarstvu. </w:t>
      </w:r>
    </w:p>
    <w:p w:rsidR="00AC0832" w:rsidRDefault="00AC0832">
      <w:pPr>
        <w:pStyle w:val="Normal6"/>
      </w:pPr>
      <w:r>
        <w:t xml:space="preserve">Preraspodjelom u srpnju, osigurana su dovoljna sredstva za isplatu regresa uposlenicima – uvećanje rashoda 3121 od 23.885 kn; II preraspodjelom, NN 132 / 30.11.2012., osigurana su sredstva za naprijed navedene potrebe (povećanje od 1.158.000), uz izvršenje umanjenja na grupama rashoda 323, 324, 329, za ukupno 335.000. </w:t>
      </w:r>
    </w:p>
    <w:p w:rsidR="00AC0832" w:rsidRDefault="00AC0832">
      <w:pPr>
        <w:pStyle w:val="Normal6"/>
      </w:pPr>
      <w:r>
        <w:t xml:space="preserve">Sveukupno je povećanje, II Preraspodjelom u ovoj Aktivnosti - A730012, bilo  823.000 kn.   </w:t>
      </w:r>
    </w:p>
    <w:p w:rsidR="00AC0832" w:rsidRDefault="00AC0832">
      <w:pPr>
        <w:pStyle w:val="Normal6"/>
      </w:pPr>
      <w:r>
        <w:t xml:space="preserve">Osnovni razlog nerazmjera prvotno odobrenih sredstava za zaposlene i potreba naknadnog povećanja bilo je neprihvaćanje realiteta broja uposlenih u Agenciji na početku 2012., koji je tijekom II polovine 2011.,  porastao za 3 čovjeka (sa 56 na 59 uposlenih) a u prva dva kvartala 2012. za još dva djelatnika. </w:t>
      </w:r>
    </w:p>
    <w:p w:rsidR="00AC0832" w:rsidRDefault="00AC0832">
      <w:pPr>
        <w:pStyle w:val="Normal6"/>
      </w:pPr>
      <w:r>
        <w:t xml:space="preserve">Predviđeno upošljavanje još dva djelatnika tijekom druge polovine 2012.,  uz obaveze preuzete prema smijenjenom Ravnatelju bili su osnova zahtijevanog i odobrenog povećanja Proračuna po ovoj Aktivnosti, realiziranog u studenom 2012. </w:t>
      </w:r>
    </w:p>
    <w:p w:rsidR="00AC0832" w:rsidRDefault="00AC0832">
      <w:pPr>
        <w:pStyle w:val="Normal6"/>
      </w:pPr>
      <w:r>
        <w:t xml:space="preserve">Promatrajući i uspoređujući ostale rashode kroz realizaciju 2011. / 2012., jasno se mogu uočiti bitna smanjenja na  plaćama za prekovremeni rad, ostalim rashodima za zaposlene, doprinosima za zdravstveno osiguranje, službenim putovanjima, stručnom osposobljavanju djelatnika, sitni inventar i auto gume, usluge tekućeg i investicijskog održavanja, zdravstvene usluge, naknade za rad članova Upravnog vijeća. </w:t>
      </w:r>
    </w:p>
    <w:p w:rsidR="00AC0832" w:rsidRDefault="00AC0832">
      <w:pPr>
        <w:pStyle w:val="Normal6"/>
      </w:pPr>
      <w:r>
        <w:t>Značajnija povećanja rashoda ove aktivnosti desila su se na rashodima za zaposlene (objašnjeno naprijed), naknadama za prijevoz (naprijed objašnjeno), uredski materijal (vezano na veći broj uposlenika), energija, komunalne usluge (promjena knjiženja vrste rashoda).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Realizacija</w:t>
            </w:r>
            <w:r>
              <w:tab/>
              <w:t>plana rashoda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98</w:t>
            </w:r>
          </w:p>
        </w:tc>
        <w:tc>
          <w:tcPr>
            <w:tcW w:w="1300" w:type="dxa"/>
          </w:tcPr>
          <w:p w:rsidR="00AC0832" w:rsidRDefault="00AC0832">
            <w:pPr>
              <w:pStyle w:val="CellColumn"/>
            </w:pPr>
            <w:r>
              <w:t>Agencija</w:t>
            </w:r>
          </w:p>
        </w:tc>
        <w:tc>
          <w:tcPr>
            <w:tcW w:w="1300" w:type="dxa"/>
          </w:tcPr>
          <w:p w:rsidR="00AC0832" w:rsidRDefault="00AC0832">
            <w:pPr>
              <w:pStyle w:val="CellColumn"/>
            </w:pPr>
            <w:r>
              <w:t>98</w:t>
            </w:r>
          </w:p>
        </w:tc>
        <w:tc>
          <w:tcPr>
            <w:tcW w:w="1300" w:type="dxa"/>
          </w:tcPr>
          <w:p w:rsidR="00AC0832" w:rsidRDefault="00AC0832">
            <w:pPr>
              <w:pStyle w:val="CellColumn"/>
            </w:pPr>
            <w:r>
              <w:t>95</w:t>
            </w:r>
          </w:p>
        </w:tc>
      </w:tr>
    </w:tbl>
    <w:p w:rsidR="00AC0832" w:rsidRDefault="00AC0832">
      <w:pPr>
        <w:jc w:val="left"/>
      </w:pPr>
    </w:p>
    <w:p w:rsidR="00AC0832" w:rsidRDefault="00AC0832">
      <w:pPr>
        <w:pStyle w:val="Heading6"/>
      </w:pPr>
      <w:r>
        <w:t>A730029 IZVJEŠĆIVANJE O STANJU OKOLIŠA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A730029-IZVJEŠĆIVANJE O STANJU OKOLIŠA</w:t>
            </w:r>
          </w:p>
        </w:tc>
        <w:tc>
          <w:tcPr>
            <w:tcW w:w="2322" w:type="dxa"/>
          </w:tcPr>
          <w:p w:rsidR="00AC0832" w:rsidRDefault="00AC0832">
            <w:pPr>
              <w:pStyle w:val="CellColumn"/>
            </w:pPr>
            <w:r>
              <w:t>1.950.822</w:t>
            </w:r>
          </w:p>
        </w:tc>
        <w:tc>
          <w:tcPr>
            <w:tcW w:w="2322" w:type="dxa"/>
          </w:tcPr>
          <w:p w:rsidR="00AC0832" w:rsidRDefault="00AC0832">
            <w:pPr>
              <w:pStyle w:val="CellColumn"/>
            </w:pPr>
            <w:r>
              <w:t>1.884.024</w:t>
            </w:r>
          </w:p>
        </w:tc>
        <w:tc>
          <w:tcPr>
            <w:tcW w:w="2322" w:type="dxa"/>
          </w:tcPr>
          <w:p w:rsidR="00AC0832" w:rsidRDefault="00AC0832">
            <w:pPr>
              <w:pStyle w:val="CellColumn"/>
            </w:pPr>
            <w:r>
              <w:t>96,6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Raspoloživa sredstva uz raspoložive ljudske resurse dostatna su za obavljanje dijela osnovnih propisanih aktivnosti bez mogućnosti unapređenja kvalitete podataka i bez mogućnosti realiziranja dodatnih potrebnih razvojnih projekata. Ovo smanjenje, bez osiguranja alternativnih izvora financiranja (EU programi i sl.) u konačnici može dovesti do neispunjenja dijela obaveza Države primarno vezano uz izvješćivanje prema međunarodnim ugovorima. Nalazi revizorskih tijela (npr. UNFCCC-a) o kvaliteti i cjelovitosti podataka upozoravaju na nužnost poboljšanja njihove kvalitete te određivanje nacionalnih faktora emisija pojedinih tvari, za što u proračunu nisu osigurana sredstva.  </w:t>
      </w:r>
    </w:p>
    <w:p w:rsidR="00AC0832" w:rsidRDefault="00AC0832">
      <w:pPr>
        <w:pStyle w:val="Normal6"/>
      </w:pPr>
      <w:r>
        <w:t xml:space="preserve">Kroz ovu Aktivnost, a sukladno Strategiji održivog razvitka RH (NN 30/09) te Nacionalnom planu djelovanja za okoliš (NN 46/02) Agencija izvršava zadatke vezane prikupljanje, obradu i procjenu podataka i informacija te izradu izvješća sukladno krovnom Zakonu o zaštiti okoliša (NN 110/07) te ostalim zakonskim i podzakonskim aktima koji reguliraju politiku zaštite okoliša u pojedinom tematskom području tj. sastavnici okoliša (npr. zrak), kao u području određenih sektorskih opterećenja (npr. otpad, emisije u zrak, vode, more, tlo). S obzirom da se jača međusektorska suradnja, u ovaj dio spada i suradnja s drugim resornim ministarstvima, javnim te javno-znanstvenim institucijama. U sklopu ove aktivnosti Agencija izrađuje i/ili koordinira izradu i/ili slanje  izvješća prema međunarodnim konvencijama i protokolima (Protokol o dalekosežnom prekograničnom prijenosu onečišćujućih tvari zrakom-LRTAP, Konvencija UN o promjeni klime-UNFCCC i pripadajući Protokol iz Kyota) koji zahtijevaju snažno sektorsko  usmjerenje  i   stručnost,  zbog  čega  je   i   nacionalno  zakonodavstvo predvidjelo obvezu sklapanja višegodišnjih ugovora kao obvezu Agenciji za zaštitu okoliša (izrada nacionalnog izvješća prema UNFCCC-veza Uredba o emisijama stakleničkih plinova, NN01/07).  </w:t>
      </w:r>
    </w:p>
    <w:p w:rsidR="00AC0832" w:rsidRDefault="00AC0832">
      <w:pPr>
        <w:pStyle w:val="Normal6"/>
      </w:pPr>
      <w:r>
        <w:t xml:space="preserve">Osnovna svrha ove aktivnosti usmjerena je na provedbu Nacionalnog izvješćivanja o stanju  okoliša, kako na razini države, tako i prema Europskoj Komisiji i njenim tijelima te međunarodnim tijelima konvencija.  Stoga, ova  aktivnost  obuhvaća  prikupljanje,  objedinjavanje  i  obradu podataka sa svrhom ispunjenja obveza izrade i slanja (koordiniranja) izvješća o stanju pojedinih sastavnica okoliša te utjecaja pritisaka, u skladu sa nacionalnim i međunarodnim propisima i ugovorima, te Izvješća o stanju okoliša u Republici Hrvatskoj koje se izrađuje svake četiri godine i podnosi Vladi RH i Saboru RH.. Aktivnost se odvija većim dijelom kroz suradnju sa institucijama i tijelima nositeljima pojedinih setova podataka - potencijalnim referentnim centrima Agencije sukladno čl. 123. Zakona o zaštiti okoliša (NN 110/07). </w:t>
      </w:r>
    </w:p>
    <w:p w:rsidR="00AC0832" w:rsidRDefault="00AC0832">
      <w:pPr>
        <w:pStyle w:val="Normal6"/>
      </w:pPr>
      <w:r>
        <w:t xml:space="preserve">Vezano uz ovu Aktivnost, Strategijom Vladinih programa za razdoblje 2010.-2012. (Opći cilj 12), definirani su ciljevi poboljšanja kvalitete informacija dobivenih na temelju podataka motrenja te kroz analize i prognoze stanja atmosfere, voda, tla i šuma, te pojačano provođenje i unapređenje sustava praćenja sastavnica okoliša. Strategija ističe kako je praćenje relevantnih podataka preduvjet za unapređenje nadzora provedbe propisa i propisanih mjera, što je i u skladu sa Zakonom o zaštiti okoliša (NN 110/07, čl.37.) uvjet za osiguranje i praćenje provedbe politike zaštite okoliša i održivog razvoja Republike Hrvatske. </w:t>
      </w:r>
    </w:p>
    <w:p w:rsidR="00AC0832" w:rsidRDefault="00AC0832">
      <w:pPr>
        <w:pStyle w:val="Normal6"/>
      </w:pPr>
      <w:r>
        <w:t xml:space="preserve">Ova aktivnost isto tako obuhvaća kontinuirani prikaz i dostavu podataka javnosti sa svrhom ispunjenja obveza objave podataka, informacija i procjena te njihove javne dostupnosti, u skladu s nacionalnim i međunarodnim propisima i ugovorima. </w:t>
      </w:r>
    </w:p>
    <w:p w:rsidR="00AC0832" w:rsidRDefault="00AC0832">
      <w:pPr>
        <w:pStyle w:val="Normal6"/>
      </w:pPr>
      <w:r>
        <w:t xml:space="preserve">Zbog jednostavnosti i preglednosti mnoštvo prikupljenih podataka važno je pretvoriti u razumljive informacije, kako za javnost, tako i za one koji odlučuju o politici zaštite okoliša,  te  iste  informacije  javno  objaviti,  što  je  jedan  od  temeljnih  zadataka Agencije. </w:t>
      </w:r>
    </w:p>
    <w:p w:rsidR="00AC0832" w:rsidRDefault="00AC0832">
      <w:pPr>
        <w:pStyle w:val="Normal6"/>
      </w:pPr>
      <w:r>
        <w:t>Također određena izvješća objavljuju se na engleskom jeziku za potrebe predstavljanja u međunarodnome okruženju, Europskoj komisiji, Europskoj agenciji za okoliš ili u sklopu međunarodnih projekata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prikupljenih podataka propisanih obvezama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55</w:t>
            </w:r>
          </w:p>
        </w:tc>
        <w:tc>
          <w:tcPr>
            <w:tcW w:w="1300" w:type="dxa"/>
          </w:tcPr>
          <w:p w:rsidR="00AC0832" w:rsidRDefault="00AC0832">
            <w:pPr>
              <w:pStyle w:val="CellColumn"/>
            </w:pPr>
            <w:r>
              <w:t>Agencija</w:t>
            </w:r>
          </w:p>
        </w:tc>
        <w:tc>
          <w:tcPr>
            <w:tcW w:w="1300" w:type="dxa"/>
          </w:tcPr>
          <w:p w:rsidR="00AC0832" w:rsidRDefault="00AC0832">
            <w:pPr>
              <w:pStyle w:val="CellColumn"/>
            </w:pPr>
            <w:r>
              <w:t>75</w:t>
            </w:r>
          </w:p>
        </w:tc>
        <w:tc>
          <w:tcPr>
            <w:tcW w:w="1300" w:type="dxa"/>
          </w:tcPr>
          <w:p w:rsidR="00AC0832" w:rsidRDefault="00AC0832">
            <w:pPr>
              <w:pStyle w:val="CellColumn"/>
            </w:pPr>
            <w:r>
              <w:t>75</w:t>
            </w:r>
          </w:p>
        </w:tc>
      </w:tr>
    </w:tbl>
    <w:p w:rsidR="00AC0832" w:rsidRDefault="00AC0832">
      <w:pPr>
        <w:jc w:val="left"/>
      </w:pPr>
    </w:p>
    <w:p w:rsidR="00AC0832" w:rsidRDefault="00AC0832">
      <w:pPr>
        <w:pStyle w:val="Heading6"/>
      </w:pPr>
    </w:p>
    <w:p w:rsidR="00AC0832" w:rsidRDefault="00AC0832">
      <w:pPr>
        <w:pStyle w:val="Heading6"/>
      </w:pPr>
    </w:p>
    <w:p w:rsidR="00AC0832" w:rsidRDefault="00AC0832">
      <w:pPr>
        <w:pStyle w:val="Heading6"/>
      </w:pPr>
      <w:r>
        <w:t>K730008 INFORMATIZACIJA AGENCIJE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8"/>
        <w:gridCol w:w="1116"/>
        <w:gridCol w:w="2322"/>
        <w:gridCol w:w="2322"/>
      </w:tblGrid>
      <w:tr w:rsidR="00AC0832" w:rsidTr="007173C2">
        <w:trPr>
          <w:jc w:val="center"/>
        </w:trPr>
        <w:tc>
          <w:tcPr>
            <w:tcW w:w="3528" w:type="dxa"/>
            <w:shd w:val="clear" w:color="auto" w:fill="B5C0D8"/>
          </w:tcPr>
          <w:p w:rsidR="00AC0832" w:rsidRDefault="00AC0832">
            <w:pPr>
              <w:pStyle w:val="CellHeader"/>
            </w:pPr>
            <w:r>
              <w:t>Naziv aktivnosti</w:t>
            </w:r>
          </w:p>
        </w:tc>
        <w:tc>
          <w:tcPr>
            <w:tcW w:w="1116"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7173C2">
        <w:trPr>
          <w:jc w:val="center"/>
        </w:trPr>
        <w:tc>
          <w:tcPr>
            <w:tcW w:w="3528" w:type="dxa"/>
          </w:tcPr>
          <w:p w:rsidR="00AC0832" w:rsidRDefault="00AC0832">
            <w:pPr>
              <w:pStyle w:val="CellColumn"/>
            </w:pPr>
            <w:r>
              <w:t>K730008-INFORMATIZACIJA AGENCIJE</w:t>
            </w:r>
          </w:p>
        </w:tc>
        <w:tc>
          <w:tcPr>
            <w:tcW w:w="1116" w:type="dxa"/>
          </w:tcPr>
          <w:p w:rsidR="00AC0832" w:rsidRDefault="00AC0832">
            <w:pPr>
              <w:pStyle w:val="CellColumn"/>
            </w:pPr>
            <w:r>
              <w:t>1.419.800</w:t>
            </w:r>
          </w:p>
        </w:tc>
        <w:tc>
          <w:tcPr>
            <w:tcW w:w="2322" w:type="dxa"/>
          </w:tcPr>
          <w:p w:rsidR="00AC0832" w:rsidRDefault="00AC0832">
            <w:pPr>
              <w:pStyle w:val="CellColumn"/>
            </w:pPr>
            <w:r>
              <w:t>1.329.833</w:t>
            </w:r>
          </w:p>
        </w:tc>
        <w:tc>
          <w:tcPr>
            <w:tcW w:w="2322" w:type="dxa"/>
          </w:tcPr>
          <w:p w:rsidR="00AC0832" w:rsidRDefault="00AC0832">
            <w:pPr>
              <w:pStyle w:val="CellColumn"/>
            </w:pPr>
            <w:r>
              <w:t>93,7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Ovom se Aktivnošću postiže kontinuirani rad sustava redovitim obnavljanjem licenci redovitim održavanjem IT i ostale infrastrukture Agencije. </w:t>
      </w:r>
    </w:p>
    <w:p w:rsidR="00AC0832" w:rsidRDefault="00AC0832">
      <w:pPr>
        <w:pStyle w:val="Normal6"/>
      </w:pPr>
      <w:r>
        <w:t xml:space="preserve"> </w:t>
      </w:r>
    </w:p>
    <w:p w:rsidR="00AC0832" w:rsidRDefault="00AC0832">
      <w:pPr>
        <w:pStyle w:val="Normal6"/>
      </w:pPr>
      <w:r>
        <w:t xml:space="preserve">Održavanje poslovnog prostora i opremanja istoga namještajem i ostalom neophodnom  opremom,  osiguranje  moderne  komunikacije  interno  i  eksterno, osnovne su aktivnosti u ostvarenju ovog cilja. </w:t>
      </w:r>
    </w:p>
    <w:p w:rsidR="00AC0832" w:rsidRDefault="00AC0832">
      <w:pPr>
        <w:pStyle w:val="Normal6"/>
      </w:pPr>
      <w:r>
        <w:t xml:space="preserve"> </w:t>
      </w:r>
    </w:p>
    <w:p w:rsidR="00AC0832" w:rsidRDefault="00AC0832">
      <w:pPr>
        <w:pStyle w:val="Normal6"/>
      </w:pPr>
      <w:r>
        <w:t xml:space="preserve">U proračunskom razdoblju potrebno je osigurati licence potrebne za </w:t>
      </w:r>
    </w:p>
    <w:p w:rsidR="00AC0832" w:rsidRDefault="00AC0832">
      <w:pPr>
        <w:pStyle w:val="Normal6"/>
      </w:pPr>
      <w:r>
        <w:t xml:space="preserve"> </w:t>
      </w:r>
    </w:p>
    <w:p w:rsidR="00AC0832" w:rsidRDefault="00AC0832">
      <w:pPr>
        <w:pStyle w:val="Normal6"/>
      </w:pPr>
      <w:r>
        <w:t xml:space="preserve">1.redovno poslovanje zaposlenika (rad, sigurnost i zaštita sustava) </w:t>
      </w:r>
    </w:p>
    <w:p w:rsidR="00AC0832" w:rsidRDefault="00AC0832">
      <w:pPr>
        <w:pStyle w:val="Normal6"/>
      </w:pPr>
      <w:r>
        <w:t xml:space="preserve"> </w:t>
      </w:r>
    </w:p>
    <w:p w:rsidR="00AC0832" w:rsidRDefault="00AC0832">
      <w:pPr>
        <w:pStyle w:val="Normal6"/>
      </w:pPr>
      <w:r>
        <w:t xml:space="preserve">2.licence za uređivanje sadržaja i prikazivanje azo portala </w:t>
      </w:r>
    </w:p>
    <w:p w:rsidR="00AC0832" w:rsidRDefault="00AC0832">
      <w:pPr>
        <w:pStyle w:val="Normal6"/>
      </w:pPr>
      <w:r>
        <w:t xml:space="preserve"> </w:t>
      </w:r>
    </w:p>
    <w:p w:rsidR="00AC0832" w:rsidRDefault="00AC0832">
      <w:pPr>
        <w:pStyle w:val="Normal6"/>
      </w:pPr>
      <w:r>
        <w:t xml:space="preserve">3.održavanje licenci za operativne sustave, antivirusne alate i GIS </w:t>
      </w:r>
    </w:p>
    <w:p w:rsidR="00AC0832" w:rsidRDefault="00AC0832">
      <w:pPr>
        <w:pStyle w:val="Normal6"/>
      </w:pPr>
      <w:r>
        <w:t xml:space="preserve"> </w:t>
      </w:r>
    </w:p>
    <w:p w:rsidR="00AC0832" w:rsidRDefault="00AC0832">
      <w:pPr>
        <w:pStyle w:val="Normal6"/>
      </w:pPr>
      <w:r>
        <w:t>Smanjenja sredstava u 2013.godini za potrebe Informatizacije  slučaju da se ne osiguraju drugi izvori financiranja mogu u konačnici dovesti da se određeni planirani projekti neće moći provesti.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Redoviti rad sa jako malim brojem kritičnih incidenata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80</w:t>
            </w:r>
          </w:p>
        </w:tc>
        <w:tc>
          <w:tcPr>
            <w:tcW w:w="1300" w:type="dxa"/>
          </w:tcPr>
          <w:p w:rsidR="00AC0832" w:rsidRDefault="00AC0832">
            <w:pPr>
              <w:pStyle w:val="CellColumn"/>
            </w:pPr>
            <w:r>
              <w:t>Agencija</w:t>
            </w:r>
          </w:p>
        </w:tc>
        <w:tc>
          <w:tcPr>
            <w:tcW w:w="1300" w:type="dxa"/>
          </w:tcPr>
          <w:p w:rsidR="00AC0832" w:rsidRDefault="00AC0832">
            <w:pPr>
              <w:pStyle w:val="CellColumn"/>
            </w:pPr>
            <w:r>
              <w:t>90</w:t>
            </w:r>
          </w:p>
        </w:tc>
        <w:tc>
          <w:tcPr>
            <w:tcW w:w="1300" w:type="dxa"/>
          </w:tcPr>
          <w:p w:rsidR="00AC0832" w:rsidRDefault="00AC0832">
            <w:pPr>
              <w:pStyle w:val="CellColumn"/>
            </w:pPr>
            <w:r>
              <w:t>90</w:t>
            </w:r>
          </w:p>
        </w:tc>
      </w:tr>
    </w:tbl>
    <w:p w:rsidR="00AC0832" w:rsidRDefault="00AC0832">
      <w:pPr>
        <w:jc w:val="left"/>
      </w:pPr>
    </w:p>
    <w:p w:rsidR="00AC0832" w:rsidRDefault="00AC0832">
      <w:pPr>
        <w:pStyle w:val="Heading2"/>
      </w:pPr>
      <w:r>
        <w:t>07715 Nacionalni parkovi i parkovi prirode</w:t>
      </w:r>
    </w:p>
    <w:p w:rsidR="00AC0832" w:rsidRDefault="00AC0832">
      <w:pPr>
        <w:pStyle w:val="Heading4"/>
      </w:pPr>
      <w:r>
        <w:t>Uvod</w:t>
      </w:r>
    </w:p>
    <w:p w:rsidR="00AC0832" w:rsidRDefault="00AC0832">
      <w:pPr>
        <w:pStyle w:val="Normal3"/>
      </w:pPr>
      <w:r>
        <w:t>U okviru ove Glave osiguravaju se sredstva potrebna za rad Državnog zavoda za zaštitu prirode (DZZP) te 8 nacionalnih parkova (Brijuni, Kornati, Krka, Mljet, Paklenica, Plitvička jezera, Risnjak, Sjeverni Velebit) i 11 parkova prirode (Biokovo, Kopački rit, Lastovsko otočje, Lonjsko polje, Medvednica, Papuk, Telašćica, Učka, Vransko jezero, Velebit, Žumberak-Samoborsko gorje). Vlada Republike Hrvatske osnovala je javne ustanove nacionalnih parkova i parkova prirode s ciljem obavljanja djelatnosti zaštite, održavanja i promicanja zaštićenog područja, kao i očuvanja izvornosti prirode, neometanog odvijanja prirodnih procesa i održivog korištenja prirodnih dobara. DZZP osnovan je Uredbom Vlade RH kao središnja ustanova koja obavlja stručne poslove zaštite prirode u Hrvatskoj te provodi niz aktivnosti koje imaju za cilj kvalitetnim stručnim radom dugoročno osigurati očuvanje i unaprjeđenje zaštite prirode.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07715-Nacionalni parkovi i parkovi prirode</w:t>
            </w:r>
          </w:p>
        </w:tc>
        <w:tc>
          <w:tcPr>
            <w:tcW w:w="2322" w:type="dxa"/>
          </w:tcPr>
          <w:p w:rsidR="00AC0832" w:rsidRDefault="00AC0832">
            <w:pPr>
              <w:pStyle w:val="CellColumn"/>
            </w:pPr>
            <w:r>
              <w:t>69.200.825</w:t>
            </w:r>
          </w:p>
        </w:tc>
        <w:tc>
          <w:tcPr>
            <w:tcW w:w="2322" w:type="dxa"/>
          </w:tcPr>
          <w:p w:rsidR="00AC0832" w:rsidRDefault="00AC0832">
            <w:pPr>
              <w:pStyle w:val="CellColumn"/>
            </w:pPr>
            <w:r>
              <w:t>67.607.295</w:t>
            </w:r>
          </w:p>
        </w:tc>
        <w:tc>
          <w:tcPr>
            <w:tcW w:w="2322" w:type="dxa"/>
          </w:tcPr>
          <w:p w:rsidR="00AC0832" w:rsidRDefault="00AC0832">
            <w:pPr>
              <w:pStyle w:val="CellColumn"/>
            </w:pPr>
            <w:r>
              <w:t>97,7</w:t>
            </w:r>
          </w:p>
        </w:tc>
      </w:tr>
      <w:tr w:rsidR="00AC0832" w:rsidTr="00BE20ED">
        <w:trPr>
          <w:jc w:val="center"/>
        </w:trPr>
        <w:tc>
          <w:tcPr>
            <w:tcW w:w="2322" w:type="dxa"/>
          </w:tcPr>
          <w:p w:rsidR="00AC0832" w:rsidRDefault="00AC0832">
            <w:pPr>
              <w:pStyle w:val="CellColumnSmall"/>
            </w:pPr>
            <w:r>
              <w:t>3401-ZAŠTITA PRIRODE</w:t>
            </w:r>
          </w:p>
        </w:tc>
        <w:tc>
          <w:tcPr>
            <w:tcW w:w="2322" w:type="dxa"/>
          </w:tcPr>
          <w:p w:rsidR="00AC0832" w:rsidRDefault="00AC0832">
            <w:pPr>
              <w:pStyle w:val="CellColumnSmall"/>
            </w:pPr>
            <w:r>
              <w:t>69.200.825</w:t>
            </w:r>
          </w:p>
        </w:tc>
        <w:tc>
          <w:tcPr>
            <w:tcW w:w="2322" w:type="dxa"/>
          </w:tcPr>
          <w:p w:rsidR="00AC0832" w:rsidRDefault="00AC0832">
            <w:pPr>
              <w:pStyle w:val="CellColumnSmall"/>
            </w:pPr>
            <w:r>
              <w:t>67.607.295</w:t>
            </w:r>
          </w:p>
        </w:tc>
        <w:tc>
          <w:tcPr>
            <w:tcW w:w="2322" w:type="dxa"/>
          </w:tcPr>
          <w:p w:rsidR="00AC0832" w:rsidRDefault="00AC0832">
            <w:pPr>
              <w:pStyle w:val="CellColumnSmall"/>
            </w:pPr>
            <w:r>
              <w:t>97,7</w:t>
            </w:r>
          </w:p>
        </w:tc>
      </w:tr>
    </w:tbl>
    <w:p w:rsidR="00AC0832" w:rsidRDefault="00AC0832">
      <w:pPr>
        <w:jc w:val="left"/>
      </w:pPr>
    </w:p>
    <w:p w:rsidR="00AC0832" w:rsidRDefault="00AC0832">
      <w:pPr>
        <w:pStyle w:val="Heading4"/>
      </w:pPr>
      <w:r>
        <w:t>OBRAZLOŽENJE PROGRAMA</w:t>
      </w:r>
    </w:p>
    <w:p w:rsidR="00AC0832" w:rsidRDefault="00AC0832">
      <w:pPr>
        <w:pStyle w:val="Heading6"/>
      </w:pPr>
      <w:r>
        <w:t>A779000 UPRAVLJANJE I ADMINISTRACIJA NACIONALNIH PARKOVA, PARKOVA PRIRODE I DRŽAVNOG ZAVODA ZA ZAŠTITU PRIRODE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A779000-UPRAVLJANJE I ADMINISTRACIJA NACIONALNIH PARKOVA, PARKOVA PRIRODE I DRŽAVNOG ZAVODA ZA ZAŠTITU PRIRODE</w:t>
            </w:r>
          </w:p>
        </w:tc>
        <w:tc>
          <w:tcPr>
            <w:tcW w:w="2322" w:type="dxa"/>
          </w:tcPr>
          <w:p w:rsidR="00AC0832" w:rsidRDefault="00AC0832">
            <w:pPr>
              <w:pStyle w:val="CellColumn"/>
            </w:pPr>
            <w:r>
              <w:t>44.224.336</w:t>
            </w:r>
          </w:p>
        </w:tc>
        <w:tc>
          <w:tcPr>
            <w:tcW w:w="2322" w:type="dxa"/>
          </w:tcPr>
          <w:p w:rsidR="00AC0832" w:rsidRDefault="00AC0832">
            <w:pPr>
              <w:pStyle w:val="CellColumn"/>
            </w:pPr>
            <w:r>
              <w:t>43.322.983</w:t>
            </w:r>
          </w:p>
        </w:tc>
        <w:tc>
          <w:tcPr>
            <w:tcW w:w="2322" w:type="dxa"/>
          </w:tcPr>
          <w:p w:rsidR="00AC0832" w:rsidRDefault="00AC0832">
            <w:pPr>
              <w:pStyle w:val="CellColumn"/>
            </w:pPr>
            <w:r>
              <w:t>98,0</w:t>
            </w:r>
          </w:p>
        </w:tc>
      </w:tr>
    </w:tbl>
    <w:p w:rsidR="00AC0832" w:rsidRDefault="00AC0832">
      <w:pPr>
        <w:jc w:val="left"/>
      </w:pPr>
    </w:p>
    <w:p w:rsidR="00AC0832" w:rsidRDefault="00AC0832">
      <w:pPr>
        <w:pStyle w:val="Heading8"/>
        <w:jc w:val="left"/>
      </w:pPr>
      <w:r>
        <w:t>Opis provedbe aktivnosti / projekta</w:t>
      </w:r>
    </w:p>
    <w:p w:rsidR="00AC0832" w:rsidRDefault="00AC0832">
      <w:pPr>
        <w:pStyle w:val="Heading6"/>
      </w:pPr>
      <w:r>
        <w:t>A779021 ZAŠTITA PRIRODE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A779021-ZAŠTITA PRIRODE</w:t>
            </w:r>
          </w:p>
        </w:tc>
        <w:tc>
          <w:tcPr>
            <w:tcW w:w="2322" w:type="dxa"/>
          </w:tcPr>
          <w:p w:rsidR="00AC0832" w:rsidRDefault="00AC0832">
            <w:pPr>
              <w:pStyle w:val="CellColumn"/>
            </w:pPr>
            <w:r>
              <w:t>2.950.000</w:t>
            </w:r>
          </w:p>
        </w:tc>
        <w:tc>
          <w:tcPr>
            <w:tcW w:w="2322" w:type="dxa"/>
          </w:tcPr>
          <w:p w:rsidR="00AC0832" w:rsidRDefault="00AC0832">
            <w:pPr>
              <w:pStyle w:val="CellColumn"/>
            </w:pPr>
            <w:r>
              <w:t>2.949.900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A779025 IPA 2008 USPOSTAVLJANJE BAZE PODATAKA STANIŠNIH TIPOVA (CRO HABITATS)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A779025-IPA 2008 USPOSTAVLJANJE BAZE PODATAKA STANIŠNIH TIPOVA (CRO HABITATS)</w:t>
            </w:r>
          </w:p>
        </w:tc>
        <w:tc>
          <w:tcPr>
            <w:tcW w:w="2322" w:type="dxa"/>
          </w:tcPr>
          <w:p w:rsidR="00AC0832" w:rsidRDefault="00AC0832">
            <w:pPr>
              <w:pStyle w:val="CellColumn"/>
            </w:pPr>
            <w:r>
              <w:t>00</w:t>
            </w:r>
          </w:p>
        </w:tc>
        <w:tc>
          <w:tcPr>
            <w:tcW w:w="2322" w:type="dxa"/>
          </w:tcPr>
          <w:p w:rsidR="00AC0832" w:rsidRDefault="00AC0832">
            <w:pPr>
              <w:pStyle w:val="CellColumn"/>
            </w:pPr>
            <w:r>
              <w:t>660.404</w:t>
            </w:r>
          </w:p>
        </w:tc>
        <w:tc>
          <w:tcPr>
            <w:tcW w:w="2322" w:type="dxa"/>
          </w:tcPr>
          <w:p w:rsidR="00AC0832" w:rsidRDefault="00AC0832">
            <w:pPr>
              <w:pStyle w:val="CellColumn"/>
            </w:pPr>
            <w:r>
              <w:t>0,0</w:t>
            </w:r>
          </w:p>
        </w:tc>
      </w:tr>
    </w:tbl>
    <w:p w:rsidR="00AC0832" w:rsidRDefault="00AC0832">
      <w:pPr>
        <w:pStyle w:val="Heading6"/>
      </w:pPr>
      <w:r>
        <w:t>K779022 PROJEKT INTEGRACIJE U EU NATURA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K779022-PROJEKT INTEGRACIJE U EU NATURA 2000</w:t>
            </w:r>
          </w:p>
        </w:tc>
        <w:tc>
          <w:tcPr>
            <w:tcW w:w="2322" w:type="dxa"/>
          </w:tcPr>
          <w:p w:rsidR="00AC0832" w:rsidRDefault="00AC0832">
            <w:pPr>
              <w:pStyle w:val="CellColumn"/>
            </w:pPr>
            <w:r>
              <w:t>18.184.139</w:t>
            </w:r>
          </w:p>
        </w:tc>
        <w:tc>
          <w:tcPr>
            <w:tcW w:w="2322" w:type="dxa"/>
          </w:tcPr>
          <w:p w:rsidR="00AC0832" w:rsidRDefault="00AC0832">
            <w:pPr>
              <w:pStyle w:val="CellColumn"/>
            </w:pPr>
            <w:r>
              <w:t>18.173.477</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Za provedbu ovog kapitalnog projekta Vlada Republike Hrvatske zatražila je potporu Međunarodne banke za obnovu i razvoj (Svjetska banka) u vidu zajma od 20,8 mil. EUR odobrenog početkom 2011. Međunarodna banka za obnovu i razvoj i Republika Hrvatska potpisale su 22.veljače 2011. Ugovor o zajmu br. 8021-HR za Projekt integracije u EU Natura 2000 (skraćeno NIP od eng. EU Natura 2000 Integration Project). Zakonom o potvrđivanju Ugovora o zajmu koji je izglasan u Saboru 6. svibnja 2011. te  nakon objave u Narodnim novinama 18. svibnja 2011. (MU 7/2011), Deklaracijom o efektivnosti Svjetske banke od 19. svibnja 2011. formalno je počela provedba petogodišnjeg Projekta koji je financiran 100% sredstvima zajma. Predviđeno trajanje projekta/povlačenje sredstava zajma je do 30.04.2016.g. što zahtijeva prosječno izvršenje od 4,2 mil EUR godišnje. </w:t>
      </w:r>
    </w:p>
    <w:p w:rsidR="00AC0832" w:rsidRDefault="00AC0832">
      <w:pPr>
        <w:pStyle w:val="Normal6"/>
      </w:pPr>
      <w:r>
        <w:t xml:space="preserve">Glavni cilj projekta je pružiti podršku NP, PP i županijskim JU za upravljanje zaštićenim prirodnim vrijednostima pri implementaciji ciljeva mreže N2000 u njihove investicijske programe, jačanje kapaciteta za praćenje stanja bioraznolikosti te izvještavanje o poduzetim mjerama temeljem zahtjeva EU i uvođenje programa radi uključivanja šire grupe dionika u proces upravljanja N2000 mrežom.  </w:t>
      </w:r>
    </w:p>
    <w:p w:rsidR="00AC0832" w:rsidRDefault="00AC0832">
      <w:pPr>
        <w:pStyle w:val="Normal6"/>
      </w:pPr>
      <w:r>
        <w:t xml:space="preserve">Projekt  se sastoji od sljedećih komponenti: 1. Ulaganja u ekološku mrežu: Investicije u zaštićena područja/ekološku mrežu (predložena N2000 područja) koja pomažu predstavljanju i jačanju integracije s N2000 ciljevima; 2. Informacijski sustavi ekološke mreže: Aktivnosti koje pomažu planirati, prioritizirati i organizirati inventarizaciju i praćenje stanja biološke raznolikosti, kartiranje stanišnih tipova i dopunjavanje informacijskog sustava u cilju ispunjavanja EU zahtjeva za izvještavanjem; 3. Jačanje kapaciteta ekološke mreže: Aktivnosti koje pomažu promociji međusektorske suradnje. </w:t>
      </w:r>
    </w:p>
    <w:p w:rsidR="00AC0832" w:rsidRDefault="00AC0832">
      <w:pPr>
        <w:pStyle w:val="Normal6"/>
      </w:pPr>
      <w:r>
        <w:t xml:space="preserve">Za 2012. u proračunu (nakon rebalansa) je predviđeno 18.184.139 kuna sa realizacijom od 99,9%. Tijekom 2012.g. realizirano je:  </w:t>
      </w:r>
    </w:p>
    <w:p w:rsidR="00AC0832" w:rsidRDefault="00AC0832">
      <w:pPr>
        <w:pStyle w:val="Normal6"/>
      </w:pPr>
      <w:r>
        <w:t xml:space="preserve">- 2.010.102 EUR za investicijska ulaganja u ekološku mrežu (K1),  </w:t>
      </w:r>
    </w:p>
    <w:p w:rsidR="00AC0832" w:rsidRDefault="00AC0832">
      <w:pPr>
        <w:pStyle w:val="Normal6"/>
      </w:pPr>
      <w:r>
        <w:t xml:space="preserve">-121.048 EUR za ulaganja u informacijski sustav ekološke mreže (K2) te  </w:t>
      </w:r>
    </w:p>
    <w:p w:rsidR="00AC0832" w:rsidRDefault="00AC0832">
      <w:pPr>
        <w:pStyle w:val="Normal6"/>
      </w:pPr>
      <w:r>
        <w:t xml:space="preserve">-293.470 EUR za jačanje kapaciteta ekološke mreže (K3) </w:t>
      </w:r>
    </w:p>
    <w:p w:rsidR="00AC0832" w:rsidRDefault="00AC0832">
      <w:pPr>
        <w:pStyle w:val="Normal6"/>
      </w:pPr>
      <w:r>
        <w:t xml:space="preserve">Opis ulaganja: </w:t>
      </w:r>
    </w:p>
    <w:p w:rsidR="00AC0832" w:rsidRDefault="00AC0832">
      <w:pPr>
        <w:pStyle w:val="Normal6"/>
      </w:pPr>
      <w:r>
        <w:t xml:space="preserve">- K1 - završeno je 8 infrastrukturnih projekata </w:t>
      </w:r>
    </w:p>
    <w:p w:rsidR="00AC0832" w:rsidRDefault="00AC0832">
      <w:pPr>
        <w:pStyle w:val="Normal6"/>
      </w:pPr>
      <w:r>
        <w:t xml:space="preserve">- K2 - kupljena je IT oprema za DZZP i UZP i GIS software za DZZP, sklopljena su 3 od 19 ugovora za usluga identifikacije vrsta i staništa za inventarizaciju (za 3 taksonomske skupine), nabavljene su satelitske snimke od European space agency za potrebe izrade karte staništa </w:t>
      </w:r>
    </w:p>
    <w:p w:rsidR="00AC0832" w:rsidRDefault="00AC0832">
      <w:pPr>
        <w:pStyle w:val="Normal6"/>
      </w:pPr>
      <w:r>
        <w:t>- K3 - ugovorene su konzultantske usluge za podršku razvoju poljoprivredno-okolišnih mjera, konzultantske usluge za dizajn i interpretaciju prirode, trening plan za 2012 je ostvaren u potpunosti, ostale popratne aktivnosti i usluge na projektu se odvijaju prema redovnom planu (JPP, izvještavanje, revizija i sl.)</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4"/>
        <w:gridCol w:w="1293"/>
        <w:gridCol w:w="1278"/>
        <w:gridCol w:w="1285"/>
        <w:gridCol w:w="1283"/>
        <w:gridCol w:w="1285"/>
        <w:gridCol w:w="129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novoizgrađenih manjih infrastrukturnih objekata u zaštićenim područjima, N2000 područjima i područjima EM (info punktovi, poučne staze)</w:t>
            </w:r>
          </w:p>
        </w:tc>
        <w:tc>
          <w:tcPr>
            <w:tcW w:w="1300" w:type="dxa"/>
          </w:tcPr>
          <w:p w:rsidR="00AC0832" w:rsidRDefault="00AC0832">
            <w:pPr>
              <w:pStyle w:val="CellColumn"/>
            </w:pPr>
            <w:r>
              <w:t>Novi info punktovi i poučne staze u zaštićenim područjima i N2000 područjima doprinijet će edukaciji posjetitelja o njihovoj važnosti.</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JU</w:t>
            </w:r>
          </w:p>
        </w:tc>
        <w:tc>
          <w:tcPr>
            <w:tcW w:w="1300" w:type="dxa"/>
          </w:tcPr>
          <w:p w:rsidR="00AC0832" w:rsidRDefault="00AC0832">
            <w:pPr>
              <w:pStyle w:val="CellColumn"/>
            </w:pPr>
            <w:r>
              <w:t>10</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T779023 IPA I 2007 UTVRĐIVANJE POTENCIJALNIH NATURA 2000 PODRUČJA U MORU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T779023-IPA I 2007 UTVRĐIVANJE POTENCIJALNIH NATURA 2000 PODRUČJA U MORU</w:t>
            </w:r>
          </w:p>
        </w:tc>
        <w:tc>
          <w:tcPr>
            <w:tcW w:w="2322" w:type="dxa"/>
          </w:tcPr>
          <w:p w:rsidR="00AC0832" w:rsidRDefault="00AC0832">
            <w:pPr>
              <w:pStyle w:val="CellColumn"/>
            </w:pPr>
            <w:r>
              <w:t>2.287.350</w:t>
            </w:r>
          </w:p>
        </w:tc>
        <w:tc>
          <w:tcPr>
            <w:tcW w:w="2322" w:type="dxa"/>
          </w:tcPr>
          <w:p w:rsidR="00AC0832" w:rsidRDefault="00AC0832">
            <w:pPr>
              <w:pStyle w:val="CellColumn"/>
            </w:pPr>
            <w:r>
              <w:t>2.183.872</w:t>
            </w:r>
          </w:p>
        </w:tc>
        <w:tc>
          <w:tcPr>
            <w:tcW w:w="2322" w:type="dxa"/>
          </w:tcPr>
          <w:p w:rsidR="00AC0832" w:rsidRDefault="00AC0832">
            <w:pPr>
              <w:pStyle w:val="CellColumn"/>
            </w:pPr>
            <w:r>
              <w:t>95,5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okviru projekta izrađen je plan daljnjih aktivnosti i istraživanja za utvrđivanje svih potencijalnih NATURA 2000 područja u moru, u suradnji sa svim relevantnim znanstvenim i stručnim institucijama, izrađeni prijedlozi monitoring programa za Natura morska staništa. Provedena je i obuka djelatnika DZZP-a o monitoringu o izvješćivanju prema zahtjevima Direktive o staništima. Nastavljen je daljnji razvoj Nacionalnog sustava monitoringa biološke raznolikosti kroz obuku amatera s ciljem njihovog uključivanja u buduće aktivnosti kartiranja i praćenja morskih vrsta i staništa. U 2012. godini finalizirano je Završno izvješće projekta s pripadajućim dodacima, koje je prihvaćeno krajem godine.</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6"/>
        <w:gridCol w:w="1417"/>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površine kartiranih morskih staništa na području mora pod jurisdikcijom RH</w:t>
            </w:r>
          </w:p>
        </w:tc>
        <w:tc>
          <w:tcPr>
            <w:tcW w:w="1300" w:type="dxa"/>
          </w:tcPr>
          <w:p w:rsidR="00AC0832" w:rsidRDefault="00AC0832">
            <w:pPr>
              <w:pStyle w:val="CellColumn"/>
            </w:pPr>
            <w:r>
              <w:t>Prikupljanjem novih podataka, uključujući i kartiranje morskih staništa iz Dodatka I Direktive o staništima, dopunit će se morski dio ekološke mreže NATURA 2000</w:t>
            </w:r>
          </w:p>
        </w:tc>
        <w:tc>
          <w:tcPr>
            <w:tcW w:w="1300" w:type="dxa"/>
          </w:tcPr>
          <w:p w:rsidR="00AC0832" w:rsidRDefault="00AC0832">
            <w:pPr>
              <w:pStyle w:val="CellColumn"/>
            </w:pPr>
            <w:r>
              <w:t>km2</w:t>
            </w:r>
          </w:p>
        </w:tc>
        <w:tc>
          <w:tcPr>
            <w:tcW w:w="1300" w:type="dxa"/>
          </w:tcPr>
          <w:p w:rsidR="00AC0832" w:rsidRDefault="00AC0832">
            <w:pPr>
              <w:pStyle w:val="CellColumn"/>
            </w:pPr>
            <w:r>
              <w:t>3.454</w:t>
            </w:r>
          </w:p>
        </w:tc>
        <w:tc>
          <w:tcPr>
            <w:tcW w:w="1300" w:type="dxa"/>
          </w:tcPr>
          <w:p w:rsidR="00AC0832" w:rsidRDefault="00AC0832">
            <w:pPr>
              <w:pStyle w:val="CellColumn"/>
            </w:pPr>
            <w:r>
              <w:t>DZZP</w:t>
            </w:r>
          </w:p>
        </w:tc>
        <w:tc>
          <w:tcPr>
            <w:tcW w:w="1300" w:type="dxa"/>
          </w:tcPr>
          <w:p w:rsidR="00AC0832" w:rsidRDefault="00AC0832">
            <w:pPr>
              <w:pStyle w:val="CellColumn"/>
            </w:pPr>
            <w:r>
              <w:t>4.500</w:t>
            </w:r>
          </w:p>
        </w:tc>
        <w:tc>
          <w:tcPr>
            <w:tcW w:w="1300" w:type="dxa"/>
          </w:tcPr>
          <w:p w:rsidR="00AC0832" w:rsidRDefault="00AC0832">
            <w:pPr>
              <w:pStyle w:val="CellColumn"/>
            </w:pPr>
            <w:r>
              <w:t>3.454</w:t>
            </w:r>
          </w:p>
        </w:tc>
      </w:tr>
    </w:tbl>
    <w:p w:rsidR="00AC0832" w:rsidRDefault="00AC0832">
      <w:pPr>
        <w:jc w:val="left"/>
      </w:pPr>
    </w:p>
    <w:p w:rsidR="00AC0832" w:rsidRDefault="00AC0832">
      <w:pPr>
        <w:pStyle w:val="Heading6"/>
      </w:pPr>
      <w:r>
        <w:t>T779024 IPA I 2007 USPOSTAVA FAUNISTIČKE I SPELEOLOŠKE BAZE PODATAKA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T779024-IPA I 2007 USPOSTAVA FAUNISTIČKE I SPELEOLOŠKE BAZE PODATAKA</w:t>
            </w:r>
          </w:p>
        </w:tc>
        <w:tc>
          <w:tcPr>
            <w:tcW w:w="2322" w:type="dxa"/>
          </w:tcPr>
          <w:p w:rsidR="00AC0832" w:rsidRDefault="00AC0832">
            <w:pPr>
              <w:pStyle w:val="CellColumn"/>
            </w:pPr>
            <w:r>
              <w:t>1.555.000</w:t>
            </w:r>
          </w:p>
        </w:tc>
        <w:tc>
          <w:tcPr>
            <w:tcW w:w="2322" w:type="dxa"/>
          </w:tcPr>
          <w:p w:rsidR="00AC0832" w:rsidRDefault="00AC0832">
            <w:pPr>
              <w:pStyle w:val="CellColumn"/>
            </w:pPr>
            <w:r>
              <w:t>316.659</w:t>
            </w:r>
          </w:p>
        </w:tc>
        <w:tc>
          <w:tcPr>
            <w:tcW w:w="2322" w:type="dxa"/>
          </w:tcPr>
          <w:p w:rsidR="00AC0832" w:rsidRDefault="00AC0832">
            <w:pPr>
              <w:pStyle w:val="CellColumn"/>
            </w:pPr>
            <w:r>
              <w:t>20,4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Provedba ovog projekta planirana je u svrhu poboljšanja pohrane i dostupnosti podataka o bioraznolikosti i speleološkim objektima, a s ciljem učinkovitije uspostave i provedbe Natura 2000 mreže, posebice s obzirom na praćenje stanja te procjenu aktivnosti vezanih uz provedbu članka 6. Direktive o staništima (ocjena prihvatljivosti plana, programa i zahvata na ekološku mrežu), kroz izradu dvije tematske baze podataka: CRO fauna (baza podataka o fauni hrvatske) te CRO Speleo (baza podataka odnosno katastar speleoloških objekata). S obzirom na činjenicu da je projekt prijevremeno okončan 25. listopada 2012. godine pri čemu konzultant nije ispunio svoje obveze i završio posao predviđen projektom, DZZP planira završiti predviđene aktivnosti vlastitim angažmanom. Sredstva za izvršenje planiranih aktivnosti osigurana su sredstvima FZOEU, uz podršku Projekta integracije u EU Natura 2000 (NIP) kroz dvogodišnji projekt "Usklađivanje Informacijskog sustava zaštite prirode sa načelima EU INSPIRE Direktive i povezivanje sa vanjskim sustavima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6"/>
        <w:gridCol w:w="1551"/>
        <w:gridCol w:w="1226"/>
        <w:gridCol w:w="1252"/>
        <w:gridCol w:w="1245"/>
        <w:gridCol w:w="1252"/>
        <w:gridCol w:w="126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povezanih stručnih baza podataka s ciljem potpune uspostave informacijskog sustava zaštite prirode</w:t>
            </w:r>
          </w:p>
        </w:tc>
        <w:tc>
          <w:tcPr>
            <w:tcW w:w="1300" w:type="dxa"/>
          </w:tcPr>
          <w:p w:rsidR="00AC0832" w:rsidRDefault="00AC0832">
            <w:pPr>
              <w:pStyle w:val="CellColumn"/>
            </w:pPr>
            <w:r>
              <w:t>Unapređenje metoda i standardizacija prikupljanja podataka, proširenje postojećih stručnih baza te izrada nacionalnog kataloga vrsta i stanišnih tipova omogućit će potpunu uspostavu informacijskog sustava zaštite prirode.</w:t>
            </w:r>
          </w:p>
        </w:tc>
        <w:tc>
          <w:tcPr>
            <w:tcW w:w="1300" w:type="dxa"/>
          </w:tcPr>
          <w:p w:rsidR="00AC0832" w:rsidRDefault="00AC0832">
            <w:pPr>
              <w:pStyle w:val="CellColumn"/>
            </w:pPr>
            <w:r>
              <w:t>broj</w:t>
            </w:r>
          </w:p>
        </w:tc>
        <w:tc>
          <w:tcPr>
            <w:tcW w:w="1300" w:type="dxa"/>
          </w:tcPr>
          <w:p w:rsidR="00AC0832" w:rsidRDefault="00AC0832">
            <w:pPr>
              <w:pStyle w:val="CellColumn"/>
            </w:pPr>
            <w:r>
              <w:t>3</w:t>
            </w:r>
          </w:p>
        </w:tc>
        <w:tc>
          <w:tcPr>
            <w:tcW w:w="1300" w:type="dxa"/>
          </w:tcPr>
          <w:p w:rsidR="00AC0832" w:rsidRDefault="00AC0832">
            <w:pPr>
              <w:pStyle w:val="CellColumn"/>
            </w:pPr>
            <w:r>
              <w:t>DZZP</w:t>
            </w:r>
          </w:p>
        </w:tc>
        <w:tc>
          <w:tcPr>
            <w:tcW w:w="1300" w:type="dxa"/>
          </w:tcPr>
          <w:p w:rsidR="00AC0832" w:rsidRDefault="00AC0832">
            <w:pPr>
              <w:pStyle w:val="CellColumn"/>
            </w:pPr>
            <w:r>
              <w:t>6</w:t>
            </w:r>
          </w:p>
        </w:tc>
        <w:tc>
          <w:tcPr>
            <w:tcW w:w="1300" w:type="dxa"/>
          </w:tcPr>
          <w:p w:rsidR="00AC0832" w:rsidRDefault="00AC0832">
            <w:pPr>
              <w:pStyle w:val="CellColumn"/>
            </w:pPr>
            <w:r>
              <w:t>3</w:t>
            </w:r>
          </w:p>
        </w:tc>
      </w:tr>
    </w:tbl>
    <w:p w:rsidR="00AC0832" w:rsidRDefault="00AC0832">
      <w:pPr>
        <w:jc w:val="left"/>
      </w:pPr>
    </w:p>
    <w:p w:rsidR="00AC0832" w:rsidRDefault="00AC0832">
      <w:pPr>
        <w:pStyle w:val="Heading1"/>
      </w:pPr>
      <w:r>
        <w:t>080 MINISTARSTVO ZNANOSTI, OBRAZOVANJA I SPORTA</w:t>
      </w:r>
    </w:p>
    <w:p w:rsidR="00AC0832" w:rsidRDefault="00AC0832">
      <w:pPr>
        <w:pStyle w:val="Heading4"/>
      </w:pPr>
      <w:r>
        <w:t>Uvod</w:t>
      </w:r>
    </w:p>
    <w:p w:rsidR="00AC0832" w:rsidRDefault="00AC0832">
      <w:pPr>
        <w:pStyle w:val="Normal3"/>
      </w:pPr>
      <w:r>
        <w:t xml:space="preserve">Ministarstvo znanosti, obrazovanja i sporta nadležno je državno tijelo za sustav odgoja, obrazovanja, znanosti i sporta te je mjerodavno strateško i provedbeno tijelo koje svojom ulogom, ustrojem, aktivnostima i kapacitetima osigurava temeljne pretpostavke za održiv razvoj ljudskih potencijala u navedenim sustavima u Republici Hrvatskoj. </w:t>
      </w:r>
    </w:p>
    <w:p w:rsidR="00AC0832" w:rsidRDefault="00AC0832">
      <w:pPr>
        <w:pStyle w:val="Normal3"/>
      </w:pPr>
      <w:r>
        <w:t xml:space="preserve">Misija Ministarstva je osigurati svima dostupan, prohodan, vrijednosno usmjeren te s potrebama tržišta rada i cjeloživotnoga učenja usklađen sustav odgoja i obrazovanja na nacionalnoj i međunarodnoj razini, poticati i usmjeravati znanstvena istraživanja sukladno potrebama gospodarstva i društvenoga razvoja, te osigurati održivu kvalitetu sustava sporta i uvjete za bavljenje sportom. Svoje ciljeve postiže usklađenim i odgovornim promišljanjem i djelovanjem svih ljudskih potencijala odgojno-obrazovne, znanstvene i sportske djelatnosti te svih partnerskih dionika na strateškomu i operativnom planu. </w:t>
      </w:r>
    </w:p>
    <w:p w:rsidR="00AC0832" w:rsidRDefault="00AC0832">
      <w:pPr>
        <w:pStyle w:val="Normal3"/>
      </w:pPr>
      <w:r>
        <w:t xml:space="preserve">Ciljevi provođenja programa Ministarstva znanosti, obrazovanja i sporta su: </w:t>
      </w:r>
    </w:p>
    <w:p w:rsidR="00AC0832" w:rsidRDefault="00AC0832">
      <w:pPr>
        <w:pStyle w:val="Normal3"/>
      </w:pPr>
      <w:r>
        <w:t xml:space="preserve">1. ODRŽIVA KVALITETA ODGOJNO-OBRAZOVNOGA SUSTAVA - Uspostaviti učinkovitu mrežu odgojno-obrazovnih ustanova i kvalifikacija/programa/kurikuluma usklađenu s potrebama tržišta rada i razvoja ljudskih potencijala; Razvijati sustav osiguranja kvalitete na svim razinama sustava odgoja i obrazovanja; Promovirati privlačnosti strukovnoga obrazovanja i obrazovanja odraslih; Poticati inkluzivno obrazovanje; Poticati razvoj učinkovitoga sustava studentskoga standarda u svrhu poboljšanja dostupnosti i uključivoga obrazovanja; Preustrojiti i unaprijediti sustav upravljanja i financiranja u visokome obrazovanju. </w:t>
      </w:r>
    </w:p>
    <w:p w:rsidR="00AC0832" w:rsidRDefault="00AC0832">
      <w:pPr>
        <w:pStyle w:val="Normal3"/>
      </w:pPr>
      <w:r>
        <w:t xml:space="preserve">2. RAZVOJ ZNANOSTI KAO POKRETAČA DUGOROČNOGA GOSPODARSKOGA I DRUŠTVENOGA RAZVOJA - Poticati jače povezivanje znanstvenoga potencijala na javnim institutima i sveučilištima s gospodarstvom i društvenim razvojem; Stvarati i jačati ljudske potencijale u znanosti i inovacijama; Poticati mobilnost i međunarodnu suradnju hrvatskih znanstvenika; Poticati poduzetništvo zasnovano na inovacijama i visokim tehnologijama. </w:t>
      </w:r>
    </w:p>
    <w:p w:rsidR="00AC0832" w:rsidRDefault="00AC0832">
      <w:pPr>
        <w:pStyle w:val="Normal3"/>
      </w:pPr>
      <w:r>
        <w:t>3. ODRŽIVA KVALITETA SUSTAVA SPORTA - Osigurati kvalitetu sustava sporta i poboljšati uvjete za bavljenje sportom kroz zadovoljavanje javnih potreba u sportu, potporu školskome i studentskome sportu te poticati izvaninstitucionalni odgoj i obrazovanje putem sporta.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08005-Ministarstvo znanosti, obrazovanja i sporta</w:t>
            </w:r>
          </w:p>
        </w:tc>
        <w:tc>
          <w:tcPr>
            <w:tcW w:w="2322" w:type="dxa"/>
          </w:tcPr>
          <w:p w:rsidR="00AC0832" w:rsidRDefault="00AC0832">
            <w:pPr>
              <w:pStyle w:val="CellColumn"/>
            </w:pPr>
            <w:r>
              <w:t>8.319.599.355</w:t>
            </w:r>
          </w:p>
        </w:tc>
        <w:tc>
          <w:tcPr>
            <w:tcW w:w="2322" w:type="dxa"/>
          </w:tcPr>
          <w:p w:rsidR="00AC0832" w:rsidRDefault="00AC0832">
            <w:pPr>
              <w:pStyle w:val="CellColumn"/>
            </w:pPr>
            <w:r>
              <w:t>8.286.655.292</w:t>
            </w:r>
          </w:p>
        </w:tc>
        <w:tc>
          <w:tcPr>
            <w:tcW w:w="2322" w:type="dxa"/>
          </w:tcPr>
          <w:p w:rsidR="00AC0832" w:rsidRDefault="00AC0832">
            <w:pPr>
              <w:pStyle w:val="CellColumn"/>
            </w:pPr>
            <w:r>
              <w:t>99,6</w:t>
            </w:r>
          </w:p>
        </w:tc>
      </w:tr>
      <w:tr w:rsidR="00AC0832" w:rsidTr="00BE20ED">
        <w:trPr>
          <w:jc w:val="center"/>
        </w:trPr>
        <w:tc>
          <w:tcPr>
            <w:tcW w:w="2322" w:type="dxa"/>
          </w:tcPr>
          <w:p w:rsidR="00AC0832" w:rsidRDefault="00AC0832">
            <w:pPr>
              <w:pStyle w:val="CellColumn"/>
            </w:pPr>
            <w:r>
              <w:t>08006-Sveučilišta i veleučilišta u Republici Hrvatskoj</w:t>
            </w:r>
          </w:p>
        </w:tc>
        <w:tc>
          <w:tcPr>
            <w:tcW w:w="2322" w:type="dxa"/>
          </w:tcPr>
          <w:p w:rsidR="00AC0832" w:rsidRDefault="00AC0832">
            <w:pPr>
              <w:pStyle w:val="CellColumn"/>
            </w:pPr>
            <w:r>
              <w:t>2.811.053.284</w:t>
            </w:r>
          </w:p>
        </w:tc>
        <w:tc>
          <w:tcPr>
            <w:tcW w:w="2322" w:type="dxa"/>
          </w:tcPr>
          <w:p w:rsidR="00AC0832" w:rsidRDefault="00AC0832">
            <w:pPr>
              <w:pStyle w:val="CellColumn"/>
            </w:pPr>
            <w:r>
              <w:t>2.807.990.365</w:t>
            </w:r>
          </w:p>
        </w:tc>
        <w:tc>
          <w:tcPr>
            <w:tcW w:w="2322" w:type="dxa"/>
          </w:tcPr>
          <w:p w:rsidR="00AC0832" w:rsidRDefault="00AC0832">
            <w:pPr>
              <w:pStyle w:val="CellColumn"/>
            </w:pPr>
            <w:r>
              <w:t>99,9</w:t>
            </w:r>
          </w:p>
        </w:tc>
      </w:tr>
      <w:tr w:rsidR="00AC0832" w:rsidTr="00BE20ED">
        <w:trPr>
          <w:jc w:val="center"/>
        </w:trPr>
        <w:tc>
          <w:tcPr>
            <w:tcW w:w="2322" w:type="dxa"/>
          </w:tcPr>
          <w:p w:rsidR="00AC0832" w:rsidRDefault="00AC0832">
            <w:pPr>
              <w:pStyle w:val="CellColumn"/>
            </w:pPr>
            <w:r>
              <w:t>08008-Javni instituti u Republici Hrvatskoj</w:t>
            </w:r>
          </w:p>
        </w:tc>
        <w:tc>
          <w:tcPr>
            <w:tcW w:w="2322" w:type="dxa"/>
          </w:tcPr>
          <w:p w:rsidR="00AC0832" w:rsidRDefault="00AC0832">
            <w:pPr>
              <w:pStyle w:val="CellColumn"/>
            </w:pPr>
            <w:r>
              <w:t>345.196.746</w:t>
            </w:r>
          </w:p>
        </w:tc>
        <w:tc>
          <w:tcPr>
            <w:tcW w:w="2322" w:type="dxa"/>
          </w:tcPr>
          <w:p w:rsidR="00AC0832" w:rsidRDefault="00AC0832">
            <w:pPr>
              <w:pStyle w:val="CellColumn"/>
            </w:pPr>
            <w:r>
              <w:t>345.181.728</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
            </w:pPr>
            <w:r>
              <w:t>08009-Državni hidrometeorološki zavod</w:t>
            </w:r>
          </w:p>
        </w:tc>
        <w:tc>
          <w:tcPr>
            <w:tcW w:w="2322" w:type="dxa"/>
          </w:tcPr>
          <w:p w:rsidR="00AC0832" w:rsidRDefault="00AC0832">
            <w:pPr>
              <w:pStyle w:val="CellColumn"/>
            </w:pPr>
            <w:r>
              <w:t>100.741.051</w:t>
            </w:r>
          </w:p>
        </w:tc>
        <w:tc>
          <w:tcPr>
            <w:tcW w:w="2322" w:type="dxa"/>
          </w:tcPr>
          <w:p w:rsidR="00AC0832" w:rsidRDefault="00AC0832">
            <w:pPr>
              <w:pStyle w:val="CellColumn"/>
            </w:pPr>
            <w:r>
              <w:t>100.264.269</w:t>
            </w:r>
          </w:p>
        </w:tc>
        <w:tc>
          <w:tcPr>
            <w:tcW w:w="2322" w:type="dxa"/>
          </w:tcPr>
          <w:p w:rsidR="00AC0832" w:rsidRDefault="00AC0832">
            <w:pPr>
              <w:pStyle w:val="CellColumn"/>
            </w:pPr>
            <w:r>
              <w:t>99,5</w:t>
            </w:r>
          </w:p>
        </w:tc>
      </w:tr>
      <w:tr w:rsidR="00AC0832" w:rsidTr="00BE20ED">
        <w:trPr>
          <w:jc w:val="center"/>
        </w:trPr>
        <w:tc>
          <w:tcPr>
            <w:tcW w:w="2322" w:type="dxa"/>
          </w:tcPr>
          <w:p w:rsidR="00AC0832" w:rsidRDefault="00AC0832">
            <w:pPr>
              <w:pStyle w:val="CellColumn"/>
            </w:pPr>
            <w:r>
              <w:t>08011-Poslovno inovacijska agencija Republike Hrvatske - Bicro</w:t>
            </w:r>
          </w:p>
        </w:tc>
        <w:tc>
          <w:tcPr>
            <w:tcW w:w="2322" w:type="dxa"/>
          </w:tcPr>
          <w:p w:rsidR="00AC0832" w:rsidRDefault="00AC0832">
            <w:pPr>
              <w:pStyle w:val="CellColumn"/>
            </w:pPr>
            <w:r>
              <w:t>4.918.979</w:t>
            </w:r>
          </w:p>
        </w:tc>
        <w:tc>
          <w:tcPr>
            <w:tcW w:w="2322" w:type="dxa"/>
          </w:tcPr>
          <w:p w:rsidR="00AC0832" w:rsidRDefault="00AC0832">
            <w:pPr>
              <w:pStyle w:val="CellColumn"/>
            </w:pPr>
            <w:r>
              <w:t>4.898.852</w:t>
            </w:r>
          </w:p>
        </w:tc>
        <w:tc>
          <w:tcPr>
            <w:tcW w:w="2322" w:type="dxa"/>
          </w:tcPr>
          <w:p w:rsidR="00AC0832" w:rsidRDefault="00AC0832">
            <w:pPr>
              <w:pStyle w:val="CellColumn"/>
            </w:pPr>
            <w:r>
              <w:t>99,6</w:t>
            </w:r>
          </w:p>
        </w:tc>
      </w:tr>
      <w:tr w:rsidR="00AC0832" w:rsidTr="00BE20ED">
        <w:trPr>
          <w:jc w:val="center"/>
        </w:trPr>
        <w:tc>
          <w:tcPr>
            <w:tcW w:w="2322" w:type="dxa"/>
          </w:tcPr>
          <w:p w:rsidR="00AC0832" w:rsidRDefault="00AC0832">
            <w:pPr>
              <w:pStyle w:val="CellColumn"/>
            </w:pPr>
            <w:r>
              <w:t>08012-Državni zavod za intelektualno vlasništvo</w:t>
            </w:r>
          </w:p>
        </w:tc>
        <w:tc>
          <w:tcPr>
            <w:tcW w:w="2322" w:type="dxa"/>
          </w:tcPr>
          <w:p w:rsidR="00AC0832" w:rsidRDefault="00AC0832">
            <w:pPr>
              <w:pStyle w:val="CellColumn"/>
            </w:pPr>
            <w:r>
              <w:t>16.493.871</w:t>
            </w:r>
          </w:p>
        </w:tc>
        <w:tc>
          <w:tcPr>
            <w:tcW w:w="2322" w:type="dxa"/>
          </w:tcPr>
          <w:p w:rsidR="00AC0832" w:rsidRDefault="00AC0832">
            <w:pPr>
              <w:pStyle w:val="CellColumn"/>
            </w:pPr>
            <w:r>
              <w:t>15.410.430</w:t>
            </w:r>
          </w:p>
        </w:tc>
        <w:tc>
          <w:tcPr>
            <w:tcW w:w="2322" w:type="dxa"/>
          </w:tcPr>
          <w:p w:rsidR="00AC0832" w:rsidRDefault="00AC0832">
            <w:pPr>
              <w:pStyle w:val="CellColumn"/>
            </w:pPr>
            <w:r>
              <w:t>93,4</w:t>
            </w:r>
          </w:p>
        </w:tc>
      </w:tr>
      <w:tr w:rsidR="00AC0832" w:rsidTr="00BE20ED">
        <w:trPr>
          <w:jc w:val="center"/>
        </w:trPr>
        <w:tc>
          <w:tcPr>
            <w:tcW w:w="2322" w:type="dxa"/>
          </w:tcPr>
          <w:p w:rsidR="00AC0832" w:rsidRDefault="00AC0832">
            <w:pPr>
              <w:pStyle w:val="CellColumn"/>
            </w:pPr>
            <w:r>
              <w:t>08091-Agencije i ostale javne ustanove u znanosti, obrazovanju i sportu</w:t>
            </w:r>
          </w:p>
        </w:tc>
        <w:tc>
          <w:tcPr>
            <w:tcW w:w="2322" w:type="dxa"/>
          </w:tcPr>
          <w:p w:rsidR="00AC0832" w:rsidRDefault="00AC0832">
            <w:pPr>
              <w:pStyle w:val="CellColumn"/>
            </w:pPr>
            <w:r>
              <w:t>427.071.904</w:t>
            </w:r>
          </w:p>
        </w:tc>
        <w:tc>
          <w:tcPr>
            <w:tcW w:w="2322" w:type="dxa"/>
          </w:tcPr>
          <w:p w:rsidR="00AC0832" w:rsidRDefault="00AC0832">
            <w:pPr>
              <w:pStyle w:val="CellColumn"/>
            </w:pPr>
            <w:r>
              <w:t>418.325.992</w:t>
            </w:r>
          </w:p>
        </w:tc>
        <w:tc>
          <w:tcPr>
            <w:tcW w:w="2322" w:type="dxa"/>
          </w:tcPr>
          <w:p w:rsidR="00AC0832" w:rsidRDefault="00AC0832">
            <w:pPr>
              <w:pStyle w:val="CellColumn"/>
            </w:pPr>
            <w:r>
              <w:t>98,0</w:t>
            </w:r>
          </w:p>
        </w:tc>
      </w:tr>
      <w:tr w:rsidR="00AC0832" w:rsidTr="00BE20ED">
        <w:trPr>
          <w:jc w:val="center"/>
        </w:trPr>
        <w:tc>
          <w:tcPr>
            <w:tcW w:w="2322" w:type="dxa"/>
            <w:shd w:val="clear" w:color="auto" w:fill="B5C0D8"/>
          </w:tcPr>
          <w:p w:rsidR="00AC0832" w:rsidRDefault="00AC0832">
            <w:pPr>
              <w:pStyle w:val="CellColumn"/>
            </w:pPr>
            <w:r>
              <w:t>Ukupno 080-MINISTARSTVO ZNANOSTI, OBRAZOVANJA I SPORTA</w:t>
            </w:r>
          </w:p>
        </w:tc>
        <w:tc>
          <w:tcPr>
            <w:tcW w:w="2322" w:type="dxa"/>
            <w:shd w:val="clear" w:color="auto" w:fill="B5C0D8"/>
          </w:tcPr>
          <w:p w:rsidR="00AC0832" w:rsidRDefault="00AC0832">
            <w:pPr>
              <w:pStyle w:val="CellColumn"/>
            </w:pPr>
            <w:r>
              <w:t>12.025.075.190</w:t>
            </w:r>
          </w:p>
        </w:tc>
        <w:tc>
          <w:tcPr>
            <w:tcW w:w="2322" w:type="dxa"/>
            <w:shd w:val="clear" w:color="auto" w:fill="B5C0D8"/>
          </w:tcPr>
          <w:p w:rsidR="00AC0832" w:rsidRDefault="00AC0832">
            <w:pPr>
              <w:pStyle w:val="CellColumn"/>
            </w:pPr>
            <w:r>
              <w:t>11.978.726.926</w:t>
            </w:r>
          </w:p>
        </w:tc>
        <w:tc>
          <w:tcPr>
            <w:tcW w:w="2322" w:type="dxa"/>
            <w:shd w:val="clear" w:color="auto" w:fill="B5C0D8"/>
          </w:tcPr>
          <w:p w:rsidR="00AC0832" w:rsidRDefault="00AC0832">
            <w:pPr>
              <w:pStyle w:val="CellColumn"/>
            </w:pPr>
            <w:r>
              <w:t>99,6</w:t>
            </w:r>
          </w:p>
        </w:tc>
      </w:tr>
    </w:tbl>
    <w:p w:rsidR="00AC0832" w:rsidRDefault="00AC0832">
      <w:pPr>
        <w:jc w:val="left"/>
      </w:pPr>
    </w:p>
    <w:p w:rsidR="00AC0832" w:rsidRDefault="00AC0832">
      <w:pPr>
        <w:pStyle w:val="Heading2"/>
      </w:pPr>
      <w:r>
        <w:t>08005 Ministarstvo znanosti, obrazovanja i sporta</w:t>
      </w:r>
    </w:p>
    <w:p w:rsidR="00AC0832" w:rsidRDefault="00AC0832">
      <w:pPr>
        <w:pStyle w:val="Heading4"/>
      </w:pPr>
      <w:r>
        <w:t>Uvod</w:t>
      </w:r>
    </w:p>
    <w:p w:rsidR="00AC0832" w:rsidRDefault="00AC0832">
      <w:pPr>
        <w:pStyle w:val="Normal3"/>
      </w:pPr>
      <w:r>
        <w:t xml:space="preserve">Ministarstvo obavlja poslove koji se odnose na sustav predškolskog, osnovnog i srednjoškolskog odgoja i obrazovanja, učenički standard, osnivanje i nadzor ustanova kojima se osiguravaju financijski i materijalni uvjeti za rad u odgoju i obrazovanju djece, mladeži i odraslih za stjecanje znanja i vještina. Izrađuje nastavne planove i programe visoke naobrazbe u zemlji i inozemstvu, pospješuje razvitak znanstveno-istraživačke djelatnosti, znanstveno tehničkih informacija i komunikacija kao i razvitak znanosti i primjenu znanstvenih dostignuća u pojedinim područjima. </w:t>
      </w:r>
    </w:p>
    <w:p w:rsidR="00AC0832" w:rsidRDefault="00AC0832">
      <w:pPr>
        <w:pStyle w:val="Normal3"/>
      </w:pPr>
      <w:r>
        <w:t xml:space="preserve">Ministarstvo obavlja i poslove od posebnog interesa kao što su: planiranje i provođenje informatičke djelatnosti i njezino povezivanje u cjeloviti informacijski sustav u Republici Hrvatskoj, financira tehnološki razvitak, ostvaruje znanstvenu i tehnološku suradnju sa stranim zemljama u skladu s međunarodnim ugovorima te stipendiranje i specijalizaciju i praktičnu izobrazbu naših i stranih stručnjaka na osnovi međunarodnih sporazuma.  </w:t>
      </w:r>
    </w:p>
    <w:p w:rsidR="00AC0832" w:rsidRDefault="00AC0832">
      <w:pPr>
        <w:pStyle w:val="Normal3"/>
      </w:pPr>
      <w:r>
        <w:t xml:space="preserve">U cilju poticanja kontinuiranog razvoja sustava znanosti i tehnologije sustavno se poduzimaju radnje financiranja znanstvene infrastrukture (znanstvena oprema i njeno održavanje, redovno poslovanje laboratorija i nastambi za pokusne životinje, sustav znanstvenih novaka, znanstveno-istraživački projekti i programi, znanstveni časopisi i knjige i visokoškolski udžbenici, znanstvene udruge, organizacija znanstvenih skupova, programi Nacionalne zaklade za znanost). Kroz dostupne EU fondove podupire se izgradnja transfera tehnologije i podrška uslugama za novonastale tvrtke utemeljene na znanju. U području odgoja, obrazovanja, znanosti i tehnologije sustavno se provode aktivnosti poticanja i provođenja međunarodne suradnje Republike Hrvatske, temeljeno na bilateralnim i multilateralnih međunarodnim ugovorima i provedbenim programima suradnje, a što se uglavnom provodi kroz razmjenu različitih oblika stipendija u svim kategorijama te provedbom zajedničkih (znanstvenoistraživačkih) projekata. </w:t>
      </w:r>
    </w:p>
    <w:p w:rsidR="00AC0832" w:rsidRDefault="00AC0832">
      <w:pPr>
        <w:pStyle w:val="Normal3"/>
      </w:pPr>
      <w:r>
        <w:t>Tjelesno vježbanje i sport sastavni su dio odgojno-obrazovanoga sustava. Za zdrav rast pojedinca i njegov razvoj potrebno je od najranije dobi promicati bavljenje sportom kod djece, mladih i studenata. Jednako tako, od najranije dobi potrebno je provoditi programe stvaranja uvjeta za ravnomjerno zastupljeno bavljenje sportom u sklopu odgojno-obrazovnoga sustava radi osobnoga razvoja i zdravlja te prevencije i zaštite pojedinca i zajednice kao i postignuća vrhunskih rezultata na međunarodnim natjecanjima.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08005-Ministarstvo znanosti, obrazovanja i sporta</w:t>
            </w:r>
          </w:p>
        </w:tc>
        <w:tc>
          <w:tcPr>
            <w:tcW w:w="2322" w:type="dxa"/>
          </w:tcPr>
          <w:p w:rsidR="00AC0832" w:rsidRDefault="00AC0832">
            <w:pPr>
              <w:pStyle w:val="CellColumn"/>
            </w:pPr>
            <w:r>
              <w:t>8.319.599.355</w:t>
            </w:r>
          </w:p>
        </w:tc>
        <w:tc>
          <w:tcPr>
            <w:tcW w:w="2322" w:type="dxa"/>
          </w:tcPr>
          <w:p w:rsidR="00AC0832" w:rsidRDefault="00AC0832">
            <w:pPr>
              <w:pStyle w:val="CellColumn"/>
            </w:pPr>
            <w:r>
              <w:t>8.286.655.292</w:t>
            </w:r>
          </w:p>
        </w:tc>
        <w:tc>
          <w:tcPr>
            <w:tcW w:w="2322" w:type="dxa"/>
          </w:tcPr>
          <w:p w:rsidR="00AC0832" w:rsidRDefault="00AC0832">
            <w:pPr>
              <w:pStyle w:val="CellColumn"/>
            </w:pPr>
            <w:r>
              <w:t>99,6</w:t>
            </w:r>
          </w:p>
        </w:tc>
      </w:tr>
      <w:tr w:rsidR="00AC0832" w:rsidTr="00BE20ED">
        <w:trPr>
          <w:jc w:val="center"/>
        </w:trPr>
        <w:tc>
          <w:tcPr>
            <w:tcW w:w="2322" w:type="dxa"/>
          </w:tcPr>
          <w:p w:rsidR="00AC0832" w:rsidRDefault="00AC0832">
            <w:pPr>
              <w:pStyle w:val="CellColumnSmall"/>
            </w:pPr>
            <w:r>
              <w:t>3701-RAZVOJ ODGOJNO OBRAZOVNOG SUSTAVA</w:t>
            </w:r>
          </w:p>
        </w:tc>
        <w:tc>
          <w:tcPr>
            <w:tcW w:w="2322" w:type="dxa"/>
          </w:tcPr>
          <w:p w:rsidR="00AC0832" w:rsidRDefault="00AC0832">
            <w:pPr>
              <w:pStyle w:val="CellColumnSmall"/>
            </w:pPr>
            <w:r>
              <w:t>214.591.071</w:t>
            </w:r>
          </w:p>
        </w:tc>
        <w:tc>
          <w:tcPr>
            <w:tcW w:w="2322" w:type="dxa"/>
          </w:tcPr>
          <w:p w:rsidR="00AC0832" w:rsidRDefault="00AC0832">
            <w:pPr>
              <w:pStyle w:val="CellColumnSmall"/>
            </w:pPr>
            <w:r>
              <w:t>209.208.130</w:t>
            </w:r>
          </w:p>
        </w:tc>
        <w:tc>
          <w:tcPr>
            <w:tcW w:w="2322" w:type="dxa"/>
          </w:tcPr>
          <w:p w:rsidR="00AC0832" w:rsidRDefault="00AC0832">
            <w:pPr>
              <w:pStyle w:val="CellColumnSmall"/>
            </w:pPr>
            <w:r>
              <w:t>97,5</w:t>
            </w:r>
          </w:p>
        </w:tc>
      </w:tr>
      <w:tr w:rsidR="00AC0832" w:rsidTr="00BE20ED">
        <w:trPr>
          <w:jc w:val="center"/>
        </w:trPr>
        <w:tc>
          <w:tcPr>
            <w:tcW w:w="2322" w:type="dxa"/>
          </w:tcPr>
          <w:p w:rsidR="00AC0832" w:rsidRDefault="00AC0832">
            <w:pPr>
              <w:pStyle w:val="CellColumnSmall"/>
            </w:pPr>
            <w:r>
              <w:t>3702-PREDŠKOLSKI ODGOJ</w:t>
            </w:r>
          </w:p>
        </w:tc>
        <w:tc>
          <w:tcPr>
            <w:tcW w:w="2322" w:type="dxa"/>
          </w:tcPr>
          <w:p w:rsidR="00AC0832" w:rsidRDefault="00AC0832">
            <w:pPr>
              <w:pStyle w:val="CellColumnSmall"/>
            </w:pPr>
            <w:r>
              <w:t>15.339.970</w:t>
            </w:r>
          </w:p>
        </w:tc>
        <w:tc>
          <w:tcPr>
            <w:tcW w:w="2322" w:type="dxa"/>
          </w:tcPr>
          <w:p w:rsidR="00AC0832" w:rsidRDefault="00AC0832">
            <w:pPr>
              <w:pStyle w:val="CellColumnSmall"/>
            </w:pPr>
            <w:r>
              <w:t>15.227.455</w:t>
            </w:r>
          </w:p>
        </w:tc>
        <w:tc>
          <w:tcPr>
            <w:tcW w:w="2322" w:type="dxa"/>
          </w:tcPr>
          <w:p w:rsidR="00AC0832" w:rsidRDefault="00AC0832">
            <w:pPr>
              <w:pStyle w:val="CellColumnSmall"/>
            </w:pPr>
            <w:r>
              <w:t>99,3</w:t>
            </w:r>
          </w:p>
        </w:tc>
      </w:tr>
      <w:tr w:rsidR="00AC0832" w:rsidTr="00BE20ED">
        <w:trPr>
          <w:jc w:val="center"/>
        </w:trPr>
        <w:tc>
          <w:tcPr>
            <w:tcW w:w="2322" w:type="dxa"/>
          </w:tcPr>
          <w:p w:rsidR="00AC0832" w:rsidRDefault="00AC0832">
            <w:pPr>
              <w:pStyle w:val="CellColumnSmall"/>
            </w:pPr>
            <w:r>
              <w:t>3703-OSNOVNOŠKOLSKO OBRAZOVANJE</w:t>
            </w:r>
          </w:p>
        </w:tc>
        <w:tc>
          <w:tcPr>
            <w:tcW w:w="2322" w:type="dxa"/>
          </w:tcPr>
          <w:p w:rsidR="00AC0832" w:rsidRDefault="00AC0832">
            <w:pPr>
              <w:pStyle w:val="CellColumnSmall"/>
            </w:pPr>
            <w:r>
              <w:t>4.683.780.167</w:t>
            </w:r>
          </w:p>
        </w:tc>
        <w:tc>
          <w:tcPr>
            <w:tcW w:w="2322" w:type="dxa"/>
          </w:tcPr>
          <w:p w:rsidR="00AC0832" w:rsidRDefault="00AC0832">
            <w:pPr>
              <w:pStyle w:val="CellColumnSmall"/>
            </w:pPr>
            <w:r>
              <w:t>4.683.627.018</w:t>
            </w:r>
          </w:p>
        </w:tc>
        <w:tc>
          <w:tcPr>
            <w:tcW w:w="2322" w:type="dxa"/>
          </w:tcPr>
          <w:p w:rsidR="00AC0832" w:rsidRDefault="00AC0832">
            <w:pPr>
              <w:pStyle w:val="CellColumnSmall"/>
            </w:pPr>
            <w:r>
              <w:t>100,0</w:t>
            </w:r>
          </w:p>
        </w:tc>
      </w:tr>
      <w:tr w:rsidR="00AC0832" w:rsidTr="00BE20ED">
        <w:trPr>
          <w:jc w:val="center"/>
        </w:trPr>
        <w:tc>
          <w:tcPr>
            <w:tcW w:w="2322" w:type="dxa"/>
          </w:tcPr>
          <w:p w:rsidR="00AC0832" w:rsidRDefault="00AC0832">
            <w:pPr>
              <w:pStyle w:val="CellColumnSmall"/>
            </w:pPr>
            <w:r>
              <w:t>3704-SREDNJOŠKOLSKO OBRAZOVANJE</w:t>
            </w:r>
          </w:p>
        </w:tc>
        <w:tc>
          <w:tcPr>
            <w:tcW w:w="2322" w:type="dxa"/>
          </w:tcPr>
          <w:p w:rsidR="00AC0832" w:rsidRDefault="00AC0832">
            <w:pPr>
              <w:pStyle w:val="CellColumnSmall"/>
            </w:pPr>
            <w:r>
              <w:t>2.546.837.545</w:t>
            </w:r>
          </w:p>
        </w:tc>
        <w:tc>
          <w:tcPr>
            <w:tcW w:w="2322" w:type="dxa"/>
          </w:tcPr>
          <w:p w:rsidR="00AC0832" w:rsidRDefault="00AC0832">
            <w:pPr>
              <w:pStyle w:val="CellColumnSmall"/>
            </w:pPr>
            <w:r>
              <w:t>2.546.801.416</w:t>
            </w:r>
          </w:p>
        </w:tc>
        <w:tc>
          <w:tcPr>
            <w:tcW w:w="2322" w:type="dxa"/>
          </w:tcPr>
          <w:p w:rsidR="00AC0832" w:rsidRDefault="00AC0832">
            <w:pPr>
              <w:pStyle w:val="CellColumnSmall"/>
            </w:pPr>
            <w:r>
              <w:t>100,0</w:t>
            </w:r>
          </w:p>
        </w:tc>
      </w:tr>
      <w:tr w:rsidR="00AC0832" w:rsidTr="00BE20ED">
        <w:trPr>
          <w:jc w:val="center"/>
        </w:trPr>
        <w:tc>
          <w:tcPr>
            <w:tcW w:w="2322" w:type="dxa"/>
          </w:tcPr>
          <w:p w:rsidR="00AC0832" w:rsidRDefault="00AC0832">
            <w:pPr>
              <w:pStyle w:val="CellColumnSmall"/>
            </w:pPr>
            <w:r>
              <w:t>3705-VISOKO OBRAZOVANJE</w:t>
            </w:r>
          </w:p>
        </w:tc>
        <w:tc>
          <w:tcPr>
            <w:tcW w:w="2322" w:type="dxa"/>
          </w:tcPr>
          <w:p w:rsidR="00AC0832" w:rsidRDefault="00AC0832">
            <w:pPr>
              <w:pStyle w:val="CellColumnSmall"/>
            </w:pPr>
            <w:r>
              <w:t>23.441.464</w:t>
            </w:r>
          </w:p>
        </w:tc>
        <w:tc>
          <w:tcPr>
            <w:tcW w:w="2322" w:type="dxa"/>
          </w:tcPr>
          <w:p w:rsidR="00AC0832" w:rsidRDefault="00AC0832">
            <w:pPr>
              <w:pStyle w:val="CellColumnSmall"/>
            </w:pPr>
            <w:r>
              <w:t>23.441.463</w:t>
            </w:r>
          </w:p>
        </w:tc>
        <w:tc>
          <w:tcPr>
            <w:tcW w:w="2322" w:type="dxa"/>
          </w:tcPr>
          <w:p w:rsidR="00AC0832" w:rsidRDefault="00AC0832">
            <w:pPr>
              <w:pStyle w:val="CellColumnSmall"/>
            </w:pPr>
            <w:r>
              <w:t>100,0</w:t>
            </w:r>
          </w:p>
        </w:tc>
      </w:tr>
      <w:tr w:rsidR="00AC0832" w:rsidTr="00BE20ED">
        <w:trPr>
          <w:jc w:val="center"/>
        </w:trPr>
        <w:tc>
          <w:tcPr>
            <w:tcW w:w="2322" w:type="dxa"/>
          </w:tcPr>
          <w:p w:rsidR="00AC0832" w:rsidRDefault="00AC0832">
            <w:pPr>
              <w:pStyle w:val="CellColumnSmall"/>
            </w:pPr>
            <w:r>
              <w:t>3801-ULAGANJE U ZNANSTVENO ISTRAŽIVAČKU DJELATNOST</w:t>
            </w:r>
          </w:p>
        </w:tc>
        <w:tc>
          <w:tcPr>
            <w:tcW w:w="2322" w:type="dxa"/>
          </w:tcPr>
          <w:p w:rsidR="00AC0832" w:rsidRDefault="00AC0832">
            <w:pPr>
              <w:pStyle w:val="CellColumnSmall"/>
            </w:pPr>
            <w:r>
              <w:t>618.199.982</w:t>
            </w:r>
          </w:p>
        </w:tc>
        <w:tc>
          <w:tcPr>
            <w:tcW w:w="2322" w:type="dxa"/>
          </w:tcPr>
          <w:p w:rsidR="00AC0832" w:rsidRDefault="00AC0832">
            <w:pPr>
              <w:pStyle w:val="CellColumnSmall"/>
            </w:pPr>
            <w:r>
              <w:t>585.146.141</w:t>
            </w:r>
          </w:p>
        </w:tc>
        <w:tc>
          <w:tcPr>
            <w:tcW w:w="2322" w:type="dxa"/>
          </w:tcPr>
          <w:p w:rsidR="00AC0832" w:rsidRDefault="00AC0832">
            <w:pPr>
              <w:pStyle w:val="CellColumnSmall"/>
            </w:pPr>
            <w:r>
              <w:t>94,7</w:t>
            </w:r>
          </w:p>
        </w:tc>
      </w:tr>
      <w:tr w:rsidR="00AC0832" w:rsidTr="00BE20ED">
        <w:trPr>
          <w:jc w:val="center"/>
        </w:trPr>
        <w:tc>
          <w:tcPr>
            <w:tcW w:w="2322" w:type="dxa"/>
          </w:tcPr>
          <w:p w:rsidR="00AC0832" w:rsidRDefault="00AC0832">
            <w:pPr>
              <w:pStyle w:val="CellColumnSmall"/>
            </w:pPr>
            <w:r>
              <w:t>3802-TEHNOLOGIJSKI RAZVITAK</w:t>
            </w:r>
          </w:p>
        </w:tc>
        <w:tc>
          <w:tcPr>
            <w:tcW w:w="2322" w:type="dxa"/>
          </w:tcPr>
          <w:p w:rsidR="00AC0832" w:rsidRDefault="00AC0832">
            <w:pPr>
              <w:pStyle w:val="CellColumnSmall"/>
            </w:pPr>
            <w:r>
              <w:t>11.518.956</w:t>
            </w:r>
          </w:p>
        </w:tc>
        <w:tc>
          <w:tcPr>
            <w:tcW w:w="2322" w:type="dxa"/>
          </w:tcPr>
          <w:p w:rsidR="00AC0832" w:rsidRDefault="00AC0832">
            <w:pPr>
              <w:pStyle w:val="CellColumnSmall"/>
            </w:pPr>
            <w:r>
              <w:t>13.408.342</w:t>
            </w:r>
          </w:p>
        </w:tc>
        <w:tc>
          <w:tcPr>
            <w:tcW w:w="2322" w:type="dxa"/>
          </w:tcPr>
          <w:p w:rsidR="00AC0832" w:rsidRDefault="00AC0832">
            <w:pPr>
              <w:pStyle w:val="CellColumnSmall"/>
            </w:pPr>
            <w:r>
              <w:t>116,4</w:t>
            </w:r>
          </w:p>
        </w:tc>
      </w:tr>
      <w:tr w:rsidR="00AC0832" w:rsidTr="00BE20ED">
        <w:trPr>
          <w:jc w:val="center"/>
        </w:trPr>
        <w:tc>
          <w:tcPr>
            <w:tcW w:w="2322" w:type="dxa"/>
          </w:tcPr>
          <w:p w:rsidR="00AC0832" w:rsidRDefault="00AC0832">
            <w:pPr>
              <w:pStyle w:val="CellColumnSmall"/>
            </w:pPr>
            <w:r>
              <w:t>3803-RAZVOJ INFORMACIJSKOG DRUŠTVA</w:t>
            </w:r>
          </w:p>
        </w:tc>
        <w:tc>
          <w:tcPr>
            <w:tcW w:w="2322" w:type="dxa"/>
          </w:tcPr>
          <w:p w:rsidR="00AC0832" w:rsidRDefault="00AC0832">
            <w:pPr>
              <w:pStyle w:val="CellColumnSmall"/>
            </w:pPr>
            <w:r>
              <w:t>20.738.309</w:t>
            </w:r>
          </w:p>
        </w:tc>
        <w:tc>
          <w:tcPr>
            <w:tcW w:w="2322" w:type="dxa"/>
          </w:tcPr>
          <w:p w:rsidR="00AC0832" w:rsidRDefault="00AC0832">
            <w:pPr>
              <w:pStyle w:val="CellColumnSmall"/>
            </w:pPr>
            <w:r>
              <w:t>20.067.009</w:t>
            </w:r>
          </w:p>
        </w:tc>
        <w:tc>
          <w:tcPr>
            <w:tcW w:w="2322" w:type="dxa"/>
          </w:tcPr>
          <w:p w:rsidR="00AC0832" w:rsidRDefault="00AC0832">
            <w:pPr>
              <w:pStyle w:val="CellColumnSmall"/>
            </w:pPr>
            <w:r>
              <w:t>96,8</w:t>
            </w:r>
          </w:p>
        </w:tc>
      </w:tr>
      <w:tr w:rsidR="00AC0832" w:rsidTr="00BE20ED">
        <w:trPr>
          <w:jc w:val="center"/>
        </w:trPr>
        <w:tc>
          <w:tcPr>
            <w:tcW w:w="2322" w:type="dxa"/>
          </w:tcPr>
          <w:p w:rsidR="00AC0832" w:rsidRDefault="00AC0832">
            <w:pPr>
              <w:pStyle w:val="CellColumnSmall"/>
            </w:pPr>
            <w:r>
              <w:t>3915-RAZVOJ SPORTA</w:t>
            </w:r>
          </w:p>
        </w:tc>
        <w:tc>
          <w:tcPr>
            <w:tcW w:w="2322" w:type="dxa"/>
          </w:tcPr>
          <w:p w:rsidR="00AC0832" w:rsidRDefault="00AC0832">
            <w:pPr>
              <w:pStyle w:val="CellColumnSmall"/>
            </w:pPr>
            <w:r>
              <w:t>185.151.891</w:t>
            </w:r>
          </w:p>
        </w:tc>
        <w:tc>
          <w:tcPr>
            <w:tcW w:w="2322" w:type="dxa"/>
          </w:tcPr>
          <w:p w:rsidR="00AC0832" w:rsidRDefault="00AC0832">
            <w:pPr>
              <w:pStyle w:val="CellColumnSmall"/>
            </w:pPr>
            <w:r>
              <w:t>189.728.318</w:t>
            </w:r>
          </w:p>
        </w:tc>
        <w:tc>
          <w:tcPr>
            <w:tcW w:w="2322" w:type="dxa"/>
          </w:tcPr>
          <w:p w:rsidR="00AC0832" w:rsidRDefault="00AC0832">
            <w:pPr>
              <w:pStyle w:val="CellColumnSmall"/>
            </w:pPr>
            <w:r>
              <w:t>102,5</w:t>
            </w:r>
          </w:p>
        </w:tc>
      </w:tr>
    </w:tbl>
    <w:p w:rsidR="00AC0832" w:rsidRDefault="00AC0832">
      <w:pPr>
        <w:jc w:val="left"/>
      </w:pPr>
    </w:p>
    <w:p w:rsidR="00AC0832" w:rsidRDefault="00AC0832">
      <w:pPr>
        <w:pStyle w:val="Heading4"/>
      </w:pPr>
      <w:r>
        <w:t>OBRAZLOŽENJE PROGRAMA</w:t>
      </w:r>
    </w:p>
    <w:p w:rsidR="00AC0832" w:rsidRDefault="00AC0832">
      <w:pPr>
        <w:pStyle w:val="Heading5"/>
      </w:pPr>
      <w:r>
        <w:t>3701 RAZVOJ ODGOJNO OBRAZOVNOG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3701-RAZVOJ ODGOJNO OBRAZOVNOG SUSTAVA</w:t>
            </w:r>
          </w:p>
        </w:tc>
        <w:tc>
          <w:tcPr>
            <w:tcW w:w="2322" w:type="dxa"/>
          </w:tcPr>
          <w:p w:rsidR="00AC0832" w:rsidRDefault="00AC0832">
            <w:pPr>
              <w:pStyle w:val="CellColumn"/>
            </w:pPr>
            <w:r>
              <w:t>214.591.071</w:t>
            </w:r>
          </w:p>
        </w:tc>
        <w:tc>
          <w:tcPr>
            <w:tcW w:w="2322" w:type="dxa"/>
          </w:tcPr>
          <w:p w:rsidR="00AC0832" w:rsidRDefault="00AC0832">
            <w:pPr>
              <w:pStyle w:val="CellColumn"/>
            </w:pPr>
            <w:r>
              <w:t>209.208.130</w:t>
            </w:r>
          </w:p>
        </w:tc>
        <w:tc>
          <w:tcPr>
            <w:tcW w:w="2322" w:type="dxa"/>
          </w:tcPr>
          <w:p w:rsidR="00AC0832" w:rsidRDefault="00AC0832">
            <w:pPr>
              <w:pStyle w:val="CellColumn"/>
            </w:pPr>
            <w:r>
              <w:t>97,5</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Provedba ovog Programa vezana je uz ostvarivanje cilja 1.2. Razvijati sustav osiguranja kvalitete na svim razinama sustava odgoja i obrazovanja, 2.3. Poticati mobilnost i međunarodnu suradnju hrvatskih znanstvenika. </w:t>
      </w:r>
    </w:p>
    <w:p w:rsidR="00AC0832" w:rsidRDefault="00AC0832">
      <w:pPr>
        <w:pStyle w:val="Normal5"/>
      </w:pPr>
      <w:r>
        <w:t xml:space="preserve">Kroz Program provodi se obavljanje stručnih i savjetodavnih poslova u odgoju i obrazovanju, sudjelovanje u praćenju, unapređivanju i razvoju odgoja i obrazovanja na području predškolskog odgoja, osnovnoškolskog i srednjoškolskog obrazovanja kao i provođenje stručnih ispita, nadzora, napredovanje u zvanje, stručnih skupova te natjecanja i smotri u predškolskim ustanovama, osnovnim i srednjim školama. Posebna se pozornost posvećuje cjeloživotnom učenju, radi uključivanja odraslih i nezaposlenih u prilagodljive obrazovne programe osposobljavanja za djelatno uključivanje u tržište rada. Nadalje, ovim Programom osigurava se pravo na obrazovanje pripadnika nacionalnih manjina u Republici Hrvatskoj. Kontinuirano poboljšavanje provedbe obrazovanja na jeziku i pismu nacionalnih manjina u svrhu unapređenja prava nacionalnih manjina i jačanja međuetničke tolerancije za stabilnost i demokratizaciju hrvatskog društva na putu za Europsku uniju te pomoći nacionalnim manjinama i njihovim udrugama u ostvarivanju njihove aktivnije uloge u društvu. </w:t>
      </w:r>
    </w:p>
    <w:p w:rsidR="00AC0832" w:rsidRDefault="00AC0832">
      <w:pPr>
        <w:pStyle w:val="Normal5"/>
      </w:pPr>
      <w:r>
        <w:t xml:space="preserve">U okviru Programa uključena je provedba reformskih inicijativa nacionalnog i međunarodnog karaktera. Riječ je o primjeni Hrvatskog kvalifikacijskog okvira kojim se uređuje sustav kvalifikacija u Republici Hrvatsko te sudjelovanje u europskim i ostalim međunarodnim inicijativama, tijelima, mrežama i projektima u kojima Ministarstvo znanosti obrazovanja i sporta ima svoje predstavnike. Nadalje, Program obuhvaća i promidžbu hrvatskog jezika i kulture kroz mrežu lektorata na visokim učilištima u svijetu. </w:t>
      </w:r>
    </w:p>
    <w:p w:rsidR="00AC0832" w:rsidRDefault="00AC0832">
      <w:pPr>
        <w:pStyle w:val="Normal5"/>
      </w:pPr>
      <w:r>
        <w:t>Jačanjem vlastitih potencijala, znanstvene, odgojno-obrazovne i akademske ustanove u Republici Hrvatskoj sustavno jačaju međusobnu suradnju, kao i suradnju s gospodarskim sektorom i međunarodnim fondovima. Pri tome Ministarstvo istima pruža punu podršku, poštujući načelo kako je međunarodna znanstvena suradnja jedan od ključnih preduvjeta u izgradnji društva znanja, te sukladno tome potičući i razvijajući punopravno sudjelovanje Republike Hrvatske u Sedmome okvirnom programu Europske zajednice za istraživanje, tehnološki razvoj i demonstracijske aktivnosti (FP7), kao i u nadolazećem Horizon 2020. – Okvirnom programu za istraživanje i inovacije (2014.-2020.). Ministarstvo sustavno radi na povećanju apsorpcijskog kapaciteta provedbom odgovarajućih mjera kojima se povećavaju broj i međunarodna konkurentnost prijedloga projekata te jačaju kapaciteti znanstvenih ustanova za provedbu i koordinaciju FP7 projekata. Dugogodišnjom provedbom multilateralne međunarodne suradnje s međunarodnim organizacijama (UN, UNESCO, OESS, OECD, IAEA, UNICEF, NATO, CERN, ITF, Vijeće Europe) i s regionalnim udruženjima (SEI, Alpe-Jadran, Vijeće za regionalnu suradnju, itd.), te bilateralne znanstvenoistraživačke, obrazovne i tehničke suradnje Republike Hrvatske s preko 85 zemalja svijeta, omogućuje se znanstvenoj zajednici, obrazovnim ustanovama i pojedincima punopravno sudjelovanje u programima i projektima od međunarodnog značaja. Uz potporu Agencije za mobilnost i programe Europske unije i EURAXESS centra, Ministarstvo omogućuje ugošćavanje znanstvenika i istraživača iz inozemstva za rad na znanstvenim ustanovama i znanstvenim projektima i programima u Republici Hrvatskoj, sukladno proceduri propisanoj Pravilnikom o načinu utvrđivanja uvjeta za odobrenje privremenog boravka strancima u svrhu znanstvenog istraživanja.</w:t>
      </w:r>
    </w:p>
    <w:p w:rsidR="00AC0832" w:rsidRDefault="00AC0832">
      <w:pPr>
        <w:pStyle w:val="Heading6"/>
      </w:pPr>
      <w:r>
        <w:t>Zakonske i druge pravne osnove</w:t>
      </w:r>
    </w:p>
    <w:p w:rsidR="00AC0832" w:rsidRDefault="00AC0832">
      <w:pPr>
        <w:pStyle w:val="Normal5"/>
      </w:pPr>
      <w:r>
        <w:t>Zakon o odgoju i obrazovanju u osnovnoj i srednjoj školi (NN, 87/08., 86/09., 92/10., 105/10.); Nacionalni program odgoja i obrazovanja za ljudska prava; Akcijski plan Desetljeća za uključivanje Roma 2005.-2015.; Strategija suzbijanja korupcije; Nacionalna strategija izjednačavanja mogućnosti za osobe s invaliditetom; Nacionalna politika promicanja ravnopravnosti spolova 2011.-2015.; Akcijski plan suzbijanja zlouporabe opojnih droga; Pravilnik o sastavu, imenovanju i načinu rada stručnog povjerenstva za prosudbu školskih udžbenika za osnovnu i srednju školu (NN 7/07., članak 10.); Strategija regionalnog razvoja; Udžbenički standard (NN, 7/07.); Ustavni zakon o pravima nacionalnih manjina; Zakon o Nagradi Ivan Filipović (NN 61/91. i 149/10.); Kodeks pozitivne prakse, standarda i mjerila za ostvarivanje financijske potpore programima i projektima udruga; Nacionalna strategija stvaranja poticajnog okruženja za razvoj civilnoga društva; Nacionalna strategija suzbijanja zlouporabe opojnih droga u Republici Hrvatskoj; Zakon o znanstvenoj djelatnosti i visokom obrazovanju (NN, 123/03., 105/04., 174/04., 2/07 Odluka USRH; 46/07. , 45/09. i 63/11.); Zakon o osiguranju kvalitete u znanosti i visokom obrazovanju (NN, 45/09.); Zakon o akademskim i stručnim nazivima i akademskom stupnju (NN, 107/07.); Zakon o priznavanju inozemnih obrazovnih kvalifikacija (NN,158/03., 198/03. i 138/06.); Zakon o reguliranim profesijama i priznavanju stručnih inozemnih kvalifikacija (NN, broj 124/09.) – veći dio primjenjivat će se stupanjem RH u EU.; Memorandum o razumijevanju između RH i Europske unije o sudjelovanju RH u programima Mladi na djelu i akcijskom programu u području cjeloživotnog učenja 2007.-2013 (NN-Međunarodni ugovori 4/2011); Zakon o informacijskoj sigurnosti (NN, 79/97); Zakon o elektroničkim komunikacijama (NN, 73/08, 90/11); Zakon o potvrđivanju Memoranduma o razumijevanju između Republike Hrvatske i Europske zajednice o pristupanju Republike Hrvatske Sedmom okvirnom programu Europske zajednice za istraživanje, tehnološki razvoj i demonstracijske aktivnosti (2007.-2013.); Zakonske osnove u provedbi bilateralnih i multilateralnih znanstveno-obrazovnih aktivnosti su međunarodni ugovori, sporazumi, provedbeni programi i protokoli koje je Republika Hrvatska potpisala s više od 85 zemalja svijeta, odnosno na  temelju kojih je postala članicom međunarodnih organizacija.</w:t>
      </w:r>
    </w:p>
    <w:p w:rsidR="00AC0832" w:rsidRDefault="00AC0832">
      <w:pPr>
        <w:pStyle w:val="Heading7"/>
      </w:pPr>
      <w:r>
        <w:t>Cilj 1. Razvijati sustav osiguranja kvalitete na svim razinama sustava odgoja i obrazovanja</w:t>
      </w:r>
    </w:p>
    <w:p w:rsidR="00AC0832" w:rsidRDefault="00AC0832">
      <w:pPr>
        <w:pStyle w:val="Heading8"/>
        <w:jc w:val="left"/>
      </w:pPr>
      <w:r>
        <w:t>Opis provedbe cilja programa</w:t>
      </w:r>
    </w:p>
    <w:p w:rsidR="00AC0832" w:rsidRDefault="00AC0832">
      <w:pPr>
        <w:pStyle w:val="Normal6"/>
      </w:pPr>
      <w:r>
        <w:t>Razvojem sustava osiguranja kvalitete postiže se učinkovit i djelotvoran obrazovni sustav. S tim u svezi, Ministarstvo je tijekom 2012. godine radilo na osiguravanju jednakih uvjeta provedbom odredaba državnih pedagoških standarda za predškolsku, osnovnoškolsku i srednjoškolsku razinu (NN 63/08. i 90/10.) kojima su postavljeni čvrsti temelji za daljnji razvoj i odgojno-obrazovni rad. Osiguravanje jednakih uvjeta provedbom odredaba državnih pedagoških standarda  stvaraju se uvjeti za osiguranje kvalitete u svim odgojno-obrazovnim ustanovama u Republici Hrvatskoj kao i jedinstveni uvjeti za kvalitetan odgojno-obrazovni rad i uspješno ostvarivanje ciljeva i zadataka u odgojnim i obrazovnim ustanovama. Također, u 2012. godini posvetila se pozornost praćenju i vrednovanju rezultata obrazovanja odnosno organizaciji i provedbi ispita državne mature kao sastavnice vanjskoga vrednovanja i samovrednovanja, kao i jačanju mehanizama nadzora nad upisnom politikom i rezultatima učenja sukladno društvenoj i gospodarskoj opravdanosti. Nastavilo se s osposobljavanjem učitelja i nastavnika, te s poticanjem napredovanja odgojitelja, učitelja i nastavnika kao i s poticanjem kreativnosti i individualnog pristupa rada s učenicima; sufinancirala se dodatna nastava i izvannastavne aktivnosti za darovite učenike koje potiču aktivno učenje i razvijanje učenikovih sposobnosti i mogućnosti, rasterećuju roditelje, a nastavnicima omogućuju kreativno djelovanje i primjenu različitih strategija učenja i poučavanja.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7"/>
        <w:gridCol w:w="1473"/>
        <w:gridCol w:w="1417"/>
        <w:gridCol w:w="1217"/>
        <w:gridCol w:w="1205"/>
        <w:gridCol w:w="1217"/>
        <w:gridCol w:w="124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odgojno-obrazovnih ustanova u kojima se vanjskim vrjednovanjem provjerava kvaliteta rada</w:t>
            </w:r>
          </w:p>
        </w:tc>
        <w:tc>
          <w:tcPr>
            <w:tcW w:w="1300" w:type="dxa"/>
          </w:tcPr>
          <w:p w:rsidR="00AC0832" w:rsidRDefault="00AC0832">
            <w:pPr>
              <w:pStyle w:val="CellColumn"/>
            </w:pPr>
            <w:r>
              <w:t>Broj odgojno-obrazovnih ustanova u kojima se vanjskim vrednovanjem provjerava i prati kvaliteta rada</w:t>
            </w:r>
          </w:p>
        </w:tc>
        <w:tc>
          <w:tcPr>
            <w:tcW w:w="1300" w:type="dxa"/>
          </w:tcPr>
          <w:p w:rsidR="00AC0832" w:rsidRDefault="00AC0832">
            <w:pPr>
              <w:pStyle w:val="CellColumn"/>
            </w:pPr>
            <w:r>
              <w:t>broj  (kumulativno)</w:t>
            </w:r>
          </w:p>
        </w:tc>
        <w:tc>
          <w:tcPr>
            <w:tcW w:w="1300" w:type="dxa"/>
          </w:tcPr>
          <w:p w:rsidR="00AC0832" w:rsidRDefault="00AC0832">
            <w:pPr>
              <w:pStyle w:val="CellColumn"/>
            </w:pPr>
            <w:r>
              <w:t>784</w:t>
            </w:r>
          </w:p>
        </w:tc>
        <w:tc>
          <w:tcPr>
            <w:tcW w:w="1300" w:type="dxa"/>
          </w:tcPr>
          <w:p w:rsidR="00AC0832" w:rsidRDefault="00AC0832">
            <w:pPr>
              <w:pStyle w:val="CellColumn"/>
            </w:pPr>
            <w:r>
              <w:t>MZOŠ, NCVV i AZVO</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585</w:t>
            </w:r>
          </w:p>
        </w:tc>
      </w:tr>
    </w:tbl>
    <w:p w:rsidR="00AC0832" w:rsidRDefault="00AC0832">
      <w:pPr>
        <w:jc w:val="left"/>
      </w:pPr>
    </w:p>
    <w:p w:rsidR="00AC0832" w:rsidRDefault="00AC0832">
      <w:pPr>
        <w:pStyle w:val="Heading7"/>
      </w:pPr>
      <w:r>
        <w:t>Cilj 2.  Razvijati Hrvatski kvalifikacijski okvir i standarde kvalifikacija</w:t>
      </w:r>
    </w:p>
    <w:p w:rsidR="00AC0832" w:rsidRDefault="00AC0832">
      <w:pPr>
        <w:pStyle w:val="Heading8"/>
        <w:jc w:val="left"/>
      </w:pPr>
      <w:r>
        <w:t>Opis provedbe cilja programa</w:t>
      </w:r>
    </w:p>
    <w:p w:rsidR="00AC0832" w:rsidRDefault="00AC0832">
      <w:pPr>
        <w:pStyle w:val="Normal6"/>
      </w:pPr>
      <w:r>
        <w:t xml:space="preserve">Hrvatski kvalifikacijski okvir je reformski instrument kojim se sukladno načelima Europskog kvalifikacijskog okvira planira uređivanje cjelokupnog sustava kvalifikacija na svim obrazovnim razinama kroz standarde kvalifikacija temeljene na ishodima učenja i usklađene s potrebama tržišta rada, pojedinca i društva u cjelini. Ministarstvo znanosti, obrazovanja i sporta nadležno je za provedbu zakonodavnog okvira HKO-a. Zakon o HKO-u stupio je na snagu u ožujku 2013. godine. Zakonom je predviđeno osnivanje sektorskih vijeća koja će kao stručna savjetodavna tijela, između ostalog, provoditi vrednovanje prijedloga skupova ishoda učenja, standarda zanimanja i standarda kvalifikacija. Sredstva za naknade članovima sektorskih vijeća, osiguravaju se u proračunu Ministarstva. Zakon predviđa i osnivanje Nacionalnog vijeća za razvoj ljudskih potencijala kao središnjeg strateškog tijela Republike Hrvatske za razvoj HKO-a koje prati i vrednuje učinke HKO-a u cijelosti i pojedinih njegovih elemenata, ocjenjuje povezanost obrazovanja s tržištem rada te prati rad sektorskih vijeća. Pored toga, radi osiguravanja kvalitete i transparentnosti primjene HKO-a u roku od dvije godine od dana stupanja na snagu Zakona, uspostavit će se i Registar HKO-a koji će omogućiti pohranjivanje i upravljanje podacima iz tri podregistara standarda kvalifikacija, skupova ishoda učenja i standarda zanimanja.  </w:t>
      </w:r>
    </w:p>
    <w:p w:rsidR="00AC0832" w:rsidRDefault="00AC0832">
      <w:pPr>
        <w:pStyle w:val="Normal6"/>
      </w:pPr>
      <w:r>
        <w:t>Republika Hrvatska sudjeluje u Otvorenoj metodi koordinacije europske obrazovne politike što podrazumijeva usklađenost sa strateškim ciljevima i prioritetima Europske unije te suradnju prema metodi suradničkog učenja (peer learning) sa zemljama članicama Europske unije. Ministarstvo znanosti, obrazovanja i sporta prijavljuje projekte na natječaje Izvršne agencije Europske komisije te sudjeluje u provedbi odobrenih projekata koji doprinose ostvarenju zajedničkih strateških ciljeva.</w:t>
      </w:r>
    </w:p>
    <w:p w:rsidR="00AC0832" w:rsidRDefault="00AC0832">
      <w:pPr>
        <w:pStyle w:val="Heading7"/>
      </w:pPr>
      <w:r>
        <w:t>Cilj 3. Financirati projekte iz EU fondova usmjerene na usklađivanje obrazovne ponude s potrebama tržišta rada</w:t>
      </w:r>
    </w:p>
    <w:p w:rsidR="00AC0832" w:rsidRDefault="00AC0832">
      <w:pPr>
        <w:pStyle w:val="Heading8"/>
        <w:jc w:val="left"/>
      </w:pPr>
      <w:r>
        <w:t>Opis provedbe cilja programa</w:t>
      </w:r>
    </w:p>
    <w:p w:rsidR="00AC0832" w:rsidRDefault="00AC0832">
      <w:pPr>
        <w:pStyle w:val="Normal6"/>
      </w:pPr>
      <w:r>
        <w:t xml:space="preserve">U cilju podizanja i održivosti kvalitete odgojno-obrazovnog sustava Republika Hrvatska potiče sudjelovanje odgojno-obrazovnih ustanova u međunarodnim projektima. Projekti se financiraju iz Programa za cjeloživotno učenje EU i iz njegovog pravnog slijednika programa „Erasmus za sve“ (od 2014.). Program za cjeloživotno učenje (LLP) je temeljni program Europske unije za financiranje mobilnosti i međunarodne suradnje među zemljama članicama Europske unije u području obrazovanja. Republika Hrvatska u njemu punopravno sudjeluje od 2011. temeljem Memoranduma o razumijevanju između RH i EU o pristupanju RH Programu za cjeloživotno učenje. Za punopravno sudjelovanje u predmetnom programu godišnje se plaća nacionalni doprinos. Program za cjeloživotno učenje provodi Agencija za mobilnost i programe Europske unije dok Ministarstvo znanosti obrazovanja i sporta provodi nadzor i kontrolu nad radom Agencije u provedbi programa. Ministarstvo je dužno svake godine Europskoj komisiji podnijeti Deklaraciju o jamstvu kojom potvrđuje ispravnost u upravljanju sredstvima EU. </w:t>
      </w:r>
    </w:p>
    <w:p w:rsidR="00AC0832" w:rsidRDefault="00AC0832">
      <w:pPr>
        <w:pStyle w:val="Normal6"/>
      </w:pPr>
      <w:r>
        <w:t xml:space="preserve">Visoka učilišta se kroz međunarodne projekte integriraju u Europski prostor visokog obrazovanja i provode Bolonjski proces. Cilj projekata je poticanje mobilnosti studenata i nastavnika te akreditiranje studijskih programa koja hrvatska visoka učilišta izvode u konzorciju s inozemnim visokim učilištima (združenih studija).           </w:t>
      </w:r>
    </w:p>
    <w:p w:rsidR="00AC0832" w:rsidRDefault="00AC0832">
      <w:pPr>
        <w:pStyle w:val="Normal6"/>
      </w:pPr>
      <w:r>
        <w:t>MZOS sukladno službenoj politici po kojoj je afirmacija hrvatskoga jezika, književnosti i kulture jedan od nedvojbenih prioriteta, skrbi i nadzire, u okvirima svojih nadležnosti, rad lektorata hrvatskog jezika i književnosti i centara za hrvatske studije na stranim visokim učilištima. Predložena sredstva su potrebna za rad sadašnjeg broja lektorata hrvatskog jezika i centara za hrvatske studije u inozemstvu.</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4"/>
        <w:gridCol w:w="1873"/>
        <w:gridCol w:w="1027"/>
        <w:gridCol w:w="1122"/>
        <w:gridCol w:w="1096"/>
        <w:gridCol w:w="1122"/>
        <w:gridCol w:w="117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udjela visokoobrazovanih osoba u populaciji od 25 do 64 godine</w:t>
            </w:r>
          </w:p>
        </w:tc>
        <w:tc>
          <w:tcPr>
            <w:tcW w:w="1300" w:type="dxa"/>
          </w:tcPr>
          <w:p w:rsidR="00AC0832" w:rsidRDefault="00AC0832">
            <w:pPr>
              <w:pStyle w:val="CellColumn"/>
            </w:pPr>
            <w:r>
              <w:t>Udio visokoobrazovanih osoba u odnosu na radno aktivno stanovništvo u RH sukladno metodologiji u EU</w:t>
            </w:r>
          </w:p>
        </w:tc>
        <w:tc>
          <w:tcPr>
            <w:tcW w:w="1300" w:type="dxa"/>
          </w:tcPr>
          <w:p w:rsidR="00AC0832" w:rsidRDefault="00AC0832">
            <w:pPr>
              <w:pStyle w:val="CellColumn"/>
            </w:pPr>
            <w:r>
              <w:t>postotni udio</w:t>
            </w:r>
          </w:p>
        </w:tc>
        <w:tc>
          <w:tcPr>
            <w:tcW w:w="1300" w:type="dxa"/>
          </w:tcPr>
          <w:p w:rsidR="00AC0832" w:rsidRDefault="00AC0832">
            <w:pPr>
              <w:pStyle w:val="CellColumn"/>
            </w:pPr>
            <w:r>
              <w:t>18,50</w:t>
            </w:r>
          </w:p>
        </w:tc>
        <w:tc>
          <w:tcPr>
            <w:tcW w:w="1300" w:type="dxa"/>
          </w:tcPr>
          <w:p w:rsidR="00AC0832" w:rsidRDefault="00AC0832">
            <w:pPr>
              <w:pStyle w:val="CellColumn"/>
            </w:pPr>
            <w:r>
              <w:t>MZOS</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18,50</w:t>
            </w:r>
          </w:p>
        </w:tc>
      </w:tr>
    </w:tbl>
    <w:p w:rsidR="00AC0832" w:rsidRDefault="00AC0832">
      <w:pPr>
        <w:jc w:val="left"/>
      </w:pPr>
    </w:p>
    <w:p w:rsidR="00AC0832" w:rsidRDefault="00AC0832">
      <w:pPr>
        <w:pStyle w:val="Heading7"/>
      </w:pPr>
      <w:r>
        <w:t>Cilj 4. Poticati mobilnost i međunarodnu suradnju hrvatskih znanstvenika</w:t>
      </w:r>
    </w:p>
    <w:p w:rsidR="00AC0832" w:rsidRDefault="00AC0832">
      <w:pPr>
        <w:pStyle w:val="Heading8"/>
        <w:jc w:val="left"/>
      </w:pPr>
      <w:r>
        <w:t>Opis provedbe cilja programa</w:t>
      </w:r>
    </w:p>
    <w:p w:rsidR="00AC0832" w:rsidRDefault="00AC0832">
      <w:pPr>
        <w:pStyle w:val="Normal6"/>
      </w:pPr>
      <w:r>
        <w:t xml:space="preserve">Sukladno Programu Vlade RH, Ministarstvo sustavno poduzima radnje jačanja znanstvenoistraživačke, obrazovne i tehničke bilateralne i multilateralne suradnje Republike Hrvatske, kako bi se ″osigurala unutarnja i vanjska, horizontalna i vertikalna mobilnost, osobito međunarodna suradnja u svim oblicima i na svim razinama″. </w:t>
      </w:r>
    </w:p>
    <w:p w:rsidR="00AC0832" w:rsidRDefault="00AC0832">
      <w:pPr>
        <w:pStyle w:val="Normal6"/>
      </w:pPr>
      <w:r>
        <w:t xml:space="preserve">Uz potporu Agencije za mobilnost i programe Europske Unije i EURAXESS centra Ministarstvo je i u 2012. godini kontinuirano djelovalo na provođenju aktivnosti ugošćavanja inozemnih znanstvenika i istraživača za rad na znanstvenim ustanovama i znanstvenim projektima i programima u Republici Hrvatskoj, te je u 2012. godini na ovaj način ugošćeno 17 inozemnih znanstvenika i istraživača, čime se ukupna brojka istih popela na 73. Donesen je novi Pravilnik o načinu utvrđivanja uvjeta za odobrenje privremenog boravka strancima u svrhu znanstvenog istraživanja (NN 92/12). </w:t>
      </w:r>
    </w:p>
    <w:p w:rsidR="00AC0832" w:rsidRDefault="00AC0832">
      <w:pPr>
        <w:pStyle w:val="Normal6"/>
      </w:pPr>
      <w:r>
        <w:t xml:space="preserve"> </w:t>
      </w:r>
    </w:p>
    <w:p w:rsidR="00AC0832" w:rsidRDefault="00AC0832">
      <w:pPr>
        <w:pStyle w:val="Normal6"/>
      </w:pPr>
      <w:r>
        <w:t xml:space="preserve">Tijekom 2012. godine održana je postojeća dinamika suradnje u provedbi multilateralnih znanstveno-obrazovnih projekata i programa, dok je, uslijed financijske krize, a uz ispunjenje postojećih ugovornih obveza, osiguran skroman napredak u proaktivnom djelovanju Ministarstva u multilateralnim suradnjama. Temeljem bilateralnih ugovora, programa i drugih provedbenih akata, a u skladu sa zajedničkim interesima i prioritetnim područjima u odnosu Republike Hrvatske s ukupno više od 85 zemalja svijeta, sufinancirana je provedba 185 dvogodišnjih bilateralnih znanstvenoistraživačkih projekata s 10 zemalja (Austrija, Crna Gora, Francuska, Japan, Kina, Makedonija, Njemačka, SAD, Slovenija i Srbija) u sklopu svih znanstvenih područja. </w:t>
      </w:r>
    </w:p>
    <w:p w:rsidR="00AC0832" w:rsidRDefault="00AC0832">
      <w:pPr>
        <w:pStyle w:val="Normal6"/>
      </w:pPr>
      <w:r>
        <w:t xml:space="preserve"> </w:t>
      </w:r>
    </w:p>
    <w:p w:rsidR="00AC0832" w:rsidRDefault="00AC0832">
      <w:pPr>
        <w:pStyle w:val="Normal6"/>
      </w:pPr>
      <w:r>
        <w:t>Republika Hrvatska nastavila je sa svojim punopravnim sudjelovanjem u razini s državama članicama Europske Unije u Sedmom okvirnom programu Europske zajednice za istraživanje, tehnološki razvoj i demonstracijske aktivnosti, kao temeljnom instrumentu Europske Unije za poticanje istraživanja i tehnološkog razvoja, te povećanje konkurentnosti u svjetskim razmjerima. Konstantno od 1992. godine, nastavljeno je s punopravnim sudjelovanjem Republike Hrvatske u COST-u (program europske suradnje u području znanosti i tehnologije), te redovitim sufinanciranjem sudjelovanja hrvatskih znanstvenika u COST projektima.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5"/>
        <w:gridCol w:w="1260"/>
        <w:gridCol w:w="967"/>
        <w:gridCol w:w="967"/>
        <w:gridCol w:w="3026"/>
        <w:gridCol w:w="967"/>
        <w:gridCol w:w="102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Rast vrijednosti hrvatskoga H-indeksa</w:t>
            </w:r>
          </w:p>
        </w:tc>
        <w:tc>
          <w:tcPr>
            <w:tcW w:w="1300" w:type="dxa"/>
          </w:tcPr>
          <w:p w:rsidR="00AC0832" w:rsidRDefault="00AC0832">
            <w:pPr>
              <w:pStyle w:val="CellColumn"/>
            </w:pPr>
            <w:r>
              <w:t>H-indeks je indeks koji kvantificira znanstvenu produktivnost i znanstveni utjecaj časopisa.</w:t>
            </w:r>
          </w:p>
        </w:tc>
        <w:tc>
          <w:tcPr>
            <w:tcW w:w="1300" w:type="dxa"/>
          </w:tcPr>
          <w:p w:rsidR="00AC0832" w:rsidRDefault="00AC0832">
            <w:pPr>
              <w:pStyle w:val="CellColumn"/>
            </w:pPr>
            <w:r>
              <w:t>vrijednost indeksa, 2010.</w:t>
            </w:r>
          </w:p>
        </w:tc>
        <w:tc>
          <w:tcPr>
            <w:tcW w:w="1300" w:type="dxa"/>
          </w:tcPr>
          <w:p w:rsidR="00AC0832" w:rsidRDefault="00AC0832">
            <w:pPr>
              <w:pStyle w:val="CellColumn"/>
            </w:pPr>
            <w:r>
              <w:t xml:space="preserve">110 </w:t>
            </w:r>
          </w:p>
          <w:p w:rsidR="00AC0832" w:rsidRDefault="00AC0832">
            <w:pPr>
              <w:pStyle w:val="CellColumn"/>
            </w:pPr>
            <w:r>
              <w:t>(2010.)</w:t>
            </w:r>
          </w:p>
        </w:tc>
        <w:tc>
          <w:tcPr>
            <w:tcW w:w="1300" w:type="dxa"/>
          </w:tcPr>
          <w:p w:rsidR="00AC0832" w:rsidRDefault="00AC0832">
            <w:pPr>
              <w:pStyle w:val="CellColumn"/>
            </w:pPr>
            <w:r>
              <w:t>http://www.scimagojr.com/index.php</w:t>
            </w:r>
          </w:p>
        </w:tc>
        <w:tc>
          <w:tcPr>
            <w:tcW w:w="1300" w:type="dxa"/>
          </w:tcPr>
          <w:p w:rsidR="00AC0832" w:rsidRDefault="00AC0832">
            <w:pPr>
              <w:pStyle w:val="CellColumn"/>
            </w:pPr>
            <w:r>
              <w:t>112</w:t>
            </w:r>
          </w:p>
        </w:tc>
        <w:tc>
          <w:tcPr>
            <w:tcW w:w="1300" w:type="dxa"/>
          </w:tcPr>
          <w:p w:rsidR="00AC0832" w:rsidRDefault="00AC0832">
            <w:pPr>
              <w:pStyle w:val="CellColumn"/>
            </w:pPr>
            <w:r>
              <w:t xml:space="preserve">132 </w:t>
            </w:r>
          </w:p>
          <w:p w:rsidR="00AC0832" w:rsidRDefault="00AC0832">
            <w:pPr>
              <w:pStyle w:val="CellColumn"/>
            </w:pPr>
            <w:r>
              <w:t>(2011.)</w:t>
            </w:r>
          </w:p>
        </w:tc>
      </w:tr>
    </w:tbl>
    <w:p w:rsidR="00AC0832" w:rsidRDefault="00AC0832">
      <w:pPr>
        <w:jc w:val="left"/>
      </w:pPr>
    </w:p>
    <w:p w:rsidR="00AC0832" w:rsidRDefault="00AC0832">
      <w:pPr>
        <w:pStyle w:val="Heading6"/>
      </w:pPr>
      <w:r>
        <w:t>A577009 PREVENCIJA OVISNOSTI U ŠKOLAMA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A577009-PREVENCIJA OVISNOSTI U ŠKOLAMA</w:t>
            </w:r>
          </w:p>
        </w:tc>
        <w:tc>
          <w:tcPr>
            <w:tcW w:w="2322" w:type="dxa"/>
          </w:tcPr>
          <w:p w:rsidR="00AC0832" w:rsidRDefault="00AC0832">
            <w:pPr>
              <w:pStyle w:val="CellColumn"/>
            </w:pPr>
            <w:r>
              <w:t>570.000</w:t>
            </w:r>
          </w:p>
        </w:tc>
        <w:tc>
          <w:tcPr>
            <w:tcW w:w="2322" w:type="dxa"/>
          </w:tcPr>
          <w:p w:rsidR="00AC0832" w:rsidRDefault="00AC0832">
            <w:pPr>
              <w:pStyle w:val="CellColumn"/>
            </w:pPr>
            <w:r>
              <w:t>105.925</w:t>
            </w:r>
          </w:p>
        </w:tc>
        <w:tc>
          <w:tcPr>
            <w:tcW w:w="2322" w:type="dxa"/>
          </w:tcPr>
          <w:p w:rsidR="00AC0832" w:rsidRDefault="00AC0832">
            <w:pPr>
              <w:pStyle w:val="CellColumn"/>
            </w:pPr>
            <w:r>
              <w:t>18,6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Temeljem Projekta resocijalizacije ovisnika o drogama koji su završili neki od programa odvikavanja od ovisnosti i rehabilitacije u terapijskoj zajednici ili zatvorskom sustavu, te ovisnika koji su u izvanbolničkom tretmanu i duže vrijeme stabilno održavaju apstinenciju i pridržavaju se propisanog načina liječenja donesenog na sjednici Vlade Republike Hrvatske dana 19. travnja 2007. godine, financirano je 20 korisnika (105.924,98 kn) Ujedno je resocijalizirano 156 korisnika iz zatvorskog sustava, ali je račun za isto došao tek u veljači 2013 te će biti isplaćen u ovoj kalendarskoj godini.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506"/>
        <w:gridCol w:w="1417"/>
        <w:gridCol w:w="1265"/>
        <w:gridCol w:w="1260"/>
        <w:gridCol w:w="1265"/>
        <w:gridCol w:w="127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korisnika preventivnih programa ovisnosti</w:t>
            </w:r>
          </w:p>
        </w:tc>
        <w:tc>
          <w:tcPr>
            <w:tcW w:w="1300" w:type="dxa"/>
          </w:tcPr>
          <w:p w:rsidR="00AC0832" w:rsidRDefault="00AC0832">
            <w:pPr>
              <w:pStyle w:val="CellColumn"/>
            </w:pPr>
            <w:r>
              <w:t>Osigurati provođenje Programa resocijalizacije djece i mladih</w:t>
            </w:r>
          </w:p>
        </w:tc>
        <w:tc>
          <w:tcPr>
            <w:tcW w:w="1300" w:type="dxa"/>
          </w:tcPr>
          <w:p w:rsidR="00AC0832" w:rsidRDefault="00AC0832">
            <w:pPr>
              <w:pStyle w:val="CellColumn"/>
            </w:pPr>
            <w:r>
              <w:t>Broj (kumulativno)</w:t>
            </w:r>
          </w:p>
        </w:tc>
        <w:tc>
          <w:tcPr>
            <w:tcW w:w="1300" w:type="dxa"/>
          </w:tcPr>
          <w:p w:rsidR="00AC0832" w:rsidRDefault="00AC0832">
            <w:pPr>
              <w:pStyle w:val="CellColumn"/>
            </w:pPr>
            <w:r>
              <w:t>2</w:t>
            </w:r>
          </w:p>
        </w:tc>
        <w:tc>
          <w:tcPr>
            <w:tcW w:w="1300" w:type="dxa"/>
          </w:tcPr>
          <w:p w:rsidR="00AC0832" w:rsidRDefault="00AC0832">
            <w:pPr>
              <w:pStyle w:val="CellColumn"/>
            </w:pPr>
            <w:r>
              <w:t>MZOS</w:t>
            </w:r>
          </w:p>
        </w:tc>
        <w:tc>
          <w:tcPr>
            <w:tcW w:w="1300" w:type="dxa"/>
          </w:tcPr>
          <w:p w:rsidR="00AC0832" w:rsidRDefault="00AC0832">
            <w:pPr>
              <w:pStyle w:val="CellColumn"/>
            </w:pPr>
            <w:r>
              <w:t>3</w:t>
            </w:r>
          </w:p>
        </w:tc>
        <w:tc>
          <w:tcPr>
            <w:tcW w:w="1300" w:type="dxa"/>
          </w:tcPr>
          <w:p w:rsidR="00AC0832" w:rsidRDefault="00AC0832">
            <w:pPr>
              <w:pStyle w:val="CellColumn"/>
            </w:pPr>
            <w:r>
              <w:t>5</w:t>
            </w:r>
          </w:p>
        </w:tc>
      </w:tr>
    </w:tbl>
    <w:p w:rsidR="00AC0832" w:rsidRDefault="00AC0832">
      <w:pPr>
        <w:jc w:val="left"/>
      </w:pPr>
    </w:p>
    <w:p w:rsidR="00AC0832" w:rsidRDefault="00AC0832">
      <w:pPr>
        <w:pStyle w:val="Heading6"/>
      </w:pPr>
      <w:r>
        <w:t>A577013 IZVANNASTAVNI PROGRAMI TEHNIČKE KULTURE U OSNOVNOŠKOLSKOM I SREDNJOŠKOLSKOM OBRAZOVANJU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1"/>
        <w:gridCol w:w="2306"/>
        <w:gridCol w:w="2308"/>
        <w:gridCol w:w="2313"/>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A577013-IZVANNASTAVNI PROGRAMI TEHNIČKE KULTURE U OSNOVNOŠKOLSKOM I SREDNJOŠKOLSKOM OBRAZOVANJU</w:t>
            </w:r>
          </w:p>
        </w:tc>
        <w:tc>
          <w:tcPr>
            <w:tcW w:w="2322" w:type="dxa"/>
          </w:tcPr>
          <w:p w:rsidR="00AC0832" w:rsidRDefault="00AC0832">
            <w:pPr>
              <w:pStyle w:val="CellColumn"/>
            </w:pPr>
            <w:r>
              <w:t>92.368</w:t>
            </w:r>
          </w:p>
        </w:tc>
        <w:tc>
          <w:tcPr>
            <w:tcW w:w="2322" w:type="dxa"/>
          </w:tcPr>
          <w:p w:rsidR="00AC0832" w:rsidRDefault="00AC0832">
            <w:pPr>
              <w:pStyle w:val="CellColumn"/>
            </w:pPr>
            <w:r>
              <w:t>92.368</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2012. izdvojena su sredstva za Hrvatsku zajednicu tehničke kulture koja je u Nacionalnom centru tehničke kulture u Kraljevici održala dvije ljetne škole za učenike osnovnoškolskog i srednjoškolskog uzrasta.</w:t>
      </w:r>
    </w:p>
    <w:p w:rsidR="00AC0832" w:rsidRDefault="00AC0832">
      <w:pPr>
        <w:pStyle w:val="Heading6"/>
      </w:pPr>
      <w:r>
        <w:t>A577015 DRŽAVNE NAGRADE ZA IZUZETNE REZULTATE U OBRAZOVANJU I TEHNIČKOJ KULTURI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A577015-DRŽAVNE NAGRADE ZA IZUZETNE REZULTATE U OBRAZOVANJU I TEHNIČKOJ KULTURI</w:t>
            </w:r>
          </w:p>
        </w:tc>
        <w:tc>
          <w:tcPr>
            <w:tcW w:w="2322" w:type="dxa"/>
          </w:tcPr>
          <w:p w:rsidR="00AC0832" w:rsidRDefault="00AC0832">
            <w:pPr>
              <w:pStyle w:val="CellColumn"/>
            </w:pPr>
            <w:r>
              <w:t>705.680</w:t>
            </w:r>
          </w:p>
        </w:tc>
        <w:tc>
          <w:tcPr>
            <w:tcW w:w="2322" w:type="dxa"/>
          </w:tcPr>
          <w:p w:rsidR="00AC0832" w:rsidRDefault="00AC0832">
            <w:pPr>
              <w:pStyle w:val="CellColumn"/>
            </w:pPr>
            <w:r>
              <w:t>532.986</w:t>
            </w:r>
          </w:p>
        </w:tc>
        <w:tc>
          <w:tcPr>
            <w:tcW w:w="2322" w:type="dxa"/>
          </w:tcPr>
          <w:p w:rsidR="00AC0832" w:rsidRDefault="00AC0832">
            <w:pPr>
              <w:pStyle w:val="CellColumn"/>
            </w:pPr>
            <w:r>
              <w:t>75,5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Sredstvima su se financirale Državna nagrada tehničke kulture Faust Vrančić te "Nagrada Ivan Filipović" za značajna ostvarenja u odgojno- obrazovnoj djelatnosti. Za izuzetne rezultate u obrazovanju i tehničkoj kulturi te za izniman doprinos razvitku i unapređivanju tehničke kulture u Republici Hrvatskoj u 2012. godini ukupno je dodijeljeno 14 nagrada, od toga jedna nagrada za životno djelo, 10 godišnjih nagrada pojedincima i 3 godišnje nagrade pravnim osobama. </w:t>
      </w:r>
    </w:p>
    <w:p w:rsidR="00AC0832" w:rsidRDefault="00AC0832">
      <w:pPr>
        <w:pStyle w:val="Normal6"/>
      </w:pPr>
      <w:r>
        <w:t>U 2012. godini ukupno je dodijeljeno 10 "Nagrada Ivan Filipović" od toga 8 godišnjih nagrada i 2 nagrade za životno djelo.</w:t>
      </w:r>
    </w:p>
    <w:p w:rsidR="00AC0832" w:rsidRDefault="00AC0832">
      <w:pPr>
        <w:pStyle w:val="Heading6"/>
      </w:pPr>
      <w:r>
        <w:t>A577016 PREVENCIJA NASILJA U ŠKOLAMA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A577016-PREVENCIJA NASILJA U ŠKOLAMA</w:t>
            </w:r>
          </w:p>
        </w:tc>
        <w:tc>
          <w:tcPr>
            <w:tcW w:w="2322" w:type="dxa"/>
          </w:tcPr>
          <w:p w:rsidR="00AC0832" w:rsidRDefault="00AC0832">
            <w:pPr>
              <w:pStyle w:val="CellColumn"/>
            </w:pPr>
            <w:r>
              <w:t>89.026</w:t>
            </w:r>
          </w:p>
        </w:tc>
        <w:tc>
          <w:tcPr>
            <w:tcW w:w="2322" w:type="dxa"/>
          </w:tcPr>
          <w:p w:rsidR="00AC0832" w:rsidRDefault="00AC0832">
            <w:pPr>
              <w:pStyle w:val="CellColumn"/>
            </w:pPr>
            <w:r>
              <w:t>89.026</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Financirao se rad timova za devet kriznih intervencija u sustavu odgoja i obrazovanja.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0"/>
        <w:gridCol w:w="1540"/>
        <w:gridCol w:w="1417"/>
        <w:gridCol w:w="1194"/>
        <w:gridCol w:w="1178"/>
        <w:gridCol w:w="1194"/>
        <w:gridCol w:w="122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programa izvannastavnih aktivnosti u svrhu prevencije nasilja u osnovnim i srednjim školama</w:t>
            </w:r>
          </w:p>
        </w:tc>
        <w:tc>
          <w:tcPr>
            <w:tcW w:w="1300" w:type="dxa"/>
          </w:tcPr>
          <w:p w:rsidR="00AC0832" w:rsidRDefault="00AC0832">
            <w:pPr>
              <w:pStyle w:val="CellColumn"/>
            </w:pPr>
            <w:r>
              <w:t>Sufinancirati nove programe izvannastavnih aktivnosti kojima će utjecati na prevenciju nasilja u osnovnim i srednjim školama</w:t>
            </w:r>
          </w:p>
        </w:tc>
        <w:tc>
          <w:tcPr>
            <w:tcW w:w="1300" w:type="dxa"/>
          </w:tcPr>
          <w:p w:rsidR="00AC0832" w:rsidRDefault="00AC0832">
            <w:pPr>
              <w:pStyle w:val="CellColumn"/>
            </w:pPr>
            <w:r>
              <w:t>Broj (kumulativno)</w:t>
            </w:r>
          </w:p>
        </w:tc>
        <w:tc>
          <w:tcPr>
            <w:tcW w:w="1300" w:type="dxa"/>
          </w:tcPr>
          <w:p w:rsidR="00AC0832" w:rsidRDefault="00AC0832">
            <w:pPr>
              <w:pStyle w:val="CellColumn"/>
            </w:pPr>
            <w:r>
              <w:t>50</w:t>
            </w:r>
          </w:p>
        </w:tc>
        <w:tc>
          <w:tcPr>
            <w:tcW w:w="1300" w:type="dxa"/>
          </w:tcPr>
          <w:p w:rsidR="00AC0832" w:rsidRDefault="00AC0832">
            <w:pPr>
              <w:pStyle w:val="CellColumn"/>
            </w:pPr>
            <w:r>
              <w:t>MZOS</w:t>
            </w:r>
          </w:p>
        </w:tc>
        <w:tc>
          <w:tcPr>
            <w:tcW w:w="1300" w:type="dxa"/>
          </w:tcPr>
          <w:p w:rsidR="00AC0832" w:rsidRDefault="00AC0832">
            <w:pPr>
              <w:pStyle w:val="CellColumn"/>
            </w:pPr>
            <w:r>
              <w:t>55</w:t>
            </w:r>
          </w:p>
        </w:tc>
        <w:tc>
          <w:tcPr>
            <w:tcW w:w="1300" w:type="dxa"/>
          </w:tcPr>
          <w:p w:rsidR="00AC0832" w:rsidRDefault="00AC0832">
            <w:pPr>
              <w:pStyle w:val="CellColumn"/>
            </w:pPr>
            <w:r>
              <w:t>50</w:t>
            </w:r>
          </w:p>
        </w:tc>
      </w:tr>
    </w:tbl>
    <w:p w:rsidR="00AC0832" w:rsidRDefault="00AC0832">
      <w:pPr>
        <w:jc w:val="left"/>
      </w:pPr>
    </w:p>
    <w:p w:rsidR="00AC0832" w:rsidRDefault="00AC0832">
      <w:pPr>
        <w:pStyle w:val="Heading6"/>
      </w:pPr>
      <w:r>
        <w:t>A577028 POTICAJI HRVATSKOJ ZAJEDNICI TEHNIČKE KULTURE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A577028-POTICAJI HRVATSKOJ ZAJEDNICI TEHNIČKE KULTURE</w:t>
            </w:r>
          </w:p>
        </w:tc>
        <w:tc>
          <w:tcPr>
            <w:tcW w:w="2322" w:type="dxa"/>
          </w:tcPr>
          <w:p w:rsidR="00AC0832" w:rsidRDefault="00AC0832">
            <w:pPr>
              <w:pStyle w:val="CellColumn"/>
            </w:pPr>
            <w:r>
              <w:t>13.093.006</w:t>
            </w:r>
          </w:p>
        </w:tc>
        <w:tc>
          <w:tcPr>
            <w:tcW w:w="2322" w:type="dxa"/>
          </w:tcPr>
          <w:p w:rsidR="00AC0832" w:rsidRDefault="00AC0832">
            <w:pPr>
              <w:pStyle w:val="CellColumn"/>
            </w:pPr>
            <w:r>
              <w:t>13.672.243</w:t>
            </w:r>
          </w:p>
        </w:tc>
        <w:tc>
          <w:tcPr>
            <w:tcW w:w="2322" w:type="dxa"/>
          </w:tcPr>
          <w:p w:rsidR="00AC0832" w:rsidRDefault="00AC0832">
            <w:pPr>
              <w:pStyle w:val="CellColumn"/>
            </w:pPr>
            <w:r>
              <w:t>104,4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Novčana sredstava Hrvatska zajednica tehničke kulture utrošena su za poticaje hrvatske zajednice tehničke kulture. U 2012. ukupno je bilo 17 korisnika čiji se rad financirao (Hrvatska zajednica tehničke kulture, Hrvatski zrakoplovni savez, Hrvatski radioamaterski savez, Hrvatski ronilački savez, Hrvatski filmski savez, Hrvatski fotosavez, Udruga inovatora Hrvatske, Hrvatski savez informatičara, Hrvatska udruga učeničkog zadrugarstva, Hrvatski kajakaški savez, Hrvatski astronautički i raketni savez, Hrvatski savez pedagoga tehničke kulture, Hrvatski automodelarski savez, Hrvatski savez CB radioklubova, Hrvatsko društvo za robotiku, Hrvatski savez brodomaketara, Hrvatski jedriličarski savez).  </w:t>
      </w:r>
    </w:p>
    <w:p w:rsidR="00AC0832" w:rsidRDefault="00AC0832">
      <w:pPr>
        <w:pStyle w:val="Normal6"/>
      </w:pPr>
      <w:r>
        <w:t>Sredstva su, također, utrošena i za potrebe nacionalnih saveza; obljetnice nacionalnih saveza, izvanredne jednokratne međunarodne manifestacije i poticaje organizacijskom razvoju nacionalnih saveza.</w:t>
      </w:r>
    </w:p>
    <w:p w:rsidR="00AC0832" w:rsidRDefault="00AC0832">
      <w:pPr>
        <w:pStyle w:val="Heading6"/>
      </w:pPr>
      <w:r>
        <w:t>A577124 HRVATSKA NASTAVA U INOZEMSTVU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A577124-HRVATSKA NASTAVA U INOZEMSTVU</w:t>
            </w:r>
          </w:p>
        </w:tc>
        <w:tc>
          <w:tcPr>
            <w:tcW w:w="2322" w:type="dxa"/>
          </w:tcPr>
          <w:p w:rsidR="00AC0832" w:rsidRDefault="00AC0832">
            <w:pPr>
              <w:pStyle w:val="CellColumn"/>
            </w:pPr>
            <w:r>
              <w:t>360.800</w:t>
            </w:r>
          </w:p>
        </w:tc>
        <w:tc>
          <w:tcPr>
            <w:tcW w:w="2322" w:type="dxa"/>
          </w:tcPr>
          <w:p w:rsidR="00AC0832" w:rsidRDefault="00AC0832">
            <w:pPr>
              <w:pStyle w:val="CellColumn"/>
            </w:pPr>
            <w:r>
              <w:t>354.350</w:t>
            </w:r>
          </w:p>
        </w:tc>
        <w:tc>
          <w:tcPr>
            <w:tcW w:w="2322" w:type="dxa"/>
          </w:tcPr>
          <w:p w:rsidR="00AC0832" w:rsidRDefault="00AC0832">
            <w:pPr>
              <w:pStyle w:val="CellColumn"/>
            </w:pPr>
            <w:r>
              <w:t>98,2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Sredstava na ovoj aktivnosti iskorištena su za održavanje sustava hrvatske nastave u inozemstvu koji se nalazi u nadležnosti ovoga Ministarstva (cca 6850 učenika i 95 učitelja u 20 država). Financirala se kupnja udžbenika, nastavnih materijala, lektirnih naslova i audiovizualnih materijala za novoizabrane učitelje hrvatske nastave u inozemstvu, kupnja pedagoške dokumentacije (školske knjižice i dnevnici rada i imenici), pretplata na Školske novine za koordinatore hrvatske nastave u inozemstvu, pretplata na časopise Smib, Modra lasta i Zrno za učitelje hrvatske nastave u inozemstvu, izrada informativnog priručnika za učitelje hrvatske nastave u inozemstvu, organiziranje pripremnog seminara za novoizabrane učitelje hrvatske nastave u inozemstvu (MZOS, srpanj 2012.), organiziranje seminara za učitelje hrvatske nastave u Belgiji, Francuskoj, Italiji, Nizozemskoj i Švicarskoj (Dietikon, Švicarska, svibanj 2012.).</w:t>
      </w:r>
    </w:p>
    <w:p w:rsidR="00AC0832" w:rsidRDefault="00AC0832">
      <w:pPr>
        <w:pStyle w:val="Heading6"/>
      </w:pPr>
      <w:r>
        <w:t>A577130 POTICAJI UDRUGAMA ZA IZVANNASTAVNE AKTIVNOSTI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A577130-POTICAJI UDRUGAMA ZA IZVANNASTAVNE AKTIVNOSTI</w:t>
            </w:r>
          </w:p>
        </w:tc>
        <w:tc>
          <w:tcPr>
            <w:tcW w:w="2322" w:type="dxa"/>
          </w:tcPr>
          <w:p w:rsidR="00AC0832" w:rsidRDefault="00AC0832">
            <w:pPr>
              <w:pStyle w:val="CellColumn"/>
            </w:pPr>
            <w:r>
              <w:t>6.661.932</w:t>
            </w:r>
          </w:p>
        </w:tc>
        <w:tc>
          <w:tcPr>
            <w:tcW w:w="2322" w:type="dxa"/>
          </w:tcPr>
          <w:p w:rsidR="00AC0832" w:rsidRDefault="00AC0832">
            <w:pPr>
              <w:pStyle w:val="CellColumn"/>
            </w:pPr>
            <w:r>
              <w:t>5.115.000</w:t>
            </w:r>
          </w:p>
        </w:tc>
        <w:tc>
          <w:tcPr>
            <w:tcW w:w="2322" w:type="dxa"/>
          </w:tcPr>
          <w:p w:rsidR="00AC0832" w:rsidRDefault="00AC0832">
            <w:pPr>
              <w:pStyle w:val="CellColumn"/>
            </w:pPr>
            <w:r>
              <w:t>76,8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školskoj godini 2012./2013. putem Natječaja za financijske potpore projektima udruga koje djeluju u području izvaninstitucionalnoga odgoja i obrazovanja djece i mladih sufinancirano je 102 projekta.</w:t>
      </w:r>
    </w:p>
    <w:p w:rsidR="00AC0832" w:rsidRDefault="00AC0832">
      <w:pPr>
        <w:pStyle w:val="Heading6"/>
      </w:pPr>
      <w:r>
        <w:t>A577131 POTICAJI OBRAZOVANJA NACIONALNIH MANJINA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A577131-POTICAJI OBRAZOVANJA NACIONALNIH MANJINA</w:t>
            </w:r>
          </w:p>
        </w:tc>
        <w:tc>
          <w:tcPr>
            <w:tcW w:w="2322" w:type="dxa"/>
          </w:tcPr>
          <w:p w:rsidR="00AC0832" w:rsidRDefault="00AC0832">
            <w:pPr>
              <w:pStyle w:val="CellColumn"/>
            </w:pPr>
            <w:r>
              <w:t>1.890.952</w:t>
            </w:r>
          </w:p>
        </w:tc>
        <w:tc>
          <w:tcPr>
            <w:tcW w:w="2322" w:type="dxa"/>
          </w:tcPr>
          <w:p w:rsidR="00AC0832" w:rsidRDefault="00AC0832">
            <w:pPr>
              <w:pStyle w:val="CellColumn"/>
            </w:pPr>
            <w:r>
              <w:t>1.890.952</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Sredstavima su se sufinancirale izrade i nabave udžbenika za nastavu na jeziku i pismu nacionalnih nastavnih sredstava i pomagala u redovnoj nastavi te rječnika, gramatika, brošura i drugih materijala u funkciji nastave na jeziku i pismu nacionalnih manjina. (Sufinanciranje otkupa prevedenih udžbenika OŠ srpske nacionalne manjine, sufinanciranje prevedenih knjiga za OŠ i SŠ za talijanski jezik, nabava lektire za potrebe učenika srpske nacionalne manjine, sufinanciranje izrade gramatike romskog jezika, sufinanciranje knjige "Romske narodne poslovice", sufinanciranje zbornika Svjetski dan romskog jezika, sufinanciranje nabavke lektire za potrebe učenika srpske nacionalne manjine, sufinanciranje tiska udžbenika za nastavu mađarskog jezika, sufinanciranje tiska prevedenih udžbenika na mađarskom jeziku.)</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6"/>
        <w:gridCol w:w="1300"/>
        <w:gridCol w:w="1417"/>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Održati broj učenika pripadnika nacionalnih manjina uključenih u nastavu na jeziku i pismu nacionalnih manjina u sustavu osnovnog i srednjeg obrazovanja</w:t>
            </w:r>
          </w:p>
        </w:tc>
        <w:tc>
          <w:tcPr>
            <w:tcW w:w="1300" w:type="dxa"/>
          </w:tcPr>
          <w:p w:rsidR="00AC0832" w:rsidRDefault="00AC0832">
            <w:pPr>
              <w:pStyle w:val="CellColumn"/>
            </w:pPr>
            <w:r>
              <w:t>Provođenje nastave po Modelu A, B i C te posebne oblike nastave za djece pripadnika nacionalnih manjina</w:t>
            </w:r>
          </w:p>
        </w:tc>
        <w:tc>
          <w:tcPr>
            <w:tcW w:w="1300" w:type="dxa"/>
          </w:tcPr>
          <w:p w:rsidR="00AC0832" w:rsidRDefault="00AC0832">
            <w:pPr>
              <w:pStyle w:val="CellColumn"/>
            </w:pPr>
            <w:r>
              <w:t>Broj (kumulativno)</w:t>
            </w:r>
          </w:p>
        </w:tc>
        <w:tc>
          <w:tcPr>
            <w:tcW w:w="1300" w:type="dxa"/>
          </w:tcPr>
          <w:p w:rsidR="00AC0832" w:rsidRDefault="00AC0832">
            <w:pPr>
              <w:pStyle w:val="CellColumn"/>
            </w:pPr>
            <w:r>
              <w:t>7.990</w:t>
            </w:r>
          </w:p>
        </w:tc>
        <w:tc>
          <w:tcPr>
            <w:tcW w:w="1300" w:type="dxa"/>
          </w:tcPr>
          <w:p w:rsidR="00AC0832" w:rsidRDefault="00AC0832">
            <w:pPr>
              <w:pStyle w:val="CellColumn"/>
            </w:pPr>
            <w:r>
              <w:t>MZOS</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8630</w:t>
            </w:r>
          </w:p>
        </w:tc>
      </w:tr>
    </w:tbl>
    <w:p w:rsidR="00AC0832" w:rsidRDefault="00AC0832">
      <w:pPr>
        <w:jc w:val="left"/>
      </w:pPr>
    </w:p>
    <w:p w:rsidR="00AC0832" w:rsidRDefault="00AC0832">
      <w:pPr>
        <w:pStyle w:val="Heading6"/>
      </w:pPr>
      <w:r>
        <w:t>A577132 POTICANJE MEĐUNARODNE OBRAZOVNE SURADNJE ŠKOLA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A577132-POTICANJE MEĐUNARODNE OBRAZOVNE SURADNJE ŠKOLA</w:t>
            </w:r>
          </w:p>
        </w:tc>
        <w:tc>
          <w:tcPr>
            <w:tcW w:w="2322" w:type="dxa"/>
          </w:tcPr>
          <w:p w:rsidR="00AC0832" w:rsidRDefault="00AC0832">
            <w:pPr>
              <w:pStyle w:val="CellColumn"/>
            </w:pPr>
            <w:r>
              <w:t>95.000</w:t>
            </w:r>
          </w:p>
        </w:tc>
        <w:tc>
          <w:tcPr>
            <w:tcW w:w="2322" w:type="dxa"/>
          </w:tcPr>
          <w:p w:rsidR="00AC0832" w:rsidRDefault="00AC0832">
            <w:pPr>
              <w:pStyle w:val="CellColumn"/>
            </w:pPr>
            <w:r>
              <w:t>94.818</w:t>
            </w:r>
          </w:p>
        </w:tc>
        <w:tc>
          <w:tcPr>
            <w:tcW w:w="2322" w:type="dxa"/>
          </w:tcPr>
          <w:p w:rsidR="00AC0832" w:rsidRDefault="00AC0832">
            <w:pPr>
              <w:pStyle w:val="CellColumn"/>
            </w:pPr>
            <w:r>
              <w:t>99,8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 temelju prijava pristiglih na Natječaj za potporu međunarodnoj suradnji osnovnih i srednjih škola sa školama iz europskih zemalja koje ne sudjeluju u Programu za cjeloživotno učenje i za suradnju sa školama i drugim ustanovama koje provode obrazovanje pripadnika hrvatske manjine u inozemstvu u 2012. godini, sredstva su prema preporuci Povjerenstva i odluci Ministra namjenski uplaćena na račune škola kojima su odobreni projekti međunarodne suradnje.</w:t>
      </w:r>
    </w:p>
    <w:p w:rsidR="00AC0832" w:rsidRDefault="00AC0832">
      <w:pPr>
        <w:pStyle w:val="Heading6"/>
      </w:pPr>
      <w:r>
        <w:t>A577133 POTICANJE PROGRAMA RADA S DAROVITIM UČENICIMA I STUDENTIMA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A577133-POTICANJE PROGRAMA RADA S DAROVITIM UČENICIMA I STUDENTIMA</w:t>
            </w:r>
          </w:p>
        </w:tc>
        <w:tc>
          <w:tcPr>
            <w:tcW w:w="2322" w:type="dxa"/>
          </w:tcPr>
          <w:p w:rsidR="00AC0832" w:rsidRDefault="00AC0832">
            <w:pPr>
              <w:pStyle w:val="CellColumn"/>
            </w:pPr>
            <w:r>
              <w:t>477.287</w:t>
            </w:r>
          </w:p>
        </w:tc>
        <w:tc>
          <w:tcPr>
            <w:tcW w:w="2322" w:type="dxa"/>
          </w:tcPr>
          <w:p w:rsidR="00AC0832" w:rsidRDefault="00AC0832">
            <w:pPr>
              <w:pStyle w:val="CellColumn"/>
            </w:pPr>
            <w:r>
              <w:t>418.140</w:t>
            </w:r>
          </w:p>
        </w:tc>
        <w:tc>
          <w:tcPr>
            <w:tcW w:w="2322" w:type="dxa"/>
          </w:tcPr>
          <w:p w:rsidR="00AC0832" w:rsidRDefault="00AC0832">
            <w:pPr>
              <w:pStyle w:val="CellColumn"/>
            </w:pPr>
            <w:r>
              <w:t>87,6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Sufinancirana su 24 programa rada s darovitim učenicima, odnosno financijska sredstava raspodjeljena su jednokratnim programa osnovnih i srednjih škola za rad s darovitim učenicima.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0"/>
        <w:gridCol w:w="1278"/>
        <w:gridCol w:w="1417"/>
        <w:gridCol w:w="1262"/>
        <w:gridCol w:w="1256"/>
        <w:gridCol w:w="1262"/>
        <w:gridCol w:w="127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programa dodatne nastave i izvannastavnih sadržaja za darovite učenike</w:t>
            </w:r>
          </w:p>
        </w:tc>
        <w:tc>
          <w:tcPr>
            <w:tcW w:w="1300" w:type="dxa"/>
          </w:tcPr>
          <w:p w:rsidR="00AC0832" w:rsidRDefault="00AC0832">
            <w:pPr>
              <w:pStyle w:val="CellColumn"/>
            </w:pPr>
            <w:r>
              <w:t>Donošenje propisa koji će definirati uvjete i način poticanja darovitih učenika</w:t>
            </w:r>
          </w:p>
        </w:tc>
        <w:tc>
          <w:tcPr>
            <w:tcW w:w="1300" w:type="dxa"/>
          </w:tcPr>
          <w:p w:rsidR="00AC0832" w:rsidRDefault="00AC0832">
            <w:pPr>
              <w:pStyle w:val="CellColumn"/>
            </w:pPr>
            <w:r>
              <w:t xml:space="preserve">Broj  </w:t>
            </w:r>
          </w:p>
          <w:p w:rsidR="00AC0832" w:rsidRDefault="00AC0832">
            <w:pPr>
              <w:pStyle w:val="CellColumn"/>
            </w:pPr>
            <w:r>
              <w:t>(kumulativno)</w:t>
            </w:r>
          </w:p>
        </w:tc>
        <w:tc>
          <w:tcPr>
            <w:tcW w:w="1300" w:type="dxa"/>
          </w:tcPr>
          <w:p w:rsidR="00AC0832" w:rsidRDefault="00AC0832">
            <w:pPr>
              <w:pStyle w:val="CellColumn"/>
            </w:pPr>
            <w:r>
              <w:t>0</w:t>
            </w:r>
          </w:p>
        </w:tc>
        <w:tc>
          <w:tcPr>
            <w:tcW w:w="1300" w:type="dxa"/>
          </w:tcPr>
          <w:p w:rsidR="00AC0832" w:rsidRDefault="00AC0832">
            <w:pPr>
              <w:pStyle w:val="CellColumn"/>
            </w:pPr>
            <w:r>
              <w:t>MZOS</w:t>
            </w:r>
          </w:p>
        </w:tc>
        <w:tc>
          <w:tcPr>
            <w:tcW w:w="1300" w:type="dxa"/>
          </w:tcPr>
          <w:p w:rsidR="00AC0832" w:rsidRDefault="00AC0832">
            <w:pPr>
              <w:pStyle w:val="CellColumn"/>
            </w:pPr>
            <w:r>
              <w:t>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A577137 POSEBNI PROGRAMI OBRAZOVANJA ZA PROVOĐENJE PROGRAMA NACIONALNIH MANJINA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A577137-POSEBNI PROGRAMI OBRAZOVANJA ZA PROVOĐENJE PROGRAMA NACIONALNIH MANJINA</w:t>
            </w:r>
          </w:p>
        </w:tc>
        <w:tc>
          <w:tcPr>
            <w:tcW w:w="2322" w:type="dxa"/>
          </w:tcPr>
          <w:p w:rsidR="00AC0832" w:rsidRDefault="00AC0832">
            <w:pPr>
              <w:pStyle w:val="CellColumn"/>
            </w:pPr>
            <w:r>
              <w:t>1.181.800</w:t>
            </w:r>
          </w:p>
        </w:tc>
        <w:tc>
          <w:tcPr>
            <w:tcW w:w="2322" w:type="dxa"/>
          </w:tcPr>
          <w:p w:rsidR="00AC0832" w:rsidRDefault="00AC0832">
            <w:pPr>
              <w:pStyle w:val="CellColumn"/>
            </w:pPr>
            <w:r>
              <w:t>1.124.209</w:t>
            </w:r>
          </w:p>
        </w:tc>
        <w:tc>
          <w:tcPr>
            <w:tcW w:w="2322" w:type="dxa"/>
          </w:tcPr>
          <w:p w:rsidR="00AC0832" w:rsidRDefault="00AC0832">
            <w:pPr>
              <w:pStyle w:val="CellColumn"/>
            </w:pPr>
            <w:r>
              <w:t>95,1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2012. godini Ministarstvo je sufinanciralo 11 ljetnih škola (za učenike pripadnike češke, srpske, makedonske, rusinske, ukrajinske i romske nacionalne manjine), 2 stručna skupa za učitelje u nastavi na češkom jeziku i jedan stručni skup za učitelje u nastavi na slovačkom jeziku, školu u prirodi za učenike pripadnike slovačke nacionalne manjine, studijsko putovanje učitelja u nastavi na srpskom jeziku, učenje na daljinu za učenike pripadnike srpske nacionalne manjine, zimsku školu dramskog stvaralaštva za učenike pripadnike češke nacionalne manjine, susret s književnicom za učenike slovačke nacionalne manjine, projekt "Djeca zajedno", natjecanje u stvaralaštvu na češkom, mađarskom i slovačkom jeziku, gostovanje lutkarske skupine Češke OŠ JA Komenskog, rad savjetnika u nastavi na češkom, slovačkom i srpskom jeziku (refundiranje putnih troškova savjetnika-nadzornika).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6"/>
        <w:gridCol w:w="1300"/>
        <w:gridCol w:w="1417"/>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Održati broj učenika pripadnika nacionalnih manjina uključenih u nastavu na jeziku i pismu nacionalnih manjina u sustavu osnovnog i srednjeg obrazovanja</w:t>
            </w:r>
          </w:p>
        </w:tc>
        <w:tc>
          <w:tcPr>
            <w:tcW w:w="1300" w:type="dxa"/>
          </w:tcPr>
          <w:p w:rsidR="00AC0832" w:rsidRDefault="00AC0832">
            <w:pPr>
              <w:pStyle w:val="CellColumn"/>
            </w:pPr>
            <w:r>
              <w:t>Provođenje nastave po Modelu A, B i C te posebne oblike nastave za djece pripadnika nacionalnih manjina</w:t>
            </w:r>
          </w:p>
        </w:tc>
        <w:tc>
          <w:tcPr>
            <w:tcW w:w="1300" w:type="dxa"/>
          </w:tcPr>
          <w:p w:rsidR="00AC0832" w:rsidRDefault="00AC0832">
            <w:pPr>
              <w:pStyle w:val="CellColumn"/>
            </w:pPr>
            <w:r>
              <w:t>Broj (kumulativno)</w:t>
            </w:r>
          </w:p>
        </w:tc>
        <w:tc>
          <w:tcPr>
            <w:tcW w:w="1300" w:type="dxa"/>
          </w:tcPr>
          <w:p w:rsidR="00AC0832" w:rsidRDefault="00AC0832">
            <w:pPr>
              <w:pStyle w:val="CellColumn"/>
            </w:pPr>
            <w:r>
              <w:t>7.990</w:t>
            </w:r>
          </w:p>
        </w:tc>
        <w:tc>
          <w:tcPr>
            <w:tcW w:w="1300" w:type="dxa"/>
          </w:tcPr>
          <w:p w:rsidR="00AC0832" w:rsidRDefault="00AC0832">
            <w:pPr>
              <w:pStyle w:val="CellColumn"/>
            </w:pPr>
            <w:r>
              <w:t>MZOS</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8630</w:t>
            </w:r>
          </w:p>
        </w:tc>
      </w:tr>
    </w:tbl>
    <w:p w:rsidR="00AC0832" w:rsidRDefault="00AC0832">
      <w:pPr>
        <w:jc w:val="left"/>
      </w:pPr>
    </w:p>
    <w:p w:rsidR="00AC0832" w:rsidRDefault="00AC0832">
      <w:pPr>
        <w:pStyle w:val="Heading6"/>
      </w:pPr>
      <w:r>
        <w:t>A579004 POTICANJE IZVANNASTAVNIH AKTIVNOSTI U PREDŠKOLSKOM ODGOJU I OŠ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A579004-POTICANJE IZVANNASTAVNIH AKTIVNOSTI U PREDŠKOLSKOM ODGOJU I OŠ</w:t>
            </w:r>
          </w:p>
        </w:tc>
        <w:tc>
          <w:tcPr>
            <w:tcW w:w="2322" w:type="dxa"/>
          </w:tcPr>
          <w:p w:rsidR="00AC0832" w:rsidRDefault="00AC0832">
            <w:pPr>
              <w:pStyle w:val="CellColumn"/>
            </w:pPr>
            <w:r>
              <w:t>3.464.550</w:t>
            </w:r>
          </w:p>
        </w:tc>
        <w:tc>
          <w:tcPr>
            <w:tcW w:w="2322" w:type="dxa"/>
          </w:tcPr>
          <w:p w:rsidR="00AC0832" w:rsidRDefault="00AC0832">
            <w:pPr>
              <w:pStyle w:val="CellColumn"/>
            </w:pPr>
            <w:r>
              <w:t>3.276.986</w:t>
            </w:r>
          </w:p>
        </w:tc>
        <w:tc>
          <w:tcPr>
            <w:tcW w:w="2322" w:type="dxa"/>
          </w:tcPr>
          <w:p w:rsidR="00AC0832" w:rsidRDefault="00AC0832">
            <w:pPr>
              <w:pStyle w:val="CellColumn"/>
            </w:pPr>
            <w:r>
              <w:t>94,6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Sredstva su utrošena na sufinanciranje: 11 obljetnica osnovnih škola, časopis od značenja za oš, 5 izvannastavnih aktivnosti, 1.443 mentorstva i 2.031 stručna ispita u oš.</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0"/>
        <w:gridCol w:w="1278"/>
        <w:gridCol w:w="1417"/>
        <w:gridCol w:w="1262"/>
        <w:gridCol w:w="1256"/>
        <w:gridCol w:w="1262"/>
        <w:gridCol w:w="127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programa dodatne nastave i izvannastavnih sadržaja za darovite učenike</w:t>
            </w:r>
          </w:p>
        </w:tc>
        <w:tc>
          <w:tcPr>
            <w:tcW w:w="1300" w:type="dxa"/>
          </w:tcPr>
          <w:p w:rsidR="00AC0832" w:rsidRDefault="00AC0832">
            <w:pPr>
              <w:pStyle w:val="CellColumn"/>
            </w:pPr>
            <w:r>
              <w:t>Donošenje propisa koji će definirati uvjete i način poticanja darovitih učenika</w:t>
            </w:r>
          </w:p>
        </w:tc>
        <w:tc>
          <w:tcPr>
            <w:tcW w:w="1300" w:type="dxa"/>
          </w:tcPr>
          <w:p w:rsidR="00AC0832" w:rsidRDefault="00AC0832">
            <w:pPr>
              <w:pStyle w:val="CellColumn"/>
            </w:pPr>
            <w:r>
              <w:t xml:space="preserve">Broj  </w:t>
            </w:r>
          </w:p>
          <w:p w:rsidR="00AC0832" w:rsidRDefault="00AC0832">
            <w:pPr>
              <w:pStyle w:val="CellColumn"/>
            </w:pPr>
            <w:r>
              <w:t>(kumulativno)</w:t>
            </w:r>
          </w:p>
        </w:tc>
        <w:tc>
          <w:tcPr>
            <w:tcW w:w="1300" w:type="dxa"/>
          </w:tcPr>
          <w:p w:rsidR="00AC0832" w:rsidRDefault="00AC0832">
            <w:pPr>
              <w:pStyle w:val="CellColumn"/>
            </w:pPr>
            <w:r>
              <w:t>0</w:t>
            </w:r>
          </w:p>
        </w:tc>
        <w:tc>
          <w:tcPr>
            <w:tcW w:w="1300" w:type="dxa"/>
          </w:tcPr>
          <w:p w:rsidR="00AC0832" w:rsidRDefault="00AC0832">
            <w:pPr>
              <w:pStyle w:val="CellColumn"/>
            </w:pPr>
            <w:r>
              <w:t>MZOS</w:t>
            </w:r>
          </w:p>
        </w:tc>
        <w:tc>
          <w:tcPr>
            <w:tcW w:w="1300" w:type="dxa"/>
          </w:tcPr>
          <w:p w:rsidR="00AC0832" w:rsidRDefault="00AC0832">
            <w:pPr>
              <w:pStyle w:val="CellColumn"/>
            </w:pPr>
            <w:r>
              <w:t>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A580003 POTICANJE IZVANNASTAVNIH AKTIVNOSTI U SREDNJIM ŠKOLAMA I VISOKOŠKOLSKOM OBRAZOVANJU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A580003-POTICANJE IZVANNASTAVNIH AKTIVNOSTI U SREDNJIM ŠKOLAMA I VISOKOŠKOLSKOM OBRAZOVANJU</w:t>
            </w:r>
          </w:p>
        </w:tc>
        <w:tc>
          <w:tcPr>
            <w:tcW w:w="2322" w:type="dxa"/>
          </w:tcPr>
          <w:p w:rsidR="00AC0832" w:rsidRDefault="00AC0832">
            <w:pPr>
              <w:pStyle w:val="CellColumn"/>
            </w:pPr>
            <w:r>
              <w:t>2.510.108</w:t>
            </w:r>
          </w:p>
        </w:tc>
        <w:tc>
          <w:tcPr>
            <w:tcW w:w="2322" w:type="dxa"/>
          </w:tcPr>
          <w:p w:rsidR="00AC0832" w:rsidRDefault="00AC0832">
            <w:pPr>
              <w:pStyle w:val="CellColumn"/>
            </w:pPr>
            <w:r>
              <w:t>2.509.014</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Sredstva su utrošena na sufinanciranje: 5 obljetnica srednjih škola, časopis od značenja za sš, 9 olimpijada, 5 međunarodnih natjecanja, 821 mentorstvo i 841 stručni ispit u sš, 279 županijskih stručnih vijeća.</w:t>
      </w:r>
    </w:p>
    <w:p w:rsidR="00AC0832" w:rsidRDefault="00AC0832">
      <w:pPr>
        <w:pStyle w:val="Heading6"/>
      </w:pPr>
      <w:r>
        <w:t>A580006 STRUČNO USAVRŠAVANJE I IZOBRAZBA UČITELJA I NASTAVNIKA U SREDNJIM ŠKOLAMA I USAVRŠAVANJE ZA PROVEDBU NACIONALNIH PROGRAMA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A580006-STRUČNO USAVRŠAVANJE I IZOBRAZBA UČITELJA I NASTAVNIKA U SREDNJIM ŠKOLAMA I USAVRŠAVANJE ZA PROVEDBU NACIONALNIH PROGRAMA</w:t>
            </w:r>
          </w:p>
        </w:tc>
        <w:tc>
          <w:tcPr>
            <w:tcW w:w="2322" w:type="dxa"/>
          </w:tcPr>
          <w:p w:rsidR="00AC0832" w:rsidRDefault="00AC0832">
            <w:pPr>
              <w:pStyle w:val="CellColumn"/>
            </w:pPr>
            <w:r>
              <w:t>650.000</w:t>
            </w:r>
          </w:p>
        </w:tc>
        <w:tc>
          <w:tcPr>
            <w:tcW w:w="2322" w:type="dxa"/>
          </w:tcPr>
          <w:p w:rsidR="00AC0832" w:rsidRDefault="00AC0832">
            <w:pPr>
              <w:pStyle w:val="CellColumn"/>
            </w:pPr>
            <w:r>
              <w:t>649.400</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Sredstva su utrošena na financiranje organizacije i rada 382 županijska stručna vijeća.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95"/>
        <w:gridCol w:w="1300"/>
        <w:gridCol w:w="134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voditelja županijskih stručnih vijeća</w:t>
            </w:r>
          </w:p>
        </w:tc>
        <w:tc>
          <w:tcPr>
            <w:tcW w:w="1300" w:type="dxa"/>
          </w:tcPr>
          <w:p w:rsidR="00AC0832" w:rsidRDefault="00AC0832">
            <w:pPr>
              <w:pStyle w:val="CellColumn"/>
            </w:pPr>
            <w:r>
              <w:t>usavršavanje nastavnika u srednjim školama</w:t>
            </w:r>
          </w:p>
        </w:tc>
        <w:tc>
          <w:tcPr>
            <w:tcW w:w="1300" w:type="dxa"/>
          </w:tcPr>
          <w:p w:rsidR="00AC0832" w:rsidRDefault="00AC0832">
            <w:pPr>
              <w:pStyle w:val="CellColumn"/>
            </w:pPr>
            <w:r>
              <w:t>broj stručnih vijeća</w:t>
            </w:r>
          </w:p>
        </w:tc>
        <w:tc>
          <w:tcPr>
            <w:tcW w:w="1300" w:type="dxa"/>
          </w:tcPr>
          <w:p w:rsidR="00AC0832" w:rsidRDefault="00AC0832">
            <w:pPr>
              <w:pStyle w:val="CellColumn"/>
            </w:pPr>
            <w:r>
              <w:t>659 stručnih vijeća (školska godina 2010./2011.)</w:t>
            </w:r>
          </w:p>
        </w:tc>
        <w:tc>
          <w:tcPr>
            <w:tcW w:w="1300" w:type="dxa"/>
          </w:tcPr>
          <w:p w:rsidR="00AC0832" w:rsidRDefault="00AC0832">
            <w:pPr>
              <w:pStyle w:val="CellColumn"/>
            </w:pPr>
            <w:r>
              <w:t>AZOO, ASOO</w:t>
            </w:r>
          </w:p>
        </w:tc>
        <w:tc>
          <w:tcPr>
            <w:tcW w:w="1300" w:type="dxa"/>
          </w:tcPr>
          <w:p w:rsidR="00AC0832" w:rsidRDefault="00AC0832">
            <w:pPr>
              <w:pStyle w:val="CellColumn"/>
            </w:pPr>
            <w:r>
              <w:t>659</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p>
    <w:p w:rsidR="00AC0832" w:rsidRDefault="00AC0832">
      <w:pPr>
        <w:pStyle w:val="Heading6"/>
      </w:pPr>
      <w:r>
        <w:t>A679005 ČLANSTVO U MEĐUNARODNIM UDRUGAMA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A679005-ČLANSTVO U MEĐUNARODNIM UDRUGAMA</w:t>
            </w:r>
          </w:p>
        </w:tc>
        <w:tc>
          <w:tcPr>
            <w:tcW w:w="2322" w:type="dxa"/>
          </w:tcPr>
          <w:p w:rsidR="00AC0832" w:rsidRDefault="00AC0832">
            <w:pPr>
              <w:pStyle w:val="CellColumn"/>
            </w:pPr>
            <w:r>
              <w:t>2.925.000</w:t>
            </w:r>
          </w:p>
        </w:tc>
        <w:tc>
          <w:tcPr>
            <w:tcW w:w="2322" w:type="dxa"/>
          </w:tcPr>
          <w:p w:rsidR="00AC0832" w:rsidRDefault="00AC0832">
            <w:pPr>
              <w:pStyle w:val="CellColumn"/>
            </w:pPr>
            <w:r>
              <w:t>2.902.478</w:t>
            </w:r>
          </w:p>
        </w:tc>
        <w:tc>
          <w:tcPr>
            <w:tcW w:w="2322" w:type="dxa"/>
          </w:tcPr>
          <w:p w:rsidR="00AC0832" w:rsidRDefault="00AC0832">
            <w:pPr>
              <w:pStyle w:val="CellColumn"/>
            </w:pPr>
            <w:r>
              <w:t>99,2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Financijska sredstva s aktivnosti utrošena su za plaćanje članstva Republike Hrvatske u međunarodnim organizacijama za čiju je provedbu nadležno Ministarstvo, kao i za članstva visokoobrazovnih znanstvenih ustanova i javnih znanstvenih instituta u međunarodnim znanstvenim udrugama, većina kojih su kontinuirane obveze preuzete ranijih godina.</w:t>
      </w:r>
    </w:p>
    <w:p w:rsidR="00AC0832" w:rsidRDefault="00AC0832">
      <w:pPr>
        <w:pStyle w:val="Heading6"/>
      </w:pPr>
      <w:r>
        <w:t>A679006 MULTILATERALNA ZNANSTVENA, OBRAZOVNA I TEHNIČKA SURADNJA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A679006-MULTILATERALNA ZNANSTVENA, OBRAZOVNA I TEHNIČKA SURADNJA</w:t>
            </w:r>
          </w:p>
        </w:tc>
        <w:tc>
          <w:tcPr>
            <w:tcW w:w="2322" w:type="dxa"/>
          </w:tcPr>
          <w:p w:rsidR="00AC0832" w:rsidRDefault="00AC0832">
            <w:pPr>
              <w:pStyle w:val="CellColumn"/>
            </w:pPr>
            <w:r>
              <w:t>2.416.509</w:t>
            </w:r>
          </w:p>
        </w:tc>
        <w:tc>
          <w:tcPr>
            <w:tcW w:w="2322" w:type="dxa"/>
          </w:tcPr>
          <w:p w:rsidR="00AC0832" w:rsidRDefault="00AC0832">
            <w:pPr>
              <w:pStyle w:val="CellColumn"/>
            </w:pPr>
            <w:r>
              <w:t>2.338.508</w:t>
            </w:r>
          </w:p>
        </w:tc>
        <w:tc>
          <w:tcPr>
            <w:tcW w:w="2322" w:type="dxa"/>
          </w:tcPr>
          <w:p w:rsidR="00AC0832" w:rsidRDefault="00AC0832">
            <w:pPr>
              <w:pStyle w:val="CellColumn"/>
            </w:pPr>
            <w:r>
              <w:t>96,8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okviru ove aktivnosti predviđena su financijska sredstva za podmirenje troškova puta, smještaja, boravka i usavršavanja znanstvenika u okviru međunarodnih programa CERN, NATO, UNESCO, Vijeće Europe, OESS, raznih asocijacija kojih je Republika Hrvatska članica, Alpe-Jadran, Jadransko-Jonska inicijativa, OECD, ICAF, CIVITAS, Task Force-međunarodna suradnja o holokaustu, kao i za troškove učešća u istraživačkim projektima. Dio planiranih aktivnosti planiran je i utrošen za pokrivanje troškova izrade publikacija i plakata u okviru aktivnosti s gore navedenim multilateralnim organizacijama.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0"/>
        <w:gridCol w:w="1473"/>
        <w:gridCol w:w="1273"/>
        <w:gridCol w:w="1271"/>
        <w:gridCol w:w="1270"/>
        <w:gridCol w:w="1271"/>
        <w:gridCol w:w="128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multilateralnih znanstvenih projekata</w:t>
            </w:r>
          </w:p>
        </w:tc>
        <w:tc>
          <w:tcPr>
            <w:tcW w:w="1300" w:type="dxa"/>
          </w:tcPr>
          <w:p w:rsidR="00AC0832" w:rsidRDefault="00AC0832">
            <w:pPr>
              <w:pStyle w:val="CellColumn"/>
            </w:pPr>
            <w:r>
              <w:t>Suradnja u okviru regionalnih inicijativa, regionalnih organizacija te međudržavnih i međuvladinih organizacija i tijela</w:t>
            </w:r>
          </w:p>
        </w:tc>
        <w:tc>
          <w:tcPr>
            <w:tcW w:w="1300" w:type="dxa"/>
          </w:tcPr>
          <w:p w:rsidR="00AC0832" w:rsidRDefault="00AC0832">
            <w:pPr>
              <w:pStyle w:val="CellColumn"/>
            </w:pPr>
            <w:r>
              <w:t>Broj (godišnje)</w:t>
            </w:r>
          </w:p>
        </w:tc>
        <w:tc>
          <w:tcPr>
            <w:tcW w:w="1300" w:type="dxa"/>
          </w:tcPr>
          <w:p w:rsidR="00AC0832" w:rsidRDefault="00AC0832">
            <w:pPr>
              <w:pStyle w:val="CellColumn"/>
            </w:pPr>
            <w:r>
              <w:t>34</w:t>
            </w:r>
          </w:p>
        </w:tc>
        <w:tc>
          <w:tcPr>
            <w:tcW w:w="1300" w:type="dxa"/>
          </w:tcPr>
          <w:p w:rsidR="00AC0832" w:rsidRDefault="00AC0832">
            <w:pPr>
              <w:pStyle w:val="CellColumn"/>
            </w:pPr>
            <w:r>
              <w:t>Baza Europske komisije E-CORDA</w:t>
            </w:r>
          </w:p>
        </w:tc>
        <w:tc>
          <w:tcPr>
            <w:tcW w:w="1300" w:type="dxa"/>
          </w:tcPr>
          <w:p w:rsidR="00AC0832" w:rsidRDefault="00AC0832">
            <w:pPr>
              <w:pStyle w:val="CellColumn"/>
            </w:pPr>
            <w:r>
              <w:t>36</w:t>
            </w:r>
          </w:p>
        </w:tc>
        <w:tc>
          <w:tcPr>
            <w:tcW w:w="1300" w:type="dxa"/>
          </w:tcPr>
          <w:p w:rsidR="00AC0832" w:rsidRDefault="00AC0832">
            <w:pPr>
              <w:pStyle w:val="CellColumn"/>
            </w:pPr>
            <w:r>
              <w:t>34</w:t>
            </w:r>
          </w:p>
        </w:tc>
      </w:tr>
    </w:tbl>
    <w:p w:rsidR="00AC0832" w:rsidRDefault="00AC0832">
      <w:pPr>
        <w:jc w:val="left"/>
      </w:pPr>
    </w:p>
    <w:p w:rsidR="00AC0832" w:rsidRDefault="00AC0832">
      <w:pPr>
        <w:pStyle w:val="Heading6"/>
      </w:pPr>
      <w:r>
        <w:t>A679007 BILATERALNA ZNANSTVENA, OBRAZOVNA I TEHNIČKA SURADNJA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A679007-BILATERALNA ZNANSTVENA, OBRAZOVNA I TEHNIČKA SURADNJA</w:t>
            </w:r>
          </w:p>
        </w:tc>
        <w:tc>
          <w:tcPr>
            <w:tcW w:w="2322" w:type="dxa"/>
          </w:tcPr>
          <w:p w:rsidR="00AC0832" w:rsidRDefault="00AC0832">
            <w:pPr>
              <w:pStyle w:val="CellColumn"/>
            </w:pPr>
            <w:r>
              <w:t>4.311.850</w:t>
            </w:r>
          </w:p>
        </w:tc>
        <w:tc>
          <w:tcPr>
            <w:tcW w:w="2322" w:type="dxa"/>
          </w:tcPr>
          <w:p w:rsidR="00AC0832" w:rsidRDefault="00AC0832">
            <w:pPr>
              <w:pStyle w:val="CellColumn"/>
            </w:pPr>
            <w:r>
              <w:t>4.242.720</w:t>
            </w:r>
          </w:p>
        </w:tc>
        <w:tc>
          <w:tcPr>
            <w:tcW w:w="2322" w:type="dxa"/>
          </w:tcPr>
          <w:p w:rsidR="00AC0832" w:rsidRDefault="00AC0832">
            <w:pPr>
              <w:pStyle w:val="CellColumn"/>
            </w:pPr>
            <w:r>
              <w:t>98,4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Utrošena financijska sredstva usmjerena su za podmirenje troškova provedbe odobrenih bilateralnih projekata, odnosno za podmirenje troškova puta, smještaja i boravka znanstvenika u okviru tih projekata. U 2012. godini bilo je 185 takvih bilateralnih projekata. Isto tako, financijska sredstva su utrošena i za naknade za rad, prijevoz i doprinose za asistente u nastavi – izvorne strane govornike u školama u Republici Hrvatskoj, za naknade za rad članova svih povjerenstava za odabir projekata, troškove recenzija projekata, troškove prijevoda, kao i za troškove Kultur kontakt Ureda.</w:t>
      </w:r>
    </w:p>
    <w:p w:rsidR="00AC0832" w:rsidRDefault="00AC0832">
      <w:pPr>
        <w:pStyle w:val="Heading6"/>
      </w:pPr>
      <w:r>
        <w:t>A679008 STIPENDIJE I TEHNIČKA SURADNJA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A679008-STIPENDIJE I TEHNIČKA SURADNJA</w:t>
            </w:r>
          </w:p>
        </w:tc>
        <w:tc>
          <w:tcPr>
            <w:tcW w:w="2322" w:type="dxa"/>
          </w:tcPr>
          <w:p w:rsidR="00AC0832" w:rsidRDefault="00AC0832">
            <w:pPr>
              <w:pStyle w:val="CellColumn"/>
            </w:pPr>
            <w:r>
              <w:t>847.636</w:t>
            </w:r>
          </w:p>
        </w:tc>
        <w:tc>
          <w:tcPr>
            <w:tcW w:w="2322" w:type="dxa"/>
          </w:tcPr>
          <w:p w:rsidR="00AC0832" w:rsidRDefault="00AC0832">
            <w:pPr>
              <w:pStyle w:val="CellColumn"/>
            </w:pPr>
            <w:r>
              <w:t>674.352</w:t>
            </w:r>
          </w:p>
        </w:tc>
        <w:tc>
          <w:tcPr>
            <w:tcW w:w="2322" w:type="dxa"/>
          </w:tcPr>
          <w:p w:rsidR="00AC0832" w:rsidRDefault="00AC0832">
            <w:pPr>
              <w:pStyle w:val="CellColumn"/>
            </w:pPr>
            <w:r>
              <w:t>79,6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okviru ove aktivnosti financijska sredstva su utrošena za financiranje programa razvojne i humanitarne pomoći. Ministarstvo provodi program stipendiranja stranih studenata iz Afrike (Mauricijus, Namibija i Kenija), sukladno Zakonu o razvojnoj suradnji i humanitarnoj pomoći Republike Hrvatske inozemstvu (NN 146/08).</w:t>
      </w:r>
    </w:p>
    <w:p w:rsidR="00AC0832" w:rsidRDefault="00AC0832">
      <w:pPr>
        <w:pStyle w:val="Heading6"/>
      </w:pPr>
      <w:r>
        <w:t>A679009 REDOVNA DJELATNOST LEKTORATA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A679009-REDOVNA DJELATNOST LEKTORATA</w:t>
            </w:r>
          </w:p>
        </w:tc>
        <w:tc>
          <w:tcPr>
            <w:tcW w:w="2322" w:type="dxa"/>
          </w:tcPr>
          <w:p w:rsidR="00AC0832" w:rsidRDefault="00AC0832">
            <w:pPr>
              <w:pStyle w:val="CellColumn"/>
            </w:pPr>
            <w:r>
              <w:t>3.800.000</w:t>
            </w:r>
          </w:p>
        </w:tc>
        <w:tc>
          <w:tcPr>
            <w:tcW w:w="2322" w:type="dxa"/>
          </w:tcPr>
          <w:p w:rsidR="00AC0832" w:rsidRDefault="00AC0832">
            <w:pPr>
              <w:pStyle w:val="CellColumn"/>
            </w:pPr>
            <w:r>
              <w:t>3.799.999</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MZOS sukladno službenoj politici po kojoj je afirmacija hrvatskoga jezika, književnosti i kulture jedan od nedvojbenih prioriteta strateški planira i nadzire rad lektorata hrvatskog jezika i književnosti i centara za hrvatske studije na stranim visokim učilištima.  </w:t>
      </w:r>
    </w:p>
    <w:p w:rsidR="00AC0832" w:rsidRDefault="00AC0832">
      <w:pPr>
        <w:pStyle w:val="Normal6"/>
      </w:pPr>
      <w:r>
        <w:t>U okviru aktivnosti sredstva su utrošena za putne troškove za 30 lektora kao i za stanarine za strane lektore u RH, putne troškove gostujućih profesora te za knjige, literaturu, multimedijska pomagala za rad, nastavna pomagala i nastavni materijal za postojećih 30 lektorata. Isto tako su u okviru ove aktivnosti sredstva utrošena za potporu Centara za hrvatske studije i lektorata hrvatskog jezika u inozemstvu te djelovanje Zagrebačke slavističke škole.</w:t>
      </w:r>
    </w:p>
    <w:p w:rsidR="00AC0832" w:rsidRDefault="00AC0832">
      <w:pPr>
        <w:pStyle w:val="Heading6"/>
      </w:pPr>
      <w:r>
        <w:t>A679047 EUROPSKE INTEGRACIJE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A679047-EUROPSKE INTEGRACIJE</w:t>
            </w:r>
          </w:p>
        </w:tc>
        <w:tc>
          <w:tcPr>
            <w:tcW w:w="2322" w:type="dxa"/>
          </w:tcPr>
          <w:p w:rsidR="00AC0832" w:rsidRDefault="00AC0832">
            <w:pPr>
              <w:pStyle w:val="CellColumn"/>
            </w:pPr>
            <w:r>
              <w:t>1.284.500</w:t>
            </w:r>
          </w:p>
        </w:tc>
        <w:tc>
          <w:tcPr>
            <w:tcW w:w="2322" w:type="dxa"/>
          </w:tcPr>
          <w:p w:rsidR="00AC0832" w:rsidRDefault="00AC0832">
            <w:pPr>
              <w:pStyle w:val="CellColumn"/>
            </w:pPr>
            <w:r>
              <w:t>1.246.047</w:t>
            </w:r>
          </w:p>
        </w:tc>
        <w:tc>
          <w:tcPr>
            <w:tcW w:w="2322" w:type="dxa"/>
          </w:tcPr>
          <w:p w:rsidR="00AC0832" w:rsidRDefault="00AC0832">
            <w:pPr>
              <w:pStyle w:val="CellColumn"/>
            </w:pPr>
            <w:r>
              <w:t>97,0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okviru aktivnosti predviđena su sredstva utrošena za administrativnu, stručnu i financijsku potporu sudjelovanju Republike Hrvatske u programima Europske unije te ostalim europskim programima i inicijativama u području visokog obrazovanja i znanosti. U 2012. godini, u okviru ove aktivnosti, ostvareni su svi postavljeni ciljevi koji se odnose na sudjelovanje u radnim skupinama Europske komisije nadležnima za obrazovnu politiku kao i u programskim odborima Europske komisije za Sedmi okvirni program Europske zajednice za istraživanje i tehnološki razvoj, sufinanciranje događanja kojima se promiče provedba obrazovne politike EU na nacionalnoj razini te članarine MZOS-a u sektoru visokog obrazovanja.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1"/>
        <w:gridCol w:w="1361"/>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Donesen Hrvatski kvalifikacijski okvir</w:t>
            </w:r>
          </w:p>
        </w:tc>
        <w:tc>
          <w:tcPr>
            <w:tcW w:w="1300" w:type="dxa"/>
          </w:tcPr>
          <w:p w:rsidR="00AC0832" w:rsidRDefault="00AC0832">
            <w:pPr>
              <w:pStyle w:val="CellColumn"/>
            </w:pPr>
            <w:r>
              <w:t>Donesen Hrvatski kvalifikacijski okvir</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MZOS</w:t>
            </w:r>
          </w:p>
        </w:tc>
        <w:tc>
          <w:tcPr>
            <w:tcW w:w="1300" w:type="dxa"/>
          </w:tcPr>
          <w:p w:rsidR="00AC0832" w:rsidRDefault="00AC0832">
            <w:pPr>
              <w:pStyle w:val="CellColumn"/>
            </w:pPr>
            <w:r>
              <w:t>1</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A679063 POMOĆ ZA BIREGIONALNI DIJALOG IZMEĐU ZEMALJA EU I ZEMALJA ZAPADNOG BALKANA U PODRUČJU ISTRAŽIVANJA WBC -INCO.NET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A679063-POMOĆ ZA BIREGIONALNI DIJALOG IZMEĐU ZEMALJA EU I ZEMALJA ZAPADNOG BALKANA U PODRUČJU ISTRAŽIVANJA WBC -INCO.NET</w:t>
            </w:r>
          </w:p>
        </w:tc>
        <w:tc>
          <w:tcPr>
            <w:tcW w:w="2322" w:type="dxa"/>
          </w:tcPr>
          <w:p w:rsidR="00AC0832" w:rsidRDefault="00AC0832">
            <w:pPr>
              <w:pStyle w:val="CellColumn"/>
            </w:pPr>
            <w:r>
              <w:t>100.000</w:t>
            </w:r>
          </w:p>
        </w:tc>
        <w:tc>
          <w:tcPr>
            <w:tcW w:w="2322" w:type="dxa"/>
          </w:tcPr>
          <w:p w:rsidR="00AC0832" w:rsidRDefault="00AC0832">
            <w:pPr>
              <w:pStyle w:val="CellColumn"/>
            </w:pPr>
            <w:r>
              <w:t>20.166</w:t>
            </w:r>
          </w:p>
        </w:tc>
        <w:tc>
          <w:tcPr>
            <w:tcW w:w="2322" w:type="dxa"/>
          </w:tcPr>
          <w:p w:rsidR="00AC0832" w:rsidRDefault="00AC0832">
            <w:pPr>
              <w:pStyle w:val="CellColumn"/>
            </w:pPr>
            <w:r>
              <w:t>20,2</w:t>
            </w:r>
          </w:p>
        </w:tc>
      </w:tr>
    </w:tbl>
    <w:p w:rsidR="00AC0832" w:rsidRDefault="00AC0832">
      <w:pPr>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U okviru ove aktivnosti financijska sredstva su utrošena za podržavanje i osnaživanje dijaloga zemalja u regiji, kao i dijaloga između zemalja Europske Unije, pridruženih članica i zemalja zapadnog Balkana radi poticanja sudjelovanja u europskim znanstvenoistraživačkim projektima i programima. Tako je, na inicijativu austrijskog partnera, a radi jačanja političke dimenzije projekta, pokrenuta ″Steering Platform on Research for WBC″ kojom zajednički predsjedaju Europska komisija, predstavnici zemlje predsjedateljice Europske Unije i zemlje domaćina, a na sastancima koji se održavaju dva puta godišnje radi se na izgradnji i razvoju znanstvenoistraživačkih kapaciteta i potencijala, umrežavanju u europske strukture, jačanju apsorpcijske količine i kakvoće, te boljem međunarodnom prepoznavanju postojećih mogućnosti unutar WBC-a. Ovaj projekt obuhvaća 26 partnera iz 16 zemalja, uključujući Republiku Hrvatsku.</w:t>
      </w:r>
    </w:p>
    <w:p w:rsidR="00AC0832" w:rsidRDefault="00AC0832">
      <w:pPr>
        <w:pStyle w:val="Heading6"/>
      </w:pPr>
      <w:r>
        <w:t>A767002 IZRADA DEFICITARNIH UDŽBENIKA U ŠKOLSTVU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A767002-IZRADA DEFICITARNIH UDŽBENIKA U ŠKOLSTVU</w:t>
            </w:r>
          </w:p>
        </w:tc>
        <w:tc>
          <w:tcPr>
            <w:tcW w:w="2322" w:type="dxa"/>
          </w:tcPr>
          <w:p w:rsidR="00AC0832" w:rsidRDefault="00AC0832">
            <w:pPr>
              <w:pStyle w:val="CellColumn"/>
            </w:pPr>
            <w:r>
              <w:t>369.057</w:t>
            </w:r>
          </w:p>
        </w:tc>
        <w:tc>
          <w:tcPr>
            <w:tcW w:w="2322" w:type="dxa"/>
          </w:tcPr>
          <w:p w:rsidR="00AC0832" w:rsidRDefault="00AC0832">
            <w:pPr>
              <w:pStyle w:val="CellColumn"/>
            </w:pPr>
            <w:r>
              <w:t>369.057</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Sredstva su utrošena na sufinanciranje ili financiranje izrade deficitarnih udžbenika u školstvu (udžbenici na Brailleovu pismu za slijepe učenike) - sufinanciranje taktilnih atlasa za slijepe učenike te financiranje udžbenika za slijepe učenike.</w:t>
      </w:r>
    </w:p>
    <w:p w:rsidR="00AC0832" w:rsidRDefault="00AC0832">
      <w:pPr>
        <w:pStyle w:val="Heading6"/>
      </w:pPr>
      <w:r>
        <w:t>A767003 PROVEDBA NACIONALNOG PROGRAMA ZA ROME-REF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A767003-PROVEDBA NACIONALNOG PROGRAMA ZA ROME-REF</w:t>
            </w:r>
          </w:p>
        </w:tc>
        <w:tc>
          <w:tcPr>
            <w:tcW w:w="2322" w:type="dxa"/>
          </w:tcPr>
          <w:p w:rsidR="00AC0832" w:rsidRDefault="00AC0832">
            <w:pPr>
              <w:pStyle w:val="CellColumn"/>
            </w:pPr>
            <w:r>
              <w:t>2.848.373</w:t>
            </w:r>
          </w:p>
        </w:tc>
        <w:tc>
          <w:tcPr>
            <w:tcW w:w="2322" w:type="dxa"/>
          </w:tcPr>
          <w:p w:rsidR="00AC0832" w:rsidRDefault="00AC0832">
            <w:pPr>
              <w:pStyle w:val="CellColumn"/>
            </w:pPr>
            <w:r>
              <w:t>2.591.997</w:t>
            </w:r>
          </w:p>
        </w:tc>
        <w:tc>
          <w:tcPr>
            <w:tcW w:w="2322" w:type="dxa"/>
          </w:tcPr>
          <w:p w:rsidR="00AC0832" w:rsidRDefault="00AC0832">
            <w:pPr>
              <w:pStyle w:val="CellColumn"/>
            </w:pPr>
            <w:r>
              <w:t>91,0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Dio sredstva na ovoj aktivnosti namijenjen je za stipendije učenika i studenata pripadnika romske nacionalne manjine, dok je drugi dio namijenjen sufinanciranju produženog boravka za Rome, sufinanciranju apsolventskog staža za Rome, sufinanciranju polaganja pomoćničkog ispita za Rome, sufinanciranju školskih izleta, maturalnih putovanja i škola u prirodi za Rome, smještaju i prehrani u učeničkim i studentskim domovima, sufinanciranju usavršavanja romskih pomoćnika.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417"/>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učenika pripadnika romske nacionalne manjine koji su uspješno završili osnovnu školu</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 xml:space="preserve">Broj  </w:t>
            </w:r>
          </w:p>
          <w:p w:rsidR="00AC0832" w:rsidRDefault="00AC0832">
            <w:pPr>
              <w:pStyle w:val="CellColumn"/>
            </w:pPr>
            <w:r>
              <w:t>(kumulativno)</w:t>
            </w:r>
          </w:p>
        </w:tc>
        <w:tc>
          <w:tcPr>
            <w:tcW w:w="1300" w:type="dxa"/>
          </w:tcPr>
          <w:p w:rsidR="00AC0832" w:rsidRDefault="00AC0832">
            <w:pPr>
              <w:pStyle w:val="CellColumn"/>
            </w:pPr>
            <w:r>
              <w:t>206</w:t>
            </w:r>
          </w:p>
        </w:tc>
        <w:tc>
          <w:tcPr>
            <w:tcW w:w="1300" w:type="dxa"/>
          </w:tcPr>
          <w:p w:rsidR="00AC0832" w:rsidRDefault="00AC0832">
            <w:pPr>
              <w:pStyle w:val="CellColumn"/>
            </w:pPr>
            <w:r>
              <w:t>MZOS</w:t>
            </w:r>
          </w:p>
        </w:tc>
        <w:tc>
          <w:tcPr>
            <w:tcW w:w="1300" w:type="dxa"/>
          </w:tcPr>
          <w:p w:rsidR="00AC0832" w:rsidRDefault="00AC0832">
            <w:pPr>
              <w:pStyle w:val="CellColumn"/>
            </w:pPr>
            <w:r>
              <w:t>250</w:t>
            </w:r>
          </w:p>
        </w:tc>
        <w:tc>
          <w:tcPr>
            <w:tcW w:w="1300" w:type="dxa"/>
          </w:tcPr>
          <w:p w:rsidR="00AC0832" w:rsidRDefault="00AC0832">
            <w:pPr>
              <w:pStyle w:val="CellColumn"/>
            </w:pPr>
            <w:r>
              <w:t>277</w:t>
            </w:r>
          </w:p>
        </w:tc>
      </w:tr>
    </w:tbl>
    <w:p w:rsidR="00AC0832" w:rsidRDefault="00AC0832">
      <w:pPr>
        <w:jc w:val="left"/>
      </w:pPr>
    </w:p>
    <w:p w:rsidR="00AC0832" w:rsidRDefault="00AC0832">
      <w:pPr>
        <w:pStyle w:val="Heading6"/>
      </w:pPr>
      <w:r>
        <w:t>A767004 NAOBRAZBA DJECE U ALTERNATIVNIM ŠKOLAMA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A767004-NAOBRAZBA DJECE U ALTERNATIVNIM ŠKOLAMA</w:t>
            </w:r>
          </w:p>
        </w:tc>
        <w:tc>
          <w:tcPr>
            <w:tcW w:w="2322" w:type="dxa"/>
          </w:tcPr>
          <w:p w:rsidR="00AC0832" w:rsidRDefault="00AC0832">
            <w:pPr>
              <w:pStyle w:val="CellColumn"/>
            </w:pPr>
            <w:r>
              <w:t>1.000.000</w:t>
            </w:r>
          </w:p>
        </w:tc>
        <w:tc>
          <w:tcPr>
            <w:tcW w:w="2322" w:type="dxa"/>
          </w:tcPr>
          <w:p w:rsidR="00AC0832" w:rsidRDefault="00AC0832">
            <w:pPr>
              <w:pStyle w:val="CellColumn"/>
            </w:pPr>
            <w:r>
              <w:t>999.996</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Sufinancirane su tri alternativne škole (Waldorfska škola Zagreb, Waldorfska škola Rijeka i Montessori škola Zagreb).</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0"/>
        <w:gridCol w:w="1278"/>
        <w:gridCol w:w="1417"/>
        <w:gridCol w:w="1262"/>
        <w:gridCol w:w="1256"/>
        <w:gridCol w:w="1262"/>
        <w:gridCol w:w="127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programa dodatne nastave i izvannastavnih sadržaja za darovite učenike</w:t>
            </w:r>
          </w:p>
        </w:tc>
        <w:tc>
          <w:tcPr>
            <w:tcW w:w="1300" w:type="dxa"/>
          </w:tcPr>
          <w:p w:rsidR="00AC0832" w:rsidRDefault="00AC0832">
            <w:pPr>
              <w:pStyle w:val="CellColumn"/>
            </w:pPr>
            <w:r>
              <w:t>Donošenje propisa koji će definirati uvjete i način poticanja darovitih učenika</w:t>
            </w:r>
          </w:p>
        </w:tc>
        <w:tc>
          <w:tcPr>
            <w:tcW w:w="1300" w:type="dxa"/>
          </w:tcPr>
          <w:p w:rsidR="00AC0832" w:rsidRDefault="00AC0832">
            <w:pPr>
              <w:pStyle w:val="CellColumn"/>
            </w:pPr>
            <w:r>
              <w:t xml:space="preserve">Broj  </w:t>
            </w:r>
          </w:p>
          <w:p w:rsidR="00AC0832" w:rsidRDefault="00AC0832">
            <w:pPr>
              <w:pStyle w:val="CellColumn"/>
            </w:pPr>
            <w:r>
              <w:t>(kumulativno)</w:t>
            </w:r>
          </w:p>
        </w:tc>
        <w:tc>
          <w:tcPr>
            <w:tcW w:w="1300" w:type="dxa"/>
          </w:tcPr>
          <w:p w:rsidR="00AC0832" w:rsidRDefault="00AC0832">
            <w:pPr>
              <w:pStyle w:val="CellColumn"/>
            </w:pPr>
            <w:r>
              <w:t>0</w:t>
            </w:r>
          </w:p>
        </w:tc>
        <w:tc>
          <w:tcPr>
            <w:tcW w:w="1300" w:type="dxa"/>
          </w:tcPr>
          <w:p w:rsidR="00AC0832" w:rsidRDefault="00AC0832">
            <w:pPr>
              <w:pStyle w:val="CellColumn"/>
            </w:pPr>
            <w:r>
              <w:t>MZOS</w:t>
            </w:r>
          </w:p>
        </w:tc>
        <w:tc>
          <w:tcPr>
            <w:tcW w:w="1300" w:type="dxa"/>
          </w:tcPr>
          <w:p w:rsidR="00AC0832" w:rsidRDefault="00AC0832">
            <w:pPr>
              <w:pStyle w:val="CellColumn"/>
            </w:pPr>
            <w:r>
              <w:t>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A767015 POTICAJ PREDŠKOLSKOG ODGOJA I PREDŠKOLE ZA ROME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A767015-POTICAJ PREDŠKOLSKOG ODGOJA I PREDŠKOLE ZA ROME</w:t>
            </w:r>
          </w:p>
        </w:tc>
        <w:tc>
          <w:tcPr>
            <w:tcW w:w="2322" w:type="dxa"/>
          </w:tcPr>
          <w:p w:rsidR="00AC0832" w:rsidRDefault="00AC0832">
            <w:pPr>
              <w:pStyle w:val="CellColumn"/>
            </w:pPr>
            <w:r>
              <w:t>1.950.000</w:t>
            </w:r>
          </w:p>
        </w:tc>
        <w:tc>
          <w:tcPr>
            <w:tcW w:w="2322" w:type="dxa"/>
          </w:tcPr>
          <w:p w:rsidR="00AC0832" w:rsidRDefault="00AC0832">
            <w:pPr>
              <w:pStyle w:val="CellColumn"/>
            </w:pPr>
            <w:r>
              <w:t>1.949.908</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2012. godini utrošeno je za predškolski odgoj/predškolu ukupno 1.929.108,06 kn iz sredstava Državnog proračuna. Porast sredstava odnosi se na činjenice da su sva romska djeca u Međimurskoj županiji uključena u program predškole u godini prije polaska u osnovne škole što financira MZOS od 15. rujna tekuće do 30. lipnja naredne godine, sa 5.5 sati dnevno uz topli obrok i prijevoz.</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5"/>
        <w:gridCol w:w="1395"/>
        <w:gridCol w:w="1417"/>
        <w:gridCol w:w="1269"/>
        <w:gridCol w:w="1265"/>
        <w:gridCol w:w="1269"/>
        <w:gridCol w:w="127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udjela djece pripadnika nacionalnih manjina uključenih u programe predškolskog odgoja i naobrazbe</w:t>
            </w:r>
          </w:p>
        </w:tc>
        <w:tc>
          <w:tcPr>
            <w:tcW w:w="1300" w:type="dxa"/>
          </w:tcPr>
          <w:p w:rsidR="00AC0832" w:rsidRDefault="00AC0832">
            <w:pPr>
              <w:pStyle w:val="CellColumn"/>
            </w:pPr>
            <w:r>
              <w:t>Održati uključenost djece pripadnika nacionalnih manjina u programe predškolskog odgoja na dosadašnjoj razini</w:t>
            </w:r>
          </w:p>
        </w:tc>
        <w:tc>
          <w:tcPr>
            <w:tcW w:w="1300" w:type="dxa"/>
          </w:tcPr>
          <w:p w:rsidR="00AC0832" w:rsidRDefault="00AC0832">
            <w:pPr>
              <w:pStyle w:val="CellColumn"/>
            </w:pPr>
            <w:r>
              <w:t xml:space="preserve">Postotak </w:t>
            </w:r>
          </w:p>
          <w:p w:rsidR="00AC0832" w:rsidRDefault="00AC0832">
            <w:pPr>
              <w:pStyle w:val="CellColumn"/>
            </w:pPr>
            <w:r>
              <w:t>(kumulativno)</w:t>
            </w:r>
          </w:p>
        </w:tc>
        <w:tc>
          <w:tcPr>
            <w:tcW w:w="1300" w:type="dxa"/>
          </w:tcPr>
          <w:p w:rsidR="00AC0832" w:rsidRDefault="00AC0832">
            <w:pPr>
              <w:pStyle w:val="CellColumn"/>
            </w:pPr>
            <w:r>
              <w:t>2</w:t>
            </w:r>
          </w:p>
        </w:tc>
        <w:tc>
          <w:tcPr>
            <w:tcW w:w="1300" w:type="dxa"/>
          </w:tcPr>
          <w:p w:rsidR="00AC0832" w:rsidRDefault="00AC0832">
            <w:pPr>
              <w:pStyle w:val="CellColumn"/>
            </w:pPr>
            <w:r>
              <w:t>MZOS</w:t>
            </w:r>
          </w:p>
        </w:tc>
        <w:tc>
          <w:tcPr>
            <w:tcW w:w="1300" w:type="dxa"/>
          </w:tcPr>
          <w:p w:rsidR="00AC0832" w:rsidRDefault="00AC0832">
            <w:pPr>
              <w:pStyle w:val="CellColumn"/>
            </w:pPr>
            <w:r>
              <w:t>2</w:t>
            </w:r>
          </w:p>
        </w:tc>
        <w:tc>
          <w:tcPr>
            <w:tcW w:w="1300" w:type="dxa"/>
          </w:tcPr>
          <w:p w:rsidR="00AC0832" w:rsidRDefault="00AC0832">
            <w:pPr>
              <w:pStyle w:val="CellColumn"/>
            </w:pPr>
            <w:r>
              <w:t>2</w:t>
            </w:r>
          </w:p>
        </w:tc>
      </w:tr>
    </w:tbl>
    <w:p w:rsidR="00AC0832" w:rsidRDefault="00AC0832">
      <w:pPr>
        <w:jc w:val="left"/>
      </w:pPr>
    </w:p>
    <w:p w:rsidR="00AC0832" w:rsidRDefault="00AC0832">
      <w:pPr>
        <w:pStyle w:val="Heading6"/>
      </w:pPr>
      <w:r>
        <w:t>A767016 FP7 PROJEKTI  (C-ENERGY, ERACOBUILD ERA-NET, ENV NCPS TOGETHER, TRANSCO SMES,SMARTGRIDS ERA-NET, EURO RIS NET)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A767016-FP7 PROJEKTI  (C-ENERGY, ERACOBUILD ERA-NET, ENV NCPS TOGETHER, TRANSCO SMES,SMARTGRIDS ERA-NET, EURO RIS NET)</w:t>
            </w:r>
          </w:p>
        </w:tc>
        <w:tc>
          <w:tcPr>
            <w:tcW w:w="2322" w:type="dxa"/>
          </w:tcPr>
          <w:p w:rsidR="00AC0832" w:rsidRDefault="00AC0832">
            <w:pPr>
              <w:pStyle w:val="CellColumn"/>
            </w:pPr>
            <w:r>
              <w:t>150.000</w:t>
            </w:r>
          </w:p>
        </w:tc>
        <w:tc>
          <w:tcPr>
            <w:tcW w:w="2322" w:type="dxa"/>
          </w:tcPr>
          <w:p w:rsidR="00AC0832" w:rsidRDefault="00AC0832">
            <w:pPr>
              <w:pStyle w:val="CellColumn"/>
            </w:pPr>
            <w:r>
              <w:t>56.829</w:t>
            </w:r>
          </w:p>
        </w:tc>
        <w:tc>
          <w:tcPr>
            <w:tcW w:w="2322" w:type="dxa"/>
          </w:tcPr>
          <w:p w:rsidR="00AC0832" w:rsidRDefault="00AC0832">
            <w:pPr>
              <w:pStyle w:val="CellColumn"/>
            </w:pPr>
            <w:r>
              <w:t>37,9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okviru aktivnosti predviđena su financijska sredstva u programima Europske Unije C-Energy, ENV-NCP Together, SmartGrids i Eracobuild, a utrošena su za odlazak na konzorcijske sastanke projekata, organizirane treninge u okviru projekata, te za promotivne materijale o sudjelovanju Republike Hrvatske u navedenim programima.</w:t>
      </w:r>
    </w:p>
    <w:p w:rsidR="00AC0832" w:rsidRDefault="00AC0832">
      <w:pPr>
        <w:pStyle w:val="Heading6"/>
      </w:pPr>
      <w:r>
        <w:t>A767028 HRVATSKI KVALIFIKACIJSKI OKVIR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A767028-HRVATSKI KVALIFIKACIJSKI OKVIR</w:t>
            </w:r>
          </w:p>
        </w:tc>
        <w:tc>
          <w:tcPr>
            <w:tcW w:w="2322" w:type="dxa"/>
          </w:tcPr>
          <w:p w:rsidR="00AC0832" w:rsidRDefault="00AC0832">
            <w:pPr>
              <w:pStyle w:val="CellColumn"/>
            </w:pPr>
            <w:r>
              <w:t>481.250</w:t>
            </w:r>
          </w:p>
        </w:tc>
        <w:tc>
          <w:tcPr>
            <w:tcW w:w="2322" w:type="dxa"/>
          </w:tcPr>
          <w:p w:rsidR="00AC0832" w:rsidRDefault="00AC0832">
            <w:pPr>
              <w:pStyle w:val="CellColumn"/>
            </w:pPr>
            <w:r>
              <w:t>154.071</w:t>
            </w:r>
          </w:p>
        </w:tc>
        <w:tc>
          <w:tcPr>
            <w:tcW w:w="2322" w:type="dxa"/>
          </w:tcPr>
          <w:p w:rsidR="00AC0832" w:rsidRDefault="00AC0832">
            <w:pPr>
              <w:pStyle w:val="CellColumn"/>
            </w:pPr>
            <w:r>
              <w:t>32,0</w:t>
            </w:r>
          </w:p>
        </w:tc>
      </w:tr>
    </w:tbl>
    <w:p w:rsidR="00AC0832" w:rsidRDefault="00AC0832">
      <w:pPr>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 xml:space="preserve">Hrvatski kvalifikacijski okvir (HKO) je reformski instrument kojim se uređuje cjelokupan sustav kvalifikacija na svim obrazovnim razinama kroz standarde kvalifikacija temeljene na ishodima učenja i usklađene sa standardima zanimanja, odnosno potrebama tržišta rada, pojedinca i društva u cjelini. Ministarstvo znanosti, obrazovanja i sporta je nadležno za razvoj institucionalnog i zakonodavnog okvira HKO-a.  </w:t>
      </w:r>
    </w:p>
    <w:p w:rsidR="00AC0832" w:rsidRDefault="00AC0832">
      <w:pPr>
        <w:pStyle w:val="Normal6"/>
      </w:pPr>
      <w:r>
        <w:t>Planiranje sredstava potrebnih za izvršenje aktivnosti HKO-a u Državnom proračunu za 2012. godinu temeljeno je na očekivanom usvajanju Zakona o HKO-u kao nužnom preduvjetu realizacije provedbenih aktivnosti HKO-a. Budući da se u 2012. Zakon o HKO-u nije usvojio to je utjecalo na nužnu odgodu određenih aktivnosti, primjerice na nemogućnost osnivanja sektorskih vijeća i Nacionalnog vijeća za razvoj ljudskih potencijala te uspostavu Registra HKO-a, što se posljedično odrazilo na visinu rashoda vezanih za usluge promidžbe i informiranja, intelektualne i osobne usluge te računalne usluge za koje je planirano najviše sredstava.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1"/>
        <w:gridCol w:w="1361"/>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Donesen Hrvatski kvalifikacijski okvir</w:t>
            </w:r>
          </w:p>
        </w:tc>
        <w:tc>
          <w:tcPr>
            <w:tcW w:w="1300" w:type="dxa"/>
          </w:tcPr>
          <w:p w:rsidR="00AC0832" w:rsidRDefault="00AC0832">
            <w:pPr>
              <w:pStyle w:val="CellColumn"/>
            </w:pPr>
            <w:r>
              <w:t>Donesen Hrvatski kvalifikacijski okvir</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MZOS</w:t>
            </w:r>
          </w:p>
        </w:tc>
        <w:tc>
          <w:tcPr>
            <w:tcW w:w="1300" w:type="dxa"/>
          </w:tcPr>
          <w:p w:rsidR="00AC0832" w:rsidRDefault="00AC0832">
            <w:pPr>
              <w:pStyle w:val="CellColumn"/>
            </w:pPr>
            <w:r>
              <w:t>1</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A818019 NACIONALNI DOPRINOS ZA PROGRAM ZA CJELOŽIVOTNO UČENJE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A818019-NACIONALNI DOPRINOS ZA PROGRAM ZA CJELOŽIVOTNO UČENJE</w:t>
            </w:r>
          </w:p>
        </w:tc>
        <w:tc>
          <w:tcPr>
            <w:tcW w:w="2322" w:type="dxa"/>
          </w:tcPr>
          <w:p w:rsidR="00AC0832" w:rsidRDefault="00AC0832">
            <w:pPr>
              <w:pStyle w:val="CellColumn"/>
            </w:pPr>
            <w:r>
              <w:t>60.652.573</w:t>
            </w:r>
          </w:p>
        </w:tc>
        <w:tc>
          <w:tcPr>
            <w:tcW w:w="2322" w:type="dxa"/>
          </w:tcPr>
          <w:p w:rsidR="00AC0832" w:rsidRDefault="00AC0832">
            <w:pPr>
              <w:pStyle w:val="CellColumn"/>
            </w:pPr>
            <w:r>
              <w:t>60.607.510</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Program za cjeloživotno učenje (LLP) je temeljni program Europske unije za financiranje mobilnosti u svrhu obrazovanja među zemljama članicama Europske unije. Republika Hrvatska u njemu punopravno sudjeluje od 2011. Visoka učilišta se kroz međunarodne projekte integriraju u Europski prostor visokog obrazovanja i provode Bolonjski proces. Sudjelovanje Republike Hrvatske u ovom programu Unije formalizirano je kroz memorandum o razumijevanju potpisan između Vlade Republike Hrvatske i Europske komisije u kojem su propisani iznosi nacionalnog doprinosa za sudjelovanje u Programu uključujući i dio koji se financira iz Instrumenta predpristupne pomoći (IPA).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4"/>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učenika, nastavnika, studenata i građana koji su bili mobilni kroz Program cjeloživotnoga učenja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Postotak</w:t>
            </w:r>
          </w:p>
        </w:tc>
        <w:tc>
          <w:tcPr>
            <w:tcW w:w="1300" w:type="dxa"/>
          </w:tcPr>
          <w:p w:rsidR="00AC0832" w:rsidRDefault="00AC0832">
            <w:pPr>
              <w:pStyle w:val="CellColumn"/>
            </w:pPr>
            <w:r>
              <w:t>0</w:t>
            </w:r>
          </w:p>
        </w:tc>
        <w:tc>
          <w:tcPr>
            <w:tcW w:w="1300" w:type="dxa"/>
          </w:tcPr>
          <w:p w:rsidR="00AC0832" w:rsidRDefault="00AC0832">
            <w:pPr>
              <w:pStyle w:val="CellColumn"/>
            </w:pPr>
            <w:r>
              <w:t>mzos</w:t>
            </w:r>
          </w:p>
        </w:tc>
        <w:tc>
          <w:tcPr>
            <w:tcW w:w="1300" w:type="dxa"/>
          </w:tcPr>
          <w:p w:rsidR="00AC0832" w:rsidRDefault="00AC0832">
            <w:pPr>
              <w:pStyle w:val="CellColumn"/>
            </w:pPr>
            <w:r>
              <w:t>10</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5"/>
      </w:pPr>
      <w:r>
        <w:t>3702 PREDŠKOLSKI ODGOJ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3702-PREDŠKOLSKI ODGOJ</w:t>
            </w:r>
          </w:p>
        </w:tc>
        <w:tc>
          <w:tcPr>
            <w:tcW w:w="2322" w:type="dxa"/>
          </w:tcPr>
          <w:p w:rsidR="00AC0832" w:rsidRDefault="00AC0832">
            <w:pPr>
              <w:pStyle w:val="CellColumn"/>
            </w:pPr>
            <w:r>
              <w:t>15.339.970</w:t>
            </w:r>
          </w:p>
        </w:tc>
        <w:tc>
          <w:tcPr>
            <w:tcW w:w="2322" w:type="dxa"/>
          </w:tcPr>
          <w:p w:rsidR="00AC0832" w:rsidRDefault="00AC0832">
            <w:pPr>
              <w:pStyle w:val="CellColumn"/>
            </w:pPr>
            <w:r>
              <w:t>15.227.455</w:t>
            </w:r>
          </w:p>
        </w:tc>
        <w:tc>
          <w:tcPr>
            <w:tcW w:w="2322" w:type="dxa"/>
          </w:tcPr>
          <w:p w:rsidR="00AC0832" w:rsidRDefault="00AC0832">
            <w:pPr>
              <w:pStyle w:val="CellColumn"/>
            </w:pPr>
            <w:r>
              <w:t>99,3</w:t>
            </w:r>
          </w:p>
        </w:tc>
      </w:tr>
    </w:tbl>
    <w:p w:rsidR="00AC0832" w:rsidRDefault="00AC0832">
      <w:pPr>
        <w:jc w:val="left"/>
      </w:pPr>
    </w:p>
    <w:p w:rsidR="00AC0832" w:rsidRDefault="00AC0832">
      <w:pPr>
        <w:pStyle w:val="Heading6"/>
      </w:pPr>
      <w:r>
        <w:t>Opis programa</w:t>
      </w:r>
    </w:p>
    <w:p w:rsidR="00AC0832" w:rsidRDefault="00AC0832">
      <w:pPr>
        <w:pStyle w:val="Normal5"/>
      </w:pPr>
      <w:r>
        <w:t>Provedba ovog programa vezana je uz ostvarenje općeg cilja 1. Održiva kvaliteta odgojno-obrazovnog sustava u Strateškom planu Ministarstva znanosti, obrazovanja i sporta za razdoblje 2012.-2014. Ovaj program obuhvaća javne potrebe u predškolskom odgoju: programi za djecu s posebnim potrebama (djecu s teškoćama i darovitu djecu), programi za djecu pripadnike nacionalnih manjina, programi predškole, razvoj predškolskog odgoja i opremanje predškolskih ustanova didaktičkim sredstvima. Strateškim planom Ministarstva Odjel za predškolski odgoj Uprave za predškolski odgoj i osnovno obrazovanje sufinancirao je programe javnih potreba u predškolskom odgoju, povećao obuhvat djece predškolske dobi programima predškolskog odgoja u dječjim vrtićima i drugim pravnim osobama koje provode predškolsku djelatnost. Pojačana je suradnja s jedinicama lokalne i područne (regionalne) samouprave radi uključivanja većeg broja djece s posebnim potrebama i djece pripadnika romske nacionalne manjine u redovite dječje vrtiće i promicanje sportskih programa i programa ranog učenja stranih jezika s djecom u dobi od četvrte godine do polaska u osnovnu školu u svim dječjim vrtićima diljem Republike Hrvatske. Prioritet Vlade Republike Hrvatske za razdoblje 2011. do 2015. godine jest i uvođenje obveznog jednogodišnjeg programa predškolskog odgoja i obrazovanja za svu djecu u godini dana prije polaska u osnovnu školu te se s tim u svezi pristupilo izmjenama i dopunama Zakona o predškolskom odgoju i naobrazbi koji je u Hrvatskom saboru prošao prvo čitanje. Jednako tako, pristupilo se izradbi mreže dječjih vrtića te propisivanju jedinstvenih mjerila kojima mreža treba udovoljavati kako bi se svakom djetetu rane i predškolske dobi osigurala mogućnost uključivanja u neki od programa predškolskog odgoja i obrazovanja.</w:t>
      </w:r>
    </w:p>
    <w:p w:rsidR="00AC0832" w:rsidRDefault="00AC0832">
      <w:pPr>
        <w:pStyle w:val="Heading6"/>
      </w:pPr>
      <w:r>
        <w:t>Zakonske i druge pravne osnove</w:t>
      </w:r>
    </w:p>
    <w:p w:rsidR="00AC0832" w:rsidRDefault="00AC0832">
      <w:pPr>
        <w:pStyle w:val="Normal5"/>
      </w:pPr>
      <w:r>
        <w:t>Zakon o predškolskom odgoju i naobrazbi (NN, 10/97 i 107/07);  Zakon o odgoju i obrazovanju na jeziku i pismu nacionalnih manjina (NN, 51/2000); Državni pedagoški standard predškolskog odgoja i naobrazbe (NN, 63/08. i 90/10.);  Nacionalni okvirni kurikulum za predškolski odgoj i obrazovanje te opće obvezno i srednjoškolsko obrazovanje (srpanj, 2011.); Odluka o elementima standarda društvene brige o djeci predškolske dobi (NN, 29/83); Odluka o elementima standarda specifičnih potreba djece s teškoćama u razvoju (NN, 47/87); Programsko usmjerenje odgoja i obrazovanja predškolske djece (Glasnik Ministarstva kulture i prosvjete RH 7-8/91); Pravilnik o načinu raspolaganja sredstvima državnog proračuna i mjerilima sufinanciranja programa predškolskog odgoja (NN, 134/97); Pravilnik o obrascima i sadržaju pedagoške dokumentacije i evidencije o djeci u dječjem vrtiću (NN, 83/01); Program zdravstvene zaštite djece i higijene i pravilne prehrane djece u dječjim vrtićima (NN, 105/02, 55/06, 121/07); Pravilnik o obrascima zdravstvene dokumentacije djece predškolske dobi i evidencije u dječjem vrtiću (NN, 114/2002)</w:t>
      </w:r>
    </w:p>
    <w:p w:rsidR="00AC0832" w:rsidRDefault="00AC0832">
      <w:pPr>
        <w:pStyle w:val="Heading7"/>
      </w:pPr>
      <w:r>
        <w:t>Cilj 1. Uspostaviti učinkovitu mrežu odgojno-obrazovnih ustanova i kvalifikacija/programa/kurikuluma usklađenu s potrebama tržišta rada i razvoja ljudskih potencijala</w:t>
      </w:r>
    </w:p>
    <w:p w:rsidR="00AC0832" w:rsidRDefault="00AC0832">
      <w:pPr>
        <w:pStyle w:val="Heading8"/>
        <w:jc w:val="left"/>
      </w:pPr>
      <w:r>
        <w:t>Opis provedbe cilja programa</w:t>
      </w:r>
    </w:p>
    <w:p w:rsidR="00AC0832" w:rsidRDefault="00AC0832">
      <w:pPr>
        <w:pStyle w:val="Normal6"/>
      </w:pPr>
      <w:r>
        <w:t xml:space="preserve">Ovaj cilj obuhvaća i kvalitetniji sustav predškolskog odgoja i naobrazbe te podrazumijeva optimalne prostorne, kadrovske, tehničke, informatičke i druge normative kojima se osiguravaju ujednačeni uvjeti rada u svim predškolskim ustanovama za provedbu obveznog predškolskog odgoja i obrazovanja za svu djecu u godini dana prije polaska osnovnu školu. Navedeni uvjeti propisani su Državnim pedagoškim standardom predškolskog odgoja i naobrazbe (NN, 63/08. i 90/10.) te je s tim u svezi provedeno stručno usavršavanje i proširivanje kompetencija (osobito ITC) ravnatelja/ica, odgojitelja/ica i stručnih suradnika/ca, jednaka dostupnost odgoju i naobrazbi djece, a osobito djece u socijalno depriviranim sredinama i djece uključene u programe javnih potreba hrvatskog društva.  </w:t>
      </w:r>
    </w:p>
    <w:p w:rsidR="00AC0832" w:rsidRDefault="00AC0832">
      <w:pPr>
        <w:pStyle w:val="Normal6"/>
      </w:pPr>
      <w:r>
        <w:t xml:space="preserve">Prioritet Vlade Republike Hrvatske za razdoblje 2011. do 2015. godine jest i uvođenje obveznog jednogodišnjeg programa predškolskog odgoja i obrazovanja za svu djecu u godini dana prije polaska u osnovnu školu te se s tim u svezi pristupilo izmjenama i dopunama Zakona o predškolskom odgoju i naobrazbi koji je u Hrvatskom saboru prošao prvo čitanje.  </w:t>
      </w:r>
    </w:p>
    <w:p w:rsidR="00AC0832" w:rsidRDefault="00AC0832">
      <w:pPr>
        <w:pStyle w:val="Normal6"/>
      </w:pPr>
      <w:r>
        <w:t xml:space="preserve">Jednako tako, pristupilo se izradbi mreže dječjih vrtića te propisivanju jedinstvenih mjerila kojima mreža treba udovoljavati kako bi se svakom djetetu rane i predškolske dobi osigurala mogućnost uključivanja u neki od programa predškolskog odgoja i obrazovanja. Izradba mreže predškolskih ustanova podrazumijeva trajno praćenje demografskoga stanja te demografsku projekciju na lokalnoj razini, a istom će se postići racionalno planiranje i realizacija prostornih, materijalnih, kadrovskih, tehničkih i drugih uvjeta.  </w:t>
      </w:r>
    </w:p>
    <w:p w:rsidR="00AC0832" w:rsidRDefault="00AC0832">
      <w:pPr>
        <w:pStyle w:val="Normal6"/>
      </w:pPr>
      <w:r>
        <w:t>Nadalje, Ministarstvo je u suradnji s drugim tijelima državne uprave, ustanovama u sustavu odgoja i obrazovanja te lokalnom i područnom (regionalnom) samoupravom omogućilo provedbu različitih programa javnih potreba (za djecu s teškoćama, darovitu djecu, djecu pripadnike nacionalnih manjina i djecu u programu predškole uključenu u predškolski odgoj i naobrazbu) i drugih aktivnosti kako bi se udovoljilo osobnim, društvenim, kulturnim potrebama i sposobnostima djece. Korisnici usluga su izravno djeca predškolske dobi i posredno njihovi roditelji, odgojitelji i stručni suradnici.</w:t>
      </w:r>
    </w:p>
    <w:p w:rsidR="00AC0832" w:rsidRDefault="00AC0832">
      <w:pPr>
        <w:pStyle w:val="Heading7"/>
      </w:pPr>
      <w:r>
        <w:t>Cilj 2. Razvijati sustav osiguranja kvalitete na svim razinama sustava odgoja i obrazovanja</w:t>
      </w:r>
    </w:p>
    <w:p w:rsidR="00AC0832" w:rsidRDefault="00AC0832">
      <w:pPr>
        <w:pStyle w:val="Heading8"/>
        <w:jc w:val="left"/>
      </w:pPr>
      <w:r>
        <w:t>Opis provedbe cilja programa</w:t>
      </w:r>
    </w:p>
    <w:p w:rsidR="00AC0832" w:rsidRDefault="00AC0832">
      <w:pPr>
        <w:pStyle w:val="Normal6"/>
      </w:pPr>
      <w:r>
        <w:t>Razvojem sustava osiguranja kvalitete postiže se učinkovit i djelotvoran obrazovni sustav.  S tim u svezi, Ministarstvo je započelo niz projekata vezanih i uz poboljšanje standarda u predškolskim ustanovama te su doneseni državni pedagoški standardi za predškolski odgoj (NN, 63/08. i 90/10.) kojima su postavljeni čvrsti temelji za daljnji razvoj i odgojno-obrazovni rad u dječjim vrtićima. Osiguravanjem jednakih uvjeta provedbom odredaba državnih pedagoških standarda - kojima se uređuju minimalni infrastrukturni, financijski i kadrovski uvjeti za ostvarivanje i razvoj djelatnosti i podjednaki uvjeti za ujednačeni razvoj sustava - osigurat će se uvjeti za osiguranje kvalitete u dječjim vrtićima u Republici Hrvatskoj. Standardima se također uređuju i jedinstveni uvjeti za kvalitetan odgojno-obrazovni rad i uspješno ostvarivanje ciljeva i zadataka u dječjim vrtićima.  Ministarstvo je pristupilo kvalitativnoj i kvantitativnoj analizi kojim je utvrdilo činjenično stanje u sustavu predškolskog odgoja i naobrazbe. Na temelju kvalitativne i kvantitativne analize utvrđene su potrebe kojima će se smanjiti regionalna neujednačenost u sustavu te stvoriti uvjeti za donošenje mreže dječjih vrtića s odgovarajućim ljudskim potencijalima za ostvarivanje predviđenih ciljeva. U spomenutom se razdoblju poticalo napredovanje odgojitelja na temelju ostvarenih postignuća u odgojno-obrazovnom radu i stručnom usavršavanju, kao i kreativnost i individualni rad djece. U razvijanju sustava kvalitete nezamjenjivu ulogu imaju kompetentni i educirani odgojno-obrazovni djelatnici te Ministarstvo u suradnji s nadležnim agencijama razvijalo programe stručnog usavršavanja odgojno-obrazovnih djelatnika. Uz to, a u skladu sa zakonskim i podzakonskim aktima vezanim uz odgoj i obrazovanje te nacionalnim strategijama, Ministarstvo je osobitu pozornost usmjerilo i na odgoj i naobrazbu ciljnih skupina djece kao što su, primjerice, djeca iz socijalno ugroženih obitelji i životnih okruženja te iz drugih ranjivih skupina populacije.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3"/>
        <w:gridCol w:w="1473"/>
        <w:gridCol w:w="1417"/>
        <w:gridCol w:w="1228"/>
        <w:gridCol w:w="1218"/>
        <w:gridCol w:w="1229"/>
        <w:gridCol w:w="125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odgojno-obrazovnih ustanova u kojima se vanjskim vrednovanjem provjerava kvaliteta rada</w:t>
            </w:r>
          </w:p>
        </w:tc>
        <w:tc>
          <w:tcPr>
            <w:tcW w:w="1300" w:type="dxa"/>
          </w:tcPr>
          <w:p w:rsidR="00AC0832" w:rsidRDefault="00AC0832">
            <w:pPr>
              <w:pStyle w:val="CellColumn"/>
            </w:pPr>
            <w:r>
              <w:t>Broj odgojno-obrazovnih ustanova u kojima se vanjskim vrednovanjem provjerava i prati kvaliteta rada</w:t>
            </w:r>
          </w:p>
        </w:tc>
        <w:tc>
          <w:tcPr>
            <w:tcW w:w="1300" w:type="dxa"/>
          </w:tcPr>
          <w:p w:rsidR="00AC0832" w:rsidRDefault="00AC0832">
            <w:pPr>
              <w:pStyle w:val="CellColumn"/>
            </w:pPr>
            <w:r>
              <w:t>broj (kumulativno)</w:t>
            </w:r>
          </w:p>
        </w:tc>
        <w:tc>
          <w:tcPr>
            <w:tcW w:w="1300" w:type="dxa"/>
          </w:tcPr>
          <w:p w:rsidR="00AC0832" w:rsidRDefault="00AC0832">
            <w:pPr>
              <w:pStyle w:val="CellColumn"/>
            </w:pPr>
            <w:r>
              <w:t>784</w:t>
            </w:r>
          </w:p>
        </w:tc>
        <w:tc>
          <w:tcPr>
            <w:tcW w:w="1300" w:type="dxa"/>
          </w:tcPr>
          <w:p w:rsidR="00AC0832" w:rsidRDefault="00AC0832">
            <w:pPr>
              <w:pStyle w:val="CellColumn"/>
            </w:pPr>
            <w:r>
              <w:t>MZOS, NCVV i AZVO</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585</w:t>
            </w:r>
          </w:p>
        </w:tc>
      </w:tr>
    </w:tbl>
    <w:p w:rsidR="00AC0832" w:rsidRDefault="00AC0832">
      <w:pPr>
        <w:jc w:val="left"/>
      </w:pPr>
    </w:p>
    <w:p w:rsidR="00AC0832" w:rsidRDefault="00AC0832">
      <w:pPr>
        <w:pStyle w:val="Heading6"/>
      </w:pPr>
      <w:r>
        <w:t>A578003 ODGOJ I NAOBRAZBA DJECE PRIPADNIKA NACIONALNIH MANJINA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A578003-ODGOJ I NAOBRAZBA DJECE PRIPADNIKA NACIONALNIH MANJINA</w:t>
            </w:r>
          </w:p>
        </w:tc>
        <w:tc>
          <w:tcPr>
            <w:tcW w:w="2322" w:type="dxa"/>
          </w:tcPr>
          <w:p w:rsidR="00AC0832" w:rsidRDefault="00AC0832">
            <w:pPr>
              <w:pStyle w:val="CellColumn"/>
            </w:pPr>
            <w:r>
              <w:t>1.378.125</w:t>
            </w:r>
          </w:p>
        </w:tc>
        <w:tc>
          <w:tcPr>
            <w:tcW w:w="2322" w:type="dxa"/>
          </w:tcPr>
          <w:p w:rsidR="00AC0832" w:rsidRDefault="00AC0832">
            <w:pPr>
              <w:pStyle w:val="CellColumn"/>
            </w:pPr>
            <w:r>
              <w:t>1.378.125</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Sredstva su na ovoj aktivnosti namijenjena sufinanciranju programa djece pripadnika nacionalnih manjina. Aktivnošću je obuhvaćeno 2.259 djece rane i predškolske dobi pripadnika nacionalnih manjina, a mjesečna rata je 153.125,00 kuna. Za djecu pripadnike nacionalnih manjina koja su uključena u programe predškolskog odgoja namijenjena su sredstva za nabavku didaktičkih sredstava i pomagala na pismu i jeziku određene nacionalne manjine te za stručna usavršavanja odgojno-obrazovnih radnika (odgojitelja i stručnih suradnika) koji rade s tom djecom.</w:t>
      </w:r>
    </w:p>
    <w:p w:rsidR="00AC0832" w:rsidRDefault="00AC0832">
      <w:pPr>
        <w:pStyle w:val="Heading6"/>
      </w:pPr>
      <w:r>
        <w:t>A578004 ODGOJ I NAOBRAZBA DJECE S TEŠKOĆAMA U RAZVOJU (SUFINANCIRANJE)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A578004-ODGOJ I NAOBRAZBA DJECE S TEŠKOĆAMA U RAZVOJU (SUFINANCIRANJE)</w:t>
            </w:r>
          </w:p>
        </w:tc>
        <w:tc>
          <w:tcPr>
            <w:tcW w:w="2322" w:type="dxa"/>
          </w:tcPr>
          <w:p w:rsidR="00AC0832" w:rsidRDefault="00AC0832">
            <w:pPr>
              <w:pStyle w:val="CellColumn"/>
            </w:pPr>
            <w:r>
              <w:t>9.757.800</w:t>
            </w:r>
          </w:p>
        </w:tc>
        <w:tc>
          <w:tcPr>
            <w:tcW w:w="2322" w:type="dxa"/>
          </w:tcPr>
          <w:p w:rsidR="00AC0832" w:rsidRDefault="00AC0832">
            <w:pPr>
              <w:pStyle w:val="CellColumn"/>
            </w:pPr>
            <w:r>
              <w:t>9.753.800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Sredstva su na ovoj aktivnosti namijenjena sufinanciranju djece s teškoćama uključene u redovite programe (integracija) i posebne programe ustrojene u dječjim vrtićima ili odgojno-obrazovnim ustanovama. Aktivnošću je obuhvaćeno je 1.742 djece rane i predškolske dobi s teškoćama u razvoju (1.119 djece je u integraciji, a 623 u posebnim odgojno-obrazovnim skupinama u redovitom dječjem vrtiću ili u dječjem vrtiću namijenjenom samo za djecu s teškoćama), a mjesečna rata je 1094.200,00 kuna. Za djecu s teškoćama koja su uključena u programe predškolskog odgoja namijenjena su sredstva za nabavku didaktičkih sredstava i pomagala koja su prijeko potrebna za djecu prema njihovim teškoćama te za stručna usavršavanja odgojno-obrazovnih radnika (odgojitelja i stručnih suradnika) koji rade s tom djecom.</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5"/>
        <w:gridCol w:w="1506"/>
        <w:gridCol w:w="1417"/>
        <w:gridCol w:w="1240"/>
        <w:gridCol w:w="1232"/>
        <w:gridCol w:w="1240"/>
        <w:gridCol w:w="125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Održanje broja djece s teškoćama u programima predškolskog odgoja i naobrazbe</w:t>
            </w:r>
          </w:p>
        </w:tc>
        <w:tc>
          <w:tcPr>
            <w:tcW w:w="1300" w:type="dxa"/>
          </w:tcPr>
          <w:p w:rsidR="00AC0832" w:rsidRDefault="00AC0832">
            <w:pPr>
              <w:pStyle w:val="CellColumn"/>
            </w:pPr>
            <w:r>
              <w:t>Sukladno propisima osigurati uvjete za obuhvat djece s teškoćama programima predškolskoga odgoja</w:t>
            </w:r>
          </w:p>
        </w:tc>
        <w:tc>
          <w:tcPr>
            <w:tcW w:w="1300" w:type="dxa"/>
          </w:tcPr>
          <w:p w:rsidR="00AC0832" w:rsidRDefault="00AC0832">
            <w:pPr>
              <w:pStyle w:val="CellColumn"/>
            </w:pPr>
            <w:r>
              <w:t>Broj (kumulativno)</w:t>
            </w:r>
          </w:p>
        </w:tc>
        <w:tc>
          <w:tcPr>
            <w:tcW w:w="1300" w:type="dxa"/>
          </w:tcPr>
          <w:p w:rsidR="00AC0832" w:rsidRDefault="00AC0832">
            <w:pPr>
              <w:pStyle w:val="CellColumn"/>
            </w:pPr>
            <w:r>
              <w:t>5834</w:t>
            </w:r>
          </w:p>
        </w:tc>
        <w:tc>
          <w:tcPr>
            <w:tcW w:w="1300" w:type="dxa"/>
          </w:tcPr>
          <w:p w:rsidR="00AC0832" w:rsidRDefault="00AC0832">
            <w:pPr>
              <w:pStyle w:val="CellColumn"/>
            </w:pPr>
            <w:r>
              <w:t>MZOS</w:t>
            </w:r>
          </w:p>
        </w:tc>
        <w:tc>
          <w:tcPr>
            <w:tcW w:w="1300" w:type="dxa"/>
          </w:tcPr>
          <w:p w:rsidR="00AC0832" w:rsidRDefault="00AC0832">
            <w:pPr>
              <w:pStyle w:val="CellColumn"/>
            </w:pPr>
            <w:r>
              <w:t>5860</w:t>
            </w:r>
          </w:p>
        </w:tc>
        <w:tc>
          <w:tcPr>
            <w:tcW w:w="1300" w:type="dxa"/>
          </w:tcPr>
          <w:p w:rsidR="00AC0832" w:rsidRDefault="00AC0832">
            <w:pPr>
              <w:pStyle w:val="CellColumn"/>
            </w:pPr>
            <w:r>
              <w:t>5882</w:t>
            </w:r>
          </w:p>
        </w:tc>
      </w:tr>
    </w:tbl>
    <w:p w:rsidR="00AC0832" w:rsidRDefault="00AC0832">
      <w:pPr>
        <w:jc w:val="left"/>
      </w:pPr>
    </w:p>
    <w:p w:rsidR="00AC0832" w:rsidRDefault="00AC0832">
      <w:pPr>
        <w:pStyle w:val="Heading6"/>
      </w:pPr>
      <w:r>
        <w:t>A578008 ODGOJ I NAOBRAZBA DJECE U PROGRAMIMA PREDŠKOLE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A578008-ODGOJ I NAOBRAZBA DJECE U PROGRAMIMA PREDŠKOLE</w:t>
            </w:r>
          </w:p>
        </w:tc>
        <w:tc>
          <w:tcPr>
            <w:tcW w:w="2322" w:type="dxa"/>
          </w:tcPr>
          <w:p w:rsidR="00AC0832" w:rsidRDefault="00AC0832">
            <w:pPr>
              <w:pStyle w:val="CellColumn"/>
            </w:pPr>
            <w:r>
              <w:t>2.595.160</w:t>
            </w:r>
          </w:p>
        </w:tc>
        <w:tc>
          <w:tcPr>
            <w:tcW w:w="2322" w:type="dxa"/>
          </w:tcPr>
          <w:p w:rsidR="00AC0832" w:rsidRDefault="00AC0832">
            <w:pPr>
              <w:pStyle w:val="CellColumn"/>
            </w:pPr>
            <w:r>
              <w:t>2.587.160</w:t>
            </w:r>
          </w:p>
        </w:tc>
        <w:tc>
          <w:tcPr>
            <w:tcW w:w="2322" w:type="dxa"/>
          </w:tcPr>
          <w:p w:rsidR="00AC0832" w:rsidRDefault="00AC0832">
            <w:pPr>
              <w:pStyle w:val="CellColumn"/>
            </w:pPr>
            <w:r>
              <w:t>99,7</w:t>
            </w:r>
          </w:p>
        </w:tc>
      </w:tr>
    </w:tbl>
    <w:p w:rsidR="00AC0832" w:rsidRDefault="00AC0832">
      <w:pPr>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Sufinanciranje djece u šestoj godini uključene u programe predškole ostvarivalo se kroz financiranje stručne literature i radnih listova (Ilustrirana obiteljska enciklopedija, Najljepši nacionalni parkovi, Najljepši muzeji svijeta), priručnika (Nove paradigme ranog odgoja Kako bolje razumjeti dijete?, Nose li dobre roditelje roda?), časopise (Dijete, vrtić, obitelj,  Radost ),TSŠ test, priručnik - Djeca-čuvari djedovine, priručnike za odgojitelje (Ajmo skupa, First steps, Igrom do škole, Kurikulum ranog odgoja, Partnerstvo obitelji, vrtića i škole) kotizacije za sudjelovanje na konferenciji psihologa, pedagoga te sudjelovanje na seminaru Integrirani predškolski kurikulum.</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7"/>
        <w:gridCol w:w="1562"/>
        <w:gridCol w:w="1417"/>
        <w:gridCol w:w="1251"/>
        <w:gridCol w:w="1244"/>
        <w:gridCol w:w="1251"/>
        <w:gridCol w:w="126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udjela djece predškolske dobi uključene u programe predškole</w:t>
            </w:r>
          </w:p>
        </w:tc>
        <w:tc>
          <w:tcPr>
            <w:tcW w:w="1300" w:type="dxa"/>
          </w:tcPr>
          <w:p w:rsidR="00AC0832" w:rsidRDefault="00AC0832">
            <w:pPr>
              <w:pStyle w:val="CellColumn"/>
            </w:pPr>
            <w:r>
              <w:t>Povećati uključenost djece predškolske dobi u programe obveznog jednogodišnjeg odgoja i obrazovanja i povećati obuhvat djece u program javne potpore</w:t>
            </w:r>
          </w:p>
        </w:tc>
        <w:tc>
          <w:tcPr>
            <w:tcW w:w="1300" w:type="dxa"/>
          </w:tcPr>
          <w:p w:rsidR="00AC0832" w:rsidRDefault="00AC0832">
            <w:pPr>
              <w:pStyle w:val="CellColumn"/>
            </w:pPr>
            <w:r>
              <w:t xml:space="preserve">Postotak </w:t>
            </w:r>
          </w:p>
          <w:p w:rsidR="00AC0832" w:rsidRDefault="00AC0832">
            <w:pPr>
              <w:pStyle w:val="CellColumn"/>
            </w:pPr>
            <w:r>
              <w:t>(kumulativno)</w:t>
            </w:r>
          </w:p>
        </w:tc>
        <w:tc>
          <w:tcPr>
            <w:tcW w:w="1300" w:type="dxa"/>
          </w:tcPr>
          <w:p w:rsidR="00AC0832" w:rsidRDefault="00AC0832">
            <w:pPr>
              <w:pStyle w:val="CellColumn"/>
            </w:pPr>
            <w:r>
              <w:t>98</w:t>
            </w:r>
          </w:p>
        </w:tc>
        <w:tc>
          <w:tcPr>
            <w:tcW w:w="1300" w:type="dxa"/>
          </w:tcPr>
          <w:p w:rsidR="00AC0832" w:rsidRDefault="00AC0832">
            <w:pPr>
              <w:pStyle w:val="CellColumn"/>
            </w:pPr>
            <w:r>
              <w:t>MZOS</w:t>
            </w:r>
          </w:p>
        </w:tc>
        <w:tc>
          <w:tcPr>
            <w:tcW w:w="1300" w:type="dxa"/>
          </w:tcPr>
          <w:p w:rsidR="00AC0832" w:rsidRDefault="00AC0832">
            <w:pPr>
              <w:pStyle w:val="CellColumn"/>
            </w:pPr>
            <w:r>
              <w:t>99</w:t>
            </w:r>
          </w:p>
        </w:tc>
        <w:tc>
          <w:tcPr>
            <w:tcW w:w="1300" w:type="dxa"/>
          </w:tcPr>
          <w:p w:rsidR="00AC0832" w:rsidRDefault="00AC0832">
            <w:pPr>
              <w:pStyle w:val="CellColumn"/>
            </w:pPr>
            <w:r>
              <w:t>99</w:t>
            </w:r>
          </w:p>
        </w:tc>
      </w:tr>
    </w:tbl>
    <w:p w:rsidR="00AC0832" w:rsidRDefault="00AC0832">
      <w:pPr>
        <w:jc w:val="left"/>
      </w:pPr>
    </w:p>
    <w:p w:rsidR="00AC0832" w:rsidRDefault="00AC0832">
      <w:pPr>
        <w:pStyle w:val="Heading6"/>
      </w:pPr>
      <w:r>
        <w:t>K578010 IZGRADNJA DJEČJEG CENTRA VOŠTARNICA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K578010-IZGRADNJA DJEČJEG CENTRA VOŠTARNICA</w:t>
            </w:r>
          </w:p>
        </w:tc>
        <w:tc>
          <w:tcPr>
            <w:tcW w:w="2322" w:type="dxa"/>
          </w:tcPr>
          <w:p w:rsidR="00AC0832" w:rsidRDefault="00AC0832">
            <w:pPr>
              <w:pStyle w:val="CellColumn"/>
            </w:pPr>
            <w:r>
              <w:t>594.000</w:t>
            </w:r>
          </w:p>
        </w:tc>
        <w:tc>
          <w:tcPr>
            <w:tcW w:w="2322" w:type="dxa"/>
          </w:tcPr>
          <w:p w:rsidR="00AC0832" w:rsidRDefault="00AC0832">
            <w:pPr>
              <w:pStyle w:val="CellColumn"/>
            </w:pPr>
            <w:r>
              <w:t>593.970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Radovi obustavljeni zbog poslovnih poteškoća izvoditelja rdova.</w:t>
      </w:r>
    </w:p>
    <w:p w:rsidR="00AC0832" w:rsidRDefault="00AC0832">
      <w:pPr>
        <w:pStyle w:val="Heading5"/>
      </w:pPr>
      <w:r>
        <w:t>3703 OSNOVNOŠKOLSKO OBRAZOVANJE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3703-OSNOVNOŠKOLSKO OBRAZOVANJE</w:t>
            </w:r>
          </w:p>
        </w:tc>
        <w:tc>
          <w:tcPr>
            <w:tcW w:w="2322" w:type="dxa"/>
          </w:tcPr>
          <w:p w:rsidR="00AC0832" w:rsidRDefault="00AC0832">
            <w:pPr>
              <w:pStyle w:val="CellColumn"/>
            </w:pPr>
            <w:r>
              <w:t>4.683.780.167</w:t>
            </w:r>
          </w:p>
        </w:tc>
        <w:tc>
          <w:tcPr>
            <w:tcW w:w="2322" w:type="dxa"/>
          </w:tcPr>
          <w:p w:rsidR="00AC0832" w:rsidRDefault="00AC0832">
            <w:pPr>
              <w:pStyle w:val="CellColumn"/>
            </w:pPr>
            <w:r>
              <w:t>4.683.627.018</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Opis programa</w:t>
      </w:r>
    </w:p>
    <w:p w:rsidR="00AC0832" w:rsidRDefault="00AC0832">
      <w:pPr>
        <w:pStyle w:val="Normal5"/>
      </w:pPr>
      <w:r>
        <w:t>Provedba ovog programa vezana je uz ostvarenje općeg cilja pod bojem 1. Održiva kvaliteta odgojno-obrazovnog sustava u Strateškom planu za razdoblje 2012.-2014. Ministarstva znanosti, obrazovanja i sporta. Program osnovnoškolskog obrazovanja obvezan je za svu djecu u Republici Hrvatskoj. Razvoj dostupnijeg, prilagodljivijeg i učinkovitijeg sustava obrazovanja omogućuje stvaranje intelektualnog i radnog potencijala kao ključnog bogatstva hrvatske države. Za to je potrebno osiguravati uvjete za ostvarenje koeficijenata izvodljivosti Državnoga pedagoškog standarda osnovnoškolskog sustava odgoja i obrazovanja (NN, 63/08. i 90/10.), odnosno opremati školske ustanove didaktičkom i informatičkom opremom, prilagoditi škole potrebama učenika s motoričkim i drugim teškoćama te zahtjevima suvremenog pristupa poučavanju koji zahtijeva izgradnju, nadogradnju i/ili rekonstrukciju postojećih školskih objekata.</w:t>
      </w:r>
    </w:p>
    <w:p w:rsidR="00AC0832" w:rsidRDefault="00AC0832">
      <w:pPr>
        <w:pStyle w:val="Heading6"/>
      </w:pPr>
      <w:r>
        <w:t>Zakonske i druge pravne osnove</w:t>
      </w:r>
    </w:p>
    <w:p w:rsidR="00AC0832" w:rsidRDefault="00AC0832">
      <w:pPr>
        <w:pStyle w:val="Normal5"/>
      </w:pPr>
      <w:r>
        <w:t>Zakon o odgoju i obrazovanju u osnovnoj i srednjoj školi (NN,  87/08, 86/09, 92/10, 105/10, 90/11, 5/12, 16/12, 86/12); Zakon o odgoju i obrazovanju na jeziku i pismu nacionalnih manjina (NN,  51/00, 56/00); Zakon o umjetničkom obrazovanju (NN, 130/11); Zakon o udžbenicima za osnovnu i srednju školu ((NN,  27/10., 55/11.); Državni pedagoški standardi osnovnoškolskog sustava odgoja i obrazovanja (NN, 63/08. i 90/10.); Nacionalni okvirni kurikulum za predškolski odgoj i obrazovanje te opće obvezno i srednjoškolsko obrazovanje (srpanj, 2011.); Odluka o donošenju Mreže osnovnih i srednjih škola, učeničkih domova i programa obrazovanja (NN, 70/11.); Nastavni plan i program za osnovnu školu (NN, 102/06.); Pravilnik o postupku utvrđivanja psihofizičkoga stanja djeteta, učenika te sastavu stručnoga povjerenstva (NN, 55/11.); Odluka o početku i završetku nastavne godine, broju radnih dana i trajanju odmora učenika u osnovnoj školi; Kalendar rada za školsku godinu 2012./2013.; Pravilnik o načinima, postupcima i elementima vrednovanja učenika u osnovnoj i srednjoj školi (NN, 112/10.); Pravilniku o broju učenika u redovitom i kombiniranom razrednom odjelu i odgojno-obrazovnoj skupini u osnovnoj školi (NN, 124/09).</w:t>
      </w:r>
    </w:p>
    <w:p w:rsidR="00AC0832" w:rsidRDefault="00AC0832">
      <w:pPr>
        <w:pStyle w:val="Heading7"/>
      </w:pPr>
      <w:r>
        <w:t>Cilj 1. Uspostaviti učinkovitu mrežu odgojno-obrazovnih ustanova i kvalifikacija/programa/kurikuluma usklađenu s potrebama tržišta rada i razvoja ljudskih potencijala</w:t>
      </w:r>
    </w:p>
    <w:p w:rsidR="00AC0832" w:rsidRDefault="00AC0832">
      <w:pPr>
        <w:pStyle w:val="Heading8"/>
        <w:jc w:val="left"/>
      </w:pPr>
      <w:r>
        <w:t>Opis provedbe cilja programa</w:t>
      </w:r>
    </w:p>
    <w:p w:rsidR="00AC0832" w:rsidRDefault="00AC0832">
      <w:pPr>
        <w:pStyle w:val="Normal6"/>
      </w:pPr>
      <w:r>
        <w:t>U idućem trogodišnjem razdoblju Ministarstvo će usuglasiti predmetne kurikulume po vrstama obrazovnih programa i po godinama te predložiti nacionalni kurikulum. S tim u svezi, Ministarstvo je u školskoj godini 2012./2013. pristupilo eksperimentalnoj provedbi programa građanskog odgoja i obrazovanja, kao i provedbi programa zdravstvenog odgoja i obrazovanja. Vlada Republike Hrvatske u lipnju 2011. godine donijela je Mrežu osnovnih i srednjih škola, učeničkih domova i programa obrazovanja (Narodne novine, broj 70/11.) s ciljem uspostave racionalne mreže škola i programa odgoja i obrazovanja koji će biti dostupni učenicima i usmjereni na opće dobro svih sudionika i društva u cjelini, kako bi se poboljšala kvaliteta obrazovanja u funkciji kulture življenja i demokratskih načela te osiguralo pravo na obrazovanje za sve. Sukladno strateškim ciljevima Vlade Republike Hrvatske, mrežom se utvrđuju sadržaji koji trebaju pridonijeti razvoju kvalitetnijeg, dostupnijeg, prilagodljivijeg i učinkovitijeg sustava obrazovanja radi stvaranja intelektualnog i radnoga ljudskog kapitala kao ključnog bogatstva hrvatske države.  Mreža osnovnih škola podrazumijeva stvaranje optimalnih uvjeta s obzirom na veličinu škole, broj razrednih odjela, ulaganje u opremljenost školskih ustanova, zapošljavanje nositelja odgojno-obrazovne djelatnosti i upravljanje školskim ustanovama.  U 2012. godini nastavilo se s daljnjom razradom mreže škola i programa, a u skladu s elementima za izradu mreže kao što su primjerice naseljenost područja na kojem djeluju školske ustanove, broj djece i demografske projekcije, geografski položaj i potrebe tržišta rada. U svezi s navedenim, Ministarstvo je nastavilo s daljnjom decentralizacijom u ovlastima lokalne uprave u radu škola i upravljanju školskim objektima čime je omogućeno pretvaranje škola u manjim mjestima u središta cjeloživotnoga učenja, kulture i sporta. Nadalje, Ministarstvo je u suradnji s drugim tijelima državne uprave, ustanovama u sustavu odgoja i obrazovanja te lokalnom i područnom (regionalnom) samoupravom omogućilo provedbu različitih programa javnih potreba (za učenike s teškoćama, darovite učenike i učenike pripadnike nacionalnih manjina) i drugih aktivnosti kako bi se udovoljilo osobnim, društvenim, kulturnim potrebama i sposobnostima djece i mladih. U 2012. godini učinjen je značajan pomak u poboljšanju nastave na jeziku i pismu nacionalnih manjina te obuhvatu pripadnika romske nacionalne manjine na svim razinama odgojno-obrazovnog</w:t>
      </w:r>
    </w:p>
    <w:p w:rsidR="00AC0832" w:rsidRDefault="00AC0832">
      <w:pPr>
        <w:pStyle w:val="Heading7"/>
      </w:pPr>
      <w:r>
        <w:t>Cilj 2. Razvijati sustav osiguranja kvalitete na svim razinama sustava odgoja i obrazovanja</w:t>
      </w:r>
    </w:p>
    <w:p w:rsidR="00AC0832" w:rsidRDefault="00AC0832">
      <w:pPr>
        <w:pStyle w:val="Heading8"/>
        <w:jc w:val="left"/>
      </w:pPr>
      <w:r>
        <w:t>Opis provedbe cilja programa</w:t>
      </w:r>
    </w:p>
    <w:p w:rsidR="00AC0832" w:rsidRDefault="00AC0832">
      <w:pPr>
        <w:pStyle w:val="Normal6"/>
      </w:pPr>
      <w:r>
        <w:t xml:space="preserve">Razvojem sustava osiguranja kvalitete postiže se učinkovit i djelotvoran obrazovni sustav. S tim u svezi, Ministarstvo je započelo niz projekata vezanih i uz poboljšanje standarda u odgojno-obrazovnim ustanovama te su, među ostalim, doneseni državni pedagoški standardi osnovnoškolsku razinu (NN 63/08. i 90/10.) kojima su postavljeni čvrsti temelji za daljnji razvoj i odgojno-obrazovni rad u osnovnim školam. Osiguravanjem jednakih uvjeta provedbom odredaba državnih pedagoških standarda - kojima se uređuju minimalni infrastrukturni, financijski i kadrovski uvjeti za ostvarivanje i razvoj djelatnosti i podjednaki uvjeti za ujednačeni razvoj sustava - osigurat će se uvjeti za osiguranje kvalitete u osnovnim školama u Republici Hrvatskoj. Standardima se također uređuju i jedinstveni uvjeti za kvalitetan odgojno-obrazovni rad i uspješno ostvarivanje ciljeva i zadataka u osnovnim školama. Ministarstvo će u 2012. godini pristupilo kvalitativnoj i kvantitativnoj analizi na svim razinama sustava odgoja i obrazovanja kako bi utvrdilo činjenično stanje u sustavu. Na temelju kvalitativne i kvantitativne analize utvrđene su potrebe kojima će se smanjiti regionalna neujednačenost u sustavu te stvoriti optimalna mreža odgojno-obrazovnih ustanova i programa s odgovarajućim ljudskim potencijalima za ostvarivanje predviđenih ciljeva. Na temelju spomenute analize pristupilo se izradi strateških dokumenata te izmjenama i dopunama Zakona o odgoju i obrazovanju u osnovnoj i srednjoj školi. S tim u svezi, Ministarstvo je nastavilo s praćenjem ostvarivanja mjera državnih pedagoških standarda u osnovnoškolskom sustavu u skladu s propisanim koeficijentima izvodljivosti. Jednako tako, Ministarstvo je nastavilo i s unapređenjem prostornih i materijalnih uvjeta u osnovnim školama.  </w:t>
      </w:r>
    </w:p>
    <w:p w:rsidR="00AC0832" w:rsidRDefault="00AC0832">
      <w:pPr>
        <w:pStyle w:val="Normal6"/>
      </w:pPr>
      <w:r>
        <w:t xml:space="preserve">U spomenutom razdoblju poticalo se napredovanje učitelja i nastavnika u četiri stupnja zvanja na temelju ostvarenih postignuća u odgojno-obrazovnom radu i stručnom usavršavanju, kao i kreativnost i individualni rad učenik; sufinancirala se dodatna nastava i izvannastavne aktivnosti za darovite učenike koje potiču aktivno učenje i razvijanje učenikovih sposobnosti i mogućnosti, rasterećuju roditelje, a nastavnicima omogućuju kreativno djelovanje i primjenu različitih strategija učenja i poučavanja. Također, u spomenutom razdoblju osobita se pozornost posvetila organizaciji i provedbi vanjskoga vrjednovanja obrazovnih rezultata u sustavu osnovnog obrazovanja. </w:t>
      </w:r>
    </w:p>
    <w:p w:rsidR="00AC0832" w:rsidRDefault="00AC0832">
      <w:pPr>
        <w:pStyle w:val="Normal6"/>
      </w:pPr>
      <w:r>
        <w:t>Uz to, a u skladu sa zakonskim i podzakonskim aktima vezanim uz odgoj i obrazovanje te nacionalnim strategijama, Ministarstvo je u 2012. godini osobitu pozornost usmjerilo na odgoj i obrazovanje ciljnih skupina djece i mladih kao što su primjerice djeca iz socijalno ugroženih obitelji i životnih okruženja te iz drugih ranjivih skupina populacije.</w:t>
      </w:r>
    </w:p>
    <w:p w:rsidR="00AC0832" w:rsidRDefault="00AC0832">
      <w:pPr>
        <w:pStyle w:val="Heading7"/>
      </w:pPr>
      <w:r>
        <w:t>Cilj 3. Poticati inkluzivno obrazovanje</w:t>
      </w:r>
    </w:p>
    <w:p w:rsidR="00AC0832" w:rsidRDefault="00AC0832">
      <w:pPr>
        <w:pStyle w:val="Heading8"/>
        <w:jc w:val="left"/>
      </w:pPr>
      <w:r>
        <w:t>Opis provedbe cilja programa</w:t>
      </w:r>
    </w:p>
    <w:p w:rsidR="00AC0832" w:rsidRDefault="00AC0832">
      <w:pPr>
        <w:pStyle w:val="Normal6"/>
      </w:pPr>
      <w:r>
        <w:t xml:space="preserve">Nacionalna strategija izjednačavanja mogućnosti za osobe s invaliditetom od 2007. do 2015. godine (NN 63/07.) u posebnom poglavlju donosi mjere za obrazovanje osoba s invaliditetom. One, između ostaloga, uključuju infrastrukturnu prilagodbu škola učenicima s invaliditetom, modifikacije kurikuluma kako bi odgovarali potrebama učenika s teškoćama te poticanje profesionalnog razvoja učitelja i nastavnika za rad s takvim učenicima. </w:t>
      </w:r>
    </w:p>
    <w:p w:rsidR="00AC0832" w:rsidRDefault="00AC0832">
      <w:pPr>
        <w:pStyle w:val="Normal6"/>
      </w:pPr>
      <w:r>
        <w:t>Osiguranje jednakih uvjeta školovanja za sve učenike jedan je od prioriteta strateškog planiranja Ministarstva. Sukladno tome u osnovnim se školama posebice pružala potpora učenicima s teškoćama u razvoju radi osiguranja standarda koji omogućuju njihovo uspješno obrazovanje i maksimalno uključivanje u redoviti odgojno-obrazovni sustav.</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6"/>
        <w:gridCol w:w="1306"/>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Održanje udjela djece i učenika s teškoćama uključenih u redovan sustav odgoja i obrazovanja</w:t>
            </w:r>
          </w:p>
        </w:tc>
        <w:tc>
          <w:tcPr>
            <w:tcW w:w="1300" w:type="dxa"/>
          </w:tcPr>
          <w:p w:rsidR="00AC0832" w:rsidRDefault="00AC0832">
            <w:pPr>
              <w:pStyle w:val="CellColumn"/>
            </w:pPr>
            <w:r>
              <w:t>Udio djece i učenika integriranih u sustav odgoja i obrazovanja u odnosu na ukupan broj</w:t>
            </w:r>
          </w:p>
        </w:tc>
        <w:tc>
          <w:tcPr>
            <w:tcW w:w="1300" w:type="dxa"/>
          </w:tcPr>
          <w:p w:rsidR="00AC0832" w:rsidRDefault="00AC0832">
            <w:pPr>
              <w:pStyle w:val="CellColumn"/>
            </w:pPr>
            <w:r>
              <w:t>postotni udio</w:t>
            </w:r>
          </w:p>
        </w:tc>
        <w:tc>
          <w:tcPr>
            <w:tcW w:w="1300" w:type="dxa"/>
          </w:tcPr>
          <w:p w:rsidR="00AC0832" w:rsidRDefault="00AC0832">
            <w:pPr>
              <w:pStyle w:val="CellColumn"/>
            </w:pPr>
            <w:r>
              <w:t>3,20</w:t>
            </w:r>
          </w:p>
        </w:tc>
        <w:tc>
          <w:tcPr>
            <w:tcW w:w="1300" w:type="dxa"/>
          </w:tcPr>
          <w:p w:rsidR="00AC0832" w:rsidRDefault="00AC0832">
            <w:pPr>
              <w:pStyle w:val="CellColumn"/>
            </w:pPr>
            <w:r>
              <w:t>MZOŠ</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3,20</w:t>
            </w:r>
          </w:p>
        </w:tc>
      </w:tr>
    </w:tbl>
    <w:p w:rsidR="00AC0832" w:rsidRDefault="00AC0832">
      <w:pPr>
        <w:jc w:val="left"/>
      </w:pPr>
    </w:p>
    <w:p w:rsidR="00AC0832" w:rsidRDefault="00AC0832">
      <w:pPr>
        <w:pStyle w:val="Heading6"/>
      </w:pPr>
      <w:r>
        <w:t>A577004 IZRADA NASTAVNOG UPUTNIKA (KURIKULUMA)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A577004-IZRADA NASTAVNOG UPUTNIKA (KURIKULUMA)</w:t>
            </w:r>
          </w:p>
        </w:tc>
        <w:tc>
          <w:tcPr>
            <w:tcW w:w="2322" w:type="dxa"/>
          </w:tcPr>
          <w:p w:rsidR="00AC0832" w:rsidRDefault="00AC0832">
            <w:pPr>
              <w:pStyle w:val="CellColumn"/>
            </w:pPr>
            <w:r>
              <w:t>114.000</w:t>
            </w:r>
          </w:p>
        </w:tc>
        <w:tc>
          <w:tcPr>
            <w:tcW w:w="2322" w:type="dxa"/>
          </w:tcPr>
          <w:p w:rsidR="00AC0832" w:rsidRDefault="00AC0832">
            <w:pPr>
              <w:pStyle w:val="CellColumn"/>
            </w:pPr>
            <w:r>
              <w:t>33.167</w:t>
            </w:r>
          </w:p>
        </w:tc>
        <w:tc>
          <w:tcPr>
            <w:tcW w:w="2322" w:type="dxa"/>
          </w:tcPr>
          <w:p w:rsidR="00AC0832" w:rsidRDefault="00AC0832">
            <w:pPr>
              <w:pStyle w:val="CellColumn"/>
            </w:pPr>
            <w:r>
              <w:t>29,1</w:t>
            </w:r>
          </w:p>
        </w:tc>
      </w:tr>
    </w:tbl>
    <w:p w:rsidR="00AC0832" w:rsidRDefault="00AC0832">
      <w:pPr>
        <w:jc w:val="left"/>
      </w:pPr>
    </w:p>
    <w:p w:rsidR="00AC0832" w:rsidRDefault="00AC0832">
      <w:pPr>
        <w:pStyle w:val="Heading8"/>
        <w:jc w:val="left"/>
      </w:pPr>
      <w:r>
        <w:t>Opis provedbe aktivnosti / projekta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2"/>
        <w:gridCol w:w="1417"/>
        <w:gridCol w:w="1417"/>
        <w:gridCol w:w="1290"/>
        <w:gridCol w:w="1289"/>
        <w:gridCol w:w="1290"/>
        <w:gridCol w:w="129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Izrađen kurikulum i predmetni kurikulumi</w:t>
            </w:r>
          </w:p>
        </w:tc>
        <w:tc>
          <w:tcPr>
            <w:tcW w:w="1300" w:type="dxa"/>
          </w:tcPr>
          <w:p w:rsidR="00AC0832" w:rsidRDefault="00AC0832">
            <w:pPr>
              <w:pStyle w:val="CellColumn"/>
            </w:pPr>
            <w:r>
              <w:t>Analitikom te racionalnom upisnom politikom izrađena optimalna, učinkovita i prilagodljiva mreža ustanova sukladno iskazanim potrebama gospodarstva od lokalne do nacionalne razine</w:t>
            </w:r>
          </w:p>
        </w:tc>
        <w:tc>
          <w:tcPr>
            <w:tcW w:w="1300" w:type="dxa"/>
          </w:tcPr>
          <w:p w:rsidR="00AC0832" w:rsidRDefault="00AC0832">
            <w:pPr>
              <w:pStyle w:val="CellColumn"/>
            </w:pPr>
            <w:r>
              <w:t>Broj (kumulativno)</w:t>
            </w:r>
          </w:p>
        </w:tc>
        <w:tc>
          <w:tcPr>
            <w:tcW w:w="1300" w:type="dxa"/>
          </w:tcPr>
          <w:p w:rsidR="00AC0832" w:rsidRDefault="00AC0832">
            <w:pPr>
              <w:pStyle w:val="CellColumn"/>
            </w:pPr>
            <w:r>
              <w:t>0</w:t>
            </w:r>
          </w:p>
        </w:tc>
        <w:tc>
          <w:tcPr>
            <w:tcW w:w="1300" w:type="dxa"/>
          </w:tcPr>
          <w:p w:rsidR="00AC0832" w:rsidRDefault="00AC0832">
            <w:pPr>
              <w:pStyle w:val="CellColumn"/>
            </w:pPr>
            <w:r>
              <w:t>MZOS</w:t>
            </w:r>
          </w:p>
        </w:tc>
        <w:tc>
          <w:tcPr>
            <w:tcW w:w="1300" w:type="dxa"/>
          </w:tcPr>
          <w:p w:rsidR="00AC0832" w:rsidRDefault="00AC0832">
            <w:pPr>
              <w:pStyle w:val="CellColumn"/>
            </w:pPr>
            <w:r>
              <w:t>6</w:t>
            </w:r>
          </w:p>
        </w:tc>
        <w:tc>
          <w:tcPr>
            <w:tcW w:w="1300" w:type="dxa"/>
          </w:tcPr>
          <w:p w:rsidR="00AC0832" w:rsidRDefault="00AC0832">
            <w:pPr>
              <w:pStyle w:val="CellColumn"/>
            </w:pPr>
            <w:r>
              <w:t>2</w:t>
            </w:r>
          </w:p>
        </w:tc>
      </w:tr>
    </w:tbl>
    <w:p w:rsidR="00AC0832" w:rsidRDefault="00AC0832">
      <w:pPr>
        <w:jc w:val="left"/>
      </w:pPr>
    </w:p>
    <w:p w:rsidR="00AC0832" w:rsidRDefault="00AC0832">
      <w:pPr>
        <w:pStyle w:val="Heading6"/>
      </w:pPr>
      <w:r>
        <w:t>A579000 OSNOVNOŠKOLSKO OBRAZOVANJE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A579000-OSNOVNOŠKOLSKO OBRAZOVANJE</w:t>
            </w:r>
          </w:p>
        </w:tc>
        <w:tc>
          <w:tcPr>
            <w:tcW w:w="2322" w:type="dxa"/>
          </w:tcPr>
          <w:p w:rsidR="00AC0832" w:rsidRDefault="00AC0832">
            <w:pPr>
              <w:pStyle w:val="CellColumn"/>
            </w:pPr>
            <w:r>
              <w:t>4.598.148.845</w:t>
            </w:r>
          </w:p>
        </w:tc>
        <w:tc>
          <w:tcPr>
            <w:tcW w:w="2322" w:type="dxa"/>
          </w:tcPr>
          <w:p w:rsidR="00AC0832" w:rsidRDefault="00AC0832">
            <w:pPr>
              <w:pStyle w:val="CellColumn"/>
            </w:pPr>
            <w:r>
              <w:t>4.598.106.149</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Tijekom 2012. godine dogodile su se određene promjene kod isplata bruto plaća koje su utjecale i na smanjenje i na povećanje sredstava za bruto plaće. Sukladno čl. 2 i čl. 20. Zakona o izmjenama i dopunama Zakona o doprinosima smanjena je stopa doprinosa za obvezno zdravstveno osiguranje sa 15% na 13%. Navedena stopa doprinosa od 13% počela se primjenjivati na obračunu bruto plaća za svibanj 2012. godine. Od 1. srpnja 2012. godine odobrena su sredstva za isplatu dodatka od 2,3%, a sukladno Sporazumu o dodacima na plaću u obrazovanju i znanosti od 25. studenog 2006. godine. Povećanje od 2,3% bilo je uključeno u obračunskim koeficijentima i počelo se primjenjivati na plaći za mjesec srpanj. Od 1. kolovoza 2012. godine prestalo se isplaćivati uvećanje koeficijenata složenosti poslova ovisno o godinama staža propisano Uredbom o raspodjeli dodatnih sredstava za plaće učitelja i nastavnika u osnovnom i srednjem školstvu (tkz. Uredba 3,5,7,9). Prestanak isplate odnosio se za plaću za mjesec srpanj, koja se isplatila u kolovozu. Od 01. rujna 2012. godine, stupanjem na snagu odredbi članka 134. St. 2. Kolektivnog ugovora za zaposlenike u osnovnoškolskim ustanovama, došlo je do povećanja plaća zaposlenicima osnovnih škola zbog povećanja koeficijenata složenosti poslova radnog mjesta za 4%, 8% ili 10%, ovisno o ukupnim godinama radnog staža, a ne kao što je vrijedilo do tada - ovisno o godinama radnog staža ostvarenog u prosvjeti. Također je stupanjem na snagu odredbi istog članka, st. 3. promijenjeno da se prekovremeni nastavni sati učitelja i stručnih suradnika obračunavaju na način da se vrijednost prekovremenog sata uveća za vrijednost stručno-metodičke pripreme od 0,5% i sve uveća za 50%. Promjena je u uvećanju 0,5% za stručno-metodičke pripreme. Prosječan broj zaposlenih na bazi sati rada u 2012. bio je 39.874 što je za 27 osoba više nego u 2011. godini.</w:t>
      </w:r>
    </w:p>
    <w:p w:rsidR="00AC0832" w:rsidRDefault="00AC0832">
      <w:pPr>
        <w:pStyle w:val="Heading6"/>
      </w:pPr>
      <w:r>
        <w:t>A579003 ODGOJ I NAOBRAZBA UČENIKA S TEŠKOĆAMA U RAZVOJU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A579003-ODGOJ I NAOBRAZBA UČENIKA S TEŠKOĆAMA U RAZVOJU</w:t>
            </w:r>
          </w:p>
        </w:tc>
        <w:tc>
          <w:tcPr>
            <w:tcW w:w="2322" w:type="dxa"/>
          </w:tcPr>
          <w:p w:rsidR="00AC0832" w:rsidRDefault="00AC0832">
            <w:pPr>
              <w:pStyle w:val="CellColumn"/>
            </w:pPr>
            <w:r>
              <w:t>23.733.512</w:t>
            </w:r>
          </w:p>
        </w:tc>
        <w:tc>
          <w:tcPr>
            <w:tcW w:w="2322" w:type="dxa"/>
          </w:tcPr>
          <w:p w:rsidR="00AC0832" w:rsidRDefault="00AC0832">
            <w:pPr>
              <w:pStyle w:val="CellColumn"/>
            </w:pPr>
            <w:r>
              <w:t>23.732.488</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2012. godini sufinancirali su se troškovi prijevoza za 2.631 učenika u 19 posebnih odgojno-obrazovnih ustanova  i  osnovnim školama s općeobrazovnim programom u kojima su ustrojeni posebni razredni odjeli za učenike s teškoćama u razvoju.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6"/>
        <w:gridCol w:w="1300"/>
        <w:gridCol w:w="1417"/>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Održanje broja učenika s teškoćama u razvoju kojima se osigurava potpora za osnovno obrazovanje</w:t>
            </w:r>
          </w:p>
        </w:tc>
        <w:tc>
          <w:tcPr>
            <w:tcW w:w="1300" w:type="dxa"/>
          </w:tcPr>
          <w:p w:rsidR="00AC0832" w:rsidRDefault="00AC0832">
            <w:pPr>
              <w:pStyle w:val="CellColumn"/>
            </w:pPr>
            <w:r>
              <w:t>Osigurati prijevoz, prehranu i didaktičku opremu za učenike s teškoćama u razvoju</w:t>
            </w:r>
          </w:p>
        </w:tc>
        <w:tc>
          <w:tcPr>
            <w:tcW w:w="1300" w:type="dxa"/>
          </w:tcPr>
          <w:p w:rsidR="00AC0832" w:rsidRDefault="00AC0832">
            <w:pPr>
              <w:pStyle w:val="CellColumn"/>
            </w:pPr>
            <w:r>
              <w:t>Broj (kumulativno)</w:t>
            </w:r>
          </w:p>
        </w:tc>
        <w:tc>
          <w:tcPr>
            <w:tcW w:w="1300" w:type="dxa"/>
          </w:tcPr>
          <w:p w:rsidR="00AC0832" w:rsidRDefault="00AC0832">
            <w:pPr>
              <w:pStyle w:val="CellColumn"/>
            </w:pPr>
            <w:r>
              <w:t>2548</w:t>
            </w:r>
          </w:p>
        </w:tc>
        <w:tc>
          <w:tcPr>
            <w:tcW w:w="1300" w:type="dxa"/>
          </w:tcPr>
          <w:p w:rsidR="00AC0832" w:rsidRDefault="00AC0832">
            <w:pPr>
              <w:pStyle w:val="CellColumn"/>
            </w:pPr>
            <w:r>
              <w:t>MZOS i AZOO</w:t>
            </w:r>
          </w:p>
        </w:tc>
        <w:tc>
          <w:tcPr>
            <w:tcW w:w="1300" w:type="dxa"/>
          </w:tcPr>
          <w:p w:rsidR="00AC0832" w:rsidRDefault="00AC0832">
            <w:pPr>
              <w:pStyle w:val="CellColumn"/>
            </w:pPr>
            <w:r>
              <w:t>2600</w:t>
            </w:r>
          </w:p>
        </w:tc>
        <w:tc>
          <w:tcPr>
            <w:tcW w:w="1300" w:type="dxa"/>
          </w:tcPr>
          <w:p w:rsidR="00AC0832" w:rsidRDefault="00AC0832">
            <w:pPr>
              <w:pStyle w:val="CellColumn"/>
            </w:pPr>
            <w:r>
              <w:t>2631</w:t>
            </w:r>
          </w:p>
        </w:tc>
      </w:tr>
    </w:tbl>
    <w:p w:rsidR="00AC0832" w:rsidRDefault="00AC0832">
      <w:pPr>
        <w:jc w:val="left"/>
      </w:pPr>
    </w:p>
    <w:p w:rsidR="00AC0832" w:rsidRDefault="00AC0832">
      <w:pPr>
        <w:pStyle w:val="Heading6"/>
      </w:pPr>
      <w:r>
        <w:t>A579007 IZVRŠAVANJE PRAVOMOĆNIH SUDSKIH PRESUDA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A579007-IZVRŠAVANJE PRAVOMOĆNIH SUDSKIH PRESUDA</w:t>
            </w:r>
          </w:p>
        </w:tc>
        <w:tc>
          <w:tcPr>
            <w:tcW w:w="2322" w:type="dxa"/>
          </w:tcPr>
          <w:p w:rsidR="00AC0832" w:rsidRDefault="00AC0832">
            <w:pPr>
              <w:pStyle w:val="CellColumn"/>
            </w:pPr>
            <w:r>
              <w:t>3.100.000</w:t>
            </w:r>
          </w:p>
        </w:tc>
        <w:tc>
          <w:tcPr>
            <w:tcW w:w="2322" w:type="dxa"/>
          </w:tcPr>
          <w:p w:rsidR="00AC0832" w:rsidRDefault="00AC0832">
            <w:pPr>
              <w:pStyle w:val="CellColumn"/>
            </w:pPr>
            <w:r>
              <w:t>3.098.628</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Isplaćivana su sredstva za plaće i naknade zaposlenicima osnovnoškolskih ustanova na temelju pravomoćnih sudskih presuda, a koje su se odnosile na sporove iz radnog odnosa.</w:t>
      </w:r>
    </w:p>
    <w:p w:rsidR="00AC0832" w:rsidRDefault="00AC0832">
      <w:pPr>
        <w:pStyle w:val="Heading6"/>
      </w:pPr>
      <w:r>
        <w:t>A579015 JUBILARNE NAGRADE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A579015-JUBILARNE NAGRADE</w:t>
            </w:r>
          </w:p>
        </w:tc>
        <w:tc>
          <w:tcPr>
            <w:tcW w:w="2322" w:type="dxa"/>
          </w:tcPr>
          <w:p w:rsidR="00AC0832" w:rsidRDefault="00AC0832">
            <w:pPr>
              <w:pStyle w:val="CellColumn"/>
            </w:pPr>
            <w:r>
              <w:t>29.000.000</w:t>
            </w:r>
          </w:p>
        </w:tc>
        <w:tc>
          <w:tcPr>
            <w:tcW w:w="2322" w:type="dxa"/>
          </w:tcPr>
          <w:p w:rsidR="00AC0832" w:rsidRDefault="00AC0832">
            <w:pPr>
              <w:pStyle w:val="CellColumn"/>
            </w:pPr>
            <w:r>
              <w:t>28.997.106</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Sukladno važećem Kolektivnom ugovoru za zaposlenike u osnovnoškolskim ustanovama propisano je pravo zaposlenika na jubilarnu nagradu za kontinuirani radni staž u javnim službama te su tijekom 2012. godine iste isplaćivane po osnovici od 1.800,00 kn.</w:t>
      </w:r>
    </w:p>
    <w:p w:rsidR="00AC0832" w:rsidRDefault="00AC0832">
      <w:pPr>
        <w:pStyle w:val="Heading6"/>
      </w:pPr>
      <w:r>
        <w:t>A579069 PROJEKT REFORME OSNOVNOG OBRAZOVANJA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A579069-PROJEKT REFORME OSNOVNOG OBRAZOVANJA</w:t>
            </w:r>
          </w:p>
        </w:tc>
        <w:tc>
          <w:tcPr>
            <w:tcW w:w="2322" w:type="dxa"/>
          </w:tcPr>
          <w:p w:rsidR="00AC0832" w:rsidRDefault="00AC0832">
            <w:pPr>
              <w:pStyle w:val="CellColumn"/>
            </w:pPr>
            <w:r>
              <w:t>54.000</w:t>
            </w:r>
          </w:p>
        </w:tc>
        <w:tc>
          <w:tcPr>
            <w:tcW w:w="2322" w:type="dxa"/>
          </w:tcPr>
          <w:p w:rsidR="00AC0832" w:rsidRDefault="00AC0832">
            <w:pPr>
              <w:pStyle w:val="CellColumn"/>
            </w:pPr>
            <w:r>
              <w:t>29.671</w:t>
            </w:r>
          </w:p>
        </w:tc>
        <w:tc>
          <w:tcPr>
            <w:tcW w:w="2322" w:type="dxa"/>
          </w:tcPr>
          <w:p w:rsidR="00AC0832" w:rsidRDefault="00AC0832">
            <w:pPr>
              <w:pStyle w:val="CellColumn"/>
            </w:pPr>
            <w:r>
              <w:t>54,9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Financiran je rad članova Drugostupanjskog povjerenstva osnovanog na temelju članka 17. Pravilnika o upisu djece u osnovnu školu (Narodne novine, broj 13/91), koje utvrđuje psihofizičko stanje djeteta isplaćuju na polugodišnjoj razini.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328"/>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Kvalitativna i kvantitativna analiza sustava</w:t>
            </w:r>
          </w:p>
        </w:tc>
        <w:tc>
          <w:tcPr>
            <w:tcW w:w="1300" w:type="dxa"/>
          </w:tcPr>
          <w:p w:rsidR="00AC0832" w:rsidRDefault="00AC0832">
            <w:pPr>
              <w:pStyle w:val="CellColumn"/>
            </w:pPr>
            <w:r>
              <w:t>Načiniti kvalitativnu i kvantitativnu analizu sustava nakon koje će se pristupiti reviziji i izradbi državnih pedagoških standarda i zakona</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MZOS</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2</w:t>
            </w:r>
          </w:p>
        </w:tc>
      </w:tr>
    </w:tbl>
    <w:p w:rsidR="00AC0832" w:rsidRDefault="00AC0832">
      <w:pPr>
        <w:jc w:val="left"/>
      </w:pPr>
    </w:p>
    <w:p w:rsidR="00AC0832" w:rsidRDefault="00AC0832">
      <w:pPr>
        <w:pStyle w:val="Heading6"/>
      </w:pPr>
      <w:r>
        <w:t>K579037 IZGRADNJA ŠKOLSKOG PROSTORA U ZAMJENU ZA VRAĆENU CRKVENU IMOVINU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K579037-IZGRADNJA ŠKOLSKOG PROSTORA U ZAMJENU ZA VRAĆENU CRKVENU IMOVINU</w:t>
            </w:r>
          </w:p>
        </w:tc>
        <w:tc>
          <w:tcPr>
            <w:tcW w:w="2322" w:type="dxa"/>
          </w:tcPr>
          <w:p w:rsidR="00AC0832" w:rsidRDefault="00AC0832">
            <w:pPr>
              <w:pStyle w:val="CellColumn"/>
            </w:pPr>
            <w:r>
              <w:t>598</w:t>
            </w:r>
          </w:p>
        </w:tc>
        <w:tc>
          <w:tcPr>
            <w:tcW w:w="2322" w:type="dxa"/>
          </w:tcPr>
          <w:p w:rsidR="00AC0832" w:rsidRDefault="00AC0832">
            <w:pPr>
              <w:pStyle w:val="CellColumn"/>
            </w:pPr>
            <w:r>
              <w:t>598</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Izrada projekta za OŠ Fra Pavla Vučkovića u Sinju u tijeku, nastavak u 2013.</w:t>
      </w:r>
    </w:p>
    <w:p w:rsidR="00AC0832" w:rsidRDefault="00AC0832">
      <w:pPr>
        <w:pStyle w:val="Heading6"/>
      </w:pPr>
      <w:r>
        <w:t>K579041 IZGRADNJA ZGRADE CENTRA TOMISLAVA ŠPOLJARA, VARAŽDIN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K579041-IZGRADNJA ZGRADE CENTRA TOMISLAVA ŠPOLJARA, VARAŽDIN</w:t>
            </w:r>
          </w:p>
        </w:tc>
        <w:tc>
          <w:tcPr>
            <w:tcW w:w="2322" w:type="dxa"/>
          </w:tcPr>
          <w:p w:rsidR="00AC0832" w:rsidRDefault="00AC0832">
            <w:pPr>
              <w:pStyle w:val="CellColumn"/>
            </w:pPr>
            <w:r>
              <w:t>8.950.000</w:t>
            </w:r>
          </w:p>
        </w:tc>
        <w:tc>
          <w:tcPr>
            <w:tcW w:w="2322" w:type="dxa"/>
          </w:tcPr>
          <w:p w:rsidR="00AC0832" w:rsidRDefault="00AC0832">
            <w:pPr>
              <w:pStyle w:val="CellColumn"/>
            </w:pPr>
            <w:r>
              <w:t>8.950.000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Radovi su izvođeni ugovorenom dinamikom, nastavak u 2013. godini.</w:t>
      </w:r>
    </w:p>
    <w:p w:rsidR="00AC0832" w:rsidRDefault="00AC0832">
      <w:pPr>
        <w:pStyle w:val="Heading6"/>
      </w:pPr>
      <w:r>
        <w:t>K579062 ADAPTACIJA ŠKOLSKIH PROSTORA RADI OSIGURANJA DOSTUPNOSTI DJECI I MLADEŽI S INVALIDITETOM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K579062-ADAPTACIJA ŠKOLSKIH PROSTORA RADI OSIGURANJA DOSTUPNOSTI DJECI I MLADEŽI S INVALIDITETOM</w:t>
            </w:r>
          </w:p>
        </w:tc>
        <w:tc>
          <w:tcPr>
            <w:tcW w:w="2322" w:type="dxa"/>
          </w:tcPr>
          <w:p w:rsidR="00AC0832" w:rsidRDefault="00AC0832">
            <w:pPr>
              <w:pStyle w:val="CellColumn"/>
            </w:pPr>
            <w:r>
              <w:t>700.000</w:t>
            </w:r>
          </w:p>
        </w:tc>
        <w:tc>
          <w:tcPr>
            <w:tcW w:w="2322" w:type="dxa"/>
          </w:tcPr>
          <w:p w:rsidR="00AC0832" w:rsidRDefault="00AC0832">
            <w:pPr>
              <w:pStyle w:val="CellColumn"/>
            </w:pPr>
            <w:r>
              <w:t>700.000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Osigurana sredstva za uklanjanje barijera u 8 osnovnih škola.</w:t>
      </w:r>
    </w:p>
    <w:p w:rsidR="00AC0832" w:rsidRDefault="00AC0832">
      <w:pPr>
        <w:pStyle w:val="Heading6"/>
      </w:pPr>
      <w:r>
        <w:t>K579064 KAPITALNE INVESTICIJE U OSNOVNOM ŠKOLSTVU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K579064-KAPITALNE INVESTICIJE U OSNOVNOM ŠKOLSTVU</w:t>
            </w:r>
          </w:p>
        </w:tc>
        <w:tc>
          <w:tcPr>
            <w:tcW w:w="2322" w:type="dxa"/>
          </w:tcPr>
          <w:p w:rsidR="00AC0832" w:rsidRDefault="00AC0832">
            <w:pPr>
              <w:pStyle w:val="CellColumn"/>
            </w:pPr>
            <w:r>
              <w:t>17.986.000</w:t>
            </w:r>
          </w:p>
        </w:tc>
        <w:tc>
          <w:tcPr>
            <w:tcW w:w="2322" w:type="dxa"/>
          </w:tcPr>
          <w:p w:rsidR="00AC0832" w:rsidRDefault="00AC0832">
            <w:pPr>
              <w:pStyle w:val="CellColumn"/>
            </w:pPr>
            <w:r>
              <w:t>17.986.000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Sredstvima ove aktivnosti završava se izgradnja, rekonstrukcija, dogradnja i opremanje osnovnih škola. Financirane se sljedeće škole: </w:t>
      </w:r>
    </w:p>
    <w:p w:rsidR="00AC0832" w:rsidRDefault="00AC0832">
      <w:pPr>
        <w:pStyle w:val="Normal6"/>
      </w:pPr>
      <w:r>
        <w:t xml:space="preserve">- izgradnja PŠ Novo Čiče (OŠ Vukovina Velika Gorica) - Radovi se odvijaju sukladno ugovorenoj dinamici </w:t>
      </w:r>
    </w:p>
    <w:p w:rsidR="00AC0832" w:rsidRDefault="00AC0832">
      <w:pPr>
        <w:pStyle w:val="Normal6"/>
      </w:pPr>
      <w:r>
        <w:t xml:space="preserve">- radovi na rekonstrukciji i dogradnji OŠ Srdoči u Rijeci - Završeno i građevina u funkciji </w:t>
      </w:r>
    </w:p>
    <w:p w:rsidR="00AC0832" w:rsidRDefault="00AC0832">
      <w:pPr>
        <w:pStyle w:val="Normal6"/>
      </w:pPr>
      <w:r>
        <w:t xml:space="preserve">- rekonstrukcija i opremanje PŠ Sotin -  Radovi kasne, slijedi dogovor o nastvaku radova </w:t>
      </w:r>
    </w:p>
    <w:p w:rsidR="00AC0832" w:rsidRDefault="00AC0832">
      <w:pPr>
        <w:pStyle w:val="Normal6"/>
      </w:pPr>
      <w:r>
        <w:t xml:space="preserve">- rekonstrukcija i dogradnja OŠ Pujanki u Splitu- Radovi se kasne, očekuje se puštanje u funkciju početkom školske godine 2013/2014 </w:t>
      </w:r>
    </w:p>
    <w:p w:rsidR="00AC0832" w:rsidRDefault="00AC0832">
      <w:pPr>
        <w:pStyle w:val="Normal6"/>
      </w:pPr>
      <w:r>
        <w:t xml:space="preserve">- radovi na rekonstrukciji i nadogradnji škole i športske dvorane OŠ Višnjevac- Završeno </w:t>
      </w:r>
    </w:p>
    <w:p w:rsidR="00AC0832" w:rsidRDefault="00AC0832">
      <w:pPr>
        <w:pStyle w:val="Normal6"/>
      </w:pPr>
      <w:r>
        <w:t xml:space="preserve">- dogradnja OŠ Braće Radić u Kloštar Ivaniću - Radovi kasne, vrše se pripreme za tehnički pregled </w:t>
      </w:r>
    </w:p>
    <w:p w:rsidR="00AC0832" w:rsidRDefault="00AC0832">
      <w:pPr>
        <w:pStyle w:val="Normal6"/>
      </w:pPr>
      <w:r>
        <w:t>- izgradnja OŠ Podcrkavlje-  Radovi kasne, slijedi dogovor o nastvaku radova koji je vezan uz radove na zajedničkoj infrastrukturi sportske dvorane i škole.</w:t>
      </w:r>
    </w:p>
    <w:p w:rsidR="00AC0832" w:rsidRDefault="00AC0832">
      <w:pPr>
        <w:pStyle w:val="Heading6"/>
      </w:pPr>
      <w:r>
        <w:t>K767031 OŠ MIJATA STOJANOVIĆA U BABINOJ GREDI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K767031-OŠ MIJATA STOJANOVIĆA U BABINOJ GREDI</w:t>
            </w:r>
          </w:p>
        </w:tc>
        <w:tc>
          <w:tcPr>
            <w:tcW w:w="2322" w:type="dxa"/>
          </w:tcPr>
          <w:p w:rsidR="00AC0832" w:rsidRDefault="00AC0832">
            <w:pPr>
              <w:pStyle w:val="CellColumn"/>
            </w:pPr>
            <w:r>
              <w:t>950</w:t>
            </w:r>
          </w:p>
        </w:tc>
        <w:tc>
          <w:tcPr>
            <w:tcW w:w="2322" w:type="dxa"/>
          </w:tcPr>
          <w:p w:rsidR="00AC0832" w:rsidRDefault="00AC0832">
            <w:pPr>
              <w:pStyle w:val="CellColumn"/>
            </w:pPr>
            <w:r>
              <w:t>950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Financirana je izrada projektne dokumentacije, nastavak u 2013. godini</w:t>
      </w:r>
    </w:p>
    <w:p w:rsidR="00AC0832" w:rsidRDefault="00AC0832">
      <w:pPr>
        <w:pStyle w:val="Heading5"/>
      </w:pPr>
      <w:r>
        <w:t>3704 SREDNJOŠKOLSKO OBRAZOVANJE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3704-SREDNJOŠKOLSKO OBRAZOVANJE</w:t>
            </w:r>
          </w:p>
        </w:tc>
        <w:tc>
          <w:tcPr>
            <w:tcW w:w="2322" w:type="dxa"/>
          </w:tcPr>
          <w:p w:rsidR="00AC0832" w:rsidRDefault="00AC0832">
            <w:pPr>
              <w:pStyle w:val="CellColumn"/>
            </w:pPr>
            <w:r>
              <w:t>2.546.837.545</w:t>
            </w:r>
          </w:p>
        </w:tc>
        <w:tc>
          <w:tcPr>
            <w:tcW w:w="2322" w:type="dxa"/>
          </w:tcPr>
          <w:p w:rsidR="00AC0832" w:rsidRDefault="00AC0832">
            <w:pPr>
              <w:pStyle w:val="CellColumn"/>
            </w:pPr>
            <w:r>
              <w:t>2.546.801.416</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Opis programa</w:t>
      </w:r>
    </w:p>
    <w:p w:rsidR="00AC0832" w:rsidRDefault="00AC0832">
      <w:pPr>
        <w:pStyle w:val="Normal5"/>
      </w:pPr>
      <w:r>
        <w:t>Provođenje ovog programa vezano je uz ostvarivanje općeg cilja Strateškog plana Ministarstva znanosti, obrazovanja i sporta za razdoblje 2012. - 2014. pod brojem 1. Održiva kvaliteta odgojno obrazovnog sustava i posebnih ciljeva pod brojevima 1.1.-1.4. Ciljana podrška razvoju pruža se kroz uspostavu mreže škola i kurikuluma, sukladno Državnom pedagoškom standardu za srednju školu, (»Narodne novine« br. 63/08. i 90/10.) i drugim strateškim dokumentima sustava obrazovanja, suradnjom sa stručnim institucijama potpore te drugim relevantnim dionicima, opremanjem i adaptacijom ustanova srednjega obrazovanja, nadzorom nad provođenjem djelatnosti stručnih institucija sustava, pripremom propisa, praćenjem provedbe vanjskoga vrednovanja, potporom razvoju sustava osiguranja kvalitete provedbom mjera u području obrazovanja odraslih. Komplementarna podrška programu je provedba projekata u okviru EU fondova usmjerenih jačanju strateških elemenata razvoja sustava u području strukovnog obrazovanja i obrazovanja odraslih.</w:t>
      </w:r>
    </w:p>
    <w:p w:rsidR="00AC0832" w:rsidRDefault="00AC0832">
      <w:pPr>
        <w:pStyle w:val="Heading6"/>
      </w:pPr>
      <w:r>
        <w:t>Zakonske i druge pravne osnove</w:t>
      </w:r>
    </w:p>
    <w:p w:rsidR="00AC0832" w:rsidRDefault="00AC0832">
      <w:pPr>
        <w:pStyle w:val="Normal5"/>
      </w:pPr>
      <w:r>
        <w:t xml:space="preserve">Zakon o obrazovanju odraslih i provedbeni propisi u području obrazovanja odraslih; Zaključak Vlade RH o provedbi projekta opismenjavanja od 17. srpnja 2003.; Pravilnik o polaganju državne mature; Pravilnik o Središnjem registru državne mature; Zakon o odgoju i obrazovanju u osnovnoj i srednjoj školi (NN, 87/08, 86/09, 92/10, 105/10, 90/11, 5/12, 16/12, 86/12); Zakon o odgoju i obrazovanju na jeziku i pismu nacionalnih manjina (NN, 51/00, 56/00); Zakon o strukovnom obrazovanju (NN, 30/09); Zakon o umjetničkom obrazovanju (NN, 130/11); Zakon o obrazovanju odraslih (NN, 17/07, 107/07, 24/10); Zakon o udžbenicima za osnovnu i srednju školu (NN, 27/10., 55/11.); Državni pedagoški standardi srednjoškolskog sustava odgoja i obrazovanja (NN, 63/08. i 90/10.); Nacionalni okvirni kurikulum za predškolski odgoj i obrazovanje te opće obvezno i srednjoškolsko obrazovanje (http://public.mzos.hr/Default.aspx?sec=2685); Odluka o donošenju Mreže osnovnih i srednjih škola, učeničkih domova i programa obrazovanja (NN, 70/11.); Nastavni planovi i programi za gimnazije (http://www.ncvvo.hr/drzavnamatura/web/public/dokumenti); Odluka o početku i završetku nastavne godine, broju radnih dana i trajanju odmora učenika osnovnih i srednjih škola za školsku godinu 2012./2013. (http://public.mzos.hr/Default.aspx?art=11578&amp;sec=2194); Kalendar rada za školsku godinu 2012./2013. (http://public.mzos.hr/Default.aspx?art=11578&amp;sec=2194); Pravilnik o načinima, postupcima i elementima vrednovanja učenika u osnovnoj i srednjoj školi ((NN, 112/10); Odluka o elementima i kriterijima za izbor kandidata za upis u srednje škole u školskoj godini 2012./2013. (http://public.mzos.hr/Default.aspx?art=11613); Odluka o upisu učenika u I. razred srednje škole u školskoj godini 2012./2013. (http://public.mzos.hr/Default.aspx?art=11753&amp;sec=2239); Pravilnik o normi rada nastavnika u srednjoškolskoj ustanovi (NN, 94/10); Pravilnik o polaganju državne mature (NN, 1/13); Pravilnik o načinima, postupcima i elementima vrednovanja učenika u osnovnoj i srednjoj školi (NN, 112/10); Pravilnik o načinu organiziranja i izvođenju nastave u strukovnim školama (NN, 140/09); Pravilnik o načinu ostvarivanja programa naukovanja i stručnog osposobljavanja za vezane obrte te o pravima, obvezama, praćenju, vrednovanju i ocjenjivanju naučnika ((NN, 69/04.); Pravilnik o minimalnim uvjetima za ugovor o naukovanju (NN, 18/08, 19/10 i 109/12); Financijski sporazum između Republike Hrvatske i Europske komisije u svezi provedbe višegodišnjeg Operativnog programa Razvoj ljudskih potencijala kroz Instrument pretpristupne pomoći (IPA) (N.N. 2/09 – međunarodni ugovori); Uredba o opsegu i sadržaju odgovornosti te ovlastima tijela nadležnih za upravljanje Instrumentom pretpristupne pomoći (NN 18/2007);  </w:t>
      </w:r>
    </w:p>
    <w:p w:rsidR="00AC0832" w:rsidRDefault="00AC0832">
      <w:pPr>
        <w:pStyle w:val="Normal5"/>
      </w:pPr>
      <w:r>
        <w:t>Uredba o izmjenama i dopunama Uredbe o opsegu i sadržaju odgovornosti i nadležnosti tijela odgovornih za upravljanje instrumentom za pretpristupnu pomoć.</w:t>
      </w:r>
    </w:p>
    <w:p w:rsidR="00AC0832" w:rsidRDefault="00AC0832">
      <w:pPr>
        <w:pStyle w:val="Heading7"/>
      </w:pPr>
      <w:r>
        <w:t>Cilj 1. Uspostaviti učinkovitu mrežu odgojno-obrazovnih ustanova i kvalifikacija/programa/kurikuluma usklađenu s potrebama tržišta rada i razvoja ljudskih potencijala</w:t>
      </w:r>
    </w:p>
    <w:p w:rsidR="00AC0832" w:rsidRDefault="00AC0832">
      <w:pPr>
        <w:pStyle w:val="Heading8"/>
        <w:jc w:val="left"/>
      </w:pPr>
      <w:r>
        <w:t>Opis provedbe cilja programa</w:t>
      </w:r>
    </w:p>
    <w:p w:rsidR="00AC0832" w:rsidRDefault="00AC0832">
      <w:pPr>
        <w:pStyle w:val="Normal6"/>
      </w:pPr>
      <w:r>
        <w:t xml:space="preserve">U 2012. godini Ministarstvo je nastavilo s radom na nacionalnom kurikulumu. Ministarstvo je osobitu pažnju posvetilo promoviranju privlačnosti strukovnog obrazovanja i obrazovanja odraslih. Jedan od preduvjeta za poticanje privlačnosti strukovnog obrazovanja je razvijanje strukovnih kurikuluma koji su potpuno usklađeni s potrebama tržišta rada, a koji osiguravaju buduću zapošljivost. Također, nastavilo se s promoviranjem strukovnih kvalifikacija i poticanjem kreativnosti uz pomoć mnogobrojnih smotri radova i natjecanja učenika strukovnih škola.  </w:t>
      </w:r>
    </w:p>
    <w:p w:rsidR="00AC0832" w:rsidRDefault="00AC0832">
      <w:pPr>
        <w:pStyle w:val="Normal6"/>
      </w:pPr>
      <w:r>
        <w:t xml:space="preserve">Vlada Republike Hrvatske u lipnju 2011. godine donijela je Mrežu osnovnih i srednjih škola, učeničkih domova i programa obrazovanja (Narodne novine, broj 70/11.) s ciljem uspostave racionalne mreže škola i programa odgoja i obrazovanja koji će biti dostupni učenicima i usmjereni na opće dobro svih sudionika i društva u cjelini, kako bi se poboljšala kvaliteta obrazovanja u funkciji kulture življenja i demokratskih načela te osiguralo pravo na obrazovanje za sve. Sukladno strateškim ciljevima Vlade Republike Hrvatske, mrežom se utvrđuju sadržaji koji trebaju pridonijeti razvoju kvalitetnijeg, dostupnijeg, prilagodljivijeg i učinkovitijeg sustava obrazovanja radi stvaranja intelektualnog i radnoga ljudskog kapitala kao ključnog bogatstva hrvatske države. Mreža srednjih škola omogućava dostupnost srednjoškolskog obrazovanja svim građanima i pridonosi razvojnim potrebama društva, podizanju osnovne, opće i strukovne pismenosti te radnih i životnih sposobnosti stanovništva, poboljšanju kvalitete i učinkovitosti odgoja i obrazovanja, podizanju prosječne kvalitete i ujednačavanju obrazovnih postignuća učenika koji pripadaju različitim socijalnim skupinama i obrazuju se u različitim sredinama.  </w:t>
      </w:r>
    </w:p>
    <w:p w:rsidR="00AC0832" w:rsidRDefault="00AC0832">
      <w:pPr>
        <w:pStyle w:val="Normal6"/>
      </w:pPr>
      <w:r>
        <w:t xml:space="preserve">Korištenjem informatičke tehnologije Ministarstvo je uložilo dodatne napore u unapređivanju postupka upisa u srednje škole na način da on bude transparentan i učinkovit. Uvođenjem elektroničkih upisa u srednju školu koji će omogućiti poboljšanja u sustavu upisa, poput omogućavanja prijava u više škola što je dosadašnjim načinom upisa kandidatima bilo onemogućeno, izrade baze svih srednjoškolskih ustanova i programa koji se provode, a koja će učenicima pomoći da na jednome mjestu pronađu sve mogućnosti i time lakše donesu odluku o upisu u određeni program. Elektronički upisi također će škole osloboditi velikog dijela administrativnog posla koji ih sada opterećuje pri upisu, a podaci koji će se prikupiti bit će od velike važnosti školama i osnivačima prilikom planiranja sljedećih upisa.  </w:t>
      </w:r>
    </w:p>
    <w:p w:rsidR="00AC0832" w:rsidRDefault="00AC0832">
      <w:pPr>
        <w:pStyle w:val="Normal6"/>
      </w:pPr>
      <w:r>
        <w:t xml:space="preserve">U 2012. godini nastavilo se s daljnjom razradom mreže škola i programa, a u skladu s elementima za izradu mreže kao što su primjerice naseljenost područja na kojem djeluju školske ustanove, broj djece i demografske projekcije, geografski položaj i potrebe tržišta rada.  U svezi s navedenim, Ministarstvo je nastavilo s daljnjom decentralizacijom u ovlastima lokalne uprave u radu škola i upravljanju školskim objektima te je time omogućilo pretvaranje škola u manjim mjestima u središta cjeloživotnog učenja, kulture i sporta. </w:t>
      </w:r>
    </w:p>
    <w:p w:rsidR="00AC0832" w:rsidRDefault="00AC0832">
      <w:pPr>
        <w:pStyle w:val="Normal6"/>
      </w:pPr>
      <w:r>
        <w:t xml:space="preserve">Nadalje, Ministarstvo je u suradnji s drugim tijelima državne uprave, ustanovama u sustavu odgoja i obrazovanja te lokalnom i područnom (regionalnom) samoupravom omogućilo provedbu različitih programa javnih potreba (za učenike s teškoćama, darovite učenike i učenike pripadnike nacionalnih manjina) i drugih aktivnosti kako bi se udovoljilo osobnim, društvenim, kulturnim potrebama i sposobnostima djece i mladih.  </w:t>
      </w:r>
    </w:p>
    <w:p w:rsidR="00AC0832" w:rsidRDefault="00AC0832">
      <w:pPr>
        <w:pStyle w:val="Normal6"/>
      </w:pPr>
      <w:r>
        <w:t>U 2012. godini učinjen je značajan pomak u poboljšanju nastave na jeziku i pismu nacionalnih manjina te obuhvatu pripadnika romske nacionalne manjine na svim razinama odgojno-obrazovnog sustava.</w:t>
      </w:r>
    </w:p>
    <w:p w:rsidR="00AC0832" w:rsidRDefault="00AC0832">
      <w:pPr>
        <w:pStyle w:val="Heading7"/>
      </w:pPr>
      <w:r>
        <w:t>Cilj 2. Razvijati sustav osiguranja kvalitete na svim razinama sustava odgoja i obrazovanja</w:t>
      </w:r>
    </w:p>
    <w:p w:rsidR="00AC0832" w:rsidRDefault="00AC0832">
      <w:pPr>
        <w:pStyle w:val="Heading8"/>
        <w:jc w:val="left"/>
      </w:pPr>
      <w:r>
        <w:t>Opis provedbe cilja programa</w:t>
      </w:r>
    </w:p>
    <w:p w:rsidR="00AC0832" w:rsidRDefault="00AC0832">
      <w:pPr>
        <w:pStyle w:val="Normal6"/>
      </w:pPr>
      <w:r>
        <w:t xml:space="preserve">Razvojem sustava osiguranja kvalitete postiže se učinkovit i djelotvoran obrazovni sustav. S tim u svezi, Ministarstvo je započelo niz projekata vezanih i uz poboljšanje standarda u srednjoškolskim ustanovama te su doneseni državni pedagoški standardi za srednjoškolsku razinu (NN 63/08. i 90/10.) kojima su postavljeni čvrsti temelji za daljnji razvoj i odgojno-obrazovni rad u srednjoškolskim ustanovama.  Osiguravanjem jednakih uvjeta provedbom odredaba državnih pedagoških standarda osigurat će se uvjeti za osiguranje kvalitete u srednjim školama u Republici Hrvatskoj. Standardima se također uređuju i jedinstveni uvjeti za kvalitetan odgojno-obrazovni rad i uspješno ostvarivanje ciljeva i zadataka u srednjoškolskim ustanovama.   </w:t>
      </w:r>
    </w:p>
    <w:p w:rsidR="00AC0832" w:rsidRDefault="00AC0832">
      <w:pPr>
        <w:pStyle w:val="Normal6"/>
      </w:pPr>
      <w:r>
        <w:t xml:space="preserve">Ministarstvo je u 2012. godini pristupilo kvalitativnoj i kvantitativnoj analizi na svim razinama sustava odgoja i obrazovanja kako bi utvrdilo činjenično stanje u sustavu. Na temelju kvalitativne i kvantitativne analize utvrđene su potrebe kojima će se smanjiti regionalna neujednačenost u sustavu te stvoriti optimalna mreža odgojno-obrazovnih ustanova i programa s odgovarajućim ljudskim potencijalima za ostvarivanje predviđenih ciljeva. Na temelju spomenute analize pristupilo se izradi strateških dokumenata te izmjenama i dopunama Zakona o odgoju i obrazovanju u osnovnoj i srednjoj školi. S tim u svezi, Ministarstvo je nastavilo s praćenjem ostvarivanja mjera državnih pedagoških standarda u srednjoškolskom sustavu u skladu s propisanim koeficijentima izvodljivosti. Jednako tako, Ministarstvo je nastavilo i s unapređenjem prostornih i materijalnih uvjeta u srednjim školama.  </w:t>
      </w:r>
    </w:p>
    <w:p w:rsidR="00AC0832" w:rsidRDefault="00AC0832">
      <w:pPr>
        <w:pStyle w:val="Normal6"/>
      </w:pPr>
      <w:r>
        <w:t xml:space="preserve">U spomenutom razdoblju započeta je priprema za osposobljavanje učitelja i nastavnika te na opremanju škola za uvođenje novih (izbornih) predmeta i nastavnih sadržaja; poticalo se napredovanje nastavnika u četiri stupnja zvanja na temelju ostvarenih postignuća u odgojno-obrazovnom radu i stručnom usavršavanju, kao i kreativnost i individualni rad učenika; sufinancirala se dodatna nastava i izvannastavne aktivnosti za darovite učenike koje potiču aktivno učenje i razvijanje učenikovih sposobnosti i mogućnosti, rasterećuju roditelje, a nastavnicima omogućuju kreativno djelovanje i primjenu različitih strategija učenja i poučavanja. </w:t>
      </w:r>
    </w:p>
    <w:p w:rsidR="00AC0832" w:rsidRDefault="00AC0832">
      <w:pPr>
        <w:pStyle w:val="Normal6"/>
      </w:pPr>
      <w:r>
        <w:t xml:space="preserve">Također, u 2012. Godini osobita je pozornost posvećena praćenju i vrednovanju rezultata obrazovanja odnosno organizaciji i provedbi ispita državne mature kao sastavnica vanjskoga vrednovanja i samovrednovanja, kao i jačanju mehanizama nadzora nad upisnom politikom i rezultatima učenja sukladno društvenoj i gospodarskoj opravdanosti. </w:t>
      </w:r>
    </w:p>
    <w:p w:rsidR="00AC0832" w:rsidRDefault="00AC0832">
      <w:pPr>
        <w:pStyle w:val="Normal6"/>
      </w:pPr>
      <w:r>
        <w:t xml:space="preserve">U razvijanju sustava kvalitete nezamjenjivu ulogu imaju kompetentni i educirani odgojno-obrazovni djelatnici te je Ministarstvo u suradnji s nadležnim agencijama uložilo i dodatno razvilo programe stručnog usavršavanja odgojno-obrazovnih djelatnika. </w:t>
      </w:r>
    </w:p>
    <w:p w:rsidR="00AC0832" w:rsidRDefault="00AC0832">
      <w:pPr>
        <w:pStyle w:val="Normal6"/>
      </w:pPr>
      <w:r>
        <w:t>Uz to, a u skladu sa zakonskim i podzakonskim aktima vezanim uz odgoj i obrazovanje te nacionalnim strategijama, Ministarstvo je osobitu pozornost usmjerilo na odgoj i obrazovanje ciljnih skupina djece i mladih kao što su primjerice djeca iz socijalno ugroženih obitelji i životnih okruženja te iz drugih ranjivih skupina populacije.</w:t>
      </w:r>
    </w:p>
    <w:p w:rsidR="00AC0832" w:rsidRDefault="00AC0832">
      <w:pPr>
        <w:pStyle w:val="Heading7"/>
      </w:pPr>
      <w:r>
        <w:t>Cilj 3. Poticati inkluzivno obrazovanje</w:t>
      </w:r>
    </w:p>
    <w:p w:rsidR="00AC0832" w:rsidRDefault="00AC0832">
      <w:pPr>
        <w:pStyle w:val="Heading8"/>
        <w:jc w:val="left"/>
      </w:pPr>
      <w:r>
        <w:t>Opis provedbe cilja programa</w:t>
      </w:r>
    </w:p>
    <w:p w:rsidR="00AC0832" w:rsidRDefault="00AC0832">
      <w:pPr>
        <w:pStyle w:val="Normal6"/>
      </w:pPr>
      <w:r>
        <w:t xml:space="preserve">Nacionalna strategija izjednačavanja mogućnosti za osobe s invaliditetom od 2007. do 2015. godine (Narodne novine, broj 63/07.) u posebnom poglavlju donosi mjere za obrazovanje osoba s invaliditetom. One, između ostaloga, uključuju infrastrukturnu prilagodbu škola učenicima s invaliditetom, modifikacije kurikuluma kako bi odgovarali potrebama učenika s teškoćama te poticanje profesionalnog razvoja učitelja i nastavnika za rad s takvim učenicima. </w:t>
      </w:r>
    </w:p>
    <w:p w:rsidR="00AC0832" w:rsidRDefault="00AC0832">
      <w:pPr>
        <w:pStyle w:val="Normal6"/>
      </w:pPr>
      <w:r>
        <w:t>Osiguranje jednakih uvjeta školovanja za sve učenike jedan je od prioriteta strateškog planiranja Ministarstva. Sukladno tome, u 2012. godinu u srednjim se školama  pružala potpora učenicima s teškoćama u razvoju radi osiguranja standarda koji omogućuje njihovo uspješno obrazovanje i maksimalno uključivanje u redoviti odgojno-obrazovni sustav.</w:t>
      </w:r>
    </w:p>
    <w:p w:rsidR="00AC0832" w:rsidRDefault="00AC0832">
      <w:pPr>
        <w:pStyle w:val="Heading6"/>
      </w:pPr>
      <w:r>
        <w:t>A580000 SREDNJOŠKOLSKO OBRAZOVANJE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A580000-SREDNJOŠKOLSKO OBRAZOVANJE</w:t>
            </w:r>
          </w:p>
        </w:tc>
        <w:tc>
          <w:tcPr>
            <w:tcW w:w="2322" w:type="dxa"/>
          </w:tcPr>
          <w:p w:rsidR="00AC0832" w:rsidRDefault="00AC0832">
            <w:pPr>
              <w:pStyle w:val="CellColumn"/>
            </w:pPr>
            <w:r>
              <w:t>2.430.911.297</w:t>
            </w:r>
          </w:p>
        </w:tc>
        <w:tc>
          <w:tcPr>
            <w:tcW w:w="2322" w:type="dxa"/>
          </w:tcPr>
          <w:p w:rsidR="00AC0832" w:rsidRDefault="00AC0832">
            <w:pPr>
              <w:pStyle w:val="CellColumn"/>
            </w:pPr>
            <w:r>
              <w:t>2.430.903.028</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Tijekom 2012. godine dogodile su se određene promjene kod isplata bruto plaća koje su utjecale i na smanjenje i na povećanje sredstava za bruto plaće. Sukladno čl. 2 i čl. 20. Zakona o izmjenama i dopunama Zakona o doprinosima smanjena je stopa doprinosa za obvezno zdravstveno osiguranje sa 15% na 13%. Navedena stopa doprinosa od 13% počela se primjenjivati na obračunu bruto plaća za svibanj 2012. godine. Od 1. srpnja 2012. godine odobrena su sredstva za isplatu dodatka od 2,3%, a sukladno Sporazumu o dodacima na plaću u obrazovanju i znanosti od 25. studenog 2006. godine. Povećanje od 2,3% bilo je uključeno u obračunskim koeficijentima i počelo se primjenjivati na plaći za mjesec srpanj. Od 1. kolovoza 2012. godine prestalo se isplaćivati uvećanje koeficijenata složenosti poslova ovisno o godinama staža propisano Uredbom o raspodjeli dodatnih sredstava za plaće učitelja i nastavnika u osnovnom i srednjem školstvu (tkz. Uredba 3, 5, 7, 9). Prestanak isplate odnosio se za plaću za mjesec srpanj, koja se isplatila u kolovozu. Prosječan broj zaposlenih na bazi sati rada u 2012. bio je 20.821 što je za 160 osoba više nego u 2011. godini.</w:t>
      </w:r>
    </w:p>
    <w:p w:rsidR="00AC0832" w:rsidRDefault="00AC0832">
      <w:pPr>
        <w:pStyle w:val="Heading6"/>
      </w:pPr>
      <w:r>
        <w:t>A580007 IZVRŠAVANJE PRAVOMOĆNIH SUDSKIH PRESUDA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A580007-IZVRŠAVANJE PRAVOMOĆNIH SUDSKIH PRESUDA</w:t>
            </w:r>
          </w:p>
        </w:tc>
        <w:tc>
          <w:tcPr>
            <w:tcW w:w="2322" w:type="dxa"/>
          </w:tcPr>
          <w:p w:rsidR="00AC0832" w:rsidRDefault="00AC0832">
            <w:pPr>
              <w:pStyle w:val="CellColumn"/>
            </w:pPr>
            <w:r>
              <w:t>2.250.000</w:t>
            </w:r>
          </w:p>
        </w:tc>
        <w:tc>
          <w:tcPr>
            <w:tcW w:w="2322" w:type="dxa"/>
          </w:tcPr>
          <w:p w:rsidR="00AC0832" w:rsidRDefault="00AC0832">
            <w:pPr>
              <w:pStyle w:val="CellColumn"/>
            </w:pPr>
            <w:r>
              <w:t>2.245.640</w:t>
            </w:r>
          </w:p>
        </w:tc>
        <w:tc>
          <w:tcPr>
            <w:tcW w:w="2322" w:type="dxa"/>
          </w:tcPr>
          <w:p w:rsidR="00AC0832" w:rsidRDefault="00AC0832">
            <w:pPr>
              <w:pStyle w:val="CellColumn"/>
            </w:pPr>
            <w:r>
              <w:t>99,8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Isplaćivana su sredstva za plaće i naknade zaposlenicima srednjoškolskih ustanova na temelju pravomoćnih sudskih presuda, a koje su se odnosile na sporove iz radnog odnosa.</w:t>
      </w:r>
    </w:p>
    <w:p w:rsidR="00AC0832" w:rsidRDefault="00AC0832">
      <w:pPr>
        <w:pStyle w:val="Heading6"/>
      </w:pPr>
      <w:r>
        <w:t>A580011 JUBILARNE NAGRADE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A580011-JUBILARNE NAGRADE</w:t>
            </w:r>
          </w:p>
        </w:tc>
        <w:tc>
          <w:tcPr>
            <w:tcW w:w="2322" w:type="dxa"/>
          </w:tcPr>
          <w:p w:rsidR="00AC0832" w:rsidRDefault="00AC0832">
            <w:pPr>
              <w:pStyle w:val="CellColumn"/>
            </w:pPr>
            <w:r>
              <w:t>14.000.000</w:t>
            </w:r>
          </w:p>
        </w:tc>
        <w:tc>
          <w:tcPr>
            <w:tcW w:w="2322" w:type="dxa"/>
          </w:tcPr>
          <w:p w:rsidR="00AC0832" w:rsidRDefault="00AC0832">
            <w:pPr>
              <w:pStyle w:val="CellColumn"/>
            </w:pPr>
            <w:r>
              <w:t>14.000.000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Sukladno važećem Kolektivnom ugovoru za zaposlenike u srednjoškolskim ustanovama propisano je pravo zaposlenika na jubilarnu nagradu za kontinuirani radni staž u javnim službama te su tijekom 2012. godine iste isplaćivane po osnovici od 1.800,00 kn.</w:t>
      </w:r>
    </w:p>
    <w:p w:rsidR="00AC0832" w:rsidRDefault="00AC0832">
      <w:pPr>
        <w:pStyle w:val="Heading6"/>
      </w:pPr>
      <w:r>
        <w:t>A580014 RAZVOJ SUSTAVA OBRAZOVANJA ODRASLIH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A580014-RAZVOJ SUSTAVA OBRAZOVANJA ODRASLIH</w:t>
            </w:r>
          </w:p>
        </w:tc>
        <w:tc>
          <w:tcPr>
            <w:tcW w:w="2322" w:type="dxa"/>
          </w:tcPr>
          <w:p w:rsidR="00AC0832" w:rsidRDefault="00AC0832">
            <w:pPr>
              <w:pStyle w:val="CellColumn"/>
            </w:pPr>
            <w:r>
              <w:t>3.499.000</w:t>
            </w:r>
          </w:p>
        </w:tc>
        <w:tc>
          <w:tcPr>
            <w:tcW w:w="2322" w:type="dxa"/>
          </w:tcPr>
          <w:p w:rsidR="00AC0832" w:rsidRDefault="00AC0832">
            <w:pPr>
              <w:pStyle w:val="CellColumn"/>
            </w:pPr>
            <w:r>
              <w:t>3.353.550</w:t>
            </w:r>
          </w:p>
        </w:tc>
        <w:tc>
          <w:tcPr>
            <w:tcW w:w="2322" w:type="dxa"/>
          </w:tcPr>
          <w:p w:rsidR="00AC0832" w:rsidRDefault="00AC0832">
            <w:pPr>
              <w:pStyle w:val="CellColumn"/>
            </w:pPr>
            <w:r>
              <w:t>95,8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Sredstva su iskorištena za provođenje projekta opismenjavanja odraslih i osposobljavanja nekvalificiranog radno aktivnog stanovništva za obavljanje jednostavnih poslova koja će im omogućiti uključenje na tržište rada i time smanjiti socijalna davanja prema istim kategorijama. Financiralo se osnovno obrazovanje odraslih za cca 1800 polaznika programa osnovnog obrazovanja odraslih koji su se obrazovali u 26 ustanova za obrazovanje odraslih.</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7"/>
        <w:gridCol w:w="1395"/>
        <w:gridCol w:w="1417"/>
        <w:gridCol w:w="1214"/>
        <w:gridCol w:w="1202"/>
        <w:gridCol w:w="1214"/>
        <w:gridCol w:w="123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odraslih osoba obuhvaćenih projektom opismenjavanja odraslih</w:t>
            </w:r>
          </w:p>
        </w:tc>
        <w:tc>
          <w:tcPr>
            <w:tcW w:w="1300" w:type="dxa"/>
          </w:tcPr>
          <w:p w:rsidR="00AC0832" w:rsidRDefault="00AC0832">
            <w:pPr>
              <w:pStyle w:val="CellColumn"/>
            </w:pPr>
            <w:r>
              <w:t>Provođenjem projekta obrazovanja odraslih omogućiti osnovno obrazovanje i stjecanje prvog zanimanja</w:t>
            </w:r>
          </w:p>
        </w:tc>
        <w:tc>
          <w:tcPr>
            <w:tcW w:w="1300" w:type="dxa"/>
          </w:tcPr>
          <w:p w:rsidR="00AC0832" w:rsidRDefault="00AC0832">
            <w:pPr>
              <w:pStyle w:val="CellColumn"/>
            </w:pPr>
            <w:r>
              <w:t>Broj (kumulativno)</w:t>
            </w:r>
          </w:p>
        </w:tc>
        <w:tc>
          <w:tcPr>
            <w:tcW w:w="1300" w:type="dxa"/>
          </w:tcPr>
          <w:p w:rsidR="00AC0832" w:rsidRDefault="00AC0832">
            <w:pPr>
              <w:pStyle w:val="CellColumn"/>
            </w:pPr>
            <w:r>
              <w:t>6.000</w:t>
            </w:r>
          </w:p>
        </w:tc>
        <w:tc>
          <w:tcPr>
            <w:tcW w:w="1300" w:type="dxa"/>
          </w:tcPr>
          <w:p w:rsidR="00AC0832" w:rsidRDefault="00AC0832">
            <w:pPr>
              <w:pStyle w:val="CellColumn"/>
            </w:pPr>
            <w:r>
              <w:t>MZOS</w:t>
            </w:r>
          </w:p>
        </w:tc>
        <w:tc>
          <w:tcPr>
            <w:tcW w:w="1300" w:type="dxa"/>
          </w:tcPr>
          <w:p w:rsidR="00AC0832" w:rsidRDefault="00AC0832">
            <w:pPr>
              <w:pStyle w:val="CellColumn"/>
            </w:pPr>
            <w:r>
              <w:t>6.350</w:t>
            </w:r>
          </w:p>
        </w:tc>
        <w:tc>
          <w:tcPr>
            <w:tcW w:w="1300" w:type="dxa"/>
          </w:tcPr>
          <w:p w:rsidR="00AC0832" w:rsidRDefault="00AC0832">
            <w:pPr>
              <w:pStyle w:val="CellColumn"/>
            </w:pPr>
            <w:r>
              <w:t>7.165</w:t>
            </w:r>
          </w:p>
        </w:tc>
      </w:tr>
    </w:tbl>
    <w:p w:rsidR="00AC0832" w:rsidRDefault="00AC0832">
      <w:pPr>
        <w:jc w:val="left"/>
      </w:pPr>
    </w:p>
    <w:p w:rsidR="00AC0832" w:rsidRDefault="00AC0832">
      <w:pPr>
        <w:pStyle w:val="Heading6"/>
      </w:pPr>
      <w:r>
        <w:t>A580037 JAVNI MEĐUMJESNI PRIJEVOZ ZA UČENIKE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A580037-JAVNI MEĐUMJESNI PRIJEVOZ ZA UČENIKE</w:t>
            </w:r>
          </w:p>
        </w:tc>
        <w:tc>
          <w:tcPr>
            <w:tcW w:w="2322" w:type="dxa"/>
          </w:tcPr>
          <w:p w:rsidR="00AC0832" w:rsidRDefault="00AC0832">
            <w:pPr>
              <w:pStyle w:val="CellColumn"/>
            </w:pPr>
            <w:r>
              <w:t>70.000.000</w:t>
            </w:r>
          </w:p>
        </w:tc>
        <w:tc>
          <w:tcPr>
            <w:tcW w:w="2322" w:type="dxa"/>
          </w:tcPr>
          <w:p w:rsidR="00AC0832" w:rsidRDefault="00AC0832">
            <w:pPr>
              <w:pStyle w:val="CellColumn"/>
            </w:pPr>
            <w:r>
              <w:t>69.989.097</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 ovoj su aktivnosti osigurana sredstva za sufinanciranje javnog međumjesnog prijevoza učenika. Vlada RH donijela je od 23. kolovoza 2012. godine Odluku o sufinanciranju međumjesnog javnog prijevoza za redovite učenike srednjih škola u razdoblju rujan - prosinac 2012. godine. Prema podacima sufinancirani prijevoz koristilo je cca 73229 učenika srednjih škola.</w:t>
      </w:r>
    </w:p>
    <w:p w:rsidR="00AC0832" w:rsidRDefault="00AC0832">
      <w:pPr>
        <w:pStyle w:val="Heading6"/>
      </w:pPr>
      <w:r>
        <w:t>A580044 RAZVOJ SREDNJOŠKOLSKOG OBRAZOVANJA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A580044-RAZVOJ SREDNJOŠKOLSKOG OBRAZOVANJA</w:t>
            </w:r>
          </w:p>
        </w:tc>
        <w:tc>
          <w:tcPr>
            <w:tcW w:w="2322" w:type="dxa"/>
          </w:tcPr>
          <w:p w:rsidR="00AC0832" w:rsidRDefault="00AC0832">
            <w:pPr>
              <w:pStyle w:val="CellColumn"/>
            </w:pPr>
            <w:r>
              <w:t>194.065</w:t>
            </w:r>
          </w:p>
        </w:tc>
        <w:tc>
          <w:tcPr>
            <w:tcW w:w="2322" w:type="dxa"/>
          </w:tcPr>
          <w:p w:rsidR="00AC0832" w:rsidRDefault="00AC0832">
            <w:pPr>
              <w:pStyle w:val="CellColumn"/>
            </w:pPr>
            <w:r>
              <w:t>173.378</w:t>
            </w:r>
          </w:p>
        </w:tc>
        <w:tc>
          <w:tcPr>
            <w:tcW w:w="2322" w:type="dxa"/>
          </w:tcPr>
          <w:p w:rsidR="00AC0832" w:rsidRDefault="00AC0832">
            <w:pPr>
              <w:pStyle w:val="CellColumn"/>
            </w:pPr>
            <w:r>
              <w:t>89,3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Sredstva su korštena za financiranje rada povjerenstava za utvrđivanje uvjeta, kao i za rad povjerenstava za izradu tri pravilnika koji proistječu iz obveza Zakona o umjetničkom obrazovanju.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328"/>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Kvalitativna i kvantitativna analiza sustava</w:t>
            </w:r>
          </w:p>
        </w:tc>
        <w:tc>
          <w:tcPr>
            <w:tcW w:w="1300" w:type="dxa"/>
          </w:tcPr>
          <w:p w:rsidR="00AC0832" w:rsidRDefault="00AC0832">
            <w:pPr>
              <w:pStyle w:val="CellColumn"/>
            </w:pPr>
            <w:r>
              <w:t>Načiniti kvalitativnu i kvantitativnu analizu sustava nakon koje će se pristupiti reviziji i izradbi državnih pedagoških standarda i zakona</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MZOS</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2</w:t>
            </w:r>
          </w:p>
        </w:tc>
      </w:tr>
    </w:tbl>
    <w:p w:rsidR="00AC0832" w:rsidRDefault="00AC0832">
      <w:pPr>
        <w:jc w:val="left"/>
      </w:pPr>
    </w:p>
    <w:p w:rsidR="00AC0832" w:rsidRDefault="00AC0832">
      <w:pPr>
        <w:pStyle w:val="Heading6"/>
      </w:pPr>
      <w:r>
        <w:t>A580050 RAZVOJ MODELA KURIKULUMA ZA OPĆE, STRUKOVNO I UMJETNIČKO OBRAZOVANJE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A580050-RAZVOJ MODELA KURIKULUMA ZA OPĆE, STRUKOVNO I UMJETNIČKO OBRAZOVANJE</w:t>
            </w:r>
          </w:p>
        </w:tc>
        <w:tc>
          <w:tcPr>
            <w:tcW w:w="2322" w:type="dxa"/>
          </w:tcPr>
          <w:p w:rsidR="00AC0832" w:rsidRDefault="00AC0832">
            <w:pPr>
              <w:pStyle w:val="CellColumn"/>
            </w:pPr>
            <w:r>
              <w:t>180.426</w:t>
            </w:r>
          </w:p>
        </w:tc>
        <w:tc>
          <w:tcPr>
            <w:tcW w:w="2322" w:type="dxa"/>
          </w:tcPr>
          <w:p w:rsidR="00AC0832" w:rsidRDefault="00AC0832">
            <w:pPr>
              <w:pStyle w:val="CellColumn"/>
            </w:pPr>
            <w:r>
              <w:t>132.636</w:t>
            </w:r>
          </w:p>
        </w:tc>
        <w:tc>
          <w:tcPr>
            <w:tcW w:w="2322" w:type="dxa"/>
          </w:tcPr>
          <w:p w:rsidR="00AC0832" w:rsidRDefault="00AC0832">
            <w:pPr>
              <w:pStyle w:val="CellColumn"/>
            </w:pPr>
            <w:r>
              <w:t>73,5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Prije faze implementacije 26 novih strukovnih kurikuluma bilo je potrebno utvrditi uvjete uvođenja novih kurikuluma u školama koje su podnijele zahtjev za implementaciju novih kurikuluma.</w:t>
      </w:r>
    </w:p>
    <w:p w:rsidR="00AC0832" w:rsidRDefault="00AC0832">
      <w:pPr>
        <w:pStyle w:val="Heading6"/>
      </w:pPr>
      <w:r>
        <w:t>A767013 RAZVOJ SUSTAVA OSIGURANJA KVALITETE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A767013-RAZVOJ SUSTAVA OSIGURANJA KVALITETE</w:t>
            </w:r>
          </w:p>
        </w:tc>
        <w:tc>
          <w:tcPr>
            <w:tcW w:w="2322" w:type="dxa"/>
          </w:tcPr>
          <w:p w:rsidR="00AC0832" w:rsidRDefault="00AC0832">
            <w:pPr>
              <w:pStyle w:val="CellColumn"/>
            </w:pPr>
            <w:r>
              <w:t>105.571</w:t>
            </w:r>
          </w:p>
        </w:tc>
        <w:tc>
          <w:tcPr>
            <w:tcW w:w="2322" w:type="dxa"/>
          </w:tcPr>
          <w:p w:rsidR="00AC0832" w:rsidRDefault="00AC0832">
            <w:pPr>
              <w:pStyle w:val="CellColumn"/>
            </w:pPr>
            <w:r>
              <w:t>70.594</w:t>
            </w:r>
          </w:p>
        </w:tc>
        <w:tc>
          <w:tcPr>
            <w:tcW w:w="2322" w:type="dxa"/>
          </w:tcPr>
          <w:p w:rsidR="00AC0832" w:rsidRDefault="00AC0832">
            <w:pPr>
              <w:pStyle w:val="CellColumn"/>
            </w:pPr>
            <w:r>
              <w:t>66,9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Sredstva su utrošena na rad povjerenstva i stručnih tijela za uspostavu informacijskog sustava za prijavu i za upise u srednje obrazovanjete te za promidžbu i potrebe uvođenja elektroničkih prijava i upisa u srednje škole te poslove vezane uz provedbu državne mature i prijava za upis na visoka učilišta.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6"/>
        <w:gridCol w:w="1317"/>
        <w:gridCol w:w="1417"/>
        <w:gridCol w:w="1263"/>
        <w:gridCol w:w="1258"/>
        <w:gridCol w:w="1263"/>
        <w:gridCol w:w="127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Uspostava informacijskog sustava upisa u srednje škole</w:t>
            </w:r>
          </w:p>
        </w:tc>
        <w:tc>
          <w:tcPr>
            <w:tcW w:w="1300" w:type="dxa"/>
          </w:tcPr>
          <w:p w:rsidR="00AC0832" w:rsidRDefault="00AC0832">
            <w:pPr>
              <w:pStyle w:val="CellColumn"/>
            </w:pPr>
            <w:r>
              <w:t>Uspostaviti informacijski sustav upisa u srednje škole u suradnji sa dionicima koji provode politiku upisa u srednje škole</w:t>
            </w:r>
          </w:p>
        </w:tc>
        <w:tc>
          <w:tcPr>
            <w:tcW w:w="1300" w:type="dxa"/>
          </w:tcPr>
          <w:p w:rsidR="00AC0832" w:rsidRDefault="00AC0832">
            <w:pPr>
              <w:pStyle w:val="CellColumn"/>
            </w:pPr>
            <w:r>
              <w:t xml:space="preserve">Broj  </w:t>
            </w:r>
          </w:p>
          <w:p w:rsidR="00AC0832" w:rsidRDefault="00AC0832">
            <w:pPr>
              <w:pStyle w:val="CellColumn"/>
            </w:pPr>
            <w:r>
              <w:t>(kumulativno)</w:t>
            </w:r>
          </w:p>
        </w:tc>
        <w:tc>
          <w:tcPr>
            <w:tcW w:w="1300" w:type="dxa"/>
          </w:tcPr>
          <w:p w:rsidR="00AC0832" w:rsidRDefault="00AC0832">
            <w:pPr>
              <w:pStyle w:val="CellColumn"/>
            </w:pPr>
            <w:r>
              <w:t>0</w:t>
            </w:r>
          </w:p>
        </w:tc>
        <w:tc>
          <w:tcPr>
            <w:tcW w:w="1300" w:type="dxa"/>
          </w:tcPr>
          <w:p w:rsidR="00AC0832" w:rsidRDefault="00AC0832">
            <w:pPr>
              <w:pStyle w:val="CellColumn"/>
            </w:pPr>
            <w:r>
              <w:t>MZOS</w:t>
            </w:r>
          </w:p>
        </w:tc>
        <w:tc>
          <w:tcPr>
            <w:tcW w:w="1300" w:type="dxa"/>
          </w:tcPr>
          <w:p w:rsidR="00AC0832" w:rsidRDefault="00AC0832">
            <w:pPr>
              <w:pStyle w:val="CellColumn"/>
            </w:pPr>
            <w:r>
              <w:t>0</w:t>
            </w:r>
          </w:p>
        </w:tc>
        <w:tc>
          <w:tcPr>
            <w:tcW w:w="1300" w:type="dxa"/>
          </w:tcPr>
          <w:p w:rsidR="00AC0832" w:rsidRDefault="00AC0832">
            <w:pPr>
              <w:pStyle w:val="CellColumn"/>
            </w:pPr>
            <w:r>
              <w:t>0,5</w:t>
            </w:r>
          </w:p>
        </w:tc>
      </w:tr>
    </w:tbl>
    <w:p w:rsidR="00AC0832" w:rsidRDefault="00AC0832">
      <w:pPr>
        <w:jc w:val="left"/>
      </w:pPr>
    </w:p>
    <w:p w:rsidR="00AC0832" w:rsidRDefault="00AC0832">
      <w:pPr>
        <w:pStyle w:val="Heading6"/>
      </w:pPr>
      <w:r>
        <w:t>A818006 PRIPREMA I PROVEDBA EU PROGRAMA IPA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A818006-PRIPREMA I PROVEDBA EU PROGRAMA IPA</w:t>
            </w:r>
          </w:p>
        </w:tc>
        <w:tc>
          <w:tcPr>
            <w:tcW w:w="2322" w:type="dxa"/>
          </w:tcPr>
          <w:p w:rsidR="00AC0832" w:rsidRDefault="00AC0832">
            <w:pPr>
              <w:pStyle w:val="CellColumn"/>
            </w:pPr>
            <w:r>
              <w:t>204.804</w:t>
            </w:r>
          </w:p>
        </w:tc>
        <w:tc>
          <w:tcPr>
            <w:tcW w:w="2322" w:type="dxa"/>
          </w:tcPr>
          <w:p w:rsidR="00AC0832" w:rsidRDefault="00AC0832">
            <w:pPr>
              <w:pStyle w:val="CellColumn"/>
            </w:pPr>
            <w:r>
              <w:t>745.477</w:t>
            </w:r>
          </w:p>
        </w:tc>
        <w:tc>
          <w:tcPr>
            <w:tcW w:w="2322" w:type="dxa"/>
          </w:tcPr>
          <w:p w:rsidR="00AC0832" w:rsidRDefault="00AC0832">
            <w:pPr>
              <w:pStyle w:val="CellColumn"/>
            </w:pPr>
            <w:r>
              <w:t>364,0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Sredstva na ovoj aktivnosti namijenjena su za troškove pripreme i provedbe programa IPA IV. komponente što obuhvaća poslove programiranja, provedbe i praćenja provedbe programa IPA IV, troškove edukacije potencijalnih prijavitelja s ciljem pravodobnog javljanja na natječaje, troškove kontinuirane edukacije službenika Službe za programe i projekte EU  u područjima pripreme natječajne dokumentacije, provedbe i praćenja provedbe projekta, troškove informiranja javnosti i potencijalnih prijavitelja na projekte kao i  troškove vezane uz  pripremu programskih i promotivno/informativnih dokumenta u području pripreme i   provedbe Europskog socijalnog fonda u sektoru obrazovanja.   </w:t>
      </w:r>
    </w:p>
    <w:p w:rsidR="00AC0832" w:rsidRDefault="00AC0832">
      <w:pPr>
        <w:pStyle w:val="Normal6"/>
      </w:pPr>
      <w:r>
        <w:t xml:space="preserve">Važno je spomenuti i da su svi troškovi vezani uz pripremu i provedbu IPA programa prihvatljivi za refundiranje u okviru Prioriteta IV. Operativnog programa Razvoj ljudskih potencijala. Zahtjevi za refundacijom izvršavaju se na dvomjesečnoj bazi. </w:t>
      </w:r>
    </w:p>
    <w:p w:rsidR="00AC0832" w:rsidRDefault="00AC0832">
      <w:pPr>
        <w:pStyle w:val="Normal6"/>
      </w:pPr>
      <w:r>
        <w:t>U 2012. godini u okviru darovnice Modernizacija školskih kurikuluma u strukovnim školama u skladu sa potrebama tržišta rada/gospodarstva uspješno je potpisano 30 ugovora, ugovoren je jedan okvirni ugovor i ugovor o pružanju usluga čiji korisnici su Agencija za strukovno obrazovanje u obrazovanje odraslih i Agencija za odgoj i obrazovanje i izvršena su finalna plaćanja na projektima tehničke pomoći financiranih u okviru programske perspektive 2007.-2009., kao i dio finalnih plaćanja za projekte bespovratnih sredstava u okviru iste programske perspektive.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1495"/>
        <w:gridCol w:w="1628"/>
        <w:gridCol w:w="1209"/>
        <w:gridCol w:w="1195"/>
        <w:gridCol w:w="1209"/>
        <w:gridCol w:w="123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projekata financiranih iz EU fondova usmjerenih na usklađivanje obrazovne ponude s potrebama tržišta rada.</w:t>
            </w:r>
          </w:p>
        </w:tc>
        <w:tc>
          <w:tcPr>
            <w:tcW w:w="1300" w:type="dxa"/>
          </w:tcPr>
          <w:p w:rsidR="00AC0832" w:rsidRDefault="00AC0832">
            <w:pPr>
              <w:pStyle w:val="CellColumn"/>
            </w:pPr>
            <w:r>
              <w:t>Pripremati nove i provoditi započete projekte potpomognute EU sredstvima kojima se razvijanju kapaciteti sustava srednjeg obrazovanja da odgovore na brze tehnološke, gospodarske i društvene potrebe</w:t>
            </w:r>
          </w:p>
        </w:tc>
        <w:tc>
          <w:tcPr>
            <w:tcW w:w="1300" w:type="dxa"/>
          </w:tcPr>
          <w:p w:rsidR="00AC0832" w:rsidRDefault="00AC0832">
            <w:pPr>
              <w:pStyle w:val="CellColumn"/>
            </w:pPr>
            <w:r>
              <w:t>Broj implementiranih projekata</w:t>
            </w:r>
          </w:p>
        </w:tc>
        <w:tc>
          <w:tcPr>
            <w:tcW w:w="1300" w:type="dxa"/>
          </w:tcPr>
          <w:p w:rsidR="00AC0832" w:rsidRDefault="00AC0832">
            <w:pPr>
              <w:pStyle w:val="CellColumn"/>
            </w:pPr>
            <w:r>
              <w:t>15</w:t>
            </w: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52</w:t>
            </w:r>
          </w:p>
        </w:tc>
      </w:tr>
    </w:tbl>
    <w:p w:rsidR="00AC0832" w:rsidRDefault="00AC0832">
      <w:pPr>
        <w:jc w:val="left"/>
      </w:pPr>
    </w:p>
    <w:p w:rsidR="00AC0832" w:rsidRDefault="00AC0832">
      <w:pPr>
        <w:pStyle w:val="Heading6"/>
      </w:pPr>
      <w:r>
        <w:t>K580015 IZGRADNJA OBRTNO-TEHNIČKE ŠKOLE I DVORANE SPLIT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K580015-IZGRADNJA OBRTNO-TEHNIČKE ŠKOLE I DVORANE SPLIT</w:t>
            </w:r>
          </w:p>
        </w:tc>
        <w:tc>
          <w:tcPr>
            <w:tcW w:w="2322" w:type="dxa"/>
          </w:tcPr>
          <w:p w:rsidR="00AC0832" w:rsidRDefault="00AC0832">
            <w:pPr>
              <w:pStyle w:val="CellColumn"/>
            </w:pPr>
            <w:r>
              <w:t>16.500.000</w:t>
            </w:r>
          </w:p>
        </w:tc>
        <w:tc>
          <w:tcPr>
            <w:tcW w:w="2322" w:type="dxa"/>
          </w:tcPr>
          <w:p w:rsidR="00AC0832" w:rsidRDefault="00AC0832">
            <w:pPr>
              <w:pStyle w:val="CellColumn"/>
            </w:pPr>
            <w:r>
              <w:t>16.500.000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Financirani i završeni radovi na građevini škole, nastavak radova na sportskoj dvorani u 2013. godini.</w:t>
      </w:r>
    </w:p>
    <w:p w:rsidR="00AC0832" w:rsidRDefault="00AC0832">
      <w:pPr>
        <w:pStyle w:val="Heading6"/>
      </w:pPr>
      <w:r>
        <w:t>K589060 ADAPTACIJA ŠKOLSKIH PROSTORA RADI OSIGURAVANJA DOSTUPNOSTI DJECI I MLADEŽI S INVALIDITETOM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K589060-ADAPTACIJA ŠKOLSKIH PROSTORA RADI OSIGURAVANJA DOSTUPNOSTI DJECI I MLADEŽI S INVALIDITETOM</w:t>
            </w:r>
          </w:p>
        </w:tc>
        <w:tc>
          <w:tcPr>
            <w:tcW w:w="2322" w:type="dxa"/>
          </w:tcPr>
          <w:p w:rsidR="00AC0832" w:rsidRDefault="00AC0832">
            <w:pPr>
              <w:pStyle w:val="CellColumn"/>
            </w:pPr>
            <w:r>
              <w:t>300.000</w:t>
            </w:r>
          </w:p>
        </w:tc>
        <w:tc>
          <w:tcPr>
            <w:tcW w:w="2322" w:type="dxa"/>
          </w:tcPr>
          <w:p w:rsidR="00AC0832" w:rsidRDefault="00AC0832">
            <w:pPr>
              <w:pStyle w:val="CellColumn"/>
            </w:pPr>
            <w:r>
              <w:t>300.000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Osigurana sredstva za uklanjanje barijera u 3 srednje škole.</w:t>
      </w:r>
    </w:p>
    <w:p w:rsidR="00AC0832" w:rsidRDefault="00AC0832">
      <w:pPr>
        <w:pStyle w:val="Heading6"/>
      </w:pPr>
      <w:r>
        <w:t>K733045 IZGRADNJA SPORTSKE DVORANE ROVINJ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K733045-IZGRADNJA SPORTSKE DVORANE ROVINJ</w:t>
            </w:r>
          </w:p>
        </w:tc>
        <w:tc>
          <w:tcPr>
            <w:tcW w:w="2322" w:type="dxa"/>
          </w:tcPr>
          <w:p w:rsidR="00AC0832" w:rsidRDefault="00AC0832">
            <w:pPr>
              <w:pStyle w:val="CellColumn"/>
            </w:pPr>
            <w:r>
              <w:t>560.000</w:t>
            </w:r>
          </w:p>
        </w:tc>
        <w:tc>
          <w:tcPr>
            <w:tcW w:w="2322" w:type="dxa"/>
          </w:tcPr>
          <w:p w:rsidR="00AC0832" w:rsidRDefault="00AC0832">
            <w:pPr>
              <w:pStyle w:val="CellColumn"/>
            </w:pPr>
            <w:r>
              <w:t>559.451</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Izgradnja završena a opremanje dvorane se nastavlja u 2013. godini.</w:t>
      </w:r>
    </w:p>
    <w:p w:rsidR="00AC0832" w:rsidRDefault="00AC0832">
      <w:pPr>
        <w:pStyle w:val="Heading6"/>
      </w:pPr>
      <w:r>
        <w:t>K767026 UČENIČKI DOM BJELOVAR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K767026-UČENIČKI DOM BJELOVAR</w:t>
            </w:r>
          </w:p>
        </w:tc>
        <w:tc>
          <w:tcPr>
            <w:tcW w:w="2322" w:type="dxa"/>
          </w:tcPr>
          <w:p w:rsidR="00AC0832" w:rsidRDefault="00AC0832">
            <w:pPr>
              <w:pStyle w:val="CellColumn"/>
            </w:pPr>
            <w:r>
              <w:t>2.719</w:t>
            </w:r>
          </w:p>
        </w:tc>
        <w:tc>
          <w:tcPr>
            <w:tcW w:w="2322" w:type="dxa"/>
          </w:tcPr>
          <w:p w:rsidR="00AC0832" w:rsidRDefault="00AC0832">
            <w:pPr>
              <w:pStyle w:val="CellColumn"/>
            </w:pPr>
            <w:r>
              <w:t>2.719</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Proveden postupak Javne nabave, ugovaranje radova slijedi u 2013. godini.</w:t>
      </w:r>
    </w:p>
    <w:p w:rsidR="00AC0832" w:rsidRDefault="00AC0832">
      <w:pPr>
        <w:pStyle w:val="Heading6"/>
      </w:pPr>
      <w:r>
        <w:t>K767032 OBRTNIČKA ŠKOLA SISAK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K767032-OBRTNIČKA ŠKOLA SISAK</w:t>
            </w:r>
          </w:p>
        </w:tc>
        <w:tc>
          <w:tcPr>
            <w:tcW w:w="2322" w:type="dxa"/>
          </w:tcPr>
          <w:p w:rsidR="00AC0832" w:rsidRDefault="00AC0832">
            <w:pPr>
              <w:pStyle w:val="CellColumn"/>
            </w:pPr>
            <w:r>
              <w:t>1.232</w:t>
            </w:r>
          </w:p>
        </w:tc>
        <w:tc>
          <w:tcPr>
            <w:tcW w:w="2322" w:type="dxa"/>
          </w:tcPr>
          <w:p w:rsidR="00AC0832" w:rsidRDefault="00AC0832">
            <w:pPr>
              <w:pStyle w:val="CellColumn"/>
            </w:pPr>
            <w:r>
              <w:t>1.231</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Proveden postupak Javne nabave, ugovaranje radova slijedi u 2013. godini.</w:t>
      </w:r>
    </w:p>
    <w:p w:rsidR="00AC0832" w:rsidRDefault="00AC0832">
      <w:pPr>
        <w:pStyle w:val="Heading6"/>
      </w:pPr>
      <w:r>
        <w:t>K818013 KAPITALNE INVESTICIJE U SREDNJEM ŠKOLSTVU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K818013-KAPITALNE INVESTICIJE U SREDNJEM ŠKOLSTVU</w:t>
            </w:r>
          </w:p>
        </w:tc>
        <w:tc>
          <w:tcPr>
            <w:tcW w:w="2322" w:type="dxa"/>
          </w:tcPr>
          <w:p w:rsidR="00AC0832" w:rsidRDefault="00AC0832">
            <w:pPr>
              <w:pStyle w:val="CellColumn"/>
            </w:pPr>
            <w:r>
              <w:t>5.110.000</w:t>
            </w:r>
          </w:p>
        </w:tc>
        <w:tc>
          <w:tcPr>
            <w:tcW w:w="2322" w:type="dxa"/>
          </w:tcPr>
          <w:p w:rsidR="00AC0832" w:rsidRDefault="00AC0832">
            <w:pPr>
              <w:pStyle w:val="CellColumn"/>
            </w:pPr>
            <w:r>
              <w:t>5.110.000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Sredstvima ove aktivnosti financirana je izgradnja i opremanje Zdravstvene škole u Splitu (koja nije imala svoj prostor), a zajednički se financira sredstvima državnog proračuna zajma Svjetske banke i proračuna Splitsko-dalmatinske županije. Puštanje u funkciju planira se u 2013. godini.</w:t>
      </w:r>
    </w:p>
    <w:p w:rsidR="00AC0832" w:rsidRDefault="00AC0832">
      <w:pPr>
        <w:pStyle w:val="Heading6"/>
      </w:pPr>
      <w:r>
        <w:t>A621047 DRŽAVNE, AKADEMSKE NAGRADE I POTPORE U ZNANOSTI I VISOKOM ŠKOLSTVU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A621047-DRŽAVNE, AKADEMSKE NAGRADE I POTPORE U ZNANOSTI I VISOKOM ŠKOLSTVU</w:t>
            </w:r>
          </w:p>
        </w:tc>
        <w:tc>
          <w:tcPr>
            <w:tcW w:w="2322" w:type="dxa"/>
          </w:tcPr>
          <w:p w:rsidR="00AC0832" w:rsidRDefault="00AC0832">
            <w:pPr>
              <w:pStyle w:val="CellColumn"/>
            </w:pPr>
            <w:r>
              <w:t>1.384.315</w:t>
            </w:r>
          </w:p>
        </w:tc>
        <w:tc>
          <w:tcPr>
            <w:tcW w:w="2322" w:type="dxa"/>
          </w:tcPr>
          <w:p w:rsidR="00AC0832" w:rsidRDefault="00AC0832">
            <w:pPr>
              <w:pStyle w:val="CellColumn"/>
            </w:pPr>
            <w:r>
              <w:t>1.318.069</w:t>
            </w:r>
          </w:p>
        </w:tc>
        <w:tc>
          <w:tcPr>
            <w:tcW w:w="2322" w:type="dxa"/>
          </w:tcPr>
          <w:p w:rsidR="00AC0832" w:rsidRDefault="00AC0832">
            <w:pPr>
              <w:pStyle w:val="CellColumn"/>
            </w:pPr>
            <w:r>
              <w:t>95,2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Sredstvima s ove aktivnosti podupire se dodjela nagrada Republike Hrvatske za iznimno važna dostignuća u znanstvenoistraživačkoj djelatnosti, za proširenje znanstvenih spoznaja i za znanstvena ostvarenja u primjeni rezultata znanstvenoistraživačkog rada, koja su postigli znanstvenici, istraživači i znanstveni novaci. Zakonom o hrvatskim državnim nagradama za znanost predviđena je dodjela četiriju vrsta državnih nagrada za znanost: nagrada za životno djelo, godišnja nagrada za znanost, godišnja nagrada za popularizaciju i promidžbu znanosti i godišnja nagrada za znanstvene novake. U 2012. godini dodijeljeno je ukupno 29 državnih nagrada za znanost. Osim toga, u 2012. godini sredstva su isplaćena i u svrhu ugovora o djelu za isplatu rada recenzenata, te članova stručnih povjerenstava.</w:t>
      </w:r>
    </w:p>
    <w:p w:rsidR="00AC0832" w:rsidRDefault="00AC0832">
      <w:pPr>
        <w:pStyle w:val="Normal6"/>
      </w:pPr>
    </w:p>
    <w:p w:rsidR="00AC0832" w:rsidRDefault="00AC0832">
      <w:pPr>
        <w:pStyle w:val="Heading6"/>
      </w:pPr>
      <w:r>
        <w:t>A621048 PROGRAMI HRVATSKE ZAKLADE ZA ZNANOST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A621048-PROGRAMI HRVATSKE ZAKLADE ZA ZNANOST</w:t>
            </w:r>
          </w:p>
        </w:tc>
        <w:tc>
          <w:tcPr>
            <w:tcW w:w="2322" w:type="dxa"/>
          </w:tcPr>
          <w:p w:rsidR="00AC0832" w:rsidRDefault="00AC0832">
            <w:pPr>
              <w:pStyle w:val="CellColumn"/>
            </w:pPr>
            <w:r>
              <w:t>10.000.000</w:t>
            </w:r>
          </w:p>
        </w:tc>
        <w:tc>
          <w:tcPr>
            <w:tcW w:w="2322" w:type="dxa"/>
          </w:tcPr>
          <w:p w:rsidR="00AC0832" w:rsidRDefault="00AC0832">
            <w:pPr>
              <w:pStyle w:val="CellColumn"/>
            </w:pPr>
            <w:r>
              <w:t>10.000.000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Zakonom o izmjenama i dopunama Zakona o Hrvatskoj zakladi za znanost  istoj je osigurana središnja uloga u hrvatskoj znanosti u vrednovanju i financiranju kompetitivnih znanstvenih projekata s međunarodnom kvalitetom, sukladno modelu suradničkih programa (collaborative programmes) Europske Unije, te znanstvenika i znanstvenih organizacija. Stoga su isplatom financijskih sredstava u 2012. godini osigurani uvjeti za stalan i stabilan priljev financijskih sredstava.</w:t>
      </w:r>
    </w:p>
    <w:p w:rsidR="00AC0832" w:rsidRDefault="00AC0832">
      <w:pPr>
        <w:pStyle w:val="Heading6"/>
      </w:pPr>
      <w:r>
        <w:t>A622002 PROGRAM USAVRŠAVANJA ZNANSTVENIH NOVAKA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A622002-PROGRAM USAVRŠAVANJA ZNANSTVENIH NOVAKA</w:t>
            </w:r>
          </w:p>
        </w:tc>
        <w:tc>
          <w:tcPr>
            <w:tcW w:w="2322" w:type="dxa"/>
          </w:tcPr>
          <w:p w:rsidR="00AC0832" w:rsidRDefault="00AC0832">
            <w:pPr>
              <w:pStyle w:val="CellColumn"/>
            </w:pPr>
            <w:r>
              <w:t>320.260.069</w:t>
            </w:r>
          </w:p>
        </w:tc>
        <w:tc>
          <w:tcPr>
            <w:tcW w:w="2322" w:type="dxa"/>
          </w:tcPr>
          <w:p w:rsidR="00AC0832" w:rsidRDefault="00AC0832">
            <w:pPr>
              <w:pStyle w:val="CellColumn"/>
            </w:pPr>
            <w:r>
              <w:t>320.211.479</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Zapošljavanje znanstvenih novaka kroz ovaj program predstavlja financiranje istraživačkih doktoranada i postdoktoranada, kroz njihovo zapošljavanje na znanstvenim pravnim osobama, u svrhu rada na znanstvenoistraživačkim projektima. Ovim programom financirane su plaće i ostali rashodi za zaposlenike znanstvene novake, kojih je trenutno u potpori oko 2350. U 2012. godini ukupno je njih 295 otišlo iz sustava, a od toga je pretpostavka da ih većina pronađe zaposlenje u sustavu znanosti i obrazovanja.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Rast broja novih doktora znanosti</w:t>
            </w:r>
          </w:p>
        </w:tc>
        <w:tc>
          <w:tcPr>
            <w:tcW w:w="1300" w:type="dxa"/>
          </w:tcPr>
          <w:p w:rsidR="00AC0832" w:rsidRDefault="00AC0832">
            <w:pPr>
              <w:pStyle w:val="CellColumn"/>
            </w:pPr>
            <w:r>
              <w:t>Broj osoba koje su u referentnoj godini stekle doktorat znanosti</w:t>
            </w:r>
          </w:p>
        </w:tc>
        <w:tc>
          <w:tcPr>
            <w:tcW w:w="1300" w:type="dxa"/>
          </w:tcPr>
          <w:p w:rsidR="00AC0832" w:rsidRDefault="00AC0832">
            <w:pPr>
              <w:pStyle w:val="CellColumn"/>
            </w:pPr>
            <w:r>
              <w:t>Broj (godišnje)</w:t>
            </w:r>
          </w:p>
        </w:tc>
        <w:tc>
          <w:tcPr>
            <w:tcW w:w="1300" w:type="dxa"/>
          </w:tcPr>
          <w:p w:rsidR="00AC0832" w:rsidRDefault="00AC0832">
            <w:pPr>
              <w:pStyle w:val="CellColumn"/>
            </w:pPr>
            <w:r>
              <w:t>838 (2010.)</w:t>
            </w:r>
          </w:p>
        </w:tc>
        <w:tc>
          <w:tcPr>
            <w:tcW w:w="1300" w:type="dxa"/>
          </w:tcPr>
          <w:p w:rsidR="00AC0832" w:rsidRDefault="00AC0832">
            <w:pPr>
              <w:pStyle w:val="CellColumn"/>
            </w:pPr>
            <w:r>
              <w:t>DZS</w:t>
            </w:r>
          </w:p>
        </w:tc>
        <w:tc>
          <w:tcPr>
            <w:tcW w:w="1300" w:type="dxa"/>
          </w:tcPr>
          <w:p w:rsidR="00AC0832" w:rsidRDefault="00AC0832">
            <w:pPr>
              <w:pStyle w:val="CellColumn"/>
            </w:pPr>
            <w:r>
              <w:t>850</w:t>
            </w:r>
          </w:p>
        </w:tc>
        <w:tc>
          <w:tcPr>
            <w:tcW w:w="1300" w:type="dxa"/>
          </w:tcPr>
          <w:p w:rsidR="00AC0832" w:rsidRDefault="00AC0832">
            <w:pPr>
              <w:pStyle w:val="CellColumn"/>
            </w:pPr>
            <w:r>
              <w:t>1072 (2011.)</w:t>
            </w:r>
          </w:p>
        </w:tc>
      </w:tr>
    </w:tbl>
    <w:p w:rsidR="00AC0832" w:rsidRDefault="00AC0832">
      <w:pPr>
        <w:jc w:val="left"/>
      </w:pPr>
    </w:p>
    <w:p w:rsidR="00AC0832" w:rsidRDefault="00AC0832">
      <w:pPr>
        <w:jc w:val="left"/>
      </w:pPr>
    </w:p>
    <w:p w:rsidR="00AC0832" w:rsidRDefault="00AC0832">
      <w:pPr>
        <w:jc w:val="left"/>
      </w:pPr>
    </w:p>
    <w:p w:rsidR="00AC0832" w:rsidRDefault="00AC0832">
      <w:pPr>
        <w:pStyle w:val="Heading6"/>
      </w:pPr>
      <w:r>
        <w:t>A622003 PROGRAMI I PROJEKTI ZNANSTVENOISTRAŽIVAČKE DJELATNOSTI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28"/>
        <w:gridCol w:w="2070"/>
        <w:gridCol w:w="2070"/>
        <w:gridCol w:w="2120"/>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A622003-PROGRAMI I PROJEKTI ZNANSTVENOISTRAŽIVAČKE DJELATNOSTI</w:t>
            </w:r>
          </w:p>
        </w:tc>
        <w:tc>
          <w:tcPr>
            <w:tcW w:w="2322" w:type="dxa"/>
          </w:tcPr>
          <w:p w:rsidR="00AC0832" w:rsidRDefault="00AC0832">
            <w:pPr>
              <w:pStyle w:val="CellColumn"/>
            </w:pPr>
            <w:r>
              <w:t>93.637.115</w:t>
            </w:r>
          </w:p>
        </w:tc>
        <w:tc>
          <w:tcPr>
            <w:tcW w:w="2322" w:type="dxa"/>
          </w:tcPr>
          <w:p w:rsidR="00AC0832" w:rsidRDefault="00AC0832">
            <w:pPr>
              <w:pStyle w:val="CellColumn"/>
            </w:pPr>
            <w:r>
              <w:t>93.623.314</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Ugovaranje, realizacija i praćenje izvršavanja znanstvenoistraživačkih projekata i po njima preuzetih ugovornih obveza jedna je od temeljnih zadaća Ministarstva znanosti, obrazovanja i sporta, a koja se ostvaruje upravo preko financijskih sredstava iz ove aktivnosti. Projekti su temeljni oblik ostvarivanja istraživanja i razvoja, sredstvo pomicanja granica, spoznaja i novog znanja te promicanja etičkih, ekoloških i drugih standarda, kroz koje se ulaže u razvoj znanosti. Ministarstvo je kroz ovu aktivnost, temeljem Odluke ministra, a sukladno provedenom vrednovanju izvještaja znastvenih projekata, financiralo 1923 znanstvenoistraživačka projekta na javnim znanstvenim institutima, visokim učilištima i drugim znanstvenoistraživačkim pravnim osobama, zaključno do 31. listopada 2012. godine. U nadolazećem se razdoblju će se ostvariti prelazak dijela financijskih sredstava iz ove aktivnosti u nadležnost Hrvatske zaklade za znanost.</w:t>
      </w:r>
    </w:p>
    <w:p w:rsidR="00AC0832" w:rsidRDefault="00AC0832">
      <w:pPr>
        <w:pStyle w:val="Heading6"/>
      </w:pPr>
      <w:r>
        <w:t>A622004 IZDAVANJE DOMAĆIH ZNANSTVENIH ČASOPISA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A622004-IZDAVANJE DOMAĆIH ZNANSTVENIH ČASOPISA</w:t>
            </w:r>
          </w:p>
        </w:tc>
        <w:tc>
          <w:tcPr>
            <w:tcW w:w="2322" w:type="dxa"/>
          </w:tcPr>
          <w:p w:rsidR="00AC0832" w:rsidRDefault="00AC0832">
            <w:pPr>
              <w:pStyle w:val="CellColumn"/>
            </w:pPr>
            <w:r>
              <w:t>10.090.837</w:t>
            </w:r>
          </w:p>
        </w:tc>
        <w:tc>
          <w:tcPr>
            <w:tcW w:w="2322" w:type="dxa"/>
          </w:tcPr>
          <w:p w:rsidR="00AC0832" w:rsidRDefault="00AC0832">
            <w:pPr>
              <w:pStyle w:val="CellColumn"/>
            </w:pPr>
            <w:r>
              <w:t>10.059.889</w:t>
            </w:r>
          </w:p>
        </w:tc>
        <w:tc>
          <w:tcPr>
            <w:tcW w:w="2322" w:type="dxa"/>
          </w:tcPr>
          <w:p w:rsidR="00AC0832" w:rsidRDefault="00AC0832">
            <w:pPr>
              <w:pStyle w:val="CellColumn"/>
            </w:pPr>
            <w:r>
              <w:t>99,7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Korisnici ove financijske potpore su znanstvene i znanstveno nastavne ustanove, znanstvene udruge i privatni izdavači. Potpora se realizira objavom javnog poziva nakon kojeg Stručno povjerenstvo za znanstveno-izdavačku djelatnost vrši prosudbu pojedinog časopisa prema Kriterijima za novčanu potporu znanstveno-izdavačkoj djelatnosti (časopisima). Radovi objavljeni u znanstvenim časopisima korisni su za akademsku zajednicu i služe za napredovanja u znanstvena zvanja. U 2012. godini, temeljem Odluke o sufinanciranju domaćih znanstvenih časopisa, sufinancirano je 179 znanstvenih časopisa i časopisa za popularizaciju znanosti, a financijska sredstva su utrošena i na financiranje rada, temeljem ugovora o djelu, za osam članova Stručnog povjerenstva koji su radili na evaluaciji ukupno pristiglih 223 zahtjeva za sufinanciranje časopisa i oko 500-600 znanstvenih knjiga i visokoškolskih udžbenika.</w:t>
      </w:r>
    </w:p>
    <w:p w:rsidR="00AC0832" w:rsidRDefault="00AC0832">
      <w:pPr>
        <w:pStyle w:val="Normal6"/>
      </w:pPr>
    </w:p>
    <w:p w:rsidR="00AC0832" w:rsidRDefault="00AC0832">
      <w:pPr>
        <w:pStyle w:val="Normal6"/>
      </w:pPr>
    </w:p>
    <w:p w:rsidR="00AC0832" w:rsidRDefault="00AC0832">
      <w:pPr>
        <w:pStyle w:val="Normal6"/>
      </w:pPr>
    </w:p>
    <w:p w:rsidR="00AC0832" w:rsidRDefault="00AC0832">
      <w:pPr>
        <w:pStyle w:val="Heading6"/>
      </w:pPr>
      <w:r>
        <w:t>A622005 ORGANIZIRANJE I ODRŽAVANJE ZNANSTVENIH SKUPOVA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A622005-ORGANIZIRANJE I ODRŽAVANJE ZNANSTVENIH SKUPOVA</w:t>
            </w:r>
          </w:p>
        </w:tc>
        <w:tc>
          <w:tcPr>
            <w:tcW w:w="2322" w:type="dxa"/>
          </w:tcPr>
          <w:p w:rsidR="00AC0832" w:rsidRDefault="00AC0832">
            <w:pPr>
              <w:pStyle w:val="CellColumn"/>
            </w:pPr>
            <w:r>
              <w:t>3.992.473</w:t>
            </w:r>
          </w:p>
        </w:tc>
        <w:tc>
          <w:tcPr>
            <w:tcW w:w="2322" w:type="dxa"/>
          </w:tcPr>
          <w:p w:rsidR="00AC0832" w:rsidRDefault="00AC0832">
            <w:pPr>
              <w:pStyle w:val="CellColumn"/>
            </w:pPr>
            <w:r>
              <w:t>3.992.472</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Financijskom potporom za organiziranje i održavanje znanstvenih i znanstvenoistraživačkih skupova Ministarstvo novčano podupire pripremne troškove u organizaciji takvih skupova. Novčana potpora dodjeljuje se na temelju objavljenog javnog poziva za slanje zahtjeva, a u skladu s Kriterijima o novčanom podupiranju znanstvenih i znanstvenostručnih skupova, udruga i programa popularizacije znanosti, te deskriptivnim ljestvicama određivanja vrsnoće pristiglih zahtjeva. U 2012. godini sufinancirana je organizacija 165 skupova.</w:t>
      </w:r>
    </w:p>
    <w:p w:rsidR="00AC0832" w:rsidRDefault="00AC0832">
      <w:pPr>
        <w:pStyle w:val="Heading6"/>
      </w:pPr>
      <w:r>
        <w:t>A622006 IZDAVANJE  ZNANSTVENIH KNJIGA I UDŽBENIKA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A622006-IZDAVANJE  ZNANSTVENIH KNJIGA I UDŽBENIKA</w:t>
            </w:r>
          </w:p>
        </w:tc>
        <w:tc>
          <w:tcPr>
            <w:tcW w:w="2322" w:type="dxa"/>
          </w:tcPr>
          <w:p w:rsidR="00AC0832" w:rsidRDefault="00AC0832">
            <w:pPr>
              <w:pStyle w:val="CellColumn"/>
            </w:pPr>
            <w:r>
              <w:t>11.794.572</w:t>
            </w:r>
          </w:p>
        </w:tc>
        <w:tc>
          <w:tcPr>
            <w:tcW w:w="2322" w:type="dxa"/>
          </w:tcPr>
          <w:p w:rsidR="00AC0832" w:rsidRDefault="00AC0832">
            <w:pPr>
              <w:pStyle w:val="CellColumn"/>
            </w:pPr>
            <w:r>
              <w:t>11.794.572</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Korisnici ove financijske potpore su znanstvene i znanstveno nastavne ustanove kao i privatni nakladnici. Potpora se realizira objavom javnog poziva nakon kojega Stručno povjerenstvo za znanstveno-izdavaču djelatnost, temeljem Pravila o novčanom podupiranju znanstvene izdavačke djelatnosti (znanstvenih publikacija i visokoškolskih udžbenika), vrši odabir naslova, te utvrđuje iznose za knjige koje su značajne za obavljanje znanstvene i znanstveno nastavne djelatnosti. U 2012. godini sufinancirano je 307 naslova temeljem javnog poziva s kraja 2011. godine, 61 naslov sukladno javnom pozivu iz 2012. godine, te 81 naslov kao zaostatak od javnih poziva iz 2010. i 2011. godine.</w:t>
      </w:r>
    </w:p>
    <w:p w:rsidR="00AC0832" w:rsidRDefault="00AC0832">
      <w:pPr>
        <w:pStyle w:val="Heading6"/>
      </w:pPr>
      <w:r>
        <w:t>A622007 REDOVNA DJELATNOST ZNANSTVENO STRUČNIH UDRUGA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A622007-REDOVNA DJELATNOST ZNANSTVENO STRUČNIH UDRUGA</w:t>
            </w:r>
          </w:p>
        </w:tc>
        <w:tc>
          <w:tcPr>
            <w:tcW w:w="2322" w:type="dxa"/>
          </w:tcPr>
          <w:p w:rsidR="00AC0832" w:rsidRDefault="00AC0832">
            <w:pPr>
              <w:pStyle w:val="CellColumn"/>
            </w:pPr>
            <w:r>
              <w:t>1.900.000</w:t>
            </w:r>
          </w:p>
        </w:tc>
        <w:tc>
          <w:tcPr>
            <w:tcW w:w="2322" w:type="dxa"/>
          </w:tcPr>
          <w:p w:rsidR="00AC0832" w:rsidRDefault="00AC0832">
            <w:pPr>
              <w:pStyle w:val="CellColumn"/>
            </w:pPr>
            <w:r>
              <w:t>1.881.066</w:t>
            </w:r>
          </w:p>
        </w:tc>
        <w:tc>
          <w:tcPr>
            <w:tcW w:w="2322" w:type="dxa"/>
          </w:tcPr>
          <w:p w:rsidR="00AC0832" w:rsidRDefault="00AC0832">
            <w:pPr>
              <w:pStyle w:val="CellColumn"/>
            </w:pPr>
            <w:r>
              <w:t>99,0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Korisnici ove potpore Ministarstva su znanstvene i znanstvenostručne udruge, kojima se njihova redovita djelatnost sufinancira na temelju objavljenog javnog poziva za slanje zahtjeva, a u skladu s Kriterijima o novčanom podupiranju znanstvenih i znanstvenostručnih skupova, udruga i programa popularizacije znanosti. U 2012. godini sufinancirana je redovita djelatnost 54 udruge, međutim odaziv na javni poziv bio je još i veći, s obzirom da 23 udruge nisu ostvarile bodovni minimum potreban za sufinanciranje. Ujedno je s ove aktivnosti, temeljem raspisanog javnog poziva koji se u 2012. godini odvijao po prvi puta, sufinancirano 18 programa popularizacije znanosti, dok je njih 48 odbijeno iz formalnih razloga, odnosno zbog nepostizanja bodovnog minimuma potrebnog za sufinanciranje.</w:t>
      </w:r>
    </w:p>
    <w:p w:rsidR="00AC0832" w:rsidRDefault="00AC0832">
      <w:pPr>
        <w:pStyle w:val="Heading6"/>
      </w:pPr>
      <w:r>
        <w:t>A622008 NABAVA INOZEMNIH ZNANSTVENIH ČASOPISA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A622008-NABAVA INOZEMNIH ZNANSTVENIH ČASOPISA</w:t>
            </w:r>
          </w:p>
        </w:tc>
        <w:tc>
          <w:tcPr>
            <w:tcW w:w="2322" w:type="dxa"/>
          </w:tcPr>
          <w:p w:rsidR="00AC0832" w:rsidRDefault="00AC0832">
            <w:pPr>
              <w:pStyle w:val="CellColumn"/>
            </w:pPr>
            <w:r>
              <w:t>27.134.795</w:t>
            </w:r>
          </w:p>
        </w:tc>
        <w:tc>
          <w:tcPr>
            <w:tcW w:w="2322" w:type="dxa"/>
          </w:tcPr>
          <w:p w:rsidR="00AC0832" w:rsidRDefault="00AC0832">
            <w:pPr>
              <w:pStyle w:val="CellColumn"/>
            </w:pPr>
            <w:r>
              <w:t>27.128.553</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Kroz ovu aktivnost osigurava se pristup ključnim inozemnim znanstvenim bazama podataka i časopisa u elektroničkom obliku za sveučilišne knjižnice i knjižnice znanstvenih i visokoškolskih ustanova u Republici Hrvatskoj. U 2012. godini, temeljem postupka javne nabave, sklopljeni su ugovori s inozemnim dobavljačima Thomson Reuters, Elsevier B.V., OVID, EBSCO i American Mathematical Society.</w:t>
      </w:r>
    </w:p>
    <w:p w:rsidR="00AC0832" w:rsidRDefault="00AC0832">
      <w:pPr>
        <w:pStyle w:val="Heading6"/>
      </w:pPr>
      <w:r>
        <w:t>A622009 POTICAJ RAZVOJA ZNANOSTI I ULAGANJA U KADROVE - FINANCIRANJE ŠKOLARINA ZA POSLIJEDIPLOMSKI STUDIJ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A622009-POTICAJ RAZVOJA ZNANOSTI I ULAGANJA U KADROVE - FINANCIRANJE ŠKOLARINA ZA POSLIJEDIPLOMSKI STUDIJ</w:t>
            </w:r>
          </w:p>
        </w:tc>
        <w:tc>
          <w:tcPr>
            <w:tcW w:w="2322" w:type="dxa"/>
          </w:tcPr>
          <w:p w:rsidR="00AC0832" w:rsidRDefault="00AC0832">
            <w:pPr>
              <w:pStyle w:val="CellColumn"/>
            </w:pPr>
            <w:r>
              <w:t>6.336.441</w:t>
            </w:r>
          </w:p>
        </w:tc>
        <w:tc>
          <w:tcPr>
            <w:tcW w:w="2322" w:type="dxa"/>
          </w:tcPr>
          <w:p w:rsidR="00AC0832" w:rsidRDefault="00AC0832">
            <w:pPr>
              <w:pStyle w:val="CellColumn"/>
            </w:pPr>
            <w:r>
              <w:t>6.334.875</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Kroz ovu aktivnost Ministarstvo aktivno sudjeluje u afirmaciji Republike Hrvatske kao zemlje znanja, potičući razvoj znanosti kroz ulaganje u mladi znanstveni kadar. Sredstvima s ove aktivnosti financiraju se školarine znanstvenim novacima na znanstvenom usavršavanju u sklopu poslijediplomskih studija. Stabilnim pravnim okvirom, kroz Kolektivni ugovor za znanost i visoko obrazovanje i drugim zakonskim aktima, regulirana su prava znanstvenih novaka na ovu vrstu potpore. Istima se također nadoknađuju troškovi opreme i izrade magistarskih radova i doktorskih disertacija.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540"/>
        <w:gridCol w:w="1287"/>
        <w:gridCol w:w="1290"/>
        <w:gridCol w:w="1289"/>
        <w:gridCol w:w="1290"/>
        <w:gridCol w:w="129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udjela novih znanstvenih novaka iz prirodnih, tehničkih, biotehničkih znanosti u ukupnom broju novih znanstvenih novaka</w:t>
            </w:r>
          </w:p>
        </w:tc>
        <w:tc>
          <w:tcPr>
            <w:tcW w:w="1300" w:type="dxa"/>
          </w:tcPr>
          <w:p w:rsidR="00AC0832" w:rsidRDefault="00AC0832">
            <w:pPr>
              <w:pStyle w:val="CellColumn"/>
            </w:pPr>
            <w:r>
              <w:t>Udio novih znanstvenih novaka iz prirodnih, tehničkih, biotehničkih znanosti u ukupnome broju novoodobrenih znanstvenih novaka</w:t>
            </w:r>
          </w:p>
        </w:tc>
        <w:tc>
          <w:tcPr>
            <w:tcW w:w="1300" w:type="dxa"/>
          </w:tcPr>
          <w:p w:rsidR="00AC0832" w:rsidRDefault="00AC0832">
            <w:pPr>
              <w:pStyle w:val="CellColumn"/>
            </w:pPr>
            <w:r>
              <w:t>Postotak</w:t>
            </w:r>
          </w:p>
        </w:tc>
        <w:tc>
          <w:tcPr>
            <w:tcW w:w="1300" w:type="dxa"/>
          </w:tcPr>
          <w:p w:rsidR="00AC0832" w:rsidRDefault="00AC0832">
            <w:pPr>
              <w:pStyle w:val="CellColumn"/>
            </w:pPr>
            <w:r>
              <w:t>66 (2010.)</w:t>
            </w:r>
          </w:p>
        </w:tc>
        <w:tc>
          <w:tcPr>
            <w:tcW w:w="1300" w:type="dxa"/>
          </w:tcPr>
          <w:p w:rsidR="00AC0832" w:rsidRDefault="00AC0832">
            <w:pPr>
              <w:pStyle w:val="CellColumn"/>
            </w:pPr>
            <w:r>
              <w:t>MZOS</w:t>
            </w:r>
          </w:p>
        </w:tc>
        <w:tc>
          <w:tcPr>
            <w:tcW w:w="1300" w:type="dxa"/>
          </w:tcPr>
          <w:p w:rsidR="00AC0832" w:rsidRDefault="00AC0832">
            <w:pPr>
              <w:pStyle w:val="CellColumn"/>
            </w:pPr>
            <w:r>
              <w:t>70</w:t>
            </w:r>
          </w:p>
        </w:tc>
        <w:tc>
          <w:tcPr>
            <w:tcW w:w="1300" w:type="dxa"/>
          </w:tcPr>
          <w:p w:rsidR="00AC0832" w:rsidRDefault="00AC0832">
            <w:pPr>
              <w:pStyle w:val="CellColumn"/>
            </w:pPr>
            <w:r>
              <w:t>54 (2011.)</w:t>
            </w:r>
          </w:p>
        </w:tc>
      </w:tr>
    </w:tbl>
    <w:p w:rsidR="00AC0832" w:rsidRDefault="00AC0832">
      <w:pPr>
        <w:jc w:val="left"/>
      </w:pPr>
    </w:p>
    <w:p w:rsidR="00AC0832" w:rsidRDefault="00AC0832">
      <w:pPr>
        <w:pStyle w:val="Heading6"/>
      </w:pPr>
      <w:r>
        <w:t>A622010 ODRŽAVANJE ZNANSTVENE INFRASTRUKTURE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A622010-ODRŽAVANJE ZNANSTVENE INFRASTRUKTURE</w:t>
            </w:r>
          </w:p>
        </w:tc>
        <w:tc>
          <w:tcPr>
            <w:tcW w:w="2322" w:type="dxa"/>
          </w:tcPr>
          <w:p w:rsidR="00AC0832" w:rsidRDefault="00AC0832">
            <w:pPr>
              <w:pStyle w:val="CellColumn"/>
            </w:pPr>
            <w:r>
              <w:t>1.100.000</w:t>
            </w:r>
          </w:p>
        </w:tc>
        <w:tc>
          <w:tcPr>
            <w:tcW w:w="2322" w:type="dxa"/>
          </w:tcPr>
          <w:p w:rsidR="00AC0832" w:rsidRDefault="00AC0832">
            <w:pPr>
              <w:pStyle w:val="CellColumn"/>
            </w:pPr>
            <w:r>
              <w:t>1.100.000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Financiranje znanstvene djelatnosti kroz ovu aktivnost odnosi se na ulaganje u znanstvenu infrastrukturu, a sve u cilju poticanja razvoja znanosti kroz održavanje znanstvene opreme kao osnovnog sredstva za znanstvenoistraživački rad. Navedenim sredstvima provodi se financiranje materijalnih troškova održavanja i rada laboratorija s pokusnim životinjama i troškova nabavke tekućih plinova za potrebe rada znanstvenih jedinica.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417"/>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prijavljenih inovacija</w:t>
            </w:r>
          </w:p>
        </w:tc>
        <w:tc>
          <w:tcPr>
            <w:tcW w:w="1300" w:type="dxa"/>
          </w:tcPr>
          <w:p w:rsidR="00AC0832" w:rsidRDefault="00AC0832">
            <w:pPr>
              <w:pStyle w:val="CellColumn"/>
            </w:pPr>
            <w:r>
              <w:t>Broj inovacija koje su prikupili uredi za transfer tehnologije</w:t>
            </w:r>
          </w:p>
        </w:tc>
        <w:tc>
          <w:tcPr>
            <w:tcW w:w="1300" w:type="dxa"/>
          </w:tcPr>
          <w:p w:rsidR="00AC0832" w:rsidRDefault="00AC0832">
            <w:pPr>
              <w:pStyle w:val="CellColumn"/>
            </w:pPr>
            <w:r>
              <w:t>Broj (kumulativno)</w:t>
            </w:r>
          </w:p>
        </w:tc>
        <w:tc>
          <w:tcPr>
            <w:tcW w:w="1300" w:type="dxa"/>
          </w:tcPr>
          <w:p w:rsidR="00AC0832" w:rsidRDefault="00AC0832">
            <w:pPr>
              <w:pStyle w:val="CellColumn"/>
            </w:pPr>
            <w:r>
              <w:t>55</w:t>
            </w:r>
          </w:p>
        </w:tc>
        <w:tc>
          <w:tcPr>
            <w:tcW w:w="1300" w:type="dxa"/>
          </w:tcPr>
          <w:p w:rsidR="00AC0832" w:rsidRDefault="00AC0832">
            <w:pPr>
              <w:pStyle w:val="CellColumn"/>
            </w:pPr>
            <w:r>
              <w:t>TT uredi i IRB</w:t>
            </w:r>
          </w:p>
        </w:tc>
        <w:tc>
          <w:tcPr>
            <w:tcW w:w="1300" w:type="dxa"/>
          </w:tcPr>
          <w:p w:rsidR="00AC0832" w:rsidRDefault="00AC0832">
            <w:pPr>
              <w:pStyle w:val="CellColumn"/>
            </w:pPr>
            <w:r>
              <w:t>60</w:t>
            </w:r>
          </w:p>
        </w:tc>
        <w:tc>
          <w:tcPr>
            <w:tcW w:w="1300" w:type="dxa"/>
          </w:tcPr>
          <w:p w:rsidR="00AC0832" w:rsidRDefault="00AC0832">
            <w:pPr>
              <w:pStyle w:val="CellColumn"/>
            </w:pPr>
            <w:r>
              <w:t>57</w:t>
            </w:r>
          </w:p>
        </w:tc>
      </w:tr>
    </w:tbl>
    <w:p w:rsidR="00AC0832" w:rsidRDefault="00AC0832">
      <w:pPr>
        <w:jc w:val="left"/>
      </w:pPr>
    </w:p>
    <w:p w:rsidR="00AC0832" w:rsidRDefault="00AC0832">
      <w:pPr>
        <w:pStyle w:val="Heading6"/>
      </w:pPr>
      <w:r>
        <w:t>A622119 PROGRAMI EUROPSKE ZAJEDNICE - NACIONALNI DOPRINOS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A622119-PROGRAMI EUROPSKE ZAJEDNICE - NACIONALNI DOPRINOS</w:t>
            </w:r>
          </w:p>
        </w:tc>
        <w:tc>
          <w:tcPr>
            <w:tcW w:w="2322" w:type="dxa"/>
          </w:tcPr>
          <w:p w:rsidR="00AC0832" w:rsidRDefault="00AC0832">
            <w:pPr>
              <w:pStyle w:val="CellColumn"/>
            </w:pPr>
            <w:r>
              <w:t>78.162.492</w:t>
            </w:r>
          </w:p>
        </w:tc>
        <w:tc>
          <w:tcPr>
            <w:tcW w:w="2322" w:type="dxa"/>
          </w:tcPr>
          <w:p w:rsidR="00AC0832" w:rsidRDefault="00AC0832">
            <w:pPr>
              <w:pStyle w:val="CellColumn"/>
            </w:pPr>
            <w:r>
              <w:t>78.090.851</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Temeljem Zakona o potvrđivanju Memoranduma o razumijevanju između Republike Hrvatske i Europske zajednice o pristupanju Republike Hrvatske Sedmom okvirnom programu Europske zajednice za istraživanje, tehnološki razvoj i demonstracijske aktivnosti 2007.-2013. (NN MU 10/07) Republika Hrvatske je pristupila Sedmom okvirnom programu (Seventh Framework Programme FP7) 01. siječnja 2007. te je dužna plaćati nacionalni doprinos do 2013. godine. FP7 predstavlja temeljni instrument EU za poticanje istraživanja i tehnološkog razvoja, te povećanje konkurentnosti u svjetskim razmjerima. Nadležno tijelo za strateško planiranje hrvatskog sudjelovanja u FP7, plaćanje nacionalnog doprinosa za sudjelovanje i za nadzor nad njegovom provedbom je Ministarstvo znanosti, obrazovanja i sporta. Plaćanje nacionalnog doprinosa Republici Hrvatskoj osigurava punopravno sudjelovanje s državama članicama Europske Unije.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5"/>
        <w:gridCol w:w="1384"/>
        <w:gridCol w:w="1417"/>
        <w:gridCol w:w="1244"/>
        <w:gridCol w:w="1242"/>
        <w:gridCol w:w="1245"/>
        <w:gridCol w:w="1261"/>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međunarodnih znanstveno-istraživačkih projekata u kojima sudjeluju ustanove iz RH (FP7)</w:t>
            </w:r>
          </w:p>
        </w:tc>
        <w:tc>
          <w:tcPr>
            <w:tcW w:w="1300" w:type="dxa"/>
          </w:tcPr>
          <w:p w:rsidR="00AC0832" w:rsidRDefault="00AC0832">
            <w:pPr>
              <w:pStyle w:val="CellColumn"/>
            </w:pPr>
            <w:r>
              <w:t>Broj znanstveno-istraživačkih projekata u kojima sudjeluju ustanove iz RH (FP7)</w:t>
            </w:r>
          </w:p>
        </w:tc>
        <w:tc>
          <w:tcPr>
            <w:tcW w:w="1300" w:type="dxa"/>
          </w:tcPr>
          <w:p w:rsidR="00AC0832" w:rsidRDefault="00AC0832">
            <w:pPr>
              <w:pStyle w:val="CellColumn"/>
            </w:pPr>
            <w:r>
              <w:t>Broj</w:t>
            </w:r>
          </w:p>
        </w:tc>
        <w:tc>
          <w:tcPr>
            <w:tcW w:w="1300" w:type="dxa"/>
          </w:tcPr>
          <w:p w:rsidR="00AC0832" w:rsidRDefault="00AC0832">
            <w:pPr>
              <w:pStyle w:val="CellColumn"/>
            </w:pPr>
            <w:r>
              <w:t>35 (2010.)</w:t>
            </w:r>
          </w:p>
        </w:tc>
        <w:tc>
          <w:tcPr>
            <w:tcW w:w="1300" w:type="dxa"/>
          </w:tcPr>
          <w:p w:rsidR="00AC0832" w:rsidRDefault="00AC0832">
            <w:pPr>
              <w:pStyle w:val="CellColumn"/>
            </w:pPr>
            <w:r>
              <w:t>Baza Europske komisije E-CORDA</w:t>
            </w:r>
          </w:p>
        </w:tc>
        <w:tc>
          <w:tcPr>
            <w:tcW w:w="1300" w:type="dxa"/>
          </w:tcPr>
          <w:p w:rsidR="00AC0832" w:rsidRDefault="00AC0832">
            <w:pPr>
              <w:pStyle w:val="CellColumn"/>
            </w:pPr>
            <w:r>
              <w:t>45</w:t>
            </w:r>
          </w:p>
        </w:tc>
        <w:tc>
          <w:tcPr>
            <w:tcW w:w="1300" w:type="dxa"/>
          </w:tcPr>
          <w:p w:rsidR="00AC0832" w:rsidRDefault="00AC0832">
            <w:pPr>
              <w:pStyle w:val="CellColumn"/>
            </w:pPr>
            <w:r>
              <w:t xml:space="preserve">63 </w:t>
            </w:r>
          </w:p>
          <w:p w:rsidR="00AC0832" w:rsidRDefault="00AC0832">
            <w:pPr>
              <w:pStyle w:val="CellColumn"/>
            </w:pPr>
            <w:r>
              <w:t xml:space="preserve">38 </w:t>
            </w:r>
          </w:p>
          <w:p w:rsidR="00AC0832" w:rsidRDefault="00AC0832">
            <w:pPr>
              <w:pStyle w:val="CellColumn"/>
            </w:pPr>
            <w:r>
              <w:t>(2012.)</w:t>
            </w:r>
          </w:p>
        </w:tc>
      </w:tr>
      <w:tr w:rsidR="00AC0832" w:rsidTr="00BE20ED">
        <w:trPr>
          <w:jc w:val="center"/>
        </w:trPr>
        <w:tc>
          <w:tcPr>
            <w:tcW w:w="1300" w:type="dxa"/>
          </w:tcPr>
          <w:p w:rsidR="00AC0832" w:rsidRDefault="00AC0832">
            <w:pPr>
              <w:pStyle w:val="CellColumn"/>
            </w:pPr>
            <w:r>
              <w:t>Povećanje broja stranih znanstvenika ugošćenih za rad na znanstvenim projektima u RH</w:t>
            </w:r>
          </w:p>
        </w:tc>
        <w:tc>
          <w:tcPr>
            <w:tcW w:w="1300" w:type="dxa"/>
          </w:tcPr>
          <w:p w:rsidR="00AC0832" w:rsidRDefault="00AC0832">
            <w:pPr>
              <w:pStyle w:val="CellColumn"/>
            </w:pPr>
            <w:r>
              <w:t>Broj stranih znanstvenika koji rade na znanstveno-istraživačkim projektima u RH</w:t>
            </w:r>
          </w:p>
        </w:tc>
        <w:tc>
          <w:tcPr>
            <w:tcW w:w="1300" w:type="dxa"/>
          </w:tcPr>
          <w:p w:rsidR="00AC0832" w:rsidRDefault="00AC0832">
            <w:pPr>
              <w:pStyle w:val="CellColumn"/>
            </w:pPr>
            <w:r>
              <w:t>Broj (kumulativno)</w:t>
            </w:r>
          </w:p>
        </w:tc>
        <w:tc>
          <w:tcPr>
            <w:tcW w:w="1300" w:type="dxa"/>
          </w:tcPr>
          <w:p w:rsidR="00AC0832" w:rsidRDefault="00AC0832">
            <w:pPr>
              <w:pStyle w:val="CellColumn"/>
            </w:pPr>
            <w:r>
              <w:t>46</w:t>
            </w:r>
          </w:p>
        </w:tc>
        <w:tc>
          <w:tcPr>
            <w:tcW w:w="1300" w:type="dxa"/>
          </w:tcPr>
          <w:p w:rsidR="00AC0832" w:rsidRDefault="00AC0832">
            <w:pPr>
              <w:pStyle w:val="CellColumn"/>
            </w:pPr>
            <w:r>
              <w:t>MZOS</w:t>
            </w:r>
          </w:p>
        </w:tc>
        <w:tc>
          <w:tcPr>
            <w:tcW w:w="1300" w:type="dxa"/>
          </w:tcPr>
          <w:p w:rsidR="00AC0832" w:rsidRDefault="00AC0832">
            <w:pPr>
              <w:pStyle w:val="CellColumn"/>
            </w:pPr>
            <w:r>
              <w:t>56</w:t>
            </w:r>
          </w:p>
        </w:tc>
        <w:tc>
          <w:tcPr>
            <w:tcW w:w="1300" w:type="dxa"/>
          </w:tcPr>
          <w:p w:rsidR="00AC0832" w:rsidRDefault="00AC0832">
            <w:pPr>
              <w:pStyle w:val="CellColumn"/>
            </w:pPr>
            <w:r>
              <w:t xml:space="preserve">65 </w:t>
            </w:r>
          </w:p>
          <w:p w:rsidR="00AC0832" w:rsidRDefault="00AC0832">
            <w:pPr>
              <w:pStyle w:val="CellColumn"/>
            </w:pPr>
            <w:r>
              <w:t xml:space="preserve">73 </w:t>
            </w:r>
          </w:p>
          <w:p w:rsidR="00AC0832" w:rsidRDefault="00AC0832">
            <w:pPr>
              <w:pStyle w:val="CellColumn"/>
            </w:pPr>
            <w:r>
              <w:t>(siječanj 2013.)</w:t>
            </w:r>
          </w:p>
        </w:tc>
      </w:tr>
    </w:tbl>
    <w:p w:rsidR="00AC0832" w:rsidRDefault="00AC0832">
      <w:pPr>
        <w:jc w:val="left"/>
      </w:pPr>
    </w:p>
    <w:p w:rsidR="00AC0832" w:rsidRDefault="00AC0832">
      <w:pPr>
        <w:pStyle w:val="Heading6"/>
      </w:pPr>
      <w:r>
        <w:t>A767017 PROGRAM EUREKA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A767017-PROGRAM EUREKA</w:t>
            </w:r>
          </w:p>
        </w:tc>
        <w:tc>
          <w:tcPr>
            <w:tcW w:w="2322" w:type="dxa"/>
          </w:tcPr>
          <w:p w:rsidR="00AC0832" w:rsidRDefault="00AC0832">
            <w:pPr>
              <w:pStyle w:val="CellColumn"/>
            </w:pPr>
            <w:r>
              <w:t>2.873.873</w:t>
            </w:r>
          </w:p>
        </w:tc>
        <w:tc>
          <w:tcPr>
            <w:tcW w:w="2322" w:type="dxa"/>
          </w:tcPr>
          <w:p w:rsidR="00AC0832" w:rsidRDefault="00AC0832">
            <w:pPr>
              <w:pStyle w:val="CellColumn"/>
            </w:pPr>
            <w:r>
              <w:t>2.873.872</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EUREKA je europska mreža za tržišno usmjereno istraživanje i razvoj, osnovana 1985. godine te danas okuplja i povezuje tvrtke i istraživačke institucije iz 40 zemalja te Europske komisije. EUREKA je platforma za koordinaciju zajedničkih multilateralnih projekata u cilju jačanja europske konkurentnosti između malih i srednje velikih trgovačkih društava, a čiji su očekivanu rezultati novi proizvodi ili usluge koji promiču napredne tehnologije i imaju svoje mjesto na tržištu. Znanstveno-istraživački partneri koji se mogu uključiti u projekte su javni i privatni znanstveno-istraživački instituti te sveučilišta, veleučilišta i druge visokoškolske ustanove. Republika Hrvatska punopravna je članica od 2000. godine, a od 2009. godine BICRO postaje nacionalni ured za EUREKA program. Kroz ovu aktivnost se financiraju projektne prijave, evaluacija projektnih prijedloga, sastavljanje i sklapanje ugovora, osmišljavanje i provođenje promotivnih aktivnosti, troškovi putovanja i slično.</w:t>
      </w:r>
    </w:p>
    <w:p w:rsidR="00AC0832" w:rsidRDefault="00AC0832">
      <w:pPr>
        <w:pStyle w:val="Heading6"/>
      </w:pPr>
      <w:r>
        <w:t>A767019 IPA III C 2007 OPERATIVNI PROGRAM ZA REGIONALNU KONKURENTNOST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A767019-IPA III C 2007 OPERATIVNI PROGRAM ZA REGIONALNU KONKURENTNOST</w:t>
            </w:r>
          </w:p>
        </w:tc>
        <w:tc>
          <w:tcPr>
            <w:tcW w:w="2322" w:type="dxa"/>
          </w:tcPr>
          <w:p w:rsidR="00AC0832" w:rsidRDefault="00AC0832">
            <w:pPr>
              <w:pStyle w:val="CellColumn"/>
            </w:pPr>
            <w:r>
              <w:t>335.000</w:t>
            </w:r>
          </w:p>
        </w:tc>
        <w:tc>
          <w:tcPr>
            <w:tcW w:w="2322" w:type="dxa"/>
          </w:tcPr>
          <w:p w:rsidR="00AC0832" w:rsidRDefault="00AC0832">
            <w:pPr>
              <w:pStyle w:val="CellColumn"/>
            </w:pPr>
            <w:r>
              <w:t>290.830</w:t>
            </w:r>
          </w:p>
        </w:tc>
        <w:tc>
          <w:tcPr>
            <w:tcW w:w="2322" w:type="dxa"/>
          </w:tcPr>
          <w:p w:rsidR="00AC0832" w:rsidRDefault="00AC0832">
            <w:pPr>
              <w:pStyle w:val="CellColumn"/>
            </w:pPr>
            <w:r>
              <w:t>86,8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Ministarstvo znanosti, obrazovanja i sporta nadležno je za provođenje Prioriteta 2; Mjera 2; operacije 1. i 2. u sklopu Operativnog programa za regionalnu konkurentnost (2007. -2009.). Budući da je provedba takvih kompleksnih programa višegodišnja obveza, ovaj program je zapravo svojevrsna priprema struktura unutar državnih tijela za korištenje sredstava Strukturnih fondova koji će biti dostupni kada Republika Hrvatska postane članica Europske Unije. Kroz ovu aktivnost predviđena su sredstva za financiranje stručnih usavršavanja, službenih putovanja koja se nameću svim državnim službenicima koji sudjeluju u provedbi EU projekata, usluga promidžbe i informiranja, reprezentacije, intelektualnih i osobnih usluga te računalnih usluga.</w:t>
      </w:r>
    </w:p>
    <w:p w:rsidR="00AC0832" w:rsidRDefault="00AC0832">
      <w:pPr>
        <w:pStyle w:val="Heading6"/>
      </w:pPr>
      <w:r>
        <w:t>A818003 IPA III C 2007 FOND ZA ULAGANJE U ZNANOST I INOVACIJE-NACIONALNI DOPRINOS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A818003-IPA III C 2007 FOND ZA ULAGANJE U ZNANOST I INOVACIJE-NACIONALNI DOPRINOS</w:t>
            </w:r>
          </w:p>
        </w:tc>
        <w:tc>
          <w:tcPr>
            <w:tcW w:w="2322" w:type="dxa"/>
          </w:tcPr>
          <w:p w:rsidR="00AC0832" w:rsidRDefault="00AC0832">
            <w:pPr>
              <w:pStyle w:val="CellColumn"/>
            </w:pPr>
            <w:r>
              <w:t>23.920.000</w:t>
            </w:r>
          </w:p>
        </w:tc>
        <w:tc>
          <w:tcPr>
            <w:tcW w:w="2322" w:type="dxa"/>
          </w:tcPr>
          <w:p w:rsidR="00AC0832" w:rsidRDefault="00AC0832">
            <w:pPr>
              <w:pStyle w:val="CellColumn"/>
            </w:pPr>
            <w:r>
              <w:t>4.413.988</w:t>
            </w:r>
          </w:p>
        </w:tc>
        <w:tc>
          <w:tcPr>
            <w:tcW w:w="2322" w:type="dxa"/>
          </w:tcPr>
          <w:p w:rsidR="00AC0832" w:rsidRDefault="00AC0832">
            <w:pPr>
              <w:pStyle w:val="CellColumn"/>
            </w:pPr>
            <w:r>
              <w:t>18,5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Financijska sredstva s ove aktivnosti namijenjena su provođenju aktivnosti pod nazivom Fond za ulaganja u znanost i inovacije koja se nalazi u Prioritetu 2, Mjeri 2 Transfer tehnologije i podrška uslugama za novonastale tvrtke utemeljene na znanju, Operativnog programa za regionalnu konkurentnost (2007.-2009.). Ova aktivnost je usmjerena na izgradnju poduzetničkih vještina i vještina upravljanja pravima intelektualnog vlasništva u javnim ustanovama. Aktivnost se provodi kroz ugovor o uslugama i sheme za dodjelu sredstava bespovratne pomoći. Tijekom 2012. godine završeno je 5 ugovora o dodjeli bespovratne pomoći te jedan ugovor o tehničkoj pomoći. U 4 kvartalu 2012. godine došlo je do ugovaranja novog ugovora o tehničkoj pomoći te je po istom ugovoru isplaćeno predfinanciranje. Tijekom 2012., godine trebalo je doći do ugovaranja novih ugovora o bespovratnoj pomoći, ali nije jer proces evaluacije još uvijek nije završen. Iz navedenog razloga došlo je do manjeg povlačenja sredstva od previđenog kroz proračun.</w:t>
      </w:r>
    </w:p>
    <w:p w:rsidR="00AC0832" w:rsidRDefault="00AC0832">
      <w:pPr>
        <w:pStyle w:val="Heading6"/>
      </w:pPr>
      <w:r>
        <w:t>K818007 IPA IIIC-BIOCENTAR IZGRADNJA INKUBACIJSKOG CENTRA ZA BIOZNANOST I KOMERCIJALIZACIJU TEHNOLOGIJE-NACIONALNI DOPRINOS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K818007-IPA IIIC-BIOCENTAR IZGRADNJA INKUBACIJSKOG CENTRA ZA BIOZNANOST I KOMERCIJALIZACIJU TEHNOLOGIJE-NACIONALNI DOPRINOS</w:t>
            </w:r>
          </w:p>
        </w:tc>
        <w:tc>
          <w:tcPr>
            <w:tcW w:w="2322" w:type="dxa"/>
          </w:tcPr>
          <w:p w:rsidR="00AC0832" w:rsidRDefault="00AC0832">
            <w:pPr>
              <w:pStyle w:val="CellColumn"/>
            </w:pPr>
            <w:r>
              <w:t>24.750.000</w:t>
            </w:r>
          </w:p>
        </w:tc>
        <w:tc>
          <w:tcPr>
            <w:tcW w:w="2322" w:type="dxa"/>
          </w:tcPr>
          <w:p w:rsidR="00AC0832" w:rsidRDefault="00AC0832">
            <w:pPr>
              <w:pStyle w:val="CellColumn"/>
            </w:pPr>
            <w:r>
              <w:t>11.350.620</w:t>
            </w:r>
          </w:p>
        </w:tc>
        <w:tc>
          <w:tcPr>
            <w:tcW w:w="2322" w:type="dxa"/>
          </w:tcPr>
          <w:p w:rsidR="00AC0832" w:rsidRDefault="00AC0832">
            <w:pPr>
              <w:pStyle w:val="CellColumn"/>
            </w:pPr>
            <w:r>
              <w:t>45,9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Financijska sredstva s ove aktivnosti usmjerena su provođenju aktivnosti pod nazivom Inkubacijski centar za bioznanosti i komercijalizaciju tehnologije (BioCentar) koja se nalazi u Prioritetu 2, Mjeri 2 Transfer tehnologije i podrška uslugama za novonastale tvrtke utemeljene na znanju, Operativnog programa za regionalnu konkurentnost (2007.-2009.). Aktivnost je usmjerena na pružanje podrške stvaranju i rastu spin-off društava koja se zasnivaju na tehnologiji i znanju (uglavnom sa sveučilišta i organizacija za istraživanje) i MSP kroz infrastrukturu i pristup uslugama razvoja tehnologija i poslovanja, posebno za sektore s visokom dodanom vrijednošću (bioznanosti, biotehnologija). Aktivnost se provodi kroz ugovor o radovima, ugovor o stručnom nadzoru, ugovor o nabavi opreme i ugovor o uslugama. Osim navedenog kroz ovu aktivnost se također pomiruju obveze priključka električne energije, komunalnih i vodnih doprinosa. Projekt je odobren u siječnju 2011., a ugovor za izvođenje radova, provođenje stručnog nadzora i tehničke pomoći potpisani su tijekom 4 kvartala 2012. godine te je po istim ugovorima isplaćena predfinanciranja. Isplaćene su 4 rate komunalnih doprinosa te druga rata vezana za priključak električne energije. Obzirom kako je došlo do kasnijeg potpisivanja ugovora i u manjoj vrijednosti došlo je do manje potrošnje predviđenih sredstava u 2012. godini.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1451"/>
        <w:gridCol w:w="1417"/>
        <w:gridCol w:w="1077"/>
        <w:gridCol w:w="1672"/>
        <w:gridCol w:w="1077"/>
        <w:gridCol w:w="114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Porast broja istraživačko-razvojnih projekata u privatnim tvrtkama sufinanciranih programima poticanja inovacija</w:t>
            </w:r>
          </w:p>
        </w:tc>
        <w:tc>
          <w:tcPr>
            <w:tcW w:w="1300" w:type="dxa"/>
          </w:tcPr>
          <w:p w:rsidR="00AC0832" w:rsidRDefault="00AC0832">
            <w:pPr>
              <w:pStyle w:val="CellColumn"/>
            </w:pPr>
            <w:r>
              <w:t>Broj istraživačko-razvojnih projekata u privatnim tvrtkama sufinanciranih kroz programe poticanja inovacija (kumulativno)</w:t>
            </w:r>
          </w:p>
        </w:tc>
        <w:tc>
          <w:tcPr>
            <w:tcW w:w="1300" w:type="dxa"/>
          </w:tcPr>
          <w:p w:rsidR="00AC0832" w:rsidRDefault="00AC0832">
            <w:pPr>
              <w:pStyle w:val="CellColumn"/>
            </w:pPr>
            <w:r>
              <w:t>Broj (kumulativno)</w:t>
            </w:r>
          </w:p>
        </w:tc>
        <w:tc>
          <w:tcPr>
            <w:tcW w:w="1300" w:type="dxa"/>
          </w:tcPr>
          <w:p w:rsidR="00AC0832" w:rsidRDefault="00AC0832">
            <w:pPr>
              <w:pStyle w:val="CellColumn"/>
            </w:pPr>
            <w:r>
              <w:t>157</w:t>
            </w:r>
          </w:p>
        </w:tc>
        <w:tc>
          <w:tcPr>
            <w:tcW w:w="1300" w:type="dxa"/>
          </w:tcPr>
          <w:p w:rsidR="00AC0832" w:rsidRDefault="00AC0832">
            <w:pPr>
              <w:pStyle w:val="CellColumn"/>
            </w:pPr>
            <w:r>
              <w:t>BICRO/HIT/NZZ</w:t>
            </w:r>
          </w:p>
        </w:tc>
        <w:tc>
          <w:tcPr>
            <w:tcW w:w="1300" w:type="dxa"/>
          </w:tcPr>
          <w:p w:rsidR="00AC0832" w:rsidRDefault="00AC0832">
            <w:pPr>
              <w:pStyle w:val="CellColumn"/>
            </w:pPr>
            <w:r>
              <w:t>165</w:t>
            </w:r>
          </w:p>
        </w:tc>
        <w:tc>
          <w:tcPr>
            <w:tcW w:w="1300" w:type="dxa"/>
          </w:tcPr>
          <w:p w:rsidR="00AC0832" w:rsidRDefault="00AC0832">
            <w:pPr>
              <w:pStyle w:val="CellColumn"/>
            </w:pPr>
            <w:r>
              <w:t>178</w:t>
            </w:r>
          </w:p>
        </w:tc>
      </w:tr>
    </w:tbl>
    <w:p w:rsidR="00AC0832" w:rsidRDefault="00AC0832">
      <w:pPr>
        <w:jc w:val="left"/>
      </w:pPr>
    </w:p>
    <w:p w:rsidR="00AC0832" w:rsidRDefault="00AC0832">
      <w:pPr>
        <w:pStyle w:val="Heading6"/>
      </w:pPr>
      <w:r>
        <w:t>K818028 IPA IIIC-SRCE-OSIGURANJE GRAFIČKOG PROCESA KAO RESURSA U PODRUČJU NAPREDNOG RAČUNARSTVA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K818028-IPA IIIC-SRCE-OSIGURANJE GRAFIČKOG PROCESA KAO RESURSA U PODRUČJU NAPREDNOG RAČUNARSTVA</w:t>
            </w:r>
          </w:p>
        </w:tc>
        <w:tc>
          <w:tcPr>
            <w:tcW w:w="2322" w:type="dxa"/>
          </w:tcPr>
          <w:p w:rsidR="00AC0832" w:rsidRDefault="00AC0832">
            <w:pPr>
              <w:pStyle w:val="CellColumn"/>
            </w:pPr>
            <w:r>
              <w:t>518.000</w:t>
            </w:r>
          </w:p>
        </w:tc>
        <w:tc>
          <w:tcPr>
            <w:tcW w:w="2322" w:type="dxa"/>
          </w:tcPr>
          <w:p w:rsidR="00AC0832" w:rsidRDefault="00AC0832">
            <w:pPr>
              <w:pStyle w:val="CellColumn"/>
            </w:pPr>
            <w:r>
              <w:t>671.689</w:t>
            </w:r>
          </w:p>
        </w:tc>
        <w:tc>
          <w:tcPr>
            <w:tcW w:w="2322" w:type="dxa"/>
          </w:tcPr>
          <w:p w:rsidR="00AC0832" w:rsidRDefault="00AC0832">
            <w:pPr>
              <w:pStyle w:val="CellColumn"/>
            </w:pPr>
            <w:r>
              <w:t>129,7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Projekt Osiguranje grafičkog procesa kao resursa u području naprednog računarstva je odobrena je u sklopu Prioriteta 2, Mjere 2.2. Operativnog programa za regionalnu konkurentnost 2007.-2011.koji se nalazi u sklopu Instrumenta pretpristupne pomoći IPA. Ukupna vrijednost projekta je 100.000,00 €, od toga se financira 15% iz nacionalnih sredstava, a 85% iz EU pomoći. Projekt će se provesti kroz jedan ugovor o nabavi opreme, a svrha projekta je omogućiti jednostavan pristup novim računalnim infrastrukturama i naprednom računarstvu (HPC) malim i srednjim poduzećima utemeljenih na znanju i naprednoj tehnologiji, javnim istraživačkim organizacijama (PRO) i visokoškolskim ustanovama (HEI) kako bi mogli doprinijeti bržem rastu i povećati svoju konkurentnost i učinkovitost na lokalnom, regionalnom i globalnom tržištu. Nabava grafičkih procesora - GPU računalnih čvorova i integracija u postojeću hrvatsku nacionalnu grid infrastrukturu (CRO NGI) značajno će unaprijediti istraživanje i razvoj te omogućiti bolju suradnju znanstvene zajednice i gospodarstva na zajedničkim istraživačkim projektima. Tijekom 4. kvartala 2012. godine je došlo do potpisivanja ugovora o isporuci opreme i do same isporuke te do izvršenja svih plaćanja po ugovoru. Ovaj projekt je završio u cijelosti.</w:t>
      </w:r>
    </w:p>
    <w:p w:rsidR="00AC0832" w:rsidRDefault="00AC0832">
      <w:pPr>
        <w:pStyle w:val="Heading6"/>
      </w:pPr>
      <w:r>
        <w:t>A818029 PRIPREMA DRUGOG PROJEKTA TEHNOLOGIJSKOG RAZVOJA-ZAJAM IBRD P4640-HR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A818029-PRIPREMA DRUGOG PROJEKTA TEHNOLOGIJSKOG RAZVOJA-ZAJAM IBRD P4640-HR</w:t>
            </w:r>
          </w:p>
        </w:tc>
        <w:tc>
          <w:tcPr>
            <w:tcW w:w="2322" w:type="dxa"/>
          </w:tcPr>
          <w:p w:rsidR="00AC0832" w:rsidRDefault="00AC0832">
            <w:pPr>
              <w:pStyle w:val="CellColumn"/>
            </w:pPr>
            <w:r>
              <w:t>3.071.000</w:t>
            </w:r>
          </w:p>
        </w:tc>
        <w:tc>
          <w:tcPr>
            <w:tcW w:w="2322" w:type="dxa"/>
          </w:tcPr>
          <w:p w:rsidR="00AC0832" w:rsidRDefault="00AC0832">
            <w:pPr>
              <w:pStyle w:val="CellColumn"/>
            </w:pPr>
            <w:r>
              <w:t>4.960.387</w:t>
            </w:r>
          </w:p>
        </w:tc>
        <w:tc>
          <w:tcPr>
            <w:tcW w:w="2322" w:type="dxa"/>
          </w:tcPr>
          <w:p w:rsidR="00AC0832" w:rsidRDefault="00AC0832">
            <w:pPr>
              <w:pStyle w:val="CellColumn"/>
            </w:pPr>
            <w:r>
              <w:t>161,5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Ugovor o predujmu za pripremu predloženog Drugog projekta tehnologijskog razvoja br. IBRD P4640-HR potpisan je dana 30. travnja 2012. godine, u iznosu od 1.552.000 USD. Do sada provedene aktivnosti financirane iz sredstava Predujma su: priprema poziva za podnošenje projektnih prijedloga kroz Fond „Jedinstvo uz pomoć znanja“  (UKF), provođenje ugovora o konzultantskim uslugama u svrhu podrške pripremi nacionalne Strategije odgoja, obrazovanja, znanosti i tehnologije; Nacionalne strategije inovacija 2013 -2020; te priprema shema za dodjelu bespovratnih sredstava iz područja istraživanja i razvoja za 2013.godinu. Također, sredstvima iz Predujma pruža se financijska podrška projektima iz  programa financiranja istraživanja i razvoja Poslovno- inovacijske agencije Republike Hrvatske. Potpisano je ukupno 46 projekata tijekom 2012. godine. Do kraja 2012. godine povučeno je 1.186.302,06 USD ili 76% predujma, a ugovoreno je oko 79% ukupno odobrenih sredstava predujma.</w:t>
      </w:r>
    </w:p>
    <w:p w:rsidR="00AC0832" w:rsidRDefault="00AC0832">
      <w:pPr>
        <w:pStyle w:val="Heading6"/>
      </w:pPr>
      <w:r>
        <w:t>K252755 RAČUNALNO KOMUNIKACIJSKA INFRASTRUKTURA U OSNOVNIM I SREDNJIM ŠKOLAMA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K252755-RAČUNALNO KOMUNIKACIJSKA INFRASTRUKTURA U OSNOVNIM I SREDNJIM ŠKOLAMA</w:t>
            </w:r>
          </w:p>
        </w:tc>
        <w:tc>
          <w:tcPr>
            <w:tcW w:w="2322" w:type="dxa"/>
          </w:tcPr>
          <w:p w:rsidR="00AC0832" w:rsidRDefault="00AC0832">
            <w:pPr>
              <w:pStyle w:val="CellColumn"/>
            </w:pPr>
            <w:r>
              <w:t>4.465.284</w:t>
            </w:r>
          </w:p>
        </w:tc>
        <w:tc>
          <w:tcPr>
            <w:tcW w:w="2322" w:type="dxa"/>
          </w:tcPr>
          <w:p w:rsidR="00AC0832" w:rsidRDefault="00AC0832">
            <w:pPr>
              <w:pStyle w:val="CellColumn"/>
            </w:pPr>
            <w:r>
              <w:t>4.465.284</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Financiralo se pravo na godišnje korištenje licenci za Microsoft serverske i pojedinačne OS , MS Office-a i MS antivirusnog programa u OŠ i SŠ RH temeljem potpisanoga godišnjega ugovora.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395"/>
        <w:gridCol w:w="1417"/>
        <w:gridCol w:w="1294"/>
        <w:gridCol w:w="1293"/>
        <w:gridCol w:w="1294"/>
        <w:gridCol w:w="129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školskih ustanova opremljenih novom računalnom opremom</w:t>
            </w:r>
          </w:p>
        </w:tc>
        <w:tc>
          <w:tcPr>
            <w:tcW w:w="1300" w:type="dxa"/>
          </w:tcPr>
          <w:p w:rsidR="00AC0832" w:rsidRDefault="00AC0832">
            <w:pPr>
              <w:pStyle w:val="CellColumn"/>
            </w:pPr>
            <w:r>
              <w:t>Osigurati uvjete za razvoj ITC kompetencija učenika osnovnih škola</w:t>
            </w:r>
          </w:p>
        </w:tc>
        <w:tc>
          <w:tcPr>
            <w:tcW w:w="1300" w:type="dxa"/>
          </w:tcPr>
          <w:p w:rsidR="00AC0832" w:rsidRDefault="00AC0832">
            <w:pPr>
              <w:pStyle w:val="CellColumn"/>
            </w:pPr>
            <w:r>
              <w:t xml:space="preserve">Broj  </w:t>
            </w:r>
          </w:p>
          <w:p w:rsidR="00AC0832" w:rsidRDefault="00AC0832">
            <w:pPr>
              <w:pStyle w:val="CellColumn"/>
            </w:pPr>
            <w:r>
              <w:t>(kumulativno)</w:t>
            </w:r>
          </w:p>
        </w:tc>
        <w:tc>
          <w:tcPr>
            <w:tcW w:w="1300" w:type="dxa"/>
          </w:tcPr>
          <w:p w:rsidR="00AC0832" w:rsidRDefault="00AC0832">
            <w:pPr>
              <w:pStyle w:val="CellColumn"/>
            </w:pPr>
            <w:r>
              <w:t>80</w:t>
            </w:r>
          </w:p>
        </w:tc>
        <w:tc>
          <w:tcPr>
            <w:tcW w:w="1300" w:type="dxa"/>
          </w:tcPr>
          <w:p w:rsidR="00AC0832" w:rsidRDefault="00AC0832">
            <w:pPr>
              <w:pStyle w:val="CellColumn"/>
            </w:pPr>
            <w:r>
              <w:t>MZOS</w:t>
            </w:r>
          </w:p>
        </w:tc>
        <w:tc>
          <w:tcPr>
            <w:tcW w:w="1300" w:type="dxa"/>
          </w:tcPr>
          <w:p w:rsidR="00AC0832" w:rsidRDefault="00AC0832">
            <w:pPr>
              <w:pStyle w:val="CellColumn"/>
            </w:pPr>
            <w:r>
              <w:t>160</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K628067 IZRADA SREDIŠNJEG REGISTRA ZA DRŽAVNU MATURU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K628067-IZRADA SREDIŠNJEG REGISTRA ZA DRŽAVNU MATURU</w:t>
            </w:r>
          </w:p>
        </w:tc>
        <w:tc>
          <w:tcPr>
            <w:tcW w:w="2322" w:type="dxa"/>
          </w:tcPr>
          <w:p w:rsidR="00AC0832" w:rsidRDefault="00AC0832">
            <w:pPr>
              <w:pStyle w:val="CellColumn"/>
            </w:pPr>
            <w:r>
              <w:t>00</w:t>
            </w:r>
          </w:p>
        </w:tc>
        <w:tc>
          <w:tcPr>
            <w:tcW w:w="2322" w:type="dxa"/>
          </w:tcPr>
          <w:p w:rsidR="00AC0832" w:rsidRDefault="00AC0832">
            <w:pPr>
              <w:pStyle w:val="CellColumn"/>
            </w:pPr>
            <w:r>
              <w:t>00</w:t>
            </w:r>
          </w:p>
        </w:tc>
        <w:tc>
          <w:tcPr>
            <w:tcW w:w="2322" w:type="dxa"/>
          </w:tcPr>
          <w:p w:rsidR="00AC0832" w:rsidRDefault="00AC0832">
            <w:pPr>
              <w:pStyle w:val="CellColumn"/>
            </w:pPr>
            <w:r>
              <w:t>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Sredstva su namijenjena razvoju, nadogradnji i održavanju Nacionalnoga informacijskog sustava prijava na visoka učilišta (NISpVU) unutar kojega je Središnji registar državne mature. Za sustav su nadležni Nacionalni centra za vanjsko vrednovanje obrazovanja i Agencija za znanost i visoko obrazovanje, dok je financijska sredstva osigurao MZOS.</w:t>
      </w:r>
    </w:p>
    <w:p w:rsidR="00AC0832" w:rsidRDefault="00AC0832">
      <w:pPr>
        <w:pStyle w:val="Heading5"/>
      </w:pPr>
      <w:r>
        <w:t>3915 RAZVOJ SPORTA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3915-RAZVOJ SPORTA</w:t>
            </w:r>
          </w:p>
        </w:tc>
        <w:tc>
          <w:tcPr>
            <w:tcW w:w="2322" w:type="dxa"/>
          </w:tcPr>
          <w:p w:rsidR="00AC0832" w:rsidRDefault="00AC0832">
            <w:pPr>
              <w:pStyle w:val="CellColumn"/>
            </w:pPr>
            <w:r>
              <w:t>185.151.891</w:t>
            </w:r>
          </w:p>
        </w:tc>
        <w:tc>
          <w:tcPr>
            <w:tcW w:w="2322" w:type="dxa"/>
          </w:tcPr>
          <w:p w:rsidR="00AC0832" w:rsidRDefault="00AC0832">
            <w:pPr>
              <w:pStyle w:val="CellColumn"/>
            </w:pPr>
            <w:r>
              <w:t>189.728.318</w:t>
            </w:r>
          </w:p>
        </w:tc>
        <w:tc>
          <w:tcPr>
            <w:tcW w:w="2322" w:type="dxa"/>
          </w:tcPr>
          <w:p w:rsidR="00AC0832" w:rsidRDefault="00AC0832">
            <w:pPr>
              <w:pStyle w:val="CellColumn"/>
            </w:pPr>
            <w:r>
              <w:t>102,5</w:t>
            </w:r>
          </w:p>
        </w:tc>
      </w:tr>
    </w:tbl>
    <w:p w:rsidR="00AC0832" w:rsidRDefault="00AC0832">
      <w:pPr>
        <w:jc w:val="left"/>
      </w:pPr>
    </w:p>
    <w:p w:rsidR="00AC0832" w:rsidRDefault="00AC0832">
      <w:pPr>
        <w:pStyle w:val="Heading6"/>
      </w:pPr>
      <w:r>
        <w:t>Opis programa</w:t>
      </w:r>
    </w:p>
    <w:p w:rsidR="00AC0832" w:rsidRDefault="00AC0832">
      <w:pPr>
        <w:pStyle w:val="Normal5"/>
      </w:pPr>
      <w:r>
        <w:t xml:space="preserve">Razvojem sporta i sportskih djelatnosti, promicanjem bavljenja sportom i to od najranije dobi te stvaranjem uvjeta ravnomjerne zastupljenosti bavljenja sportom na čitavom području Republike Hrvatske, osigurati će se kvaliteta sustava sporta i poboljšati uvjeti za bavljenje sportom.  </w:t>
      </w:r>
    </w:p>
    <w:p w:rsidR="00AC0832" w:rsidRDefault="00AC0832">
      <w:pPr>
        <w:pStyle w:val="Normal5"/>
      </w:pPr>
      <w:r>
        <w:t>Sport je posebno važna djelatnost, kako za mlade, tako i za cijelo društvo. Razvoj sustava sporta i sportskih djelatnosti usmjeren je  prije svega na bavljenje sportom i to od najranije dobi te stvaranje uvjeta ravnomjerne zastupljenosti bavljenja sportom na čitavom području Republike Hrvatske.</w:t>
      </w:r>
    </w:p>
    <w:p w:rsidR="00AC0832" w:rsidRDefault="00AC0832">
      <w:pPr>
        <w:pStyle w:val="Heading6"/>
      </w:pPr>
      <w:r>
        <w:t>Zakonske i druge pravne osnove</w:t>
      </w:r>
    </w:p>
    <w:p w:rsidR="00AC0832" w:rsidRDefault="00AC0832">
      <w:pPr>
        <w:pStyle w:val="Normal5"/>
      </w:pPr>
      <w:r>
        <w:t>Zakon o sportu (NN, 71/06, 124/10, 124/11 i 86/12); Uredba o kriterijima za dodjeljivanje državnih nagrada za vrhunska sportska postignuća (NN 111/12 i 134/12); Pravilnik o načinu i rokovima podnošenja akata Povjerenstvu za profesionalne športske klubove (NN 11/07); Pravilnik o djelokrugu i načinu rada Povjerenstva za profesionalne športske klubove (NN 11/07); Pravilnik o registru profesionalnih športskih klubova (NN 11/07); Pravilnik o Državnoj nagradi za šport "Franjo Bučar" (NN, 30/07).</w:t>
      </w:r>
    </w:p>
    <w:p w:rsidR="00AC0832" w:rsidRDefault="00AC0832">
      <w:pPr>
        <w:pStyle w:val="Heading7"/>
      </w:pPr>
      <w:r>
        <w:t>Cilj 1. Održiva kvaliteta sustava sporta</w:t>
      </w:r>
    </w:p>
    <w:p w:rsidR="00AC0832" w:rsidRDefault="00AC0832">
      <w:pPr>
        <w:pStyle w:val="Heading8"/>
        <w:jc w:val="left"/>
      </w:pPr>
      <w:r>
        <w:t>Opis provedbe cilja programa</w:t>
      </w:r>
    </w:p>
    <w:p w:rsidR="00AC0832" w:rsidRDefault="00AC0832">
      <w:pPr>
        <w:pStyle w:val="Normal6"/>
      </w:pPr>
      <w:r>
        <w:t xml:space="preserve">Najvažniji ciljevi u 2012. godini bili su osigurati kvalitetu sustava sporta i poboljšati uvjete za bavljenje sportom kroz zadovoljavanje javnih potreba u sportu, potporu školskom i studentskom sportu te poticanje izvaninstitucionalnog odgoja i obrazovanja putem sporta. </w:t>
      </w:r>
    </w:p>
    <w:p w:rsidR="00AC0832" w:rsidRDefault="00AC0832">
      <w:pPr>
        <w:pStyle w:val="Normal6"/>
      </w:pPr>
      <w:r>
        <w:t xml:space="preserve">Za javne potrebe u sportu na državnoj razini (Zakon o sportu, NN, 71/06, 124/10, 124/11 i 86/12) iz sredstava Državnoga proračuna za 2012. i iz dijela prihoda od igara na sreću (Uredba o kriterijima za utvrđivanje korisnika i načinu raspodjele dijela prihoda od igara na sreću za 2012. godinu, NN, broj 31/12) utrošena su financijska sredstva za provođenje programa Hrvatskoga olimpijskog odbora (HOO), Hrvatskoga paraolimpijskog odbora (HPO), Hrvatskoga školskog sportskog saveza (HŠSS), Hrvatskoga sportskog saveza gluhih (HSSG) i Hrvatskoga sveučilišnog sportskog savez (HSSS).   </w:t>
      </w:r>
    </w:p>
    <w:p w:rsidR="00AC0832" w:rsidRDefault="00AC0832">
      <w:pPr>
        <w:pStyle w:val="Normal6"/>
      </w:pPr>
      <w:r>
        <w:t xml:space="preserve">Također su sufinancirani programi za aktivnosti: Poticaji međunarodne sportske suradnje hrvatskih sportaša (sufinancirano 18 sportskih udruga koje su udovoljile uvjetima natječaja), Prevencija nasilja sportom u školama i Obuka neplivača u školama (8 sportskih udruga).  </w:t>
      </w:r>
    </w:p>
    <w:p w:rsidR="00AC0832" w:rsidRDefault="00AC0832">
      <w:pPr>
        <w:pStyle w:val="Normal6"/>
      </w:pPr>
      <w:r>
        <w:t xml:space="preserve">Program "Prevencija nasilja sportom u školama" provodio se u suradnji s Agencijom za odgoj i obrazovanje RH kao niz mjera edukacije u borbi protiv nasilja u sportu, koji su prilagođeni različitoj dobi učenika. Provedba koja je vezana uz Akcijski plan za sprečavanje nasilja zamišljena je kao interaktivni odnos u kojem su djeca i mladi nositelji i/ili aktivni sudionici većine mjera. Akcijski plan se također provodi kroz stručna savjetovanja, prevođenje literature koja je distribuirana po svim obrazovnim institucijama, preventivne programe, međunarodne konferencije, provođenje radionica i istraživanja koja upućuju na što treba djelovati kod djece: na stavove ili navike ponašanja. </w:t>
      </w:r>
    </w:p>
    <w:p w:rsidR="00AC0832" w:rsidRDefault="00AC0832">
      <w:pPr>
        <w:pStyle w:val="Normal6"/>
      </w:pPr>
      <w:r>
        <w:t xml:space="preserve">Zakonom o sportu predviđeno je preoblikovanje sportskih klubova – udruga za natjecanje u sportska dionička društva (s.d.d.). Imenovano je Povjerenstvo za profesionalne sportske klubove kao stručno tijelo koje prati obavljanje djelatnosti profesionalnih sportskih klubova, a sredstva za rad Povjerenstva osigurana su na aktivnosti Preoblikovanje sportskih klubova-udruga. Povjerenstvo ima sedam članova. Poslovi Povjerenstva definirani su člankom 26. Zakona o sportu, kao i Pravilnikom o djelokrugu i načinu rada Povjerenstva za profesionalne sportske klubove. U 2012. godini svi klubovi postupali su sukladno odredbama Zakona o sportu i dostavljali propisanu dokumentaciju Ministarstvu i Povjerenstvu.  </w:t>
      </w:r>
    </w:p>
    <w:p w:rsidR="00AC0832" w:rsidRDefault="00AC0832">
      <w:pPr>
        <w:pStyle w:val="Normal6"/>
      </w:pPr>
      <w:r>
        <w:t>Nacionalno vijeće za sport (NVS) najviše je stručno tijelo koje brine za razvoj i kvalitetu sporta u RH. NVS ima predsjednicu i 12 članova koje imenuje Hrvatski sabor, a naknade za rad NVS-a osiguravaju se u Državnome proračunu.</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1606"/>
        <w:gridCol w:w="1197"/>
        <w:gridCol w:w="1231"/>
        <w:gridCol w:w="1221"/>
        <w:gridCol w:w="1231"/>
        <w:gridCol w:w="1251"/>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Održanje broja osvojenih medalja sportaša na velikim međunarodnim natjecanjima</w:t>
            </w:r>
          </w:p>
        </w:tc>
        <w:tc>
          <w:tcPr>
            <w:tcW w:w="1300" w:type="dxa"/>
          </w:tcPr>
          <w:p w:rsidR="00AC0832" w:rsidRDefault="00AC0832">
            <w:pPr>
              <w:pStyle w:val="CellColumn"/>
            </w:pPr>
            <w:r>
              <w:t>Ukupan broj osvojenih medalja na velikim međunarodnim natjecanjima realiziranih kroz programe Hrvatskog olimpijskog odbora, Hrvatskog paraolimpijskog odbora i Hrvatskog sportskog saveza gluhih</w:t>
            </w:r>
          </w:p>
        </w:tc>
        <w:tc>
          <w:tcPr>
            <w:tcW w:w="1300" w:type="dxa"/>
          </w:tcPr>
          <w:p w:rsidR="00AC0832" w:rsidRDefault="00AC0832">
            <w:pPr>
              <w:pStyle w:val="CellColumn"/>
            </w:pPr>
            <w:r>
              <w:t>broj - godišnje</w:t>
            </w:r>
          </w:p>
        </w:tc>
        <w:tc>
          <w:tcPr>
            <w:tcW w:w="1300" w:type="dxa"/>
          </w:tcPr>
          <w:p w:rsidR="00AC0832" w:rsidRDefault="00AC0832">
            <w:pPr>
              <w:pStyle w:val="CellColumn"/>
            </w:pPr>
            <w:r>
              <w:t>588</w:t>
            </w:r>
          </w:p>
        </w:tc>
        <w:tc>
          <w:tcPr>
            <w:tcW w:w="1300" w:type="dxa"/>
          </w:tcPr>
          <w:p w:rsidR="00AC0832" w:rsidRDefault="00AC0832">
            <w:pPr>
              <w:pStyle w:val="CellColumn"/>
            </w:pPr>
            <w:r>
              <w:t>HOO, HPO i HŠSG</w:t>
            </w:r>
          </w:p>
        </w:tc>
        <w:tc>
          <w:tcPr>
            <w:tcW w:w="1300" w:type="dxa"/>
          </w:tcPr>
          <w:p w:rsidR="00AC0832" w:rsidRDefault="00AC0832">
            <w:pPr>
              <w:pStyle w:val="CellColumn"/>
            </w:pPr>
            <w:r>
              <w:t>590</w:t>
            </w:r>
          </w:p>
        </w:tc>
        <w:tc>
          <w:tcPr>
            <w:tcW w:w="1300" w:type="dxa"/>
          </w:tcPr>
          <w:p w:rsidR="00AC0832" w:rsidRDefault="00AC0832">
            <w:pPr>
              <w:pStyle w:val="CellColumn"/>
            </w:pPr>
            <w:r>
              <w:t>361</w:t>
            </w:r>
          </w:p>
        </w:tc>
      </w:tr>
    </w:tbl>
    <w:p w:rsidR="00AC0832" w:rsidRDefault="00AC0832">
      <w:pPr>
        <w:jc w:val="left"/>
      </w:pPr>
    </w:p>
    <w:p w:rsidR="00AC0832" w:rsidRDefault="00AC0832">
      <w:pPr>
        <w:pStyle w:val="Heading6"/>
      </w:pPr>
      <w:r>
        <w:t>A577030 POTICANJE PROGRAMA JAVNIH POTREBA SPORTA (HOO)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A577030-POTICANJE PROGRAMA JAVNIH POTREBA SPORTA (HOO)</w:t>
            </w:r>
          </w:p>
        </w:tc>
        <w:tc>
          <w:tcPr>
            <w:tcW w:w="2322" w:type="dxa"/>
          </w:tcPr>
          <w:p w:rsidR="00AC0832" w:rsidRDefault="00AC0832">
            <w:pPr>
              <w:pStyle w:val="CellColumn"/>
            </w:pPr>
            <w:r>
              <w:t>110.406.779</w:t>
            </w:r>
          </w:p>
        </w:tc>
        <w:tc>
          <w:tcPr>
            <w:tcW w:w="2322" w:type="dxa"/>
          </w:tcPr>
          <w:p w:rsidR="00AC0832" w:rsidRDefault="00AC0832">
            <w:pPr>
              <w:pStyle w:val="CellColumn"/>
            </w:pPr>
            <w:r>
              <w:t>114.973.938</w:t>
            </w:r>
          </w:p>
        </w:tc>
        <w:tc>
          <w:tcPr>
            <w:tcW w:w="2322" w:type="dxa"/>
          </w:tcPr>
          <w:p w:rsidR="00AC0832" w:rsidRDefault="00AC0832">
            <w:pPr>
              <w:pStyle w:val="CellColumn"/>
            </w:pPr>
            <w:r>
              <w:t>104,1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Hrvatski olimpijski odbor kao najviša nevladina nacionalna sportska udruga, sukladno osiguranim sredstvima u Državnom proračunu, u 2012. godini realizirao je postavljene ciljeve i zadaće po programskim skupinama: Programi nacionalnih sportskih saveza, Programi poticanja sporta lokalne razine, Posebni programski projekti, Zajedničke programske zadaće i Hrvatska olimpijska akademija. </w:t>
      </w:r>
    </w:p>
    <w:p w:rsidR="00AC0832" w:rsidRDefault="00AC0832">
      <w:pPr>
        <w:pStyle w:val="Normal6"/>
      </w:pPr>
      <w:r>
        <w:t xml:space="preserve">U programskoj skupini koja se odnosi na Programe nacionalnih sportskih saveza i udruga koji predstavljaju preko 80% ukupnih aktivnosti HOO-a, financirano je 87 nacionalnih sportskih saveza (dva više u odnosu na 2011. godinu), i to: kroz redovan program su se sredstva utrošila za natjecanja i pripreme za svjetska i europska prvenstva i kupove, službena međunarodna natjecanja u zemlji i inozemstvu, međunarodne obveze članice (članarine i sjednice), prvenstva Hrvatske i djelatnosti tijela i službi saveza. Potporom navedenim programima HOO je pomogao nacionalnim sportskim savezima i udrugama prilikom postizanja njihovih sportskih i organizacijskih ciljeva. U 2012. godini hrvatski sportaši na velikim međunarodnim natjecanjima osvojili su sveukupno 307 medalja, od toga na Olimpijskim igrama  9 (3 zlatne, 1 srebrna, 2 brončane), svjetskim prvenstvima 81 (33 zlatne, 17 srebrnih, 31 brončana), svjetskim kupovima 50 (16 zlatnih, 17 srebrnih, 17 brončanih), europskim prvenstvima 115 (39 zlatnih, 43 srebrne, 33 brončane) i europskim kupovima 55 (21 zlatna, 13 srebrnih, 21 brončana). U 2012. godini na temelju postignutih rezultata i kriterija HOO je izdao 3.869 rješenja o kategorizaciji sportaša od I-VI kategorije, što je povećanje od 7% u odnosu na 2011. godinu.   </w:t>
      </w:r>
    </w:p>
    <w:p w:rsidR="00AC0832" w:rsidRDefault="00AC0832">
      <w:pPr>
        <w:pStyle w:val="Normal6"/>
      </w:pPr>
      <w:r>
        <w:t xml:space="preserve">U 2012. godini provodili su i programe Poticaja sporta lokalne razine. Cilj programa je poticanje razvoja sporta na lokalnoj razini, razvoj sporta djece i mladih, kao i razvoj sporta i sportske rekreacije. </w:t>
      </w:r>
    </w:p>
    <w:p w:rsidR="00AC0832" w:rsidRDefault="00AC0832">
      <w:pPr>
        <w:pStyle w:val="Normal6"/>
      </w:pPr>
      <w:r>
        <w:t xml:space="preserve">Za program Aktivne zajednice koji se provodi u suradnji sa sportskim zajednicama sufinancirano je 30 projekata, dok je za program Od sportske škole do olimpijskih igara sufinanciran 41 projekt. U 2012. godini održan je 11. olimpijski festival dječjih vrtića na kojem je sudjelovalo 13.811 djece iz 366 dječjih vrtića. </w:t>
      </w:r>
    </w:p>
    <w:p w:rsidR="00AC0832" w:rsidRDefault="00AC0832">
      <w:pPr>
        <w:pStyle w:val="Normal6"/>
      </w:pPr>
      <w:r>
        <w:t xml:space="preserve">Kroz program "Posebni programski projekti" u 2012. godini financirana je zdravstvena zaštita sportaša (vitaminizacija i zdravstvena skrb) te programi višesportske priredbe i olimpijski projekti. U 2012. godini održane su 3 višesportske priredbe (Zimske olimpijske igre mladih u Innsbrucku, Igre mladeži Alpe-Jadran, ljetne i zimske i Olimpijske igre u Londonu). Olimpijski projekti su se odnosili na financiranje programa priprema sportaša za sudjelovanje na OI (139 korisnika) i ZOI (19 sportaša). </w:t>
      </w:r>
    </w:p>
    <w:p w:rsidR="00AC0832" w:rsidRDefault="00AC0832">
      <w:pPr>
        <w:pStyle w:val="Normal6"/>
      </w:pPr>
      <w:r>
        <w:t xml:space="preserve">Od razvojnih programa bitno je napomenuti da su ustrojena četiri razvojna programa za sportaše kroz koja se prati razvoj sportaša od 12. do 24. godine. U 2012. godini programom su obuhvaćena 286 sportaša za koje su utrošena financijska sredstva za dodatne pripreme,  natjecanja, sportske stipendije, korištenje sportskih dvorana, nabavu sportske opreme i rekvizita, testiranja, vitaminizaciju i dopunsku prehranu, zdravstvenu skrb, osiguranje i zdravstveno osiguranje. Razvojnim programom financiran je rad 19 vrhunskih trenera, 20 kvalitetnih trenera, 25 trenera mlađih dobnih kategorija, 11 trenera za razvoj pojedinog sporta te 2 trenera ekipnog olimpijskog sporta. </w:t>
      </w:r>
    </w:p>
    <w:p w:rsidR="00AC0832" w:rsidRDefault="00AC0832">
      <w:pPr>
        <w:pStyle w:val="Normal6"/>
      </w:pPr>
      <w:r>
        <w:t>Za Program zajedničkih programskih zadaća u 2012. godini utrošena su sredstva za funkcioniranje sustava sporta za koje skrbi HOO, a odnose se na funkcioniranje tijela i službi, informatizaciju sporta, marketinške aktivnosti, izdavačku djelatnost i informiranje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8"/>
        <w:gridCol w:w="1517"/>
        <w:gridCol w:w="1253"/>
        <w:gridCol w:w="1248"/>
        <w:gridCol w:w="1241"/>
        <w:gridCol w:w="1248"/>
        <w:gridCol w:w="126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kategoriziranih sportaša</w:t>
            </w:r>
          </w:p>
        </w:tc>
        <w:tc>
          <w:tcPr>
            <w:tcW w:w="1300" w:type="dxa"/>
          </w:tcPr>
          <w:p w:rsidR="00AC0832" w:rsidRDefault="00AC0832">
            <w:pPr>
              <w:pStyle w:val="CellColumn"/>
            </w:pPr>
            <w:r>
              <w:t>Ukupan broj kategoriziranih sportaša na godišnjoj razini pokazuje uspješnost programa koje provodi HOO</w:t>
            </w:r>
          </w:p>
        </w:tc>
        <w:tc>
          <w:tcPr>
            <w:tcW w:w="1300" w:type="dxa"/>
          </w:tcPr>
          <w:p w:rsidR="00AC0832" w:rsidRDefault="00AC0832">
            <w:pPr>
              <w:pStyle w:val="CellColumn"/>
            </w:pPr>
            <w:r>
              <w:t>Broj (godišnje)</w:t>
            </w:r>
          </w:p>
        </w:tc>
        <w:tc>
          <w:tcPr>
            <w:tcW w:w="1300" w:type="dxa"/>
          </w:tcPr>
          <w:p w:rsidR="00AC0832" w:rsidRDefault="00AC0832">
            <w:pPr>
              <w:pStyle w:val="CellColumn"/>
            </w:pPr>
            <w:r>
              <w:t>3.358</w:t>
            </w:r>
          </w:p>
        </w:tc>
        <w:tc>
          <w:tcPr>
            <w:tcW w:w="1300" w:type="dxa"/>
          </w:tcPr>
          <w:p w:rsidR="00AC0832" w:rsidRDefault="00AC0832">
            <w:pPr>
              <w:pStyle w:val="CellColumn"/>
            </w:pPr>
            <w:r>
              <w:t>HOO</w:t>
            </w:r>
          </w:p>
        </w:tc>
        <w:tc>
          <w:tcPr>
            <w:tcW w:w="1300" w:type="dxa"/>
          </w:tcPr>
          <w:p w:rsidR="00AC0832" w:rsidRDefault="00AC0832">
            <w:pPr>
              <w:pStyle w:val="CellColumn"/>
            </w:pPr>
            <w:r>
              <w:t>3.500</w:t>
            </w:r>
          </w:p>
        </w:tc>
        <w:tc>
          <w:tcPr>
            <w:tcW w:w="1300" w:type="dxa"/>
          </w:tcPr>
          <w:p w:rsidR="00AC0832" w:rsidRDefault="00AC0832">
            <w:pPr>
              <w:pStyle w:val="CellColumn"/>
            </w:pPr>
            <w:r>
              <w:t>3.692</w:t>
            </w:r>
          </w:p>
        </w:tc>
      </w:tr>
    </w:tbl>
    <w:p w:rsidR="00AC0832" w:rsidRDefault="00AC0832">
      <w:pPr>
        <w:jc w:val="left"/>
      </w:pPr>
    </w:p>
    <w:p w:rsidR="00AC0832" w:rsidRDefault="00AC0832">
      <w:pPr>
        <w:pStyle w:val="Heading6"/>
      </w:pPr>
      <w:r>
        <w:t>A577031 POTICANJE BAVLJENJA SPORTOM INVALIDNIH OSOBA - HRVATSKI PARAOLIMPIJSKI ODBOR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A577031-POTICANJE BAVLJENJA SPORTOM INVALIDNIH OSOBA - HRVATSKI PARAOLIMPIJSKI ODBOR</w:t>
            </w:r>
          </w:p>
        </w:tc>
        <w:tc>
          <w:tcPr>
            <w:tcW w:w="2322" w:type="dxa"/>
          </w:tcPr>
          <w:p w:rsidR="00AC0832" w:rsidRDefault="00AC0832">
            <w:pPr>
              <w:pStyle w:val="CellColumn"/>
            </w:pPr>
            <w:r>
              <w:t>8.986.334</w:t>
            </w:r>
          </w:p>
        </w:tc>
        <w:tc>
          <w:tcPr>
            <w:tcW w:w="2322" w:type="dxa"/>
          </w:tcPr>
          <w:p w:rsidR="00AC0832" w:rsidRDefault="00AC0832">
            <w:pPr>
              <w:pStyle w:val="CellColumn"/>
            </w:pPr>
            <w:r>
              <w:t>9.196.143</w:t>
            </w:r>
          </w:p>
        </w:tc>
        <w:tc>
          <w:tcPr>
            <w:tcW w:w="2322" w:type="dxa"/>
          </w:tcPr>
          <w:p w:rsidR="00AC0832" w:rsidRDefault="00AC0832">
            <w:pPr>
              <w:pStyle w:val="CellColumn"/>
            </w:pPr>
            <w:r>
              <w:t>102,3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Hrvatski paraolimpijski odbor (HPO) najviša je nevladina nacionalna sportska udruga sportaša s invaliditetom. Za 2012. godinu HPO je realizirao postavljene programske zadaće: Djelovanje Hrvatskoga paraolimpijskog odbora, Djelovanje nacionalnih sportskih saveza osoba s invaliditetom, Redovne sportske aktivnosti i programi (državna natjecanja, IPC europska, svjetska prvenstva i pripreme, međunarodna natjecanja, europska klupska natjecanja), Paraolimpijski program-projekt London 2012. (izrada programa, kvalifikacijska natjecanja, pripreme, oprema, nastup na Igrama i Razvoj (razvojni programi za djecu i mlade, školovanje stručnih kadrova, novi sportovi), Paraolimpijski program-projekt Sochi 2014., Organizacija velikih sportskih natjecanja u RH i Razvoj.  </w:t>
      </w:r>
    </w:p>
    <w:p w:rsidR="00AC0832" w:rsidRDefault="00AC0832">
      <w:pPr>
        <w:pStyle w:val="Normal6"/>
      </w:pPr>
      <w:r>
        <w:t xml:space="preserve">Djelovanje HPO-a očituje se kroz rad tijela Skupštine i djelovanje stručne službe. Bitno je naglasiti, da su sve planirane programske aktivnosti u 2012. godini provedene, da su svi sportovi i sportaši nastupili na najvažnijim natjecanjima u natjecateljskoj sezoni.  </w:t>
      </w:r>
    </w:p>
    <w:p w:rsidR="00AC0832" w:rsidRDefault="00AC0832">
      <w:pPr>
        <w:pStyle w:val="Normal6"/>
      </w:pPr>
      <w:r>
        <w:t xml:space="preserve">Na temelju postignutih rezultata sportaša, HPO u 2012. godini izdao je 41 rješenje o kategorizaciji sportaša.  </w:t>
      </w:r>
    </w:p>
    <w:p w:rsidR="00AC0832" w:rsidRDefault="00AC0832">
      <w:pPr>
        <w:pStyle w:val="Normal6"/>
      </w:pPr>
      <w:r>
        <w:t xml:space="preserve">HPO je tijekom 2012. u svojim programima realizirao 47 međunarodnih natjecanja u 18 sportova uključujući nastupe u ligaškim natjecanjima u momčadskim sportovima, 2 višesportska natjecanja, Paraolimpijske igre i Europske paraolimpijske igre mladih, državna prvenstva u pojedinačnim i momčadskim konkurencijama u 19 sportova, Rekreativne sportske igre za osobe s invaliditetom s pet aktivnosti u programu i manifestaciju proglašenja najuspješnijih sportaša s invaliditetom.  </w:t>
      </w:r>
    </w:p>
    <w:p w:rsidR="00AC0832" w:rsidRDefault="00AC0832">
      <w:pPr>
        <w:pStyle w:val="Normal6"/>
      </w:pPr>
      <w:r>
        <w:t xml:space="preserve">Na Paraolimpijskim igrama, svjetskim i europskim prvenstvima sportaši s invaliditetom osvojili su ukupno 24 medalje (4 zlatne, 8 srebrnih, 12 brončanih), dok su na ostalim međunarodnim natjecanjima osvojili 203 medalje (90 zlatnih, 65 srebrnih, 48 brončanih). </w:t>
      </w:r>
    </w:p>
    <w:p w:rsidR="00AC0832" w:rsidRDefault="00AC0832">
      <w:pPr>
        <w:pStyle w:val="Normal6"/>
      </w:pPr>
      <w:r>
        <w:t xml:space="preserve">Temeljem ispunjenja kriterija, koji su sastavni dio projekta, tijekom 2011. financirana su 4 evidentna sportaša, 5 potencijalnih A i B sportaša, 30 kvalitetnih sportaša, 10 sportaša u individualnim programima posebne skrbi o mladim sportašima te troje sa statusom povrijeđenih sportaša.  </w:t>
      </w:r>
    </w:p>
    <w:p w:rsidR="00AC0832" w:rsidRDefault="00AC0832">
      <w:pPr>
        <w:pStyle w:val="Normal6"/>
      </w:pPr>
      <w:r>
        <w:t xml:space="preserve">Tijekom 2012. godine 40 sportaša koristilo je sredstva Paraolimpijskog programa za Projekt London 2012., a 25 sportaša je nastupilo u 4 sporta. Također su realizirani pojedinačni programi svakog sportaša koji obuhvaćaju programe priprema i natjecanja, vitaminizacije, paraolimpijske stipendije, financiranja stručnog rada, zdravstvene skrbi i psihološke pripreme. </w:t>
      </w:r>
    </w:p>
    <w:p w:rsidR="00AC0832" w:rsidRDefault="00AC0832">
      <w:pPr>
        <w:pStyle w:val="Normal6"/>
      </w:pPr>
      <w:r>
        <w:t>Programsko područje Razvoj sporta osoba s invaliditetom, HPO je provodio kroz cjeline: Razvojni programi za djecu i mlade, Školovanje stručnih kadrova i Novi sportovi. Svrha provođenja programa je uključenje što većeg broja mladih sportaša u sport osoba s invaliditetom, omogućavanja kvalitetnog razvoja i napretka perspektivnih sportaša mlađih od 21 godine i razvoj novih sportova. Programi su se provodili u 7 sportova i tri multisportska programa u koji je uključen 141 korisnik.</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8"/>
        <w:gridCol w:w="1517"/>
        <w:gridCol w:w="1253"/>
        <w:gridCol w:w="1248"/>
        <w:gridCol w:w="1241"/>
        <w:gridCol w:w="1248"/>
        <w:gridCol w:w="126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kategoriziranih sportaša paraolimpijaca</w:t>
            </w:r>
          </w:p>
        </w:tc>
        <w:tc>
          <w:tcPr>
            <w:tcW w:w="1300" w:type="dxa"/>
          </w:tcPr>
          <w:p w:rsidR="00AC0832" w:rsidRDefault="00AC0832">
            <w:pPr>
              <w:pStyle w:val="CellColumn"/>
            </w:pPr>
            <w:r>
              <w:t>Ukupan broj kategoriziranih sportaša na godišnjoj razini pokazuje uspješnost programa koje provodi HPO</w:t>
            </w:r>
          </w:p>
        </w:tc>
        <w:tc>
          <w:tcPr>
            <w:tcW w:w="1300" w:type="dxa"/>
          </w:tcPr>
          <w:p w:rsidR="00AC0832" w:rsidRDefault="00AC0832">
            <w:pPr>
              <w:pStyle w:val="CellColumn"/>
            </w:pPr>
            <w:r>
              <w:t>Broj (godišnje)</w:t>
            </w:r>
          </w:p>
        </w:tc>
        <w:tc>
          <w:tcPr>
            <w:tcW w:w="1300" w:type="dxa"/>
          </w:tcPr>
          <w:p w:rsidR="00AC0832" w:rsidRDefault="00AC0832">
            <w:pPr>
              <w:pStyle w:val="CellColumn"/>
            </w:pPr>
            <w:r>
              <w:t>43</w:t>
            </w:r>
          </w:p>
        </w:tc>
        <w:tc>
          <w:tcPr>
            <w:tcW w:w="1300" w:type="dxa"/>
          </w:tcPr>
          <w:p w:rsidR="00AC0832" w:rsidRDefault="00AC0832">
            <w:pPr>
              <w:pStyle w:val="CellColumn"/>
            </w:pPr>
            <w:r>
              <w:t>HPO</w:t>
            </w:r>
          </w:p>
        </w:tc>
        <w:tc>
          <w:tcPr>
            <w:tcW w:w="1300" w:type="dxa"/>
          </w:tcPr>
          <w:p w:rsidR="00AC0832" w:rsidRDefault="00AC0832">
            <w:pPr>
              <w:pStyle w:val="CellColumn"/>
            </w:pPr>
            <w:r>
              <w:t>50</w:t>
            </w:r>
          </w:p>
        </w:tc>
        <w:tc>
          <w:tcPr>
            <w:tcW w:w="1300" w:type="dxa"/>
          </w:tcPr>
          <w:p w:rsidR="00AC0832" w:rsidRDefault="00AC0832">
            <w:pPr>
              <w:pStyle w:val="CellColumn"/>
            </w:pPr>
            <w:r>
              <w:t>58</w:t>
            </w:r>
          </w:p>
        </w:tc>
      </w:tr>
    </w:tbl>
    <w:p w:rsidR="00AC0832" w:rsidRDefault="00AC0832">
      <w:pPr>
        <w:jc w:val="left"/>
      </w:pPr>
    </w:p>
    <w:p w:rsidR="00AC0832" w:rsidRDefault="00AC0832">
      <w:pPr>
        <w:pStyle w:val="Heading6"/>
      </w:pPr>
      <w:r>
        <w:t>A577127 DRŽAVNE NAGRADE ZA VRHUNSKA SPORTSKA POSTIGNUĆA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A577127-DRŽAVNE NAGRADE ZA VRHUNSKA SPORTSKA POSTIGNUĆA</w:t>
            </w:r>
          </w:p>
        </w:tc>
        <w:tc>
          <w:tcPr>
            <w:tcW w:w="2322" w:type="dxa"/>
          </w:tcPr>
          <w:p w:rsidR="00AC0832" w:rsidRDefault="00AC0832">
            <w:pPr>
              <w:pStyle w:val="CellColumn"/>
            </w:pPr>
            <w:r>
              <w:t>7.606.900</w:t>
            </w:r>
          </w:p>
        </w:tc>
        <w:tc>
          <w:tcPr>
            <w:tcW w:w="2322" w:type="dxa"/>
          </w:tcPr>
          <w:p w:rsidR="00AC0832" w:rsidRDefault="00AC0832">
            <w:pPr>
              <w:pStyle w:val="CellColumn"/>
            </w:pPr>
            <w:r>
              <w:t>7.606.900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Utrošena su sredstva za Državne nagrade za vrhunska sportska postignuća (Zakon o sportu, Uredba o kriterijima za dodjeljivanje državnih nagrada za vrhunska sportska postignuća), i to za osvojene medalje na Olimpijskim igrama (3 zlata, 1 srebro, 2 bronce) Paraolimpijskim igrama (2 srebra, 3 bronce), svjetskim prvenstvima (18 zlata, 2 srebra, 2 bronce) europskim prvenstvima (16 zlata, 6 srebra, 6 bronci), europskim prvenstvima  paraolimpijaca (6 zlata, 4 srebra, 6 bronci) i europskim prvenstvima gluhih (1 zlato, 5 srebra).</w:t>
      </w:r>
    </w:p>
    <w:p w:rsidR="00AC0832" w:rsidRDefault="00AC0832">
      <w:pPr>
        <w:pStyle w:val="Heading6"/>
      </w:pPr>
      <w:r>
        <w:t>A577129 POTICAJI MEĐUNARODNE SPORTSKE SURADNJE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A577129-POTICAJI MEĐUNARODNE SPORTSKE SURADNJE</w:t>
            </w:r>
          </w:p>
        </w:tc>
        <w:tc>
          <w:tcPr>
            <w:tcW w:w="2322" w:type="dxa"/>
          </w:tcPr>
          <w:p w:rsidR="00AC0832" w:rsidRDefault="00AC0832">
            <w:pPr>
              <w:pStyle w:val="CellColumn"/>
            </w:pPr>
            <w:r>
              <w:t>695.475</w:t>
            </w:r>
          </w:p>
        </w:tc>
        <w:tc>
          <w:tcPr>
            <w:tcW w:w="2322" w:type="dxa"/>
          </w:tcPr>
          <w:p w:rsidR="00AC0832" w:rsidRDefault="00AC0832">
            <w:pPr>
              <w:pStyle w:val="CellColumn"/>
            </w:pPr>
            <w:r>
              <w:t>555.109</w:t>
            </w:r>
          </w:p>
        </w:tc>
        <w:tc>
          <w:tcPr>
            <w:tcW w:w="2322" w:type="dxa"/>
          </w:tcPr>
          <w:p w:rsidR="00AC0832" w:rsidRDefault="00AC0832">
            <w:pPr>
              <w:pStyle w:val="CellColumn"/>
            </w:pPr>
            <w:r>
              <w:t>79,8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Sufinancirano je 18 sportskih udruga koje su udovoljile uvjetima natječaja Poticaji međunarodne sportske suradnje hrvatskih sportaša.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uključenih korisnika u programe međunarodne sportske suradnje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18.637</w:t>
            </w:r>
          </w:p>
        </w:tc>
        <w:tc>
          <w:tcPr>
            <w:tcW w:w="1300" w:type="dxa"/>
          </w:tcPr>
          <w:p w:rsidR="00AC0832" w:rsidRDefault="00AC0832">
            <w:pPr>
              <w:pStyle w:val="CellColumn"/>
            </w:pPr>
            <w:r>
              <w:t>MZOS</w:t>
            </w:r>
          </w:p>
        </w:tc>
        <w:tc>
          <w:tcPr>
            <w:tcW w:w="1300" w:type="dxa"/>
          </w:tcPr>
          <w:p w:rsidR="00AC0832" w:rsidRDefault="00AC0832">
            <w:pPr>
              <w:pStyle w:val="CellColumn"/>
            </w:pPr>
            <w:r>
              <w:t>18.800</w:t>
            </w:r>
          </w:p>
        </w:tc>
        <w:tc>
          <w:tcPr>
            <w:tcW w:w="1300" w:type="dxa"/>
          </w:tcPr>
          <w:p w:rsidR="00AC0832" w:rsidRDefault="00AC0832">
            <w:pPr>
              <w:pStyle w:val="CellColumn"/>
            </w:pPr>
            <w:r>
              <w:t>18.704</w:t>
            </w:r>
          </w:p>
        </w:tc>
      </w:tr>
    </w:tbl>
    <w:p w:rsidR="00AC0832" w:rsidRDefault="00AC0832">
      <w:pPr>
        <w:jc w:val="left"/>
      </w:pPr>
    </w:p>
    <w:p w:rsidR="00AC0832" w:rsidRDefault="00AC0832">
      <w:pPr>
        <w:pStyle w:val="Heading6"/>
      </w:pPr>
      <w:r>
        <w:t>A768031 OBUKA NEPLIVAČA U ŠKOLAMA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A768031-OBUKA NEPLIVAČA U ŠKOLAMA</w:t>
            </w:r>
          </w:p>
        </w:tc>
        <w:tc>
          <w:tcPr>
            <w:tcW w:w="2322" w:type="dxa"/>
          </w:tcPr>
          <w:p w:rsidR="00AC0832" w:rsidRDefault="00AC0832">
            <w:pPr>
              <w:pStyle w:val="CellColumn"/>
            </w:pPr>
            <w:r>
              <w:t>1.000.000</w:t>
            </w:r>
          </w:p>
        </w:tc>
        <w:tc>
          <w:tcPr>
            <w:tcW w:w="2322" w:type="dxa"/>
          </w:tcPr>
          <w:p w:rsidR="00AC0832" w:rsidRDefault="00AC0832">
            <w:pPr>
              <w:pStyle w:val="CellColumn"/>
            </w:pPr>
            <w:r>
              <w:t>1.000.000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2012. godini proveden je Natječaj za sufinanciranje programa "Obuka neplivača u školama" čije je uvijete zadovoljilo osam predlagatelja uključivši u obuku 5.313. djece. U tijeku provedbe programa proveden je u suradnji s Agencijom za odgovoj i obrazovanje i stručno-pedagoški nadzor.</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djece koja su pohađala programe obuke neplivača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w:t>
            </w:r>
          </w:p>
        </w:tc>
        <w:tc>
          <w:tcPr>
            <w:tcW w:w="1300" w:type="dxa"/>
          </w:tcPr>
          <w:p w:rsidR="00AC0832" w:rsidRDefault="00AC0832">
            <w:pPr>
              <w:pStyle w:val="CellColumn"/>
            </w:pPr>
            <w:r>
              <w:t>1.037</w:t>
            </w:r>
          </w:p>
        </w:tc>
        <w:tc>
          <w:tcPr>
            <w:tcW w:w="1300" w:type="dxa"/>
          </w:tcPr>
          <w:p w:rsidR="00AC0832" w:rsidRDefault="00AC0832">
            <w:pPr>
              <w:pStyle w:val="CellColumn"/>
            </w:pPr>
            <w:r>
              <w:t>MZOS</w:t>
            </w:r>
          </w:p>
        </w:tc>
        <w:tc>
          <w:tcPr>
            <w:tcW w:w="1300" w:type="dxa"/>
          </w:tcPr>
          <w:p w:rsidR="00AC0832" w:rsidRDefault="00AC0832">
            <w:pPr>
              <w:pStyle w:val="CellColumn"/>
            </w:pPr>
            <w:r>
              <w:t>1.150</w:t>
            </w:r>
          </w:p>
        </w:tc>
        <w:tc>
          <w:tcPr>
            <w:tcW w:w="1300" w:type="dxa"/>
          </w:tcPr>
          <w:p w:rsidR="00AC0832" w:rsidRDefault="00AC0832">
            <w:pPr>
              <w:pStyle w:val="CellColumn"/>
            </w:pPr>
            <w:r>
              <w:t>5.313</w:t>
            </w:r>
          </w:p>
        </w:tc>
      </w:tr>
    </w:tbl>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pStyle w:val="Heading6"/>
      </w:pPr>
      <w:r>
        <w:t>A768039 HRVATSKI ŠKOLSKI ŠPORTSKI SAVEZ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A768039-HRVATSKI ŠKOLSKI ŠPORTSKI SAVEZ</w:t>
            </w:r>
          </w:p>
        </w:tc>
        <w:tc>
          <w:tcPr>
            <w:tcW w:w="2322" w:type="dxa"/>
          </w:tcPr>
          <w:p w:rsidR="00AC0832" w:rsidRDefault="00AC0832">
            <w:pPr>
              <w:pStyle w:val="CellColumn"/>
            </w:pPr>
            <w:r>
              <w:t>8.600.592</w:t>
            </w:r>
          </w:p>
        </w:tc>
        <w:tc>
          <w:tcPr>
            <w:tcW w:w="2322" w:type="dxa"/>
          </w:tcPr>
          <w:p w:rsidR="00AC0832" w:rsidRDefault="00AC0832">
            <w:pPr>
              <w:pStyle w:val="CellColumn"/>
            </w:pPr>
            <w:r>
              <w:t>8.659.700</w:t>
            </w:r>
          </w:p>
        </w:tc>
        <w:tc>
          <w:tcPr>
            <w:tcW w:w="2322" w:type="dxa"/>
          </w:tcPr>
          <w:p w:rsidR="00AC0832" w:rsidRDefault="00AC0832">
            <w:pPr>
              <w:pStyle w:val="CellColumn"/>
            </w:pPr>
            <w:r>
              <w:t>100,7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Hrvatski školski sportski savez (HŠSS) osnovan je u svrhu poticanja i promicanja sporta u RH, usklađivanja aktivnosti školskih sportskih saveza u županijama i Gradu Zagrebu te organiziranja natjecanja školskih sportskih društava.  </w:t>
      </w:r>
    </w:p>
    <w:p w:rsidR="00AC0832" w:rsidRDefault="00AC0832">
      <w:pPr>
        <w:pStyle w:val="Normal6"/>
      </w:pPr>
      <w:r>
        <w:t xml:space="preserve">Tijekom 2012. godine HŠSS organizirao je niz raznih aktivnosti, programa  i projekata, a sve s ciljem kako bi se što više učenika uključilo u razne aktivnosti. Zajednički nazivnik svih tih aktivnosti je "Edukacija putem školskog sporta".  </w:t>
      </w:r>
    </w:p>
    <w:p w:rsidR="00AC0832" w:rsidRDefault="00AC0832">
      <w:pPr>
        <w:pStyle w:val="Normal6"/>
      </w:pPr>
      <w:r>
        <w:t xml:space="preserve">Bitno je istaknuti da je tijekom 2012. godine 105.000 učenika osnovnih i srednjih škola bilo uključeno u aktivnosti, i to: </w:t>
      </w:r>
    </w:p>
    <w:p w:rsidR="00AC0832" w:rsidRDefault="00AC0832">
      <w:pPr>
        <w:pStyle w:val="Normal6"/>
      </w:pPr>
      <w:r>
        <w:t xml:space="preserve">na svim razinama školskih sportskih natjecanja (općinska, gradska, županijska, poluzavršna i završna) sudjelovalo je oko 89.000 učenika osnovnih i srednjih škola te centara za odgoj i obrazovanje; oko 7.755 učenika redovito pohađa program Univerzalne sportske škole (u 282 osnovne škole, 344 odjeljenja, program provodi 275 profesora); oko 1.926 učenika sudjelovalo je u projektu Vrtim zdravi film; oko 868 učenika sudjelovalo je na natjecanjima Kupa ISF-a; oko 1.960 učenika bilo je uključeno u provedbu natječaja Stoljeće olimpizma; oko 3.500 učenika pohodilo je teniski turnir - PBZ Zagreb Indoors; oko 500 učenika pohodilo je skijašku utrku - VIP Snow Queen Trophy; oko 82 učenika bili su sudionici Svjetskih školskih prvenstava u 2012. godini. </w:t>
      </w:r>
    </w:p>
    <w:p w:rsidR="00AC0832" w:rsidRDefault="00AC0832">
      <w:pPr>
        <w:pStyle w:val="Normal6"/>
      </w:pPr>
      <w:r>
        <w:t xml:space="preserve">HŠSS kao i prijašnjih godina, u 2012. godini organizirao je Državno prvenstvo za djecu s intelektualnim teškoćama u razvoju na kojem je sudjelovalo 29 centara/škola sa 148 učenika, u pratnji 58 voditelja. Održani su i Dani univerzalne sportske škole na kojima su po prvi puta sudjelovali predstavnici iz svih županija tj. 774 učenika i 97 voditelja. </w:t>
      </w:r>
    </w:p>
    <w:p w:rsidR="00AC0832" w:rsidRDefault="00AC0832">
      <w:pPr>
        <w:pStyle w:val="Normal6"/>
      </w:pPr>
      <w:r>
        <w:t xml:space="preserve">U sklopu provođenja Akcijskog plana za provedbu programa edukacije u borbi protiv nasilja u sportu, HŠSS u suradnji s Ministarstvom provodi niz edukativnih mjera protiv nasilja u sportu.  </w:t>
      </w:r>
    </w:p>
    <w:p w:rsidR="00AC0832" w:rsidRDefault="00AC0832">
      <w:pPr>
        <w:pStyle w:val="Normal6"/>
      </w:pPr>
      <w:r>
        <w:t xml:space="preserve">Tako je učenicima iz cijele Hrvatske bilo omogućeno prisustvovanje na teniskom turniru PBZ Zagreb Indoors 2012., na koji je došlo više od 3.500 učenika iz 9 županija. Učenici su prisustvovali i  na Skijaškim utrkama – Audi Fis Worls Cup "Vip Snow Queen Trophy", a na raspolaganju im je bilo 500 ulaznica.   </w:t>
      </w:r>
    </w:p>
    <w:p w:rsidR="00AC0832" w:rsidRDefault="00AC0832">
      <w:pPr>
        <w:pStyle w:val="Normal6"/>
      </w:pPr>
      <w:r>
        <w:t>Tijekom 2012. godine svim županijskim školskim sportskim savezima isplaćena je potpora za rad ŽŠSS u visini 1.100 kuna po školi.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uključenih učenika</w:t>
            </w:r>
          </w:p>
        </w:tc>
        <w:tc>
          <w:tcPr>
            <w:tcW w:w="1300" w:type="dxa"/>
          </w:tcPr>
          <w:p w:rsidR="00AC0832" w:rsidRDefault="00AC0832">
            <w:pPr>
              <w:pStyle w:val="CellColumn"/>
            </w:pPr>
            <w:r>
              <w:t>Ukupan broj učenika uključenih u sustav natjecanja HŠŠS-a i druge programe pokazatelj je uspješnosti programa HŠŠS-a</w:t>
            </w:r>
          </w:p>
        </w:tc>
        <w:tc>
          <w:tcPr>
            <w:tcW w:w="1300" w:type="dxa"/>
          </w:tcPr>
          <w:p w:rsidR="00AC0832" w:rsidRDefault="00AC0832">
            <w:pPr>
              <w:pStyle w:val="CellColumn"/>
            </w:pPr>
            <w:r>
              <w:t>Broj (godišnje)</w:t>
            </w:r>
          </w:p>
        </w:tc>
        <w:tc>
          <w:tcPr>
            <w:tcW w:w="1300" w:type="dxa"/>
          </w:tcPr>
          <w:p w:rsidR="00AC0832" w:rsidRDefault="00AC0832">
            <w:pPr>
              <w:pStyle w:val="CellColumn"/>
            </w:pPr>
            <w:r>
              <w:t>96.385</w:t>
            </w:r>
          </w:p>
        </w:tc>
        <w:tc>
          <w:tcPr>
            <w:tcW w:w="1300" w:type="dxa"/>
          </w:tcPr>
          <w:p w:rsidR="00AC0832" w:rsidRDefault="00AC0832">
            <w:pPr>
              <w:pStyle w:val="CellColumn"/>
            </w:pPr>
            <w:r>
              <w:t>HŠŠS</w:t>
            </w:r>
          </w:p>
        </w:tc>
        <w:tc>
          <w:tcPr>
            <w:tcW w:w="1300" w:type="dxa"/>
          </w:tcPr>
          <w:p w:rsidR="00AC0832" w:rsidRDefault="00AC0832">
            <w:pPr>
              <w:pStyle w:val="CellColumn"/>
            </w:pPr>
            <w:r>
              <w:t>98.500</w:t>
            </w:r>
          </w:p>
        </w:tc>
        <w:tc>
          <w:tcPr>
            <w:tcW w:w="1300" w:type="dxa"/>
          </w:tcPr>
          <w:p w:rsidR="00AC0832" w:rsidRDefault="00AC0832">
            <w:pPr>
              <w:pStyle w:val="CellColumn"/>
            </w:pPr>
            <w:r>
              <w:t>105.000</w:t>
            </w:r>
          </w:p>
        </w:tc>
      </w:tr>
    </w:tbl>
    <w:p w:rsidR="00AC0832" w:rsidRDefault="00AC0832">
      <w:pPr>
        <w:jc w:val="left"/>
      </w:pPr>
    </w:p>
    <w:p w:rsidR="00AC0832" w:rsidRDefault="00AC0832">
      <w:pPr>
        <w:pStyle w:val="Heading6"/>
      </w:pPr>
      <w:r>
        <w:t>A768040 HRVATSKI ŠPORTSKI SAVEZ GLUHIH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A768040-HRVATSKI ŠPORTSKI SAVEZ GLUHIH</w:t>
            </w:r>
          </w:p>
        </w:tc>
        <w:tc>
          <w:tcPr>
            <w:tcW w:w="2322" w:type="dxa"/>
          </w:tcPr>
          <w:p w:rsidR="00AC0832" w:rsidRDefault="00AC0832">
            <w:pPr>
              <w:pStyle w:val="CellColumn"/>
            </w:pPr>
            <w:r>
              <w:t>2.143.851</w:t>
            </w:r>
          </w:p>
        </w:tc>
        <w:tc>
          <w:tcPr>
            <w:tcW w:w="2322" w:type="dxa"/>
          </w:tcPr>
          <w:p w:rsidR="00AC0832" w:rsidRDefault="00AC0832">
            <w:pPr>
              <w:pStyle w:val="CellColumn"/>
            </w:pPr>
            <w:r>
              <w:t>2.172.438</w:t>
            </w:r>
          </w:p>
        </w:tc>
        <w:tc>
          <w:tcPr>
            <w:tcW w:w="2322" w:type="dxa"/>
          </w:tcPr>
          <w:p w:rsidR="00AC0832" w:rsidRDefault="00AC0832">
            <w:pPr>
              <w:pStyle w:val="CellColumn"/>
            </w:pPr>
            <w:r>
              <w:t>101,3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Sukladno osiguranim sredstvima u Državnom proračunu Hrvatski sportski savez gluhih (HSSG) za 2012. godinu proveo je sve planirane aktivnosti: Zajedničke programske aktivnosti saveza, Sportski programi, i Sportski programi-Posebni projekti.  </w:t>
      </w:r>
    </w:p>
    <w:p w:rsidR="00AC0832" w:rsidRDefault="00AC0832">
      <w:pPr>
        <w:pStyle w:val="Normal6"/>
      </w:pPr>
      <w:r>
        <w:t xml:space="preserve">Tijekom 2012. godine održano je 11 radnih sjednica Saveza gdje su donesene odluke od važnosti za razvoj sporta gluhih. U 2012. godini gluhi sportaši sudjelovali su na 9 međunarodnih natjecanja u 5 sportova uključujući nastupe u međunarodnim ligaškim natjecanjima u momčadskim sportovima, 18 državnih prvenstava u pojedinačnim i momčadskim konkurencijama u 13 sportova, 15 disciplina.  </w:t>
      </w:r>
    </w:p>
    <w:p w:rsidR="00AC0832" w:rsidRDefault="00AC0832">
      <w:pPr>
        <w:pStyle w:val="Normal6"/>
      </w:pPr>
      <w:r>
        <w:t xml:space="preserve">U svrhu uključenja što većeg broja mladih gluhih sportaša u sport i omogućavanja kvalitetnog razvoja i napretka perspektivnih sportaša mlađih od 21 godine HSSG provodio je razvojne programe za gluhu djecu i mladež kroz 4 cjeline: individualni programi posebne skrbi, razvojni programi za djecu i mlade, školovanje stručnih kadrova i novi sportovi. Odlukom IO sufinancirano je 15 programa. Programom su obuhvaćena 495 korisnika do 21 godinu i 11 mladih perspektivnih sportaša.  </w:t>
      </w:r>
    </w:p>
    <w:p w:rsidR="00AC0832" w:rsidRDefault="00AC0832">
      <w:pPr>
        <w:pStyle w:val="Normal6"/>
      </w:pPr>
      <w:r>
        <w:t xml:space="preserve">Na temelju plasmana na međunarodnim natjecanjima izdano je 37 rješenja o kategorizaciji sportaša.  </w:t>
      </w:r>
    </w:p>
    <w:p w:rsidR="00AC0832" w:rsidRDefault="00AC0832">
      <w:pPr>
        <w:pStyle w:val="Normal6"/>
      </w:pPr>
      <w:r>
        <w:t xml:space="preserve">Od posebnih projekata važno je spomenuti provođenje Olimpijskog programa gluhih- projekt Sofija, Bugarska 2013. koji se u 2012. godini provodio drugu godinu zaredom i Zimski 0limpijski program gluhih - projekt  Soči, Rusija 2015.  </w:t>
      </w:r>
    </w:p>
    <w:p w:rsidR="00AC0832" w:rsidRDefault="00AC0832">
      <w:pPr>
        <w:pStyle w:val="Normal6"/>
      </w:pPr>
      <w:r>
        <w:t xml:space="preserve">Za projekt OI Sofija obuhvaćeno je 37 sportaša, a za Projekt Soči, Rusija 2015. obuhvaćano 8 sportaša koji su financirani za troškove priprema i natjecanja, vitaminizacije, olimpijske stipendije, stručni rad, zdravstvene skrbi i psihološku pripremu. </w:t>
      </w:r>
    </w:p>
    <w:p w:rsidR="00AC0832" w:rsidRDefault="00AC0832">
      <w:pPr>
        <w:pStyle w:val="Normal6"/>
      </w:pPr>
      <w:r>
        <w:t>Stalni porast broja kvalitetnih sportaša koji predstavljaju Hrvatsku na međunarodnim natjecanjima iz 2011. godine nastavio se tijekom cijele 2012. godine.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8"/>
        <w:gridCol w:w="1517"/>
        <w:gridCol w:w="1253"/>
        <w:gridCol w:w="1248"/>
        <w:gridCol w:w="1241"/>
        <w:gridCol w:w="1248"/>
        <w:gridCol w:w="126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kategoriziranih gluhih sportaša</w:t>
            </w:r>
          </w:p>
        </w:tc>
        <w:tc>
          <w:tcPr>
            <w:tcW w:w="1300" w:type="dxa"/>
          </w:tcPr>
          <w:p w:rsidR="00AC0832" w:rsidRDefault="00AC0832">
            <w:pPr>
              <w:pStyle w:val="CellColumn"/>
            </w:pPr>
            <w:r>
              <w:t>Ukupan broj kategoriziranih gluhih sportaša na godišnjoj razini pokazuje uspješnost programa koje provodi HŠSG</w:t>
            </w:r>
          </w:p>
        </w:tc>
        <w:tc>
          <w:tcPr>
            <w:tcW w:w="1300" w:type="dxa"/>
          </w:tcPr>
          <w:p w:rsidR="00AC0832" w:rsidRDefault="00AC0832">
            <w:pPr>
              <w:pStyle w:val="CellColumn"/>
            </w:pPr>
            <w:r>
              <w:t>Broj (godišnje)</w:t>
            </w:r>
          </w:p>
        </w:tc>
        <w:tc>
          <w:tcPr>
            <w:tcW w:w="1300" w:type="dxa"/>
          </w:tcPr>
          <w:p w:rsidR="00AC0832" w:rsidRDefault="00AC0832">
            <w:pPr>
              <w:pStyle w:val="CellColumn"/>
            </w:pPr>
            <w:r>
              <w:t>50</w:t>
            </w:r>
          </w:p>
        </w:tc>
        <w:tc>
          <w:tcPr>
            <w:tcW w:w="1300" w:type="dxa"/>
          </w:tcPr>
          <w:p w:rsidR="00AC0832" w:rsidRDefault="00AC0832">
            <w:pPr>
              <w:pStyle w:val="CellColumn"/>
            </w:pPr>
            <w:r>
              <w:t>HŠSG</w:t>
            </w:r>
          </w:p>
        </w:tc>
        <w:tc>
          <w:tcPr>
            <w:tcW w:w="1300" w:type="dxa"/>
          </w:tcPr>
          <w:p w:rsidR="00AC0832" w:rsidRDefault="00AC0832">
            <w:pPr>
              <w:pStyle w:val="CellColumn"/>
            </w:pPr>
            <w:r>
              <w:t>55</w:t>
            </w:r>
          </w:p>
        </w:tc>
        <w:tc>
          <w:tcPr>
            <w:tcW w:w="1300" w:type="dxa"/>
          </w:tcPr>
          <w:p w:rsidR="00AC0832" w:rsidRDefault="00AC0832">
            <w:pPr>
              <w:pStyle w:val="CellColumn"/>
            </w:pPr>
            <w:r>
              <w:t>61</w:t>
            </w:r>
          </w:p>
        </w:tc>
      </w:tr>
    </w:tbl>
    <w:p w:rsidR="00AC0832" w:rsidRDefault="00AC0832">
      <w:pPr>
        <w:jc w:val="left"/>
      </w:pPr>
    </w:p>
    <w:p w:rsidR="00AC0832" w:rsidRDefault="00AC0832">
      <w:pPr>
        <w:pStyle w:val="Heading2"/>
      </w:pPr>
      <w:r>
        <w:t>08006 Sveučilišta i veleučilišta u Republici Hrvatskoj</w:t>
      </w:r>
    </w:p>
    <w:p w:rsidR="00AC0832" w:rsidRDefault="00AC0832">
      <w:pPr>
        <w:pStyle w:val="Heading4"/>
      </w:pPr>
      <w:r>
        <w:t>Uvod</w:t>
      </w:r>
    </w:p>
    <w:p w:rsidR="00AC0832" w:rsidRDefault="00AC0832">
      <w:pPr>
        <w:pStyle w:val="Normal3"/>
      </w:pPr>
      <w:r>
        <w:t>Hrvatski obrazovni sustav pruža obrazovne usluge na razini visokog obrazovanja te obrazovanja odraslih kako bi svakom korisniku omogućio optimalno razvijanje njegovih potencijala s ciljem njegova osobnoga razvoja i uključivanja na tržište rada te spremnost na cjeloživotno učenje. Poseban izazov za sustav u kretanju prema društvu znanja predstavlja visoko obrazovanje jer ono, s jedne strane, stvara najkvalitetnije kadrove za potrebe gospodarstva, a s druge strane, ima ključnu ulogu u povezivanju znanstveno-istraživačkog rada s gospodarstvom. Jačanje ukupne konkurentnosti na regionalnoj i međunarodnoj razini vezana je uz razvoj i unapređenje sustava osiguranja kvalitete znanstvene djelatnosti i visokog obrazovanja.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08006-Sveučilišta i veleučilišta u Republici Hrvatskoj</w:t>
            </w:r>
          </w:p>
        </w:tc>
        <w:tc>
          <w:tcPr>
            <w:tcW w:w="2322" w:type="dxa"/>
          </w:tcPr>
          <w:p w:rsidR="00AC0832" w:rsidRDefault="00AC0832">
            <w:pPr>
              <w:pStyle w:val="CellColumn"/>
            </w:pPr>
            <w:r>
              <w:t>2.811.053.284</w:t>
            </w:r>
          </w:p>
        </w:tc>
        <w:tc>
          <w:tcPr>
            <w:tcW w:w="2322" w:type="dxa"/>
          </w:tcPr>
          <w:p w:rsidR="00AC0832" w:rsidRDefault="00AC0832">
            <w:pPr>
              <w:pStyle w:val="CellColumn"/>
            </w:pPr>
            <w:r>
              <w:t>2.807.990.365</w:t>
            </w:r>
          </w:p>
        </w:tc>
        <w:tc>
          <w:tcPr>
            <w:tcW w:w="2322" w:type="dxa"/>
          </w:tcPr>
          <w:p w:rsidR="00AC0832" w:rsidRDefault="00AC0832">
            <w:pPr>
              <w:pStyle w:val="CellColumn"/>
            </w:pPr>
            <w:r>
              <w:t>99,9</w:t>
            </w:r>
          </w:p>
        </w:tc>
      </w:tr>
      <w:tr w:rsidR="00AC0832" w:rsidTr="00BE20ED">
        <w:trPr>
          <w:jc w:val="center"/>
        </w:trPr>
        <w:tc>
          <w:tcPr>
            <w:tcW w:w="2322" w:type="dxa"/>
          </w:tcPr>
          <w:p w:rsidR="00AC0832" w:rsidRDefault="00AC0832">
            <w:pPr>
              <w:pStyle w:val="CellColumnSmall"/>
            </w:pPr>
            <w:r>
              <w:t>3705-VISOKO OBRAZOVANJE</w:t>
            </w:r>
          </w:p>
        </w:tc>
        <w:tc>
          <w:tcPr>
            <w:tcW w:w="2322" w:type="dxa"/>
          </w:tcPr>
          <w:p w:rsidR="00AC0832" w:rsidRDefault="00AC0832">
            <w:pPr>
              <w:pStyle w:val="CellColumnSmall"/>
            </w:pPr>
            <w:r>
              <w:t>2.810.682.909</w:t>
            </w:r>
          </w:p>
        </w:tc>
        <w:tc>
          <w:tcPr>
            <w:tcW w:w="2322" w:type="dxa"/>
          </w:tcPr>
          <w:p w:rsidR="00AC0832" w:rsidRDefault="00AC0832">
            <w:pPr>
              <w:pStyle w:val="CellColumnSmall"/>
            </w:pPr>
            <w:r>
              <w:t>2.807.619.990</w:t>
            </w:r>
          </w:p>
        </w:tc>
        <w:tc>
          <w:tcPr>
            <w:tcW w:w="2322" w:type="dxa"/>
          </w:tcPr>
          <w:p w:rsidR="00AC0832" w:rsidRDefault="00AC0832">
            <w:pPr>
              <w:pStyle w:val="CellColumnSmall"/>
            </w:pPr>
            <w:r>
              <w:t>99,9</w:t>
            </w:r>
          </w:p>
        </w:tc>
      </w:tr>
      <w:tr w:rsidR="00AC0832" w:rsidTr="00BE20ED">
        <w:trPr>
          <w:jc w:val="center"/>
        </w:trPr>
        <w:tc>
          <w:tcPr>
            <w:tcW w:w="2322" w:type="dxa"/>
          </w:tcPr>
          <w:p w:rsidR="00AC0832" w:rsidRDefault="00AC0832">
            <w:pPr>
              <w:pStyle w:val="CellColumnSmall"/>
            </w:pPr>
            <w:r>
              <w:t>3801-ULAGANJE U ZNANSTVENO ISTRAŽIVAČKU DJELATNOST</w:t>
            </w:r>
          </w:p>
        </w:tc>
        <w:tc>
          <w:tcPr>
            <w:tcW w:w="2322" w:type="dxa"/>
          </w:tcPr>
          <w:p w:rsidR="00AC0832" w:rsidRDefault="00AC0832">
            <w:pPr>
              <w:pStyle w:val="CellColumnSmall"/>
            </w:pPr>
            <w:r>
              <w:t>370.375</w:t>
            </w:r>
          </w:p>
        </w:tc>
        <w:tc>
          <w:tcPr>
            <w:tcW w:w="2322" w:type="dxa"/>
          </w:tcPr>
          <w:p w:rsidR="00AC0832" w:rsidRDefault="00AC0832">
            <w:pPr>
              <w:pStyle w:val="CellColumnSmall"/>
            </w:pPr>
            <w:r>
              <w:t>370.375</w:t>
            </w:r>
          </w:p>
        </w:tc>
        <w:tc>
          <w:tcPr>
            <w:tcW w:w="2322" w:type="dxa"/>
          </w:tcPr>
          <w:p w:rsidR="00AC0832" w:rsidRDefault="00AC0832">
            <w:pPr>
              <w:pStyle w:val="CellColumnSmall"/>
            </w:pPr>
            <w:r>
              <w:t>100,0</w:t>
            </w:r>
          </w:p>
        </w:tc>
      </w:tr>
    </w:tbl>
    <w:p w:rsidR="00AC0832" w:rsidRDefault="00AC0832">
      <w:pPr>
        <w:jc w:val="left"/>
      </w:pPr>
    </w:p>
    <w:p w:rsidR="00AC0832" w:rsidRDefault="00AC0832">
      <w:pPr>
        <w:pStyle w:val="Heading4"/>
      </w:pPr>
      <w:r>
        <w:t>OBRAZLOŽENJE PROGRAMA</w:t>
      </w:r>
    </w:p>
    <w:p w:rsidR="00AC0832" w:rsidRDefault="00AC0832">
      <w:pPr>
        <w:pStyle w:val="Heading5"/>
      </w:pPr>
      <w:r>
        <w:t>3705 VISOKO OBRAZOVANJE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3705-VISOKO OBRAZOVANJE</w:t>
            </w:r>
          </w:p>
        </w:tc>
        <w:tc>
          <w:tcPr>
            <w:tcW w:w="2322" w:type="dxa"/>
          </w:tcPr>
          <w:p w:rsidR="00AC0832" w:rsidRDefault="00AC0832">
            <w:pPr>
              <w:pStyle w:val="CellColumn"/>
            </w:pPr>
            <w:r>
              <w:t>2.810.682.909</w:t>
            </w:r>
          </w:p>
        </w:tc>
        <w:tc>
          <w:tcPr>
            <w:tcW w:w="2322" w:type="dxa"/>
          </w:tcPr>
          <w:p w:rsidR="00AC0832" w:rsidRDefault="00AC0832">
            <w:pPr>
              <w:pStyle w:val="CellColumn"/>
            </w:pPr>
            <w:r>
              <w:t>2.807.619.990</w:t>
            </w:r>
          </w:p>
        </w:tc>
        <w:tc>
          <w:tcPr>
            <w:tcW w:w="2322" w:type="dxa"/>
          </w:tcPr>
          <w:p w:rsidR="00AC0832" w:rsidRDefault="00AC0832">
            <w:pPr>
              <w:pStyle w:val="CellColumn"/>
            </w:pPr>
            <w:r>
              <w:t>99,9</w:t>
            </w:r>
          </w:p>
        </w:tc>
      </w:tr>
    </w:tbl>
    <w:p w:rsidR="00AC0832" w:rsidRDefault="00AC0832">
      <w:pPr>
        <w:pStyle w:val="Heading6"/>
        <w:rPr>
          <w:b w:val="0"/>
          <w:sz w:val="22"/>
          <w:szCs w:val="20"/>
        </w:rPr>
      </w:pPr>
    </w:p>
    <w:p w:rsidR="00AC0832" w:rsidRDefault="00AC0832">
      <w:pPr>
        <w:pStyle w:val="Heading6"/>
        <w:rPr>
          <w:b w:val="0"/>
          <w:sz w:val="22"/>
          <w:szCs w:val="20"/>
        </w:rPr>
      </w:pPr>
    </w:p>
    <w:p w:rsidR="00AC0832" w:rsidRDefault="00AC0832">
      <w:pPr>
        <w:pStyle w:val="Heading6"/>
      </w:pPr>
      <w:r>
        <w:t>Opis programa</w:t>
      </w:r>
    </w:p>
    <w:p w:rsidR="00AC0832" w:rsidRDefault="00AC0832">
      <w:pPr>
        <w:pStyle w:val="Normal5"/>
      </w:pPr>
      <w:r>
        <w:t xml:space="preserve">Implementacija Bolonjskog procesa i provedba lump sum-a na visokim učilištima RH. Bolonjski proces naziv je za reformu visokog obrazovanja u Europi, kojoj je osnovni cilj promicanje mobilnosti studenata i profesora uspostavljanjem tzv. Europskog prostora visokog obrazovanja do 2010. godine. Formalni naziv Bolonjske deklaracije je 'Europski prostor visokog obrazovanja'.  Hrvatska je Bolonjsku deklaraciju potpisala na Rektorskoj konferenciji 2001. godine  u Pragu, a početak primjene Bolonjskog procesa je od akademske godine 2005./2006. na svim razinama obrazovanja. </w:t>
      </w:r>
    </w:p>
    <w:p w:rsidR="00AC0832" w:rsidRDefault="00AC0832">
      <w:pPr>
        <w:pStyle w:val="Normal5"/>
      </w:pPr>
      <w:r>
        <w:t>Zakon o osiguravanju kvalitete u znanosti i visokom obrazovanju koji je stupio na snagu u travnju 2009. godine te pratećim propisima definirani su jasni i objektivni postupci na temelju kojih će se vrednovati i ocjenjivati kvaliteta subjekata vrednovanja (tzv. vanjsko osiguravanje i unaprjeđivanje kvalitete) te obveza i odgovornost istih subjekata za učinkovitost i ostvarivanje kvalitetnih ishoda obrazovnih i znanstvenih aktivnosti (tzv. unutarnje unaprjeđivanje kvalitete).</w:t>
      </w:r>
    </w:p>
    <w:p w:rsidR="00AC0832" w:rsidRDefault="00AC0832">
      <w:pPr>
        <w:pStyle w:val="Heading6"/>
      </w:pPr>
      <w:r>
        <w:t>Zakonske i druge pravne osnove</w:t>
      </w:r>
    </w:p>
    <w:p w:rsidR="00AC0832" w:rsidRDefault="00AC0832">
      <w:pPr>
        <w:pStyle w:val="Normal5"/>
      </w:pPr>
      <w:r>
        <w:t>Zakon o znanstvenoj djelatnosti i visokom obrazovanju (NN,123/03.; 105/04.;174/04.; 2/07 Odluka USRH; 46/07., 45/09. i 63/11.); Zakon o osiguranju kvalitete u znanosti i visokom obrazovanju (NN, broj 45/09.); Zakon o akademskim i stručnim nazivima i akademskom stupnju (NN, 107/07); Zakon o priznavanju inozemnih obrazovnih kvalifikacija (NN, 158/03., 198/03. i 138/06.); Zakon o reguliranim profesijama i priznavanju stručnih inozemnih kvalifikacija (NN, 124/09.) – veći dio primjenjivat će se stupanjem RH u EU.; Zakon o studentskom zboru i drugim studentskim organizacijama (NN,  71/07.); Zakon o Nacionalnoj zakladi za potporu učeničkom i studentskom standardu (NN, 111/07.)</w:t>
      </w:r>
    </w:p>
    <w:p w:rsidR="00AC0832" w:rsidRDefault="00AC0832">
      <w:pPr>
        <w:pStyle w:val="Heading7"/>
      </w:pPr>
      <w:r>
        <w:t>Cilj 1. Uspostaviti učinkovitu mrežu odgojno-obrazovnih ustanova i kvalifikacija/programa/kurikuluma usklađenu s potrebama tržišta rada i razvoja ljudskih potencijala</w:t>
      </w:r>
    </w:p>
    <w:p w:rsidR="00AC0832" w:rsidRDefault="00AC0832">
      <w:pPr>
        <w:pStyle w:val="Heading8"/>
        <w:jc w:val="left"/>
      </w:pPr>
      <w:r>
        <w:t>Opis provedbe cilja programa</w:t>
      </w:r>
    </w:p>
    <w:p w:rsidR="00AC0832" w:rsidRDefault="00AC0832">
      <w:pPr>
        <w:pStyle w:val="Normal6"/>
      </w:pPr>
      <w:r>
        <w:t xml:space="preserve">Provođenje Bolonjskog procesa, razvoj sveučilišnih i stručnih studija, otvaranje hrvatskoga visokog obrazovanja europskim standardima, uz sustavne poticajne mjere povećanja broja upisanih i diplomiranih  studenata, treba uskladiti s potrebama gospodarstva. Sve je ove procese potrebno jačati i ubrzati, a posebno one što povećavaju broj studenata koji studij završavaju u roku.  </w:t>
      </w:r>
    </w:p>
    <w:p w:rsidR="00AC0832" w:rsidRDefault="00AC0832">
      <w:pPr>
        <w:pStyle w:val="Normal6"/>
      </w:pPr>
      <w:r>
        <w:t>Ljudski kapital predstavlja kako preduvjet za uspješno sudjelovanje, tako i komparativnu prednost Republike Hrvatske u njezinoj globalnoj perspektivi, te je stoga nužno osigurati sve pretpostavke da hrvatski sustav znanosti i visokoga obrazovanja postane kompetitivan. U tom smislu nužno je ojačati sveučilišta i znanstvene institute, kako bi se osiguralo zadržavanje domaćih kvalitetnih stručnjaka, uz istodobno privlačenje nastavnika, studenata i znanstvenika iz drugih zemalja članica. Kako bi se ostvario ovaj cilj, potrebno je evidentirati ponudu visokoga obrazovanja i analizirati raspodjelu visokih učilišta u Republici Hrvatskoj što će biti provedeno kroz dokument mreže visokih učilišta.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4"/>
        <w:gridCol w:w="1873"/>
        <w:gridCol w:w="1027"/>
        <w:gridCol w:w="1122"/>
        <w:gridCol w:w="1096"/>
        <w:gridCol w:w="1122"/>
        <w:gridCol w:w="117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udjela visokoobrazovanih osoba u populaciji od 25 do 64 godine</w:t>
            </w:r>
          </w:p>
        </w:tc>
        <w:tc>
          <w:tcPr>
            <w:tcW w:w="1300" w:type="dxa"/>
          </w:tcPr>
          <w:p w:rsidR="00AC0832" w:rsidRDefault="00AC0832">
            <w:pPr>
              <w:pStyle w:val="CellColumn"/>
            </w:pPr>
            <w:r>
              <w:t>Udio visokoobrazovanih osoba u odnosu na radno aktivno stanovništvo u RH sukladno metodologiji u EU</w:t>
            </w:r>
          </w:p>
        </w:tc>
        <w:tc>
          <w:tcPr>
            <w:tcW w:w="1300" w:type="dxa"/>
          </w:tcPr>
          <w:p w:rsidR="00AC0832" w:rsidRDefault="00AC0832">
            <w:pPr>
              <w:pStyle w:val="CellColumn"/>
            </w:pPr>
            <w:r>
              <w:t>postotni udio</w:t>
            </w:r>
          </w:p>
        </w:tc>
        <w:tc>
          <w:tcPr>
            <w:tcW w:w="1300" w:type="dxa"/>
          </w:tcPr>
          <w:p w:rsidR="00AC0832" w:rsidRDefault="00AC0832">
            <w:pPr>
              <w:pStyle w:val="CellColumn"/>
            </w:pPr>
            <w:r>
              <w:t>18,50</w:t>
            </w:r>
          </w:p>
        </w:tc>
        <w:tc>
          <w:tcPr>
            <w:tcW w:w="1300" w:type="dxa"/>
          </w:tcPr>
          <w:p w:rsidR="00AC0832" w:rsidRDefault="00AC0832">
            <w:pPr>
              <w:pStyle w:val="CellColumn"/>
            </w:pPr>
            <w:r>
              <w:t>MZOS</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18,5</w:t>
            </w:r>
          </w:p>
        </w:tc>
      </w:tr>
    </w:tbl>
    <w:p w:rsidR="00AC0832" w:rsidRDefault="00AC0832">
      <w:pPr>
        <w:jc w:val="left"/>
      </w:pPr>
    </w:p>
    <w:p w:rsidR="00AC0832" w:rsidRDefault="00AC0832">
      <w:pPr>
        <w:pStyle w:val="Heading7"/>
      </w:pPr>
      <w:r>
        <w:t>Cilj 2. Razvijati sustav osiguranja kvalitete na razini visokog obrazovanja i promicati načela cjeloživotnog učenja</w:t>
      </w:r>
    </w:p>
    <w:p w:rsidR="00AC0832" w:rsidRDefault="00AC0832">
      <w:pPr>
        <w:pStyle w:val="Heading8"/>
        <w:jc w:val="left"/>
      </w:pPr>
      <w:r>
        <w:t>Opis provedbe cilja programa</w:t>
      </w:r>
    </w:p>
    <w:p w:rsidR="00AC0832" w:rsidRDefault="00AC0832">
      <w:pPr>
        <w:pStyle w:val="Normal6"/>
      </w:pPr>
      <w:r>
        <w:t xml:space="preserve">Kako bi visoko obrazovanje u Republici Hrvatskoj valjano služilo potrebama cjelokupnoga društva, nužno je osigurati odgovarajuću razinu kvalitete i omogućiti pristup visokome obrazovanju svim hrvatskim građanima, bez obzira na njihove godine. </w:t>
      </w:r>
    </w:p>
    <w:p w:rsidR="00AC0832" w:rsidRDefault="00AC0832">
      <w:pPr>
        <w:pStyle w:val="Normal6"/>
      </w:pPr>
      <w:r>
        <w:t xml:space="preserve">U području osiguravanja kvalitete Republika se Hrvatska nalazi na vodećemu mjestu u regiji po kvaliteti nacionalnih propisa. Standardi i postupci za osiguravanje kvalitete u visokome obrazovanju ustanovljeni su kroz dokument Europski standardi i smjernice za osiguravanje kvalitete u visokome obrazovanju iz 2005. godine. Ovi standardi u Hrvatsku su uvedeni 2009. godine donošenjem Zakona o osiguravanju kvalitete u znanosti i visokome obrazovanju (Narodne novine, broj 45/2009). U 2009. godini donesen je Pravilnik o sadržaju dopusnice, uvjetima za izdavanje dopusnice za obavljanje djelatnosti visokoga obrazovanja, uvjetima za izvođenje studijskoga programa te uvjetima za reakreditaciju visokih učilišta, (Narodne novine, broj 24/2010), kojim se omogućava akreditacija novih i reakreditacija postojećih visokih učilišta po poboljšanome sustavu koji je u potpunosti usklađen s Europskim standardima i smjernicama.  </w:t>
      </w:r>
    </w:p>
    <w:p w:rsidR="00AC0832" w:rsidRDefault="00AC0832">
      <w:pPr>
        <w:pStyle w:val="Normal6"/>
      </w:pPr>
      <w:r>
        <w:t xml:space="preserve">Sukladno Zakonu o osiguravanju kvalitete, na nacionalnoj razini u Republici Hrvatskoj propisana je nadležnost Agencije za znanost i visoko obrazovanje za ustrojavanje nacionalnoga informacijskog i statističkog sustava za visoko obrazovanje i znanost. Ovim sustavom osigurat će se da postupci osiguravanja kvalitete i akreditacije raspolažu relevantnim statističkim podacima, te da se donošenje javnih politika u cjelokupnome sektoru visokoga obrazovanja i znanosti temelji na relevantnim empirijskim pokazateljima. </w:t>
      </w:r>
    </w:p>
    <w:p w:rsidR="00AC0832" w:rsidRDefault="00AC0832">
      <w:pPr>
        <w:pStyle w:val="Normal6"/>
      </w:pPr>
      <w:r>
        <w:t>Istovremeno, cjeloživotno obrazovanje u Republici Hrvatskoj, u usporedbi sa zemljama Europske unije, iznimno je slabo razvijeno. Prema podacima Eurostudent IV istraživanja, Hrvatska je posljednja od 25 država koje su sudjelovale u istraživanju po broju odraslih osoba koje sudjeluju u visokome obrazovanju (91% hrvatskih studenata ima manje od 24 godine, a samo 2% studenata starije je od 30 godina). Imajući na umu značajne negativne demografske trendove, Republika se Hrvatska nalazi u kritičnome razdoblju u kojemu se njezin cjelokupni sustav visokoga obrazovanja mora prilagoditi obrazovanju odraslih studenata.</w:t>
      </w:r>
    </w:p>
    <w:p w:rsidR="00AC0832" w:rsidRDefault="00AC0832">
      <w:pPr>
        <w:pStyle w:val="Heading7"/>
      </w:pPr>
    </w:p>
    <w:p w:rsidR="00AC0832" w:rsidRDefault="00AC0832">
      <w:pPr>
        <w:pStyle w:val="Heading7"/>
      </w:pPr>
    </w:p>
    <w:p w:rsidR="00AC0832" w:rsidRDefault="00AC0832">
      <w:pPr>
        <w:pStyle w:val="Heading7"/>
      </w:pPr>
    </w:p>
    <w:p w:rsidR="00AC0832" w:rsidRDefault="00AC0832">
      <w:pPr>
        <w:pStyle w:val="Heading7"/>
      </w:pPr>
      <w:r>
        <w:t>Cilj 3. Preustrojiti i unaprijediti sustav upravljanja i financiranja u visokom obrazovanju</w:t>
      </w:r>
    </w:p>
    <w:p w:rsidR="00AC0832" w:rsidRDefault="00AC0832">
      <w:pPr>
        <w:pStyle w:val="Heading8"/>
        <w:jc w:val="left"/>
      </w:pPr>
      <w:r>
        <w:t>Opis provedbe cilja programa</w:t>
      </w:r>
    </w:p>
    <w:p w:rsidR="00AC0832" w:rsidRDefault="00AC0832">
      <w:pPr>
        <w:pStyle w:val="Normal6"/>
      </w:pPr>
      <w:r>
        <w:t xml:space="preserve">Sustav visokoga obrazovanja danas je reguliran Zakonom o znanstvenoj djelatnosti i visokome obrazovanju (u daljnjem tekstu: ZZDVO) iz 2003. godine, kojim su uvedene mnoge pozitivne promjene u sustav, ponajviše vezane uz povećanje autonomije. Međutim, ZZDVO nije na odgovarajući način riješio pitanje promjene organizacijske strukture sveučilišta kao preduvjeta za preuzimanje funkcija vezanih uz autonomno odlučivanje. Razina integracije hrvatskih sveučilišta u posljednjih se osam godina stoga samo zanemarivo povećala – prema nalazima državne revizije objavljenima 2011. godine, hrvatska visoka učilišta neefikasno su organizirana i neučinkovito koriste raspoloživa sredstva za ispunjavanje svojih misija. ZZDVO je također uveo formalnu promjenu u sustavu financiranja sveučilišta, no nije uspio povezati strateške ciljeve sveučilišta i visokoga obrazovanja sa sustavom financiranja, niti je uspio provesti integraciju financiranja na razini sveučilišta. </w:t>
      </w:r>
    </w:p>
    <w:p w:rsidR="00AC0832" w:rsidRDefault="00AC0832">
      <w:pPr>
        <w:pStyle w:val="Normal6"/>
      </w:pPr>
      <w:r>
        <w:t xml:space="preserve">ZZDVO stoga nije na odgovarajući način riješio pitanje strukturiranja sveučilišta, dok se sustav financiranja sveučilišta predviđen ZZDVO-om može ocijeniti kao uspješan u dijelu u kojem je sveučilištima i njihovim sastavnicama dana viša financijska autonomija, ali istovremeno i kao neuspješan u strateškom upravljanju sveučilištima i u usklađivanju rada sveučilišta s potrebama šire zajednice. Europska unija u svojem je izvješću o pristupanju Republike Hrvatske za 2010. godine navela da predstojeći izazovi u razvoju hrvatskoga sustava visokoga obrazovanja jesu „provedba strukturnih reformi sveučilišta i njihovoga sustava financiranja“.  </w:t>
      </w:r>
    </w:p>
    <w:p w:rsidR="00AC0832" w:rsidRDefault="00AC0832">
      <w:pPr>
        <w:pStyle w:val="Normal6"/>
      </w:pPr>
      <w:r>
        <w:t>Kako bi se riješila gornja pitanja potrebno je provesti promjenu zakonskoga okvira. Potrebno je osigurati provedbu restrukturiranja sveučilišta i uvesti financiranje koje slijedi provedbu dogovorenih ciljeva. Uvode se trogodišnji ugovori o financiranju sveučilišta koji će osigurati hrvatskim sveučilištima mogućnost višegodišnjeg planiranja vlastitog razvoja. Ugovori se donose na temelju strategije razvoja koju je samostalno donijelo svako sveučilište, na temelju prioriteta razvoja hrvatskoga visokog obrazovanja.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0"/>
        <w:gridCol w:w="1540"/>
        <w:gridCol w:w="1216"/>
        <w:gridCol w:w="1246"/>
        <w:gridCol w:w="1238"/>
        <w:gridCol w:w="1246"/>
        <w:gridCol w:w="126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sastavnica sveučilišta, kao i broja veleučilišta i visokih škola, koji su integrirani i na kojima se primjenjuje poboljšan sustav proračunskoga financiranja</w:t>
            </w:r>
          </w:p>
        </w:tc>
        <w:tc>
          <w:tcPr>
            <w:tcW w:w="1300" w:type="dxa"/>
          </w:tcPr>
          <w:p w:rsidR="00AC0832" w:rsidRDefault="00AC0832">
            <w:pPr>
              <w:pStyle w:val="CellColumn"/>
            </w:pPr>
            <w:r>
              <w:t>Broj sastavnica sveučilišta, kao i broj veleučilišta i visokih škola, koji su integrirani i na kojima se primjenjuje poboljšan sustav proračunskoga financiranja</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MZOS, izvješća visokih učilišta</w:t>
            </w:r>
          </w:p>
        </w:tc>
        <w:tc>
          <w:tcPr>
            <w:tcW w:w="1300" w:type="dxa"/>
          </w:tcPr>
          <w:p w:rsidR="00AC0832" w:rsidRDefault="00AC0832">
            <w:pPr>
              <w:pStyle w:val="CellColumn"/>
            </w:pPr>
            <w:r>
              <w:t>4</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7"/>
      </w:pPr>
      <w:r>
        <w:t>Cilj 4. Poticati razvoj učinkovitog sustava studentskoga standarda u svrhu poboljšanja dostupnosti i uključivoga obrazovanja</w:t>
      </w:r>
    </w:p>
    <w:p w:rsidR="00AC0832" w:rsidRDefault="00AC0832">
      <w:pPr>
        <w:pStyle w:val="Heading8"/>
        <w:jc w:val="left"/>
      </w:pPr>
      <w:r>
        <w:t>Opis provedbe cilja programa</w:t>
      </w:r>
    </w:p>
    <w:p w:rsidR="00AC0832" w:rsidRDefault="00AC0832">
      <w:pPr>
        <w:pStyle w:val="Normal6"/>
      </w:pPr>
      <w:r>
        <w:t xml:space="preserve">Kako bi se ostvario prioritet u području visokog obrazovanja, tj. povećao broj visokoobrazovnih osoba u RH, potrebno je osigurati pristup visokom obrazovanju što većem broju mladih ljudi iz različitih socijalnih kategorija. Nužan uvjet za maksimalnu socijalnu uključenost mladih u visoko obrazovanje su primjereni materijalni uvjeti tijekom studiranja, koji se moraju osigurati učinkovitim i pravednim modelom studentskog standarda, a koji će omogućiti svim studentima ostvarivanje različitih financijskih potpora tijekom obrazovanja na visokim učilištima u RH. </w:t>
      </w:r>
    </w:p>
    <w:p w:rsidR="00AC0832" w:rsidRDefault="00AC0832">
      <w:pPr>
        <w:pStyle w:val="Normal6"/>
      </w:pPr>
      <w:r>
        <w:t>Model podrazumijeva razvoj pravednog modela stipendiranja studenata, subvencioniranog smještaja studenata tijekom studiranja u studentskim domovima, slobodnim kapacitetima učeničkih domova, privatnom smještaju  i drugim alternativnim smještajnim kapacitetima i poticanje izgradnje novih studentskih smještajnih kapaciteta. Ministarstvo će poduzimati aktivnosti na poboljšavanju modela subvencioniranja prijevoza redovitih studenata i studenata s invaliditetom te će kontinuirano raditi na podizanju razine studentske subvencionirane prehrane, kao i na ujednačavanju razine kvalitete i ponude u svim objektima studentske prehrane u RH te osiguravanju usluge studentske prehrane u onim gradovima u RH u kojima se studenti trenutno ne mogu koristiti tom uslugom.</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2"/>
        <w:gridCol w:w="1573"/>
        <w:gridCol w:w="1272"/>
        <w:gridCol w:w="1282"/>
        <w:gridCol w:w="1300"/>
        <w:gridCol w:w="1282"/>
        <w:gridCol w:w="128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udjela studenata slabijeg socijalno-imovinskog stanja koji studiraju na visokim učilištima u Republici Hrvatskoj</w:t>
            </w:r>
          </w:p>
        </w:tc>
        <w:tc>
          <w:tcPr>
            <w:tcW w:w="1300" w:type="dxa"/>
          </w:tcPr>
          <w:p w:rsidR="00AC0832" w:rsidRDefault="00AC0832">
            <w:pPr>
              <w:pStyle w:val="CellColumn"/>
            </w:pPr>
            <w:r>
              <w:t>Udio studenata čiji otac nije završio srednju školu. Obrazovna razina roditelja ,najčešće oca (nezavršavanje SŠ) uzima se kao uobičajeni indikator za procjenu lošijeg socijalno-imovinskog statusa obitelji.</w:t>
            </w:r>
          </w:p>
        </w:tc>
        <w:tc>
          <w:tcPr>
            <w:tcW w:w="1300" w:type="dxa"/>
          </w:tcPr>
          <w:p w:rsidR="00AC0832" w:rsidRDefault="00AC0832">
            <w:pPr>
              <w:pStyle w:val="CellColumn"/>
            </w:pPr>
            <w:r>
              <w:t>postotni udio</w:t>
            </w:r>
          </w:p>
        </w:tc>
        <w:tc>
          <w:tcPr>
            <w:tcW w:w="1300" w:type="dxa"/>
          </w:tcPr>
          <w:p w:rsidR="00AC0832" w:rsidRDefault="00AC0832">
            <w:pPr>
              <w:pStyle w:val="CellColumn"/>
            </w:pPr>
            <w:r>
              <w:t>5</w:t>
            </w:r>
          </w:p>
        </w:tc>
        <w:tc>
          <w:tcPr>
            <w:tcW w:w="1300" w:type="dxa"/>
          </w:tcPr>
          <w:p w:rsidR="00AC0832" w:rsidRDefault="00AC0832">
            <w:pPr>
              <w:pStyle w:val="CellColumn"/>
            </w:pPr>
            <w:r>
              <w:t>Eurostudent projekt</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5</w:t>
            </w:r>
          </w:p>
        </w:tc>
      </w:tr>
    </w:tbl>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pStyle w:val="Heading6"/>
      </w:pPr>
      <w:r>
        <w:t>A621002 REDOVNA DJELATNOST SVEUČILIŠTA U RIJECI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A621002-REDOVNA DJELATNOST SVEUČILIŠTA U RIJECI</w:t>
            </w:r>
          </w:p>
        </w:tc>
        <w:tc>
          <w:tcPr>
            <w:tcW w:w="2322" w:type="dxa"/>
          </w:tcPr>
          <w:p w:rsidR="00AC0832" w:rsidRDefault="00AC0832">
            <w:pPr>
              <w:pStyle w:val="CellColumn"/>
            </w:pPr>
            <w:r>
              <w:t>262.697.131</w:t>
            </w:r>
          </w:p>
        </w:tc>
        <w:tc>
          <w:tcPr>
            <w:tcW w:w="2322" w:type="dxa"/>
          </w:tcPr>
          <w:p w:rsidR="00AC0832" w:rsidRDefault="00AC0832">
            <w:pPr>
              <w:pStyle w:val="CellColumn"/>
            </w:pPr>
            <w:r>
              <w:t>262.387.331</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Heading6"/>
      </w:pPr>
      <w:r>
        <w:t>A621021 SMJEŠTAJ I PREHRANA STUDENATA STUDENTSKOG CENTRA ZAGREB - SUFINANCIRANJE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A621021-SMJEŠTAJ I PREHRANA STUDENATA STUDENTSKOG CENTRA ZAGREB - SUFINANCIRANJE</w:t>
            </w:r>
          </w:p>
        </w:tc>
        <w:tc>
          <w:tcPr>
            <w:tcW w:w="2322" w:type="dxa"/>
          </w:tcPr>
          <w:p w:rsidR="00AC0832" w:rsidRDefault="00AC0832">
            <w:pPr>
              <w:pStyle w:val="CellColumn"/>
            </w:pPr>
            <w:r>
              <w:t>100.006.000</w:t>
            </w:r>
          </w:p>
        </w:tc>
        <w:tc>
          <w:tcPr>
            <w:tcW w:w="2322" w:type="dxa"/>
          </w:tcPr>
          <w:p w:rsidR="00AC0832" w:rsidRDefault="00AC0832">
            <w:pPr>
              <w:pStyle w:val="CellColumn"/>
            </w:pPr>
            <w:r>
              <w:t>100.006.000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Sredstva su usmjerena za podmirivanje troškova smještaja redovitih studenata u studenske domove te plaćanja subvencije onim redovitim studentima koji nisu ostvarili smještaj u dom nego stanuju u privatnom smještaju. Veći dio sredstava utrošen je na sufinanciranje prehrane redovitih studenata u studentskim restoranima Studentskog centra Zagreb.  </w:t>
      </w:r>
    </w:p>
    <w:p w:rsidR="00AC0832" w:rsidRDefault="00AC0832">
      <w:pPr>
        <w:pStyle w:val="Normal6"/>
      </w:pPr>
      <w:r>
        <w:t xml:space="preserve">1. subvencija za smještaj u studentski dom iznosila je 105,00 kn po pojedinačnom studentu. Ministarstvo je sufinanciralo smještaj 7566 redovitih studenata koji su stanovali tijekom 2012. godine u nekom od studentskih domova u Studentskom centru Zagreb. </w:t>
      </w:r>
    </w:p>
    <w:p w:rsidR="00AC0832" w:rsidRDefault="00AC0832">
      <w:pPr>
        <w:pStyle w:val="Normal6"/>
      </w:pPr>
      <w:r>
        <w:t xml:space="preserve">2. subvenciju za privatni smještaj primalo je tijekom 2012. godine ukupno 939 redovitih studenata. </w:t>
      </w:r>
    </w:p>
    <w:p w:rsidR="00AC0832" w:rsidRDefault="00AC0832">
      <w:pPr>
        <w:pStyle w:val="Normal6"/>
      </w:pPr>
      <w:r>
        <w:t>3. subvenciju za studentsku prehranu koristilo je tijekom 2012. godine, ovisno o pojedinačnom pravu studenata na prehranu (razine: 1, 2, 2,5 i 3). oko 54.000 redovitih studenata na visokim učilištima u gradu Zagrebu, koji su svoje pravo na prehranu ostvarivali u većem broju restorana Studentskog centra Zagreb (u restoranima SD Cvjetno naselje, SD Stjepan Radić, SD Lašćina, Savska 25 i u restoranima na sljedećim fakultetima: Akademiji likovnih umjetnosti, Fakultetu strojarstva i brodogradnje, Ekonomskom fakultetu, Fakultetu prometnih znanosti, Veterinarskom fakultetu, Šumarskom fakultetu te restoranu Znanstveno-učilišnog kampusa „Borongaj“.</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417"/>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gradova u RH u kojima se nudi studij, a koji imaju osiguranu studentsku prehranu. /Isto se odnosi na aktivnosti A621022-6A621031)</w:t>
            </w:r>
          </w:p>
        </w:tc>
        <w:tc>
          <w:tcPr>
            <w:tcW w:w="1300" w:type="dxa"/>
          </w:tcPr>
          <w:p w:rsidR="00AC0832" w:rsidRDefault="00AC0832">
            <w:pPr>
              <w:pStyle w:val="CellColumn"/>
            </w:pPr>
            <w:r>
              <w:t>Broj gradova u Republici Hrvatskoj u kojima se nudi studij, a koji imaju osiguranu studentsku prehranu</w:t>
            </w:r>
          </w:p>
        </w:tc>
        <w:tc>
          <w:tcPr>
            <w:tcW w:w="1300" w:type="dxa"/>
          </w:tcPr>
          <w:p w:rsidR="00AC0832" w:rsidRDefault="00AC0832">
            <w:pPr>
              <w:pStyle w:val="CellColumn"/>
            </w:pPr>
            <w:r>
              <w:t>Broj (kumulativno)</w:t>
            </w:r>
          </w:p>
        </w:tc>
        <w:tc>
          <w:tcPr>
            <w:tcW w:w="1300" w:type="dxa"/>
          </w:tcPr>
          <w:p w:rsidR="00AC0832" w:rsidRDefault="00AC0832">
            <w:pPr>
              <w:pStyle w:val="CellColumn"/>
            </w:pPr>
            <w:r>
              <w:t>25</w:t>
            </w:r>
          </w:p>
        </w:tc>
        <w:tc>
          <w:tcPr>
            <w:tcW w:w="1300" w:type="dxa"/>
          </w:tcPr>
          <w:p w:rsidR="00AC0832" w:rsidRDefault="00AC0832">
            <w:pPr>
              <w:pStyle w:val="CellColumn"/>
            </w:pPr>
            <w:r>
              <w:t>MZOS</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26</w:t>
            </w:r>
          </w:p>
        </w:tc>
      </w:tr>
    </w:tbl>
    <w:p w:rsidR="00AC0832" w:rsidRDefault="00AC0832">
      <w:pPr>
        <w:jc w:val="left"/>
      </w:pPr>
    </w:p>
    <w:p w:rsidR="00AC0832" w:rsidRDefault="00AC0832">
      <w:pPr>
        <w:pStyle w:val="Heading6"/>
      </w:pPr>
      <w:r>
        <w:t>A621022 SMJEŠTAJ I PREHRANA STUDENATA STUDENTSKOG CENTRA OSIJEK - SUFINANCIRANJE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A621022-SMJEŠTAJ I PREHRANA STUDENATA STUDENTSKOG CENTRA OSIJEK - SUFINANCIRANJE</w:t>
            </w:r>
          </w:p>
        </w:tc>
        <w:tc>
          <w:tcPr>
            <w:tcW w:w="2322" w:type="dxa"/>
          </w:tcPr>
          <w:p w:rsidR="00AC0832" w:rsidRDefault="00AC0832">
            <w:pPr>
              <w:pStyle w:val="CellColumn"/>
            </w:pPr>
            <w:r>
              <w:t>25.560.000</w:t>
            </w:r>
          </w:p>
        </w:tc>
        <w:tc>
          <w:tcPr>
            <w:tcW w:w="2322" w:type="dxa"/>
          </w:tcPr>
          <w:p w:rsidR="00AC0832" w:rsidRDefault="00AC0832">
            <w:pPr>
              <w:pStyle w:val="CellColumn"/>
            </w:pPr>
            <w:r>
              <w:t>25.560.000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Sredstva su usmjerena na plaćanje sljedećih troškova za redovite studente: </w:t>
      </w:r>
    </w:p>
    <w:p w:rsidR="00AC0832" w:rsidRDefault="00AC0832">
      <w:pPr>
        <w:pStyle w:val="Normal6"/>
      </w:pPr>
      <w:r>
        <w:t xml:space="preserve">1. subvencija za smještaj u dom u iznosu od 105,00 kn po pojedinačnom studentu za 686 redovitih studenata koji su bili smješteni u dva studentska doma koja djeluju u okviru Studentskog centra Osijek. </w:t>
      </w:r>
    </w:p>
    <w:p w:rsidR="00AC0832" w:rsidRDefault="00AC0832">
      <w:pPr>
        <w:pStyle w:val="Normal6"/>
      </w:pPr>
      <w:r>
        <w:t xml:space="preserve">2. subvencija za privatno podstanarstvo u iznosu od 147,00 kn po pojedinačnom studentu, a koju je koristilo ukupno 1.007 redovitih studenata na osječkom sveučilištu tijekom 2012. godine. </w:t>
      </w:r>
    </w:p>
    <w:p w:rsidR="00AC0832" w:rsidRDefault="00AC0832">
      <w:pPr>
        <w:pStyle w:val="Normal6"/>
      </w:pPr>
      <w:r>
        <w:t>3. subvenciju za studentsku prehranu, ovisno o pojedinačnom pravu studenta (razine prava: 1, 2, 2,5 i 3). koristilo je oko 11.500 redovitih studenata u Osijeku koji su svoje pravo na prehranu koristili u svim restoranima Studentskog centra Osijek (u restoranu „Index", "Gaudeamus", u restoranima pri pojedinim fakultetima te u restoranu u Kampusu).</w:t>
      </w:r>
    </w:p>
    <w:p w:rsidR="00AC0832" w:rsidRDefault="00AC0832">
      <w:pPr>
        <w:pStyle w:val="Heading6"/>
      </w:pPr>
      <w:r>
        <w:t>A621023 SMJEŠTAJ I PREHRANA STUDENATA STUDENTSKOG CENTRA RIJEKA - SUFINANCIRANJE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A621023-SMJEŠTAJ I PREHRANA STUDENATA STUDENTSKOG CENTRA RIJEKA - SUFINANCIRANJE</w:t>
            </w:r>
          </w:p>
        </w:tc>
        <w:tc>
          <w:tcPr>
            <w:tcW w:w="2322" w:type="dxa"/>
          </w:tcPr>
          <w:p w:rsidR="00AC0832" w:rsidRDefault="00AC0832">
            <w:pPr>
              <w:pStyle w:val="CellColumn"/>
            </w:pPr>
            <w:r>
              <w:t>19.540.000</w:t>
            </w:r>
          </w:p>
        </w:tc>
        <w:tc>
          <w:tcPr>
            <w:tcW w:w="2322" w:type="dxa"/>
          </w:tcPr>
          <w:p w:rsidR="00AC0832" w:rsidRDefault="00AC0832">
            <w:pPr>
              <w:pStyle w:val="CellColumn"/>
            </w:pPr>
            <w:r>
              <w:t>19.540.000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 xml:space="preserve">Sredstva su usmjerena na podmirivanje sljedećih troškova:  </w:t>
      </w:r>
    </w:p>
    <w:p w:rsidR="00AC0832" w:rsidRDefault="00AC0832">
      <w:pPr>
        <w:pStyle w:val="Normal6"/>
      </w:pPr>
      <w:r>
        <w:t xml:space="preserve">1. subvencija za smještaj redovitih studenata u studentski dom u iznosu 105,00 kn po pojedinačnom studentu, a subvencija je plaćena za 648 studenata koji su tijekom 2012. godine boravili u Studentskom naselju I.G: Kovačić u Studentskom centru Rijeka. </w:t>
      </w:r>
    </w:p>
    <w:p w:rsidR="00AC0832" w:rsidRDefault="00AC0832">
      <w:pPr>
        <w:pStyle w:val="Normal6"/>
      </w:pPr>
      <w:r>
        <w:t xml:space="preserve">2. subvenciju za privatno podstanarstvo u iznosu od 147,00 kn po pojedinačnom studentu primalo je tijekom 2012. godine ukupno 1572 redovita studenta. </w:t>
      </w:r>
    </w:p>
    <w:p w:rsidR="00AC0832" w:rsidRDefault="00AC0832">
      <w:pPr>
        <w:pStyle w:val="Normal6"/>
      </w:pPr>
      <w:r>
        <w:t>3. subvenciju za studentsku prehranu ovisno o pojedinačnom pravu studenta (razine: 1, 2, 2,5 i 3). koristilo je oko 11.000 studenata, koji su svoje pravo na prehranu ostvarivali  u restoranima studentskog centra "Indeks", "Mini" i "Medicinar" te u novoizgrađenom restoranu u riječkom kampusu.</w:t>
      </w:r>
    </w:p>
    <w:p w:rsidR="00AC0832" w:rsidRDefault="00AC0832">
      <w:pPr>
        <w:pStyle w:val="Heading6"/>
      </w:pPr>
      <w:r>
        <w:t>A621024 SMJEŠTAJ I PREHRANA STUDENATA STUDENTSKOG CENTRA SPLIT - SUFINANCIRANJE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A621024-SMJEŠTAJ I PREHRANA STUDENATA STUDENTSKOG CENTRA SPLIT - SUFINANCIRANJE</w:t>
            </w:r>
          </w:p>
        </w:tc>
        <w:tc>
          <w:tcPr>
            <w:tcW w:w="2322" w:type="dxa"/>
          </w:tcPr>
          <w:p w:rsidR="00AC0832" w:rsidRDefault="00AC0832">
            <w:pPr>
              <w:pStyle w:val="CellColumn"/>
            </w:pPr>
            <w:r>
              <w:t>22.800.000</w:t>
            </w:r>
          </w:p>
        </w:tc>
        <w:tc>
          <w:tcPr>
            <w:tcW w:w="2322" w:type="dxa"/>
          </w:tcPr>
          <w:p w:rsidR="00AC0832" w:rsidRDefault="00AC0832">
            <w:pPr>
              <w:pStyle w:val="CellColumn"/>
            </w:pPr>
            <w:r>
              <w:t>22.800.000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Sredstva su  usmjerena na podmirivanje troškova za:  </w:t>
      </w:r>
    </w:p>
    <w:p w:rsidR="00AC0832" w:rsidRDefault="00AC0832">
      <w:pPr>
        <w:pStyle w:val="Normal6"/>
      </w:pPr>
      <w:r>
        <w:t xml:space="preserve">1. subvencije za smještaj redovitih studenata studentski u dom u iznosu od 105,00 kn po pojedinačnom studentu. Tijekom 2012. godine subvencija se plaćala za ukupno 520 redovitih studenata koji su bili smješteni u studentskom domu Hostel Spinut i Bruno Bušić. </w:t>
      </w:r>
    </w:p>
    <w:p w:rsidR="00AC0832" w:rsidRDefault="00AC0832">
      <w:pPr>
        <w:pStyle w:val="Normal6"/>
      </w:pPr>
      <w:r>
        <w:t xml:space="preserve">2. subvenciju za privatno podstanarstvo u iznosu od 147,00 kn mjesečno po pojedinačnom studentu primalo je ukupno 819 redovitih studenata koji su imali osiguran privatni smještaj tijekom pohađanja visokog učilišta. </w:t>
      </w:r>
    </w:p>
    <w:p w:rsidR="00AC0832" w:rsidRDefault="00AC0832">
      <w:pPr>
        <w:pStyle w:val="Normal6"/>
      </w:pPr>
      <w:r>
        <w:t>3. subvencija za studentsku prehranu redovitih studenata, ovisno o pojedinačnom pravu studenta (razine prava: 1, 2, 2,5 i 3). Ovu subvenciju koristilo je oko 14.000 redovitih studenata Sveučilišta u Splitu, a koji su svoje pravo na prehranu ostvarivali u restoranima koji djeluju pri studentskim domovima i restoranima na visokim učilištima.</w:t>
      </w:r>
    </w:p>
    <w:p w:rsidR="00AC0832" w:rsidRDefault="00AC0832">
      <w:pPr>
        <w:pStyle w:val="Heading6"/>
      </w:pPr>
      <w:r>
        <w:t>A621026 SMJEŠTAJ I PREHRANA STUDENATA STUDENTSKOG CENTRA ŠIBENIK - SUFINANCIRANJE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A621026-SMJEŠTAJ I PREHRANA STUDENATA STUDENTSKOG CENTRA ŠIBENIK - SUFINANCIRANJE</w:t>
            </w:r>
          </w:p>
        </w:tc>
        <w:tc>
          <w:tcPr>
            <w:tcW w:w="2322" w:type="dxa"/>
          </w:tcPr>
          <w:p w:rsidR="00AC0832" w:rsidRDefault="00AC0832">
            <w:pPr>
              <w:pStyle w:val="CellColumn"/>
            </w:pPr>
            <w:r>
              <w:t>249.850</w:t>
            </w:r>
          </w:p>
        </w:tc>
        <w:tc>
          <w:tcPr>
            <w:tcW w:w="2322" w:type="dxa"/>
          </w:tcPr>
          <w:p w:rsidR="00AC0832" w:rsidRDefault="00AC0832">
            <w:pPr>
              <w:pStyle w:val="CellColumn"/>
            </w:pPr>
            <w:r>
              <w:t>221.417</w:t>
            </w:r>
          </w:p>
        </w:tc>
        <w:tc>
          <w:tcPr>
            <w:tcW w:w="2322" w:type="dxa"/>
          </w:tcPr>
          <w:p w:rsidR="00AC0832" w:rsidRDefault="00AC0832">
            <w:pPr>
              <w:pStyle w:val="CellColumn"/>
            </w:pPr>
            <w:r>
              <w:t>88,6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Sredstva su  utrošena za podmirivanje sljedećih troškova: </w:t>
      </w:r>
    </w:p>
    <w:p w:rsidR="00AC0832" w:rsidRDefault="00AC0832">
      <w:pPr>
        <w:pStyle w:val="Normal6"/>
      </w:pPr>
      <w:r>
        <w:t xml:space="preserve">1. subvencija za 68 redovitih studenata, u iznosu 105,00 kuna mjesečno po pojedinačnom studentu za smještaj istih u novom studentskom domu na Šubićevcu. </w:t>
      </w:r>
    </w:p>
    <w:p w:rsidR="00AC0832" w:rsidRDefault="00AC0832">
      <w:pPr>
        <w:pStyle w:val="Normal6"/>
      </w:pPr>
      <w:r>
        <w:t>2. subvenciju za studentsku prehranu redovitih studenata, ovisno o pojedinačnom pravu studenata (razine prava: 1, 2, 2,5 i 3). koristilo je oko 100 studenata u jednom privatnom ugostiteljskom objektu, koji je, nažalost, otkazao suradnju na pružanju usluge studentske prehrane te studenti na Veleučilištu u Šibeniku nisu imali nekoliko mjeseci organiziranu prehranu te je realizacija troškova bila znatno manja negoli u 2011. godini.</w:t>
      </w:r>
    </w:p>
    <w:p w:rsidR="00AC0832" w:rsidRDefault="00AC0832">
      <w:pPr>
        <w:pStyle w:val="Heading6"/>
      </w:pPr>
      <w:r>
        <w:t>A621028 SMJEŠTAJ I PREHRANA STUDENATA STUDENTSKOG CENTRA VARAŽDIN - SUFINANCIRANJE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A621028-SMJEŠTAJ I PREHRANA STUDENATA STUDENTSKOG CENTRA VARAŽDIN - SUFINANCIRANJE</w:t>
            </w:r>
          </w:p>
        </w:tc>
        <w:tc>
          <w:tcPr>
            <w:tcW w:w="2322" w:type="dxa"/>
          </w:tcPr>
          <w:p w:rsidR="00AC0832" w:rsidRDefault="00AC0832">
            <w:pPr>
              <w:pStyle w:val="CellColumn"/>
            </w:pPr>
            <w:r>
              <w:t>479.000</w:t>
            </w:r>
          </w:p>
        </w:tc>
        <w:tc>
          <w:tcPr>
            <w:tcW w:w="2322" w:type="dxa"/>
          </w:tcPr>
          <w:p w:rsidR="00AC0832" w:rsidRDefault="00AC0832">
            <w:pPr>
              <w:pStyle w:val="CellColumn"/>
            </w:pPr>
            <w:r>
              <w:t>479.000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Sredstva su usmjerena za podmirivanje sljedećih troškova:  </w:t>
      </w:r>
    </w:p>
    <w:p w:rsidR="00AC0832" w:rsidRDefault="00AC0832">
      <w:pPr>
        <w:pStyle w:val="Normal6"/>
      </w:pPr>
      <w:r>
        <w:t xml:space="preserve">1. subvencija za privatno podstanarstvo redovitih studenata u iznosu od 147,00 kn mjesečno po pojedinačnom studentu. Ukupno 140 studenata je primalo tijekom 2012. godine navedenu subvenciju.  </w:t>
      </w:r>
    </w:p>
    <w:p w:rsidR="00AC0832" w:rsidRDefault="00AC0832">
      <w:pPr>
        <w:pStyle w:val="Normal6"/>
      </w:pPr>
      <w:r>
        <w:t>2. Studentskom domu u Varaždinu isplaćivana je subvenciju za 260 redovitih studenata smještenih u domu u iznosu od 105,00 kuna po pojedinačnom studentu.</w:t>
      </w:r>
    </w:p>
    <w:p w:rsidR="00AC0832" w:rsidRDefault="00AC0832">
      <w:pPr>
        <w:pStyle w:val="Heading6"/>
      </w:pPr>
      <w:r>
        <w:t>A621029 SMJEŠTAJ I PREHRANA STUDENATA STUDENTSKOG CENTRA SLAVONSKI BROD - SUFINANCIRANJE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A621029-SMJEŠTAJ I PREHRANA STUDENATA STUDENTSKOG CENTRA SLAVONSKI BROD - SUFINANCIRANJE</w:t>
            </w:r>
          </w:p>
        </w:tc>
        <w:tc>
          <w:tcPr>
            <w:tcW w:w="2322" w:type="dxa"/>
          </w:tcPr>
          <w:p w:rsidR="00AC0832" w:rsidRDefault="00AC0832">
            <w:pPr>
              <w:pStyle w:val="CellColumn"/>
            </w:pPr>
            <w:r>
              <w:t>2.930.000</w:t>
            </w:r>
          </w:p>
        </w:tc>
        <w:tc>
          <w:tcPr>
            <w:tcW w:w="2322" w:type="dxa"/>
          </w:tcPr>
          <w:p w:rsidR="00AC0832" w:rsidRDefault="00AC0832">
            <w:pPr>
              <w:pStyle w:val="CellColumn"/>
            </w:pPr>
            <w:r>
              <w:t>2.930.000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Sredstva su usmjerena na podmirivanje sljedećih troškova: </w:t>
      </w:r>
    </w:p>
    <w:p w:rsidR="00AC0832" w:rsidRDefault="00AC0832">
      <w:pPr>
        <w:pStyle w:val="Normal6"/>
      </w:pPr>
      <w:r>
        <w:t xml:space="preserve">1. subvencija za privatno podstanarstvo u iznosu od 147,00 kuna mjesečno po pojedinačnom studentu. Subvenciju je primalo ukupno 98 redovitih studenata. </w:t>
      </w:r>
    </w:p>
    <w:p w:rsidR="00AC0832" w:rsidRDefault="00AC0832">
      <w:pPr>
        <w:pStyle w:val="Normal6"/>
      </w:pPr>
      <w:r>
        <w:t xml:space="preserve">2. subvencija za 114 redovitih studenata koji su smješteni u studentski dom Studentskog centra Slavonski Brod u iznosu od 105,00 kuna mjesečno po pojedinačnom studentu. </w:t>
      </w:r>
    </w:p>
    <w:p w:rsidR="00AC0832" w:rsidRDefault="00AC0832">
      <w:pPr>
        <w:pStyle w:val="Normal6"/>
      </w:pPr>
      <w:r>
        <w:t>3. subvenciju za studentsku prehranu redovitih studenata, ovisno o pojedinačnom pravu studenta (razine prava 1, 2, 2,5 i 3) koristilo je tijekom 2012. godine oko 920 studenata koji su svoje pravo na prehranu koristili u dva restorana.</w:t>
      </w:r>
    </w:p>
    <w:p w:rsidR="00AC0832" w:rsidRDefault="00AC0832">
      <w:pPr>
        <w:pStyle w:val="Heading6"/>
      </w:pPr>
      <w:r>
        <w:t>A621030 SMJEŠTAJ I PREHRANA STUDENATA STUDENTSKOG CENTRA POŽEGA - SUFINANCIRANJE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A621030-SMJEŠTAJ I PREHRANA STUDENATA STUDENTSKOG CENTRA POŽEGA - SUFINANCIRANJE</w:t>
            </w:r>
          </w:p>
        </w:tc>
        <w:tc>
          <w:tcPr>
            <w:tcW w:w="2322" w:type="dxa"/>
          </w:tcPr>
          <w:p w:rsidR="00AC0832" w:rsidRDefault="00AC0832">
            <w:pPr>
              <w:pStyle w:val="CellColumn"/>
            </w:pPr>
            <w:r>
              <w:t>1.290.000</w:t>
            </w:r>
          </w:p>
        </w:tc>
        <w:tc>
          <w:tcPr>
            <w:tcW w:w="2322" w:type="dxa"/>
          </w:tcPr>
          <w:p w:rsidR="00AC0832" w:rsidRDefault="00AC0832">
            <w:pPr>
              <w:pStyle w:val="CellColumn"/>
            </w:pPr>
            <w:r>
              <w:t>1.290.000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Sredstva su usmjerena na podmirivanje sljedećih troškova za redovite studente: </w:t>
      </w:r>
    </w:p>
    <w:p w:rsidR="00AC0832" w:rsidRDefault="00AC0832">
      <w:pPr>
        <w:pStyle w:val="Normal6"/>
      </w:pPr>
      <w:r>
        <w:t xml:space="preserve">1. subvenciju za privatno podstanarstvo u iznosu od 147,00 kuna mjesečno po pojedinačnom studentu koristilo je tijekom 2012. godine ukupno 148 redovitih studenata. </w:t>
      </w:r>
    </w:p>
    <w:p w:rsidR="00AC0832" w:rsidRDefault="00AC0832">
      <w:pPr>
        <w:pStyle w:val="Normal6"/>
      </w:pPr>
      <w:r>
        <w:t>2. subvenciju za studentsku prehranu redovitih studenata, ovisno o pojedinačnom pravu studenata (razine prava: 1, 2, 2,5 i 3). koristilo je tijekom 2012. godine oko 700 studenata u restoranu koji djeluje u sklopu Studentskog centra Požega.</w:t>
      </w:r>
    </w:p>
    <w:p w:rsidR="00AC0832" w:rsidRDefault="00AC0832">
      <w:pPr>
        <w:pStyle w:val="Heading6"/>
      </w:pPr>
      <w:r>
        <w:t>A621031 SMJEŠTAJ I PREHRANA STUDENATA STUDENTSKOG CENTRA KARLOVAC - SUFINANCIRANJE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A621031-SMJEŠTAJ I PREHRANA STUDENATA STUDENTSKOG CENTRA KARLOVAC - SUFINANCIRANJE</w:t>
            </w:r>
          </w:p>
        </w:tc>
        <w:tc>
          <w:tcPr>
            <w:tcW w:w="2322" w:type="dxa"/>
          </w:tcPr>
          <w:p w:rsidR="00AC0832" w:rsidRDefault="00AC0832">
            <w:pPr>
              <w:pStyle w:val="CellColumn"/>
            </w:pPr>
            <w:r>
              <w:t>1.501.667</w:t>
            </w:r>
          </w:p>
        </w:tc>
        <w:tc>
          <w:tcPr>
            <w:tcW w:w="2322" w:type="dxa"/>
          </w:tcPr>
          <w:p w:rsidR="00AC0832" w:rsidRDefault="00AC0832">
            <w:pPr>
              <w:pStyle w:val="CellColumn"/>
            </w:pPr>
            <w:r>
              <w:t>1.490.407</w:t>
            </w:r>
          </w:p>
        </w:tc>
        <w:tc>
          <w:tcPr>
            <w:tcW w:w="2322" w:type="dxa"/>
          </w:tcPr>
          <w:p w:rsidR="00AC0832" w:rsidRDefault="00AC0832">
            <w:pPr>
              <w:pStyle w:val="CellColumn"/>
            </w:pPr>
            <w:r>
              <w:t>99,3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Sredstva su  korištena za sljedeću svrhu: </w:t>
      </w:r>
    </w:p>
    <w:p w:rsidR="00AC0832" w:rsidRDefault="00AC0832">
      <w:pPr>
        <w:pStyle w:val="Normal6"/>
      </w:pPr>
      <w:r>
        <w:t>1. subvenciju za studentsku prehranu redovitih studenata, ovisno o pojedinačnom pravu studenata (razine prava: 1, 2, 2,5 i 3). koristilo je oko 1.100 studenata Veleučilišta u Karlovcu, koji su svoje pravo na prehranu ostvarivali tijekom 2012. godine u restoranu Tempo u Karlovcu.</w:t>
      </w:r>
    </w:p>
    <w:p w:rsidR="00AC0832" w:rsidRDefault="00AC0832">
      <w:pPr>
        <w:pStyle w:val="Heading6"/>
      </w:pPr>
    </w:p>
    <w:p w:rsidR="00AC0832" w:rsidRDefault="00AC0832">
      <w:pPr>
        <w:pStyle w:val="Heading6"/>
      </w:pPr>
    </w:p>
    <w:p w:rsidR="00AC0832" w:rsidRDefault="00AC0832">
      <w:pPr>
        <w:pStyle w:val="Heading6"/>
      </w:pPr>
      <w:r>
        <w:t>A621058 PROGRAMI POBOLJŠANJA STUDENTSKOG STANDARDA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A621058-PROGRAMI POBOLJŠANJA STUDENTSKOG STANDARDA</w:t>
            </w:r>
          </w:p>
        </w:tc>
        <w:tc>
          <w:tcPr>
            <w:tcW w:w="2322" w:type="dxa"/>
          </w:tcPr>
          <w:p w:rsidR="00AC0832" w:rsidRDefault="00AC0832">
            <w:pPr>
              <w:pStyle w:val="CellColumn"/>
            </w:pPr>
            <w:r>
              <w:t>51.326.653</w:t>
            </w:r>
          </w:p>
        </w:tc>
        <w:tc>
          <w:tcPr>
            <w:tcW w:w="2322" w:type="dxa"/>
          </w:tcPr>
          <w:p w:rsidR="00AC0832" w:rsidRDefault="00AC0832">
            <w:pPr>
              <w:pStyle w:val="CellColumn"/>
            </w:pPr>
            <w:r>
              <w:t>51.325.866</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Sredstva su bila usmjerena na plaćanje sljedećih izdataka za redovite studente: plaćanje prijevoza redovitih studenata u gradovima Rijeka, Split i Osijek; plaćanje prijevoza redovitih studenata s invaliditetom koji se ne mogu koristiti uslugom javnog prijevoza; plaćanje izdataka za smještaj i prehranu redovitih studenata koji su smješteni u slobodne kapacitete učeničkih domova; plaćanje izdataka za prehranu redovitih studenata, ovisno o pojedinačnoj razini prava studenata (razine prava:1, 2, 2,5 i 3) koju su studenti koristili u privatnim ugostiteljskim objektima (u onim gradovima u kojima ne djeluje studentski centar ili je kapacitet za prehranu studentskih centara nedostatan za objektivne potrebe studenata za uslugom prehrane); potporu za studenticu s invaliditetom Lanu Prager, koja studira na Grafičkom fakultetu (obrazovanje na daljinu).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417"/>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gradova u RH u kojima se nudi studij, a koji imaju osiguranu studentsku prehranu</w:t>
            </w:r>
          </w:p>
        </w:tc>
        <w:tc>
          <w:tcPr>
            <w:tcW w:w="1300" w:type="dxa"/>
          </w:tcPr>
          <w:p w:rsidR="00AC0832" w:rsidRDefault="00AC0832">
            <w:pPr>
              <w:pStyle w:val="CellColumn"/>
            </w:pPr>
            <w:r>
              <w:t>Broj gradova u Republici Hrvatskoj u kojima se nudi studij, a koji imaju osiguranu studentsku prehranu</w:t>
            </w:r>
          </w:p>
        </w:tc>
        <w:tc>
          <w:tcPr>
            <w:tcW w:w="1300" w:type="dxa"/>
          </w:tcPr>
          <w:p w:rsidR="00AC0832" w:rsidRDefault="00AC0832">
            <w:pPr>
              <w:pStyle w:val="CellColumn"/>
            </w:pPr>
            <w:r>
              <w:t>Broj (kumulativno)</w:t>
            </w:r>
          </w:p>
        </w:tc>
        <w:tc>
          <w:tcPr>
            <w:tcW w:w="1300" w:type="dxa"/>
          </w:tcPr>
          <w:p w:rsidR="00AC0832" w:rsidRDefault="00AC0832">
            <w:pPr>
              <w:pStyle w:val="CellColumn"/>
            </w:pPr>
            <w:r>
              <w:t>25</w:t>
            </w: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26</w:t>
            </w:r>
          </w:p>
        </w:tc>
      </w:tr>
    </w:tbl>
    <w:p w:rsidR="00AC0832" w:rsidRDefault="00AC0832">
      <w:pPr>
        <w:jc w:val="left"/>
      </w:pPr>
    </w:p>
    <w:p w:rsidR="00AC0832" w:rsidRDefault="00AC0832">
      <w:pPr>
        <w:pStyle w:val="Heading6"/>
      </w:pPr>
      <w:r>
        <w:t>A621183 STIPENDIJE I ŠKOLARINE ZA DOKTORSKI STUDIJ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A621183-STIPENDIJE I ŠKOLARINE ZA DOKTORSKI STUDIJ</w:t>
            </w:r>
          </w:p>
        </w:tc>
        <w:tc>
          <w:tcPr>
            <w:tcW w:w="2322" w:type="dxa"/>
          </w:tcPr>
          <w:p w:rsidR="00AC0832" w:rsidRDefault="00AC0832">
            <w:pPr>
              <w:pStyle w:val="CellColumn"/>
            </w:pPr>
            <w:r>
              <w:t>5.992.438</w:t>
            </w:r>
          </w:p>
        </w:tc>
        <w:tc>
          <w:tcPr>
            <w:tcW w:w="2322" w:type="dxa"/>
          </w:tcPr>
          <w:p w:rsidR="00AC0832" w:rsidRDefault="00AC0832">
            <w:pPr>
              <w:pStyle w:val="CellColumn"/>
            </w:pPr>
            <w:r>
              <w:t>5.992.437</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Realizirane su poslijediplomske doktorske školarine, naknade za izradu i opremu magisterija i doktorata prema kolektivnom ugovoru.</w:t>
      </w:r>
    </w:p>
    <w:p w:rsidR="00AC0832" w:rsidRDefault="00AC0832">
      <w:pPr>
        <w:pStyle w:val="Heading6"/>
      </w:pPr>
      <w:r>
        <w:t>A621184 NACIONALNA ZAKLADA ZA POTPORU UČENIČKOG I STUDENTSKOG STANDARDA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A621184-NACIONALNA ZAKLADA ZA POTPORU UČENIČKOG I STUDENTSKOG STANDARDA</w:t>
            </w:r>
          </w:p>
        </w:tc>
        <w:tc>
          <w:tcPr>
            <w:tcW w:w="2322" w:type="dxa"/>
          </w:tcPr>
          <w:p w:rsidR="00AC0832" w:rsidRDefault="00AC0832">
            <w:pPr>
              <w:pStyle w:val="CellColumn"/>
            </w:pPr>
            <w:r>
              <w:t>3.924.000</w:t>
            </w:r>
          </w:p>
        </w:tc>
        <w:tc>
          <w:tcPr>
            <w:tcW w:w="2322" w:type="dxa"/>
          </w:tcPr>
          <w:p w:rsidR="00AC0832" w:rsidRDefault="00AC0832">
            <w:pPr>
              <w:pStyle w:val="CellColumn"/>
            </w:pPr>
            <w:r>
              <w:t>3.924.000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Sredstva su  namijenjena za isplatu stipendija u nekoliko kategorija redovitim studentima koje je Nacionalna zaklada za potporu učeničkom i studentskom standardu dodijelila na javnom natječaju tijekom akademske godine 2011./2012.</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2"/>
        <w:gridCol w:w="1306"/>
        <w:gridCol w:w="1417"/>
        <w:gridCol w:w="1282"/>
        <w:gridCol w:w="1350"/>
        <w:gridCol w:w="1283"/>
        <w:gridCol w:w="128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dodijeljenih stipendija u RH u različitim kategorijama</w:t>
            </w:r>
          </w:p>
        </w:tc>
        <w:tc>
          <w:tcPr>
            <w:tcW w:w="1300" w:type="dxa"/>
          </w:tcPr>
          <w:p w:rsidR="00AC0832" w:rsidRDefault="00AC0832">
            <w:pPr>
              <w:pStyle w:val="CellColumn"/>
            </w:pPr>
            <w:r>
              <w:t>Ukupan broj dodijeljenih stipendija u visokome obrazovanju u Hrvatskoj</w:t>
            </w:r>
          </w:p>
        </w:tc>
        <w:tc>
          <w:tcPr>
            <w:tcW w:w="1300" w:type="dxa"/>
          </w:tcPr>
          <w:p w:rsidR="00AC0832" w:rsidRDefault="00AC0832">
            <w:pPr>
              <w:pStyle w:val="CellColumn"/>
            </w:pPr>
            <w:r>
              <w:t>Broj (kumulativno)</w:t>
            </w:r>
          </w:p>
        </w:tc>
        <w:tc>
          <w:tcPr>
            <w:tcW w:w="1300" w:type="dxa"/>
          </w:tcPr>
          <w:p w:rsidR="00AC0832" w:rsidRDefault="00AC0832">
            <w:pPr>
              <w:pStyle w:val="CellColumn"/>
            </w:pPr>
            <w:r>
              <w:t>6.000</w:t>
            </w:r>
          </w:p>
        </w:tc>
        <w:tc>
          <w:tcPr>
            <w:tcW w:w="1300" w:type="dxa"/>
          </w:tcPr>
          <w:p w:rsidR="00AC0832" w:rsidRDefault="00AC0832">
            <w:pPr>
              <w:pStyle w:val="CellColumn"/>
            </w:pPr>
            <w:r>
              <w:t xml:space="preserve">MZOS i  </w:t>
            </w:r>
          </w:p>
          <w:p w:rsidR="00AC0832" w:rsidRDefault="00AC0832">
            <w:pPr>
              <w:pStyle w:val="CellColumn"/>
            </w:pPr>
            <w:r>
              <w:t>Nacionalna zaklada za potporu učeničkom I studentskom standardu</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3000</w:t>
            </w:r>
          </w:p>
        </w:tc>
      </w:tr>
    </w:tbl>
    <w:p w:rsidR="00AC0832" w:rsidRDefault="00AC0832">
      <w:pPr>
        <w:jc w:val="left"/>
      </w:pPr>
    </w:p>
    <w:p w:rsidR="00AC0832" w:rsidRDefault="00AC0832">
      <w:pPr>
        <w:pStyle w:val="Heading6"/>
      </w:pPr>
      <w:r>
        <w:t>A622122 TROŠKOVI ŠKOLARINE ZA DIPLOMSKI I PREDDIPLOMSKI STUDIJ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A622122-TROŠKOVI ŠKOLARINE ZA DIPLOMSKI I PREDDIPLOMSKI STUDIJ</w:t>
            </w:r>
          </w:p>
        </w:tc>
        <w:tc>
          <w:tcPr>
            <w:tcW w:w="2322" w:type="dxa"/>
          </w:tcPr>
          <w:p w:rsidR="00AC0832" w:rsidRDefault="00AC0832">
            <w:pPr>
              <w:pStyle w:val="CellColumn"/>
            </w:pPr>
            <w:r>
              <w:t>184.500.000</w:t>
            </w:r>
          </w:p>
        </w:tc>
        <w:tc>
          <w:tcPr>
            <w:tcW w:w="2322" w:type="dxa"/>
          </w:tcPr>
          <w:p w:rsidR="00AC0832" w:rsidRDefault="00AC0832">
            <w:pPr>
              <w:pStyle w:val="CellColumn"/>
            </w:pPr>
            <w:r>
              <w:t>184.499.884</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okviru navedene aktivnosti realizirani su:   </w:t>
      </w:r>
    </w:p>
    <w:p w:rsidR="00AC0832" w:rsidRDefault="00AC0832">
      <w:pPr>
        <w:pStyle w:val="Normal6"/>
      </w:pPr>
      <w:r>
        <w:t xml:space="preserve">-puna subvencija participacije u troškovima studija redovitih studenata za prvu godinu preddiplomskog sveučilišnog studija, integriranog preddiplomskog i diplomskog sveučilišnog studija, odnosno stručnog studija te prvu godinu diplomskog sveučilišnog studija i specijalističkog diplomskog stručnog studija na javnom visokom učilištu a temeljem Odluke Vlade RH o subvenciji troškova studija za redovite studente prve godine studija na javnim visokim učilištima u RH u akademskoj godini 2012./2013., od 17. svibnja 2012. godine;  </w:t>
      </w:r>
    </w:p>
    <w:p w:rsidR="00AC0832" w:rsidRDefault="00AC0832">
      <w:pPr>
        <w:pStyle w:val="Normal6"/>
      </w:pPr>
      <w:r>
        <w:t>-punu subvenciju participacije u troškovima studija redovitih studenata preddiplomskih sveučilišnih, integriranih preddiplomskih i diplomskih sveučilišnih, diplomskih sveučilišnih, stručnih i specijalističkih diplomskih stručnih studija:  koji u akademskoj godini 2013./2014. ili 2014./2015. po prvi put upisuju prvu godinu studija na javnom visokom učilištu; koji su, u trenutku kada upisuju akademske godine 2012./2013., 2013./2014. i 2014./ 2015., u prethodnoj akademskoj godini stekli najmanje 55 ECTS bodova na studijskom programu javnih visokih učilišta. Za studente s utvrđenim invaliditetom višim od 60%, za ostvarivanje ovih prava minimalni broj ECTS bodova stečen u prethodnoj akademskoj godini je 30.; koji u akademskoj godini 2012./2013. po prvi put upisuju drugu godinu diplomskih sveučilišnih ili specijalističkih diplomskih stručnih, te četvrtu, petu ili šestu godinu integriranih preddiplomskih i diplomskih sveučilišnih studijskih programa javnih visokih učilišta; a temeljem Odluke Vlade Republike Hrvatske o punoj subvenciji participacije u troškovima studija za redovite studente na javnim visokim učilištima u Republici Hrvatskoj u akademskoj godini 2012./2013., 2013./2014. i 2014./2015., od 2. kolovoza 2012. godine.</w:t>
      </w:r>
    </w:p>
    <w:p w:rsidR="00AC0832" w:rsidRDefault="00AC0832">
      <w:pPr>
        <w:pStyle w:val="Heading6"/>
      </w:pPr>
      <w:r>
        <w:t>K320650 SVEUČILIŠTE U SPLITU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K320650-SVEUČILIŠTE U SPLITU</w:t>
            </w:r>
          </w:p>
        </w:tc>
        <w:tc>
          <w:tcPr>
            <w:tcW w:w="2322" w:type="dxa"/>
          </w:tcPr>
          <w:p w:rsidR="00AC0832" w:rsidRDefault="00AC0832">
            <w:pPr>
              <w:pStyle w:val="CellColumn"/>
            </w:pPr>
            <w:r>
              <w:t>12.000.000</w:t>
            </w:r>
          </w:p>
        </w:tc>
        <w:tc>
          <w:tcPr>
            <w:tcW w:w="2322" w:type="dxa"/>
          </w:tcPr>
          <w:p w:rsidR="00AC0832" w:rsidRDefault="00AC0832">
            <w:pPr>
              <w:pStyle w:val="CellColumn"/>
            </w:pPr>
            <w:r>
              <w:t>12.000.000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Financirani radovi završetka građevine "Zgrade tri fakulteta" i Studentskog doma u kampu Visoka. Puštanje u funkciju tijekom 2013. godine.</w:t>
      </w:r>
    </w:p>
    <w:p w:rsidR="00AC0832" w:rsidRDefault="00AC0832">
      <w:pPr>
        <w:pStyle w:val="Heading6"/>
      </w:pPr>
      <w:r>
        <w:t>K320676 SVEUČILIŠTE U RIJECI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K320676-SVEUČILIŠTE U RIJECI</w:t>
            </w:r>
          </w:p>
        </w:tc>
        <w:tc>
          <w:tcPr>
            <w:tcW w:w="2322" w:type="dxa"/>
          </w:tcPr>
          <w:p w:rsidR="00AC0832" w:rsidRDefault="00AC0832">
            <w:pPr>
              <w:pStyle w:val="CellColumn"/>
            </w:pPr>
            <w:r>
              <w:t>11.100.000</w:t>
            </w:r>
          </w:p>
        </w:tc>
        <w:tc>
          <w:tcPr>
            <w:tcW w:w="2322" w:type="dxa"/>
          </w:tcPr>
          <w:p w:rsidR="00AC0832" w:rsidRDefault="00AC0832">
            <w:pPr>
              <w:pStyle w:val="CellColumn"/>
            </w:pPr>
            <w:r>
              <w:t>11.100.000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Financirani radovi na zgradi Građevinksog fakulteta i zgradi Sveučilišnih odjela za matematiku, fiziku, informatiku i biotehnologiju u Kampusu Trsat u Rijeci.</w:t>
      </w:r>
    </w:p>
    <w:p w:rsidR="00AC0832" w:rsidRDefault="00AC0832">
      <w:pPr>
        <w:pStyle w:val="Heading6"/>
      </w:pPr>
      <w:r>
        <w:t>K621142 SVEUČILIŠTE U ZADRU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K621142-SVEUČILIŠTE U ZADRU</w:t>
            </w:r>
          </w:p>
        </w:tc>
        <w:tc>
          <w:tcPr>
            <w:tcW w:w="2322" w:type="dxa"/>
          </w:tcPr>
          <w:p w:rsidR="00AC0832" w:rsidRDefault="00AC0832">
            <w:pPr>
              <w:pStyle w:val="CellColumn"/>
            </w:pPr>
            <w:r>
              <w:t>1.000.000</w:t>
            </w:r>
          </w:p>
        </w:tc>
        <w:tc>
          <w:tcPr>
            <w:tcW w:w="2322" w:type="dxa"/>
          </w:tcPr>
          <w:p w:rsidR="00AC0832" w:rsidRDefault="00AC0832">
            <w:pPr>
              <w:pStyle w:val="CellColumn"/>
            </w:pPr>
            <w:r>
              <w:t>1.000.000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Financirani radovi na postojećim zgradama Sveučilišta, nastavak u 2013. godini.</w:t>
      </w:r>
    </w:p>
    <w:p w:rsidR="00AC0832" w:rsidRDefault="00AC0832">
      <w:pPr>
        <w:pStyle w:val="Heading6"/>
      </w:pPr>
      <w:r>
        <w:t>K621143 SVEUČILIŠTE U ZAGREBU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K621143-SVEUČILIŠTE U ZAGREBU</w:t>
            </w:r>
          </w:p>
        </w:tc>
        <w:tc>
          <w:tcPr>
            <w:tcW w:w="2322" w:type="dxa"/>
          </w:tcPr>
          <w:p w:rsidR="00AC0832" w:rsidRDefault="00AC0832">
            <w:pPr>
              <w:pStyle w:val="CellColumn"/>
            </w:pPr>
            <w:r>
              <w:t>6.000.000</w:t>
            </w:r>
          </w:p>
        </w:tc>
        <w:tc>
          <w:tcPr>
            <w:tcW w:w="2322" w:type="dxa"/>
          </w:tcPr>
          <w:p w:rsidR="00AC0832" w:rsidRDefault="00AC0832">
            <w:pPr>
              <w:pStyle w:val="CellColumn"/>
            </w:pPr>
            <w:r>
              <w:t>6.000.000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Financirani radovi na građevini Muzičke Akademija u Zagrebu, nastavak u 2013. godini.</w:t>
      </w:r>
    </w:p>
    <w:p w:rsidR="00AC0832" w:rsidRDefault="00AC0832">
      <w:pPr>
        <w:pStyle w:val="Heading6"/>
      </w:pPr>
      <w:r>
        <w:t>K621177 SVEUČILIŠTE U PULI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K621177-SVEUČILIŠTE U PULI</w:t>
            </w:r>
          </w:p>
        </w:tc>
        <w:tc>
          <w:tcPr>
            <w:tcW w:w="2322" w:type="dxa"/>
          </w:tcPr>
          <w:p w:rsidR="00AC0832" w:rsidRDefault="00AC0832">
            <w:pPr>
              <w:pStyle w:val="CellColumn"/>
            </w:pPr>
            <w:r>
              <w:t>7.000.000</w:t>
            </w:r>
          </w:p>
        </w:tc>
        <w:tc>
          <w:tcPr>
            <w:tcW w:w="2322" w:type="dxa"/>
          </w:tcPr>
          <w:p w:rsidR="00AC0832" w:rsidRDefault="00AC0832">
            <w:pPr>
              <w:pStyle w:val="CellColumn"/>
            </w:pPr>
            <w:r>
              <w:t>7.000.000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Financirani radovi na izgradnji Studentskog doma i restorana u Puli. Nastavak u 2013. godini.</w:t>
      </w:r>
    </w:p>
    <w:p w:rsidR="00AC0832" w:rsidRDefault="00AC0832">
      <w:pPr>
        <w:pStyle w:val="Heading2"/>
      </w:pPr>
      <w:r>
        <w:t>08008 Javni instituti u Republici Hrvatskoj</w:t>
      </w:r>
    </w:p>
    <w:p w:rsidR="00AC0832" w:rsidRDefault="00AC0832">
      <w:pPr>
        <w:pStyle w:val="Heading4"/>
      </w:pPr>
      <w:r>
        <w:t>Uvod</w:t>
      </w:r>
    </w:p>
    <w:p w:rsidR="00AC0832" w:rsidRDefault="00AC0832">
      <w:pPr>
        <w:pStyle w:val="Normal3"/>
      </w:pPr>
      <w:r>
        <w:t xml:space="preserve">Javni znanstveni instituti, osnovani s ciljem planiranja i provođenja znanstvenih istraživanja, čine okosnicu znanstvenog sustava u Republici Hrvatskoj. Primarna zadaća javnih znanstvenih instituta, sukladno Zakonu o znanosti i visokom obrazovanju, usmjerena su i razvojna istraživanja, što će se ostvarivati postupno i stvarnim sagledavanjem stanja, a vodeći se rezultatima temeljnih istraživanja. Sveučilišne su ustanove, po svojoj naravi, akademska središta, zbog čega su im primjerena temeljna istraživanja. Unutar ove glave provodi se financiranje osnovne djelatnosti javnih instituta, od financiranja materijalnih troškova redovitog poslovanja do plaća i ostalih prava znanstvenika te stručnog, tehničkog i administrativnog osoblja. Glava 08 obuhvaća i aktivnosti financiranja redovne djelatnosti Geološke službe što je opet povezano s javnim institutom kao organizatorom i provoditeljem navedene djelatnosti i istraživanja.  </w:t>
      </w:r>
    </w:p>
    <w:p w:rsidR="00AC0832" w:rsidRDefault="00AC0832">
      <w:pPr>
        <w:pStyle w:val="Normal3"/>
      </w:pPr>
      <w:r>
        <w:t>Javni znanstveni instituti osnovani su uredbom Vlade Republike Hrvatske radi ostvarivanja znanstvenih programa od strateškog interesa za Republiku Hrvatsku. Isti su dužni pratiti razvoj znanosti u svojem znanstvenom području, sagledavati potrebe društva i primjenjivati znanstvene rezultate i dostignuća u neposrednoj praksi, te sudjelovati u uspostavljanju i razvoju znanstvene infrastrukture od interesa za cjelokupni sustav, kako znanstvene djelatnosti, tako i sustava visokog obrazovanja. U tu svrhu javni znanstveni instituti surađuju i s visokim učilištima u znanstvenom radu i izvođenju studijskih programa u skladu s znanstvenim programom instituta te znanstvenim i studijskim programima visokih učilišta.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08008-Javni instituti u Republici Hrvatskoj</w:t>
            </w:r>
          </w:p>
        </w:tc>
        <w:tc>
          <w:tcPr>
            <w:tcW w:w="2322" w:type="dxa"/>
          </w:tcPr>
          <w:p w:rsidR="00AC0832" w:rsidRDefault="00AC0832">
            <w:pPr>
              <w:pStyle w:val="CellColumn"/>
            </w:pPr>
            <w:r>
              <w:t>345.196.746</w:t>
            </w:r>
          </w:p>
        </w:tc>
        <w:tc>
          <w:tcPr>
            <w:tcW w:w="2322" w:type="dxa"/>
          </w:tcPr>
          <w:p w:rsidR="00AC0832" w:rsidRDefault="00AC0832">
            <w:pPr>
              <w:pStyle w:val="CellColumn"/>
            </w:pPr>
            <w:r>
              <w:t>345.181.728</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Small"/>
            </w:pPr>
            <w:r>
              <w:t>3801-ULAGANJE U ZNANSTVENO ISTRAŽIVAČKU DJELATNOST</w:t>
            </w:r>
          </w:p>
        </w:tc>
        <w:tc>
          <w:tcPr>
            <w:tcW w:w="2322" w:type="dxa"/>
          </w:tcPr>
          <w:p w:rsidR="00AC0832" w:rsidRDefault="00AC0832">
            <w:pPr>
              <w:pStyle w:val="CellColumnSmall"/>
            </w:pPr>
            <w:r>
              <w:t>345.196.746</w:t>
            </w:r>
          </w:p>
        </w:tc>
        <w:tc>
          <w:tcPr>
            <w:tcW w:w="2322" w:type="dxa"/>
          </w:tcPr>
          <w:p w:rsidR="00AC0832" w:rsidRDefault="00AC0832">
            <w:pPr>
              <w:pStyle w:val="CellColumnSmall"/>
            </w:pPr>
            <w:r>
              <w:t>345.181.728</w:t>
            </w:r>
          </w:p>
        </w:tc>
        <w:tc>
          <w:tcPr>
            <w:tcW w:w="2322" w:type="dxa"/>
          </w:tcPr>
          <w:p w:rsidR="00AC0832" w:rsidRDefault="00AC0832">
            <w:pPr>
              <w:pStyle w:val="CellColumnSmall"/>
            </w:pPr>
            <w:r>
              <w:t>100,0</w:t>
            </w:r>
          </w:p>
        </w:tc>
      </w:tr>
    </w:tbl>
    <w:p w:rsidR="00AC0832" w:rsidRDefault="00AC0832">
      <w:pPr>
        <w:jc w:val="left"/>
      </w:pPr>
    </w:p>
    <w:p w:rsidR="00AC0832" w:rsidRDefault="00AC0832">
      <w:pPr>
        <w:pStyle w:val="Heading4"/>
      </w:pPr>
      <w:r>
        <w:t>OBRAZLOŽENJE PROGRAMA</w:t>
      </w:r>
    </w:p>
    <w:p w:rsidR="00AC0832" w:rsidRDefault="00AC0832">
      <w:pPr>
        <w:pStyle w:val="Heading5"/>
      </w:pPr>
      <w:r>
        <w:t>3801 ULAGANJE U ZNANSTVENO ISTRAŽIVAČKU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3801-ULAGANJE U ZNANSTVENO ISTRAŽIVAČKU DJELATNOST</w:t>
            </w:r>
          </w:p>
        </w:tc>
        <w:tc>
          <w:tcPr>
            <w:tcW w:w="2322" w:type="dxa"/>
          </w:tcPr>
          <w:p w:rsidR="00AC0832" w:rsidRDefault="00AC0832">
            <w:pPr>
              <w:pStyle w:val="CellColumn"/>
            </w:pPr>
            <w:r>
              <w:t>345.196.746</w:t>
            </w:r>
          </w:p>
        </w:tc>
        <w:tc>
          <w:tcPr>
            <w:tcW w:w="2322" w:type="dxa"/>
          </w:tcPr>
          <w:p w:rsidR="00AC0832" w:rsidRDefault="00AC0832">
            <w:pPr>
              <w:pStyle w:val="CellColumn"/>
            </w:pPr>
            <w:r>
              <w:t>345.181.728</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Opis programa</w:t>
      </w:r>
    </w:p>
    <w:p w:rsidR="00AC0832" w:rsidRDefault="00AC0832">
      <w:pPr>
        <w:pStyle w:val="Normal5"/>
      </w:pPr>
      <w:r>
        <w:t xml:space="preserve">Razvoj znanstvenoga, tehnologijskoga i inovacijskoga sustava omogućit će izgradnju Hrvatske kao zemlje okrenute znanju i inovacijama, s konačnim ciljem povećanja konkurentnosti, produktivnosti i zapošljavanja te, sukladno tome, ostvarenja stabilnoga i održivoga gospodarskog rasta. Navedeno se postiže kroz sustavnu suradnju Vlade Republike Hrvatske i Ministarstva znanosti, obrazovanja i sporta u procesu odlučivanja i upravljanja te uključenjem znanstvene i obrazovne zajednice u proces planiranja i provođenja razvojnih mjera za znanost i tehnologiju usmjerenih prema ostvarivanju prepoznatih nacionalnih prioriteta u znanstvenoj djelatnosti, snažnijem profiliranju javnih znanstvenih instituta i sveučilišnih ustanova na nacionalnoj i međunarodnoj razini te donošenju i provedbi javnih politika temeljenih na znanstvenim rezultatima. Također će se sustavno nastaviti raditi na jačanju postojećih ljudskih i infrastrukturnih znanstvenih potencijala te se iste kontinuirano usmjeravati prema većoj kvaliteti, značaju i strukturiranosti znanstvene djelatnosti. </w:t>
      </w:r>
    </w:p>
    <w:p w:rsidR="00AC0832" w:rsidRDefault="00AC0832">
      <w:pPr>
        <w:pStyle w:val="Normal5"/>
      </w:pPr>
      <w:r>
        <w:t xml:space="preserve">Provedba ovog Programa vezana je uz ostvarivanje općeg cilja pod brojem 2. Razvoj znanosti kao pokretača dugoročnoga gospodarskog i društvenog razvoja u Strateškom planu za razdoblje 2012.-2014. Ministarstva znanosti, obrazovanja i sporta. </w:t>
      </w:r>
    </w:p>
    <w:p w:rsidR="00AC0832" w:rsidRDefault="00AC0832">
      <w:pPr>
        <w:pStyle w:val="Normal5"/>
      </w:pPr>
      <w:r>
        <w:t>Provedba Programa 3801 Ulaganje u znanstvenoistraživačku djelatnost usklađeni je s mjerama i sredstvima za "predanost visokom obrazovanju i znanstvenom istraživanju koja će biti u skladu s potrebama tržišta rada i jačanja konkurentnosti hrvatske materijalne i nematerijalne proizvodnje", sukladno Programu Vlade Republike Hrvatske za mandat 2011.-2015.</w:t>
      </w:r>
    </w:p>
    <w:p w:rsidR="00AC0832" w:rsidRDefault="00AC0832">
      <w:pPr>
        <w:pStyle w:val="Heading6"/>
      </w:pPr>
      <w:r>
        <w:t>Zakonske i druge pravne osnove</w:t>
      </w:r>
    </w:p>
    <w:p w:rsidR="00AC0832" w:rsidRDefault="00AC0832">
      <w:pPr>
        <w:pStyle w:val="Normal5"/>
      </w:pPr>
      <w:r>
        <w:t>Zakon o znanstvenoj djelatnosti i visokom obrazovanju (NN 123/03; 198/03; 105/04; 174/04 i 46/07 i 45/09); Kolektivni ugovor za znanost i visoko obrazovanje (NN 142/10); Temeljni kolektivni ugovor za službenike i namještenike u javnim službama (NN 115/10); Zakon o geološkim istraživanjima, (NN 34/86); Zakon o ustanovama (NN 76/93; 29/97; 47/99 i 35/08); Pravilnik o vrednovanju znanstvenih organizacija (NN 104/08); Pravilnik o uvjetima i postupku za izdavanje dopusnice za obavljanje znanstvene djelatnosti (NN 97/07: 98/07 i 83/10); Pravilnik o upisniku znanstvenika (NN 72/04; 80/04 i 82/10); Pravilnik o upisniku znanstvenih organizacija i Upisnika visokih učilišta, NN 72/04 i 80/04</w:t>
      </w:r>
    </w:p>
    <w:p w:rsidR="00AC0832" w:rsidRDefault="00AC0832">
      <w:pPr>
        <w:pStyle w:val="Heading7"/>
      </w:pPr>
      <w:r>
        <w:t>Cilj 1. Poticati jače povezivanje znanstvenoga potencijala na javnim institutima i sveučilištima s gospodarskim i društvenim razvojem</w:t>
      </w:r>
    </w:p>
    <w:p w:rsidR="00AC0832" w:rsidRDefault="00AC0832">
      <w:pPr>
        <w:pStyle w:val="Heading8"/>
        <w:jc w:val="left"/>
      </w:pPr>
      <w:r>
        <w:t>Opis provedbe cilja programa</w:t>
      </w:r>
    </w:p>
    <w:p w:rsidR="00AC0832" w:rsidRDefault="00AC0832">
      <w:pPr>
        <w:pStyle w:val="Normal6"/>
      </w:pPr>
      <w:r>
        <w:t>Poticati jače povezivanje znanstvenoga potencijala na javnim institutima i sveučilištima s gospodarskim i društvenim razvojem</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Porast udjela vlastitith prihoda javnih znanstvenih instituta u ukupnim prihodima</w:t>
            </w:r>
          </w:p>
        </w:tc>
        <w:tc>
          <w:tcPr>
            <w:tcW w:w="1300" w:type="dxa"/>
          </w:tcPr>
          <w:p w:rsidR="00AC0832" w:rsidRDefault="00AC0832">
            <w:pPr>
              <w:pStyle w:val="CellColumn"/>
            </w:pPr>
            <w:r>
              <w:t>Porast udjela prihoda koje instituti ostvaruju na tržištu u ukupnim prihodima instituta</w:t>
            </w:r>
          </w:p>
        </w:tc>
        <w:tc>
          <w:tcPr>
            <w:tcW w:w="1300" w:type="dxa"/>
          </w:tcPr>
          <w:p w:rsidR="00AC0832" w:rsidRDefault="00AC0832">
            <w:pPr>
              <w:pStyle w:val="CellColumn"/>
            </w:pPr>
            <w:r>
              <w:t>postotni udio</w:t>
            </w:r>
          </w:p>
        </w:tc>
        <w:tc>
          <w:tcPr>
            <w:tcW w:w="1300" w:type="dxa"/>
          </w:tcPr>
          <w:p w:rsidR="00AC0832" w:rsidRDefault="00AC0832">
            <w:pPr>
              <w:pStyle w:val="CellColumn"/>
            </w:pPr>
            <w:r>
              <w:t xml:space="preserve">21%  </w:t>
            </w:r>
          </w:p>
          <w:p w:rsidR="00AC0832" w:rsidRDefault="00AC0832">
            <w:pPr>
              <w:pStyle w:val="CellColumn"/>
            </w:pPr>
            <w:r>
              <w:t>(2010.)</w:t>
            </w:r>
          </w:p>
        </w:tc>
        <w:tc>
          <w:tcPr>
            <w:tcW w:w="1300" w:type="dxa"/>
          </w:tcPr>
          <w:p w:rsidR="00AC0832" w:rsidRDefault="00AC0832">
            <w:pPr>
              <w:pStyle w:val="CellColumn"/>
            </w:pPr>
            <w:r>
              <w:t>MZOŠ</w:t>
            </w:r>
          </w:p>
        </w:tc>
        <w:tc>
          <w:tcPr>
            <w:tcW w:w="1300" w:type="dxa"/>
          </w:tcPr>
          <w:p w:rsidR="00AC0832" w:rsidRDefault="00AC0832">
            <w:pPr>
              <w:pStyle w:val="CellColumn"/>
            </w:pPr>
            <w:r>
              <w:t>22%</w:t>
            </w:r>
          </w:p>
        </w:tc>
        <w:tc>
          <w:tcPr>
            <w:tcW w:w="1300" w:type="dxa"/>
          </w:tcPr>
          <w:p w:rsidR="00AC0832" w:rsidRDefault="00AC0832">
            <w:pPr>
              <w:pStyle w:val="CellColumn"/>
            </w:pPr>
            <w:r>
              <w:t>25</w:t>
            </w:r>
          </w:p>
        </w:tc>
      </w:tr>
    </w:tbl>
    <w:p w:rsidR="00AC0832" w:rsidRDefault="00AC0832">
      <w:pPr>
        <w:jc w:val="left"/>
      </w:pPr>
    </w:p>
    <w:p w:rsidR="00AC0832" w:rsidRDefault="00AC0832">
      <w:pPr>
        <w:pStyle w:val="Heading6"/>
      </w:pPr>
      <w:r>
        <w:t>A622000 REDOVNA DJELATNOST JAVNIH INSTITUTA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A622000-REDOVNA DJELATNOST JAVNIH INSTITUTA</w:t>
            </w:r>
          </w:p>
        </w:tc>
        <w:tc>
          <w:tcPr>
            <w:tcW w:w="2322" w:type="dxa"/>
          </w:tcPr>
          <w:p w:rsidR="00AC0832" w:rsidRDefault="00AC0832">
            <w:pPr>
              <w:pStyle w:val="CellColumn"/>
            </w:pPr>
            <w:r>
              <w:t>342.422.785</w:t>
            </w:r>
          </w:p>
        </w:tc>
        <w:tc>
          <w:tcPr>
            <w:tcW w:w="2322" w:type="dxa"/>
          </w:tcPr>
          <w:p w:rsidR="00AC0832" w:rsidRDefault="00AC0832">
            <w:pPr>
              <w:pStyle w:val="CellColumn"/>
            </w:pPr>
            <w:r>
              <w:t>342.420.510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Ministarstvo znanosti, obrazovanja i sporta financira 25 javnih znanstvenih instituta s ukupno 1650 zaposlenika na teret Ministarstva, osnovanih i financiranih u svrhu provođenja i realizacije znanstvene djelatnosti u Republici Hrvatskoj. U sklopu aktivnosti financirane su plaće i ostali rashodi za zaposlenike (materijalna prava te prijevoz na posao i s posla) javnih instituta, te osnovni materijalni troškovi (hladni pogon) odvijanja redovitog poslovanja instituta.</w:t>
      </w:r>
    </w:p>
    <w:p w:rsidR="00AC0832" w:rsidRDefault="00AC0832">
      <w:pPr>
        <w:pStyle w:val="Heading6"/>
      </w:pPr>
      <w:r>
        <w:t>A622011 REDOVNA DJELATNOST GEOLOŠKE SLUŽBE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A622011-REDOVNA DJELATNOST GEOLOŠKE SLUŽBE</w:t>
            </w:r>
          </w:p>
        </w:tc>
        <w:tc>
          <w:tcPr>
            <w:tcW w:w="2322" w:type="dxa"/>
          </w:tcPr>
          <w:p w:rsidR="00AC0832" w:rsidRDefault="00AC0832">
            <w:pPr>
              <w:pStyle w:val="CellColumn"/>
            </w:pPr>
            <w:r>
              <w:t>279.040</w:t>
            </w:r>
          </w:p>
        </w:tc>
        <w:tc>
          <w:tcPr>
            <w:tcW w:w="2322" w:type="dxa"/>
          </w:tcPr>
          <w:p w:rsidR="00AC0832" w:rsidRDefault="00AC0832">
            <w:pPr>
              <w:pStyle w:val="CellColumn"/>
            </w:pPr>
            <w:r>
              <w:t>266.943</w:t>
            </w:r>
          </w:p>
        </w:tc>
        <w:tc>
          <w:tcPr>
            <w:tcW w:w="2322" w:type="dxa"/>
          </w:tcPr>
          <w:p w:rsidR="00AC0832" w:rsidRDefault="00AC0832">
            <w:pPr>
              <w:pStyle w:val="CellColumn"/>
            </w:pPr>
            <w:r>
              <w:t>95,7</w:t>
            </w:r>
          </w:p>
        </w:tc>
      </w:tr>
    </w:tbl>
    <w:p w:rsidR="00AC0832" w:rsidRDefault="00AC0832">
      <w:pPr>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Kroz ovu aktivnost provodi se financiranje redovne djelatnosti Geološke službe, što podrazumijeva financiranje dijela projekata temeljenih na geološkim istraživanjima te s tim vezanom izradom geoloških karata. Geološka služba, unutar Hrvatskog geološkog instituta, predstavlja središnji arhiv geološke dokumentacije za čuvanje svih vrsta tiskanih geoloških karata, unos podataka iz evidencijskih listova vanjskih arhiva, pohranjivanje inženjersko-geoloških i podataka o mineralnim sirovinama, podzemnim vodama i stijenama, evidentiranje elaborata, izviješća, studija i numeričkih podataka. Aktivnost se provodi temeljem posebne Odluke Vlade Republike Hrvatske, predstavljajući tako višegodišnju razvojnu aktivnost koja se u potpunosti uklapa u strategiju razvoja znanosti u Republici Hrvatskoj, s posebnim naglaskom na razvoj znanstvenih istraživanja u području geologije.</w:t>
      </w:r>
    </w:p>
    <w:p w:rsidR="00AC0832" w:rsidRDefault="00AC0832">
      <w:pPr>
        <w:pStyle w:val="Heading6"/>
      </w:pPr>
      <w:r>
        <w:t>A622120 PRAVOMOĆNE SUDSKE PRESUDE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A622120-PRAVOMOĆNE SUDSKE PRESUDE</w:t>
            </w:r>
          </w:p>
        </w:tc>
        <w:tc>
          <w:tcPr>
            <w:tcW w:w="2322" w:type="dxa"/>
          </w:tcPr>
          <w:p w:rsidR="00AC0832" w:rsidRDefault="00AC0832">
            <w:pPr>
              <w:pStyle w:val="CellColumn"/>
            </w:pPr>
            <w:r>
              <w:t>565.921</w:t>
            </w:r>
          </w:p>
        </w:tc>
        <w:tc>
          <w:tcPr>
            <w:tcW w:w="2322" w:type="dxa"/>
          </w:tcPr>
          <w:p w:rsidR="00AC0832" w:rsidRDefault="00AC0832">
            <w:pPr>
              <w:pStyle w:val="CellColumn"/>
            </w:pPr>
            <w:r>
              <w:t>565.921</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Temeljem Kolektivnog ugovora za znanost i visoko obrazovanje zaposlenici javnih znanstvenih instituta, između ostalih, imaju pravo i na dodatak na plaću u visini od 7% do 15% za rad na poslovima s posebnim uvjetima rada i na poslovima s izvorima opasnosti. Uslijed neisplate ovoga dodatka zaposlenici javnih instituta podignuli su pojedinačne i/ili kolektivne tužbe protiv javnih instituta kao svojih poslodavaca koji im, sukladno zaključenim sudskim nagodbama ili mirnim rješenjima spora, isplaćuju potraživanja po ovome pravu. U 2012. godini refundirane su isplate po navedenom pravu za oko 50 zaposlenika na tri javna instituta.</w:t>
      </w:r>
    </w:p>
    <w:p w:rsidR="00AC0832" w:rsidRDefault="00AC0832">
      <w:pPr>
        <w:pStyle w:val="Heading6"/>
      </w:pPr>
      <w:r>
        <w:t>K622113 IZRAVNA KAPITALNA ULAGANJA JAVNIH INSTITUTA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K622113-IZRAVNA KAPITALNA ULAGANJA JAVNIH INSTITUTA</w:t>
            </w:r>
          </w:p>
        </w:tc>
        <w:tc>
          <w:tcPr>
            <w:tcW w:w="2322" w:type="dxa"/>
          </w:tcPr>
          <w:p w:rsidR="00AC0832" w:rsidRDefault="00AC0832">
            <w:pPr>
              <w:pStyle w:val="CellColumn"/>
            </w:pPr>
            <w:r>
              <w:t>1.929.000</w:t>
            </w:r>
          </w:p>
        </w:tc>
        <w:tc>
          <w:tcPr>
            <w:tcW w:w="2322" w:type="dxa"/>
          </w:tcPr>
          <w:p w:rsidR="00AC0832" w:rsidRDefault="00AC0832">
            <w:pPr>
              <w:pStyle w:val="CellColumn"/>
            </w:pPr>
            <w:r>
              <w:t>1.928.353</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Financijskim sredstvima za kapitalna ulaganja javnih znanstvenih instituta trebali bi se financirati veliki kapitalni projekti, popravci i ulaganja koja javni instituti imaju, poput popravaka dotrajalog krovišta ili kanalizacijskog sustava. U 2012. godini djelomično je financiran redoviti godišnji remont znanstvenoistraživačkih brodova Instituta Ruđer Bošković.</w:t>
      </w:r>
    </w:p>
    <w:p w:rsidR="00AC0832" w:rsidRDefault="00AC0832">
      <w:pPr>
        <w:pStyle w:val="Heading2"/>
      </w:pPr>
      <w:r>
        <w:t>08009 Državni hidrometeorološki zavod</w:t>
      </w:r>
    </w:p>
    <w:p w:rsidR="00AC0832" w:rsidRDefault="00AC0832">
      <w:pPr>
        <w:pStyle w:val="Heading4"/>
      </w:pPr>
      <w:r>
        <w:t>Uvod</w:t>
      </w:r>
    </w:p>
    <w:p w:rsidR="00AC0832" w:rsidRDefault="00AC0832">
      <w:pPr>
        <w:pStyle w:val="Normal3"/>
      </w:pPr>
      <w:r>
        <w:t xml:space="preserve">DHMZ je kao nacionalna meteorološka i hidrološka služba dio svjetske mreže nacionalnih meteoroloških i hidroloških službi pod okriljem Svjetske meteorološke organizacije. </w:t>
      </w:r>
    </w:p>
    <w:p w:rsidR="00AC0832" w:rsidRDefault="00AC0832">
      <w:pPr>
        <w:pStyle w:val="Normal3"/>
      </w:pPr>
      <w:r>
        <w:t xml:space="preserve"> </w:t>
      </w:r>
    </w:p>
    <w:p w:rsidR="00AC0832" w:rsidRDefault="00AC0832">
      <w:pPr>
        <w:pStyle w:val="Normal3"/>
      </w:pPr>
      <w:r>
        <w:t>DHMZ je pravna osoba koja obavlja i znanstvenoistraživačku djelatnost» u znanstvenom području prirodnih znanosti.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08009-Državni hidrometeorološki zavod</w:t>
            </w:r>
          </w:p>
        </w:tc>
        <w:tc>
          <w:tcPr>
            <w:tcW w:w="2322" w:type="dxa"/>
          </w:tcPr>
          <w:p w:rsidR="00AC0832" w:rsidRDefault="00AC0832">
            <w:pPr>
              <w:pStyle w:val="CellColumn"/>
            </w:pPr>
            <w:r>
              <w:t>100.741.051</w:t>
            </w:r>
          </w:p>
        </w:tc>
        <w:tc>
          <w:tcPr>
            <w:tcW w:w="2322" w:type="dxa"/>
          </w:tcPr>
          <w:p w:rsidR="00AC0832" w:rsidRDefault="00AC0832">
            <w:pPr>
              <w:pStyle w:val="CellColumn"/>
            </w:pPr>
            <w:r>
              <w:t>100.264.269</w:t>
            </w:r>
          </w:p>
        </w:tc>
        <w:tc>
          <w:tcPr>
            <w:tcW w:w="2322" w:type="dxa"/>
          </w:tcPr>
          <w:p w:rsidR="00AC0832" w:rsidRDefault="00AC0832">
            <w:pPr>
              <w:pStyle w:val="CellColumn"/>
            </w:pPr>
            <w:r>
              <w:t>99,5</w:t>
            </w:r>
          </w:p>
        </w:tc>
      </w:tr>
      <w:tr w:rsidR="00AC0832" w:rsidTr="00BE20ED">
        <w:trPr>
          <w:jc w:val="center"/>
        </w:trPr>
        <w:tc>
          <w:tcPr>
            <w:tcW w:w="2322" w:type="dxa"/>
          </w:tcPr>
          <w:p w:rsidR="00AC0832" w:rsidRDefault="00AC0832">
            <w:pPr>
              <w:pStyle w:val="CellColumnSmall"/>
            </w:pPr>
            <w:r>
              <w:t>3407-METEOROLOGIJA, HIDROLOGIJA I KAKVOĆA ZRAKA</w:t>
            </w:r>
          </w:p>
        </w:tc>
        <w:tc>
          <w:tcPr>
            <w:tcW w:w="2322" w:type="dxa"/>
          </w:tcPr>
          <w:p w:rsidR="00AC0832" w:rsidRDefault="00AC0832">
            <w:pPr>
              <w:pStyle w:val="CellColumnSmall"/>
            </w:pPr>
            <w:r>
              <w:t>100.741.051</w:t>
            </w:r>
          </w:p>
        </w:tc>
        <w:tc>
          <w:tcPr>
            <w:tcW w:w="2322" w:type="dxa"/>
          </w:tcPr>
          <w:p w:rsidR="00AC0832" w:rsidRDefault="00AC0832">
            <w:pPr>
              <w:pStyle w:val="CellColumnSmall"/>
            </w:pPr>
            <w:r>
              <w:t>100.264.269</w:t>
            </w:r>
          </w:p>
        </w:tc>
        <w:tc>
          <w:tcPr>
            <w:tcW w:w="2322" w:type="dxa"/>
          </w:tcPr>
          <w:p w:rsidR="00AC0832" w:rsidRDefault="00AC0832">
            <w:pPr>
              <w:pStyle w:val="CellColumnSmall"/>
            </w:pPr>
            <w:r>
              <w:t>99,5</w:t>
            </w:r>
          </w:p>
        </w:tc>
      </w:tr>
    </w:tbl>
    <w:p w:rsidR="00AC0832" w:rsidRDefault="00AC0832">
      <w:pPr>
        <w:jc w:val="left"/>
      </w:pPr>
    </w:p>
    <w:p w:rsidR="00AC0832" w:rsidRDefault="00AC0832">
      <w:pPr>
        <w:pStyle w:val="Heading4"/>
      </w:pPr>
      <w:r>
        <w:t>OBRAZLOŽENJE PROGRAMA</w:t>
      </w:r>
    </w:p>
    <w:p w:rsidR="00AC0832" w:rsidRDefault="00AC0832">
      <w:pPr>
        <w:pStyle w:val="Heading5"/>
      </w:pPr>
      <w:r>
        <w:t>3407 METEOROLOGIJA, HIDROLOGIJA I KAKVOĆA ZRAKA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3407-METEOROLOGIJA, HIDROLOGIJA I KAKVOĆA ZRAKA</w:t>
            </w:r>
          </w:p>
        </w:tc>
        <w:tc>
          <w:tcPr>
            <w:tcW w:w="2322" w:type="dxa"/>
          </w:tcPr>
          <w:p w:rsidR="00AC0832" w:rsidRDefault="00AC0832">
            <w:pPr>
              <w:pStyle w:val="CellColumn"/>
            </w:pPr>
            <w:r>
              <w:t>100.741.051</w:t>
            </w:r>
          </w:p>
        </w:tc>
        <w:tc>
          <w:tcPr>
            <w:tcW w:w="2322" w:type="dxa"/>
          </w:tcPr>
          <w:p w:rsidR="00AC0832" w:rsidRDefault="00AC0832">
            <w:pPr>
              <w:pStyle w:val="CellColumn"/>
            </w:pPr>
            <w:r>
              <w:t>100.264.269</w:t>
            </w:r>
          </w:p>
        </w:tc>
        <w:tc>
          <w:tcPr>
            <w:tcW w:w="2322" w:type="dxa"/>
          </w:tcPr>
          <w:p w:rsidR="00AC0832" w:rsidRDefault="00AC0832">
            <w:pPr>
              <w:pStyle w:val="CellColumn"/>
            </w:pPr>
            <w:r>
              <w:t>99,5</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  3407 Meteorologija, hidrologija i kakvoća zraka proizlazi iz zakonskih obveza Strateškog plana DHMZ-a te Strategije razvoja Regije VI (Europa) Svjetske meteorološke organizacije. Obuhvaća stručne poslove meteoroloških i hidroloških mjerenja, razvoja i istraživanja, održavanja i razvoja meteorološke i hidrološke infrastrukture, prikupljanje i obradu podataka, izradu prognoza i upozorenja te stručnih analiza, podloga i elaborata vezanih za vrijeme, klimu, vodu i zrak. </w:t>
      </w:r>
    </w:p>
    <w:p w:rsidR="00AC0832" w:rsidRDefault="00AC0832">
      <w:pPr>
        <w:pStyle w:val="Normal5"/>
      </w:pPr>
      <w:r>
        <w:t>Opći cilj programa je podržati održivi i gospodarski razvoj države te zaštitu života, dobara i okoliša informacijama o vremenu, klimi, vodama i zraku te upozorenjima na opasne vremenske, hidrološke i ekološke pojave i klimatske ekstreme u cilju ublažavanja njihovih posljedica suglasno preporukama Svjetske meteorološke organizacije i direktivama Europske Unije.</w:t>
      </w:r>
    </w:p>
    <w:p w:rsidR="00AC0832" w:rsidRDefault="00AC0832">
      <w:pPr>
        <w:pStyle w:val="Heading6"/>
      </w:pPr>
    </w:p>
    <w:p w:rsidR="00AC0832" w:rsidRDefault="00AC0832">
      <w:pPr>
        <w:pStyle w:val="Heading6"/>
      </w:pPr>
      <w:r>
        <w:t>Zakonske i druge pravne osnove</w:t>
      </w:r>
    </w:p>
    <w:p w:rsidR="00AC0832" w:rsidRDefault="00AC0832">
      <w:pPr>
        <w:pStyle w:val="Normal5"/>
      </w:pPr>
      <w:r>
        <w:t xml:space="preserve">Zakon o obavljanju poslova hidrometeorološke službe SRH (NN 14/78) </w:t>
      </w:r>
    </w:p>
    <w:p w:rsidR="00AC0832" w:rsidRDefault="00AC0832">
      <w:pPr>
        <w:pStyle w:val="Normal5"/>
      </w:pPr>
      <w:r>
        <w:t xml:space="preserve">Zakon o sustavu obrane od tuče (NN 53/01) </w:t>
      </w:r>
    </w:p>
    <w:p w:rsidR="00AC0832" w:rsidRDefault="00AC0832">
      <w:pPr>
        <w:pStyle w:val="Normal5"/>
      </w:pPr>
      <w:r>
        <w:t>Zakon o zaštiti zraka (NN 178/04, NN 60/08, NN 130/11)</w:t>
      </w:r>
    </w:p>
    <w:p w:rsidR="00AC0832" w:rsidRDefault="00AC0832">
      <w:pPr>
        <w:pStyle w:val="Heading7"/>
      </w:pPr>
      <w:r>
        <w:t xml:space="preserve">Cilj 1. Poboljšana kvaliteta i količina meteoroloških (klimatoloških) i hidroloških informacija  radi zaštite sigurnosti građana i njihove imovine te smanjenja rizika od katastrofa  naglašenih promjenom klime.  </w:t>
      </w:r>
    </w:p>
    <w:p w:rsidR="00AC0832" w:rsidRDefault="00AC0832">
      <w:pPr>
        <w:pStyle w:val="Heading8"/>
        <w:jc w:val="left"/>
      </w:pPr>
      <w:r>
        <w:t>Opis provedbe cilja programa</w:t>
      </w:r>
    </w:p>
    <w:p w:rsidR="00AC0832" w:rsidRDefault="00AC0832">
      <w:pPr>
        <w:pStyle w:val="Normal6"/>
      </w:pPr>
      <w:r>
        <w:t>Poboljšana kvaliteta i količina meteoroloških i hidroloških informacija neophodna je kako bi se zaštitio život, okoliš, gospodarstvo i financijski resursi RH te, naročito, kako bi se ublažile štetne posljedice i društvo prilagodilo povećanom riziku katastrofa i novim uvjetima uslijed nastalih promjena klime. DHMZ kontinuirano radi na razvoju i uspostavi integriranog informacijskog sustava za praćenje i prognozu stanja atmosfere i stanja voda od vrlo kratkoročne prognoze vremena i voda do dugoročnih klimatskih scenarija (od sezonskih do stoljetnih). Da bi navedeni sustav bio učinkovit potrebni su kvalitetni i obimniji meteorološki i hidrološki podaci naročito kroz praćenje vremena i klime te stanja voda, uključujući razvoj olujnih oblaka i pojavu bujičnih poplava na cjelokupnom području RH.</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8"/>
        <w:gridCol w:w="1239"/>
        <w:gridCol w:w="1294"/>
        <w:gridCol w:w="1361"/>
        <w:gridCol w:w="1241"/>
        <w:gridCol w:w="1361"/>
        <w:gridCol w:w="126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radara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 radar</w:t>
            </w:r>
          </w:p>
        </w:tc>
        <w:tc>
          <w:tcPr>
            <w:tcW w:w="1300" w:type="dxa"/>
          </w:tcPr>
          <w:p w:rsidR="00AC0832" w:rsidRDefault="00AC0832">
            <w:pPr>
              <w:pStyle w:val="CellColumn"/>
            </w:pPr>
            <w:r>
              <w:t>2</w:t>
            </w:r>
          </w:p>
        </w:tc>
        <w:tc>
          <w:tcPr>
            <w:tcW w:w="1300" w:type="dxa"/>
          </w:tcPr>
          <w:p w:rsidR="00AC0832" w:rsidRDefault="00AC0832">
            <w:pPr>
              <w:pStyle w:val="CellColumn"/>
            </w:pPr>
            <w:r>
              <w:t>DHMZ</w:t>
            </w:r>
          </w:p>
        </w:tc>
        <w:tc>
          <w:tcPr>
            <w:tcW w:w="1300" w:type="dxa"/>
          </w:tcPr>
          <w:p w:rsidR="00AC0832" w:rsidRDefault="00AC0832">
            <w:pPr>
              <w:pStyle w:val="CellColumn"/>
            </w:pPr>
            <w:r>
              <w:t>2</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Broj radarskih podataka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1 volume scan svakih 15 minuta x broj radara</w:t>
            </w:r>
          </w:p>
        </w:tc>
        <w:tc>
          <w:tcPr>
            <w:tcW w:w="1300" w:type="dxa"/>
          </w:tcPr>
          <w:p w:rsidR="00AC0832" w:rsidRDefault="00AC0832">
            <w:pPr>
              <w:pStyle w:val="CellColumn"/>
            </w:pPr>
            <w:r>
              <w:t>1 volume scan svakih 15 minuta x 2 radara</w:t>
            </w:r>
          </w:p>
        </w:tc>
        <w:tc>
          <w:tcPr>
            <w:tcW w:w="1300" w:type="dxa"/>
          </w:tcPr>
          <w:p w:rsidR="00AC0832" w:rsidRDefault="00AC0832">
            <w:pPr>
              <w:pStyle w:val="CellColumn"/>
            </w:pPr>
            <w:r>
              <w:t>DHMZ</w:t>
            </w:r>
          </w:p>
        </w:tc>
        <w:tc>
          <w:tcPr>
            <w:tcW w:w="1300" w:type="dxa"/>
          </w:tcPr>
          <w:p w:rsidR="00AC0832" w:rsidRDefault="00AC0832">
            <w:pPr>
              <w:pStyle w:val="CellColumn"/>
            </w:pPr>
            <w:r>
              <w:t>1 volume scan svakih 15 minuta x 2 radara</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Broj podataka integriranih u jedinstveni sustav</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Kompozitna slika od x radara</w:t>
            </w:r>
          </w:p>
        </w:tc>
        <w:tc>
          <w:tcPr>
            <w:tcW w:w="1300" w:type="dxa"/>
          </w:tcPr>
          <w:p w:rsidR="00AC0832" w:rsidRDefault="00AC0832">
            <w:pPr>
              <w:pStyle w:val="CellColumn"/>
            </w:pPr>
            <w:r>
              <w:t>Kompozitna slika od 2 radara</w:t>
            </w:r>
          </w:p>
        </w:tc>
        <w:tc>
          <w:tcPr>
            <w:tcW w:w="1300" w:type="dxa"/>
          </w:tcPr>
          <w:p w:rsidR="00AC0832" w:rsidRDefault="00AC0832">
            <w:pPr>
              <w:pStyle w:val="CellColumn"/>
            </w:pPr>
            <w:r>
              <w:t>DHMZ</w:t>
            </w:r>
          </w:p>
        </w:tc>
        <w:tc>
          <w:tcPr>
            <w:tcW w:w="1300" w:type="dxa"/>
          </w:tcPr>
          <w:p w:rsidR="00AC0832" w:rsidRDefault="00AC0832">
            <w:pPr>
              <w:pStyle w:val="CellColumn"/>
            </w:pPr>
            <w:r>
              <w:t>Kompozitna slika od 2 radara</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Izrada data huba za prijem i automatsku kontrolu ulaznih podataka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 podataka koji su prošli real time kontrolu kvalitete u odnosu na ukupan broj polaznih podataka</w:t>
            </w:r>
          </w:p>
        </w:tc>
        <w:tc>
          <w:tcPr>
            <w:tcW w:w="1300" w:type="dxa"/>
          </w:tcPr>
          <w:p w:rsidR="00AC0832" w:rsidRDefault="00AC0832">
            <w:pPr>
              <w:pStyle w:val="CellColumn"/>
            </w:pPr>
            <w:r>
              <w:t>0 %</w:t>
            </w:r>
          </w:p>
        </w:tc>
        <w:tc>
          <w:tcPr>
            <w:tcW w:w="1300" w:type="dxa"/>
          </w:tcPr>
          <w:p w:rsidR="00AC0832" w:rsidRDefault="00AC0832">
            <w:pPr>
              <w:pStyle w:val="CellColumn"/>
            </w:pPr>
            <w:r>
              <w:t>DHMZ</w:t>
            </w:r>
          </w:p>
        </w:tc>
        <w:tc>
          <w:tcPr>
            <w:tcW w:w="1300" w:type="dxa"/>
          </w:tcPr>
          <w:p w:rsidR="00AC0832" w:rsidRDefault="00AC0832">
            <w:pPr>
              <w:pStyle w:val="CellColumn"/>
            </w:pPr>
            <w:r>
              <w:t>10 %</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povezivanje postojećih baza podataka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 postojećih baza podataka povezanih u integrirani sustav</w:t>
            </w:r>
          </w:p>
        </w:tc>
        <w:tc>
          <w:tcPr>
            <w:tcW w:w="1300" w:type="dxa"/>
          </w:tcPr>
          <w:p w:rsidR="00AC0832" w:rsidRDefault="00AC0832">
            <w:pPr>
              <w:pStyle w:val="CellColumn"/>
            </w:pPr>
            <w:r>
              <w:t>0%</w:t>
            </w:r>
          </w:p>
        </w:tc>
        <w:tc>
          <w:tcPr>
            <w:tcW w:w="1300" w:type="dxa"/>
          </w:tcPr>
          <w:p w:rsidR="00AC0832" w:rsidRDefault="00AC0832">
            <w:pPr>
              <w:pStyle w:val="CellColumn"/>
            </w:pPr>
            <w:r>
              <w:t>DHMZ</w:t>
            </w:r>
          </w:p>
        </w:tc>
        <w:tc>
          <w:tcPr>
            <w:tcW w:w="1300" w:type="dxa"/>
          </w:tcPr>
          <w:p w:rsidR="00AC0832" w:rsidRDefault="00AC0832">
            <w:pPr>
              <w:pStyle w:val="CellColumn"/>
            </w:pPr>
            <w:r>
              <w:t>10%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Izrada i definiranje standardnih metoda prikaza podataka iz baze podatak</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 podataka koji se mogu prikazati uz jedinstveni standard</w:t>
            </w:r>
          </w:p>
        </w:tc>
        <w:tc>
          <w:tcPr>
            <w:tcW w:w="1300" w:type="dxa"/>
          </w:tcPr>
          <w:p w:rsidR="00AC0832" w:rsidRDefault="00AC0832">
            <w:pPr>
              <w:pStyle w:val="CellColumn"/>
            </w:pPr>
            <w:r>
              <w:t>0%</w:t>
            </w:r>
          </w:p>
        </w:tc>
        <w:tc>
          <w:tcPr>
            <w:tcW w:w="1300" w:type="dxa"/>
          </w:tcPr>
          <w:p w:rsidR="00AC0832" w:rsidRDefault="00AC0832">
            <w:pPr>
              <w:pStyle w:val="CellColumn"/>
            </w:pPr>
            <w:r>
              <w:t>DHMZ</w:t>
            </w:r>
          </w:p>
        </w:tc>
        <w:tc>
          <w:tcPr>
            <w:tcW w:w="1300" w:type="dxa"/>
          </w:tcPr>
          <w:p w:rsidR="00AC0832" w:rsidRDefault="00AC0832">
            <w:pPr>
              <w:pStyle w:val="CellColumn"/>
            </w:pPr>
            <w:r>
              <w:t>10%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Izrada i definiranje standardnih metoda prikaza podataka iz baze podatak</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 podataka koji se mogu prikazati uz jedinstveni standard</w:t>
            </w:r>
          </w:p>
        </w:tc>
        <w:tc>
          <w:tcPr>
            <w:tcW w:w="1300" w:type="dxa"/>
          </w:tcPr>
          <w:p w:rsidR="00AC0832" w:rsidRDefault="00AC0832">
            <w:pPr>
              <w:pStyle w:val="CellColumn"/>
            </w:pPr>
            <w:r>
              <w:t>10%</w:t>
            </w:r>
          </w:p>
        </w:tc>
        <w:tc>
          <w:tcPr>
            <w:tcW w:w="1300" w:type="dxa"/>
          </w:tcPr>
          <w:p w:rsidR="00AC0832" w:rsidRDefault="00AC0832">
            <w:pPr>
              <w:pStyle w:val="CellColumn"/>
            </w:pPr>
            <w:r>
              <w:t>DHMZ</w:t>
            </w:r>
          </w:p>
        </w:tc>
        <w:tc>
          <w:tcPr>
            <w:tcW w:w="1300" w:type="dxa"/>
          </w:tcPr>
          <w:p w:rsidR="00AC0832" w:rsidRDefault="00AC0832">
            <w:pPr>
              <w:pStyle w:val="CellColumn"/>
            </w:pPr>
            <w:r>
              <w:t>20%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Obuhvat povijesnih podataka i prebacivanje iz analognog u digitalni oblik</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60%</w:t>
            </w:r>
          </w:p>
        </w:tc>
        <w:tc>
          <w:tcPr>
            <w:tcW w:w="1300" w:type="dxa"/>
          </w:tcPr>
          <w:p w:rsidR="00AC0832" w:rsidRDefault="00AC0832">
            <w:pPr>
              <w:pStyle w:val="CellColumn"/>
            </w:pPr>
            <w:r>
              <w:t>DHMZ</w:t>
            </w:r>
          </w:p>
        </w:tc>
        <w:tc>
          <w:tcPr>
            <w:tcW w:w="1300" w:type="dxa"/>
          </w:tcPr>
          <w:p w:rsidR="00AC0832" w:rsidRDefault="00AC0832">
            <w:pPr>
              <w:pStyle w:val="CellColumn"/>
            </w:pPr>
            <w:r>
              <w:t>60%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projektna dokumentacija i potrebne dozvole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DHMZ</w:t>
            </w:r>
          </w:p>
        </w:tc>
        <w:tc>
          <w:tcPr>
            <w:tcW w:w="1300" w:type="dxa"/>
          </w:tcPr>
          <w:p w:rsidR="00AC0832" w:rsidRDefault="00AC0832">
            <w:pPr>
              <w:pStyle w:val="CellColumn"/>
            </w:pPr>
            <w:r>
              <w:t>30%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Riješeni imovinsko pravni odnosi</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DA/NE</w:t>
            </w:r>
          </w:p>
        </w:tc>
        <w:tc>
          <w:tcPr>
            <w:tcW w:w="1300" w:type="dxa"/>
          </w:tcPr>
          <w:p w:rsidR="00AC0832" w:rsidRDefault="00AC0832">
            <w:pPr>
              <w:pStyle w:val="CellColumn"/>
            </w:pPr>
            <w:r>
              <w:t>NE</w:t>
            </w:r>
          </w:p>
        </w:tc>
        <w:tc>
          <w:tcPr>
            <w:tcW w:w="1300" w:type="dxa"/>
          </w:tcPr>
          <w:p w:rsidR="00AC0832" w:rsidRDefault="00AC0832">
            <w:pPr>
              <w:pStyle w:val="CellColumn"/>
            </w:pPr>
            <w:r>
              <w:t>DHMZ</w:t>
            </w:r>
          </w:p>
        </w:tc>
        <w:tc>
          <w:tcPr>
            <w:tcW w:w="1300" w:type="dxa"/>
          </w:tcPr>
          <w:p w:rsidR="00AC0832" w:rsidRDefault="00AC0832">
            <w:pPr>
              <w:pStyle w:val="CellColumn"/>
            </w:pPr>
            <w:r>
              <w:t>DA</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Izgrađena nova zgrada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DHMZ</w:t>
            </w:r>
          </w:p>
        </w:tc>
        <w:tc>
          <w:tcPr>
            <w:tcW w:w="1300" w:type="dxa"/>
          </w:tcPr>
          <w:p w:rsidR="00AC0832" w:rsidRDefault="00AC0832">
            <w:pPr>
              <w:pStyle w:val="CellColumn"/>
            </w:pPr>
            <w:r>
              <w:t>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Broj moderniziranih meteoroloških i hidroloških postaja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 postaja</w:t>
            </w:r>
          </w:p>
        </w:tc>
        <w:tc>
          <w:tcPr>
            <w:tcW w:w="1300" w:type="dxa"/>
          </w:tcPr>
          <w:p w:rsidR="00AC0832" w:rsidRDefault="00AC0832">
            <w:pPr>
              <w:pStyle w:val="CellColumn"/>
            </w:pPr>
            <w:r>
              <w:t xml:space="preserve">10 glavnih meteo postaja </w:t>
            </w:r>
          </w:p>
          <w:p w:rsidR="00AC0832" w:rsidRDefault="00AC0832">
            <w:pPr>
              <w:pStyle w:val="CellColumn"/>
            </w:pPr>
            <w:r>
              <w:t xml:space="preserve">5 klimatoloških postaja </w:t>
            </w:r>
          </w:p>
          <w:p w:rsidR="00AC0832" w:rsidRDefault="00AC0832">
            <w:pPr>
              <w:pStyle w:val="CellColumn"/>
            </w:pPr>
            <w:r>
              <w:t xml:space="preserve">5 kišomjernih postaja </w:t>
            </w:r>
          </w:p>
          <w:p w:rsidR="00AC0832" w:rsidRDefault="00AC0832">
            <w:pPr>
              <w:pStyle w:val="CellColumn"/>
            </w:pPr>
            <w:r>
              <w:t>50 hidrološkoh postaja</w:t>
            </w:r>
          </w:p>
        </w:tc>
        <w:tc>
          <w:tcPr>
            <w:tcW w:w="1300" w:type="dxa"/>
          </w:tcPr>
          <w:p w:rsidR="00AC0832" w:rsidRDefault="00AC0832">
            <w:pPr>
              <w:pStyle w:val="CellColumn"/>
            </w:pPr>
            <w:r>
              <w:t>DHMZ</w:t>
            </w:r>
          </w:p>
        </w:tc>
        <w:tc>
          <w:tcPr>
            <w:tcW w:w="1300" w:type="dxa"/>
          </w:tcPr>
          <w:p w:rsidR="00AC0832" w:rsidRDefault="00AC0832">
            <w:pPr>
              <w:pStyle w:val="CellColumn"/>
            </w:pPr>
            <w:r>
              <w:t xml:space="preserve">20 glavnih postaja </w:t>
            </w:r>
          </w:p>
          <w:p w:rsidR="00AC0832" w:rsidRDefault="00AC0832">
            <w:pPr>
              <w:pStyle w:val="CellColumn"/>
            </w:pPr>
            <w:r>
              <w:t xml:space="preserve">35 klimatoloških postaja </w:t>
            </w:r>
          </w:p>
          <w:p w:rsidR="00AC0832" w:rsidRDefault="00AC0832">
            <w:pPr>
              <w:pStyle w:val="CellColumn"/>
            </w:pPr>
            <w:r>
              <w:t xml:space="preserve">35 kišomjernih postaja </w:t>
            </w:r>
          </w:p>
          <w:p w:rsidR="00AC0832" w:rsidRDefault="00AC0832">
            <w:pPr>
              <w:pStyle w:val="CellColumn"/>
            </w:pPr>
            <w:r>
              <w:t>80 hidroloških postaja</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Projektna dokumentacija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w:t>
            </w:r>
          </w:p>
        </w:tc>
        <w:tc>
          <w:tcPr>
            <w:tcW w:w="1300" w:type="dxa"/>
          </w:tcPr>
          <w:p w:rsidR="00AC0832" w:rsidRDefault="00AC0832">
            <w:pPr>
              <w:pStyle w:val="CellColumn"/>
            </w:pPr>
            <w:r>
              <w:t>DHMZ</w:t>
            </w:r>
          </w:p>
        </w:tc>
        <w:tc>
          <w:tcPr>
            <w:tcW w:w="1300" w:type="dxa"/>
          </w:tcPr>
          <w:p w:rsidR="00AC0832" w:rsidRDefault="00AC0832">
            <w:pPr>
              <w:pStyle w:val="CellColumn"/>
            </w:pPr>
            <w:r>
              <w:t>%</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7"/>
      </w:pPr>
      <w:r>
        <w:t>Cilj 2. Osiguranje informacija radarskih mjerenja i vrlo kratkoročna prognoza vremena i voda za cijelo područje RH i poboljšanje kvalitete dugoročnih klimatskih scenarija (od sezonskih do stoljetnih).</w:t>
      </w:r>
    </w:p>
    <w:p w:rsidR="00AC0832" w:rsidRDefault="00AC0832">
      <w:pPr>
        <w:pStyle w:val="Heading8"/>
        <w:jc w:val="left"/>
      </w:pPr>
      <w:r>
        <w:t>Opis provedbe cilja programa</w:t>
      </w:r>
    </w:p>
    <w:p w:rsidR="00AC0832" w:rsidRDefault="00AC0832">
      <w:pPr>
        <w:pStyle w:val="Normal6"/>
      </w:pPr>
      <w:r>
        <w:t>Pored održavanja i modernizacije konvencionalnih meteoroloških (prizemnih i visinskih) i hidroloških motriteljskih mreža DHMZ radit će se na uspostavi mreža meteoroloških radara tj.sustava daljinskih motrenja koji pokrivaju cijelo područje Hrvatske uključujući i Jadran, što je posebno značajno jer su na području Jadrana ograničene mogućnosti za konvencionalna (in situ) meteorološka motrenja.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0"/>
        <w:gridCol w:w="1268"/>
        <w:gridCol w:w="1274"/>
        <w:gridCol w:w="1273"/>
        <w:gridCol w:w="1269"/>
        <w:gridCol w:w="1273"/>
        <w:gridCol w:w="1281"/>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i pravovremenost upozorenja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 xml:space="preserve">24 satno dežurstvo </w:t>
            </w:r>
          </w:p>
          <w:p w:rsidR="00AC0832" w:rsidRDefault="00AC0832">
            <w:pPr>
              <w:pStyle w:val="CellColumn"/>
            </w:pPr>
            <w:r>
              <w:t>DA/NE</w:t>
            </w:r>
          </w:p>
        </w:tc>
        <w:tc>
          <w:tcPr>
            <w:tcW w:w="1300" w:type="dxa"/>
          </w:tcPr>
          <w:p w:rsidR="00AC0832" w:rsidRDefault="00AC0832">
            <w:pPr>
              <w:pStyle w:val="CellColumn"/>
            </w:pPr>
            <w:r>
              <w:t>NE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NE</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Broj dnevnih izračuna modela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 izračuna dnevno</w:t>
            </w:r>
          </w:p>
        </w:tc>
        <w:tc>
          <w:tcPr>
            <w:tcW w:w="1300" w:type="dxa"/>
          </w:tcPr>
          <w:p w:rsidR="00AC0832" w:rsidRDefault="00AC0832">
            <w:pPr>
              <w:pStyle w:val="CellColumn"/>
            </w:pPr>
            <w:r>
              <w:t>2</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2</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A654000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A654000-ADMINISTRACIJA I UPRAVLJANJE</w:t>
            </w:r>
          </w:p>
        </w:tc>
        <w:tc>
          <w:tcPr>
            <w:tcW w:w="2322" w:type="dxa"/>
          </w:tcPr>
          <w:p w:rsidR="00AC0832" w:rsidRDefault="00AC0832">
            <w:pPr>
              <w:pStyle w:val="CellColumn"/>
            </w:pPr>
            <w:r>
              <w:t>66.894.386</w:t>
            </w:r>
          </w:p>
        </w:tc>
        <w:tc>
          <w:tcPr>
            <w:tcW w:w="2322" w:type="dxa"/>
          </w:tcPr>
          <w:p w:rsidR="00AC0832" w:rsidRDefault="00AC0832">
            <w:pPr>
              <w:pStyle w:val="CellColumn"/>
            </w:pPr>
            <w:r>
              <w:t>66.735.232</w:t>
            </w:r>
          </w:p>
        </w:tc>
        <w:tc>
          <w:tcPr>
            <w:tcW w:w="2322" w:type="dxa"/>
          </w:tcPr>
          <w:p w:rsidR="00AC0832" w:rsidRDefault="00AC0832">
            <w:pPr>
              <w:pStyle w:val="CellColumn"/>
            </w:pPr>
            <w:r>
              <w:t>99,8</w:t>
            </w:r>
          </w:p>
        </w:tc>
      </w:tr>
    </w:tbl>
    <w:p w:rsidR="00AC0832" w:rsidRDefault="00AC0832">
      <w:pPr>
        <w:jc w:val="left"/>
      </w:pPr>
    </w:p>
    <w:p w:rsidR="00AC0832" w:rsidRDefault="00AC0832">
      <w:pPr>
        <w:pStyle w:val="Heading8"/>
        <w:jc w:val="left"/>
      </w:pPr>
      <w:r>
        <w:t>Opis provedbe aktivnosti / projekta</w:t>
      </w:r>
    </w:p>
    <w:p w:rsidR="00AC0832" w:rsidRDefault="00AC0832">
      <w:pPr>
        <w:pStyle w:val="Heading6"/>
      </w:pPr>
      <w:r>
        <w:t>A654015 MOTRENJE VREMENA I KLIME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A654015-MOTRENJE VREMENA I KLIME</w:t>
            </w:r>
          </w:p>
        </w:tc>
        <w:tc>
          <w:tcPr>
            <w:tcW w:w="2322" w:type="dxa"/>
          </w:tcPr>
          <w:p w:rsidR="00AC0832" w:rsidRDefault="00AC0832">
            <w:pPr>
              <w:pStyle w:val="CellColumn"/>
            </w:pPr>
            <w:r>
              <w:t>4.900.000</w:t>
            </w:r>
          </w:p>
        </w:tc>
        <w:tc>
          <w:tcPr>
            <w:tcW w:w="2322" w:type="dxa"/>
          </w:tcPr>
          <w:p w:rsidR="00AC0832" w:rsidRDefault="00AC0832">
            <w:pPr>
              <w:pStyle w:val="CellColumn"/>
            </w:pPr>
            <w:r>
              <w:t>5.567.843</w:t>
            </w:r>
          </w:p>
        </w:tc>
        <w:tc>
          <w:tcPr>
            <w:tcW w:w="2322" w:type="dxa"/>
          </w:tcPr>
          <w:p w:rsidR="00AC0832" w:rsidRDefault="00AC0832">
            <w:pPr>
              <w:pStyle w:val="CellColumn"/>
            </w:pPr>
            <w:r>
              <w:t>113,6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Planirana sredstva namijenjena su i realizirana za meteorološka  mjerenja za potrebe kojih su nabavljane radio-sonde, baloni i vodik. </w:t>
      </w:r>
    </w:p>
    <w:p w:rsidR="00AC0832" w:rsidRDefault="00AC0832">
      <w:pPr>
        <w:pStyle w:val="Normal6"/>
      </w:pPr>
      <w:r>
        <w:t>Svrha aktivnosti je da u sklopu praćenja vremena i klime osigura što veći broj kvalitetnih meteoroloških podataka za analizu i prognozu stanja atmosfere, tla i voda na području RH te praćenje klimatskih promjena.</w:t>
      </w:r>
    </w:p>
    <w:p w:rsidR="00AC0832" w:rsidRDefault="00AC0832">
      <w:pPr>
        <w:pStyle w:val="Heading6"/>
      </w:pPr>
      <w:r>
        <w:t>A654017 HIDROLOŠKA MJERENJA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A654017-HIDROLOŠKA MJERENJA</w:t>
            </w:r>
          </w:p>
        </w:tc>
        <w:tc>
          <w:tcPr>
            <w:tcW w:w="2322" w:type="dxa"/>
          </w:tcPr>
          <w:p w:rsidR="00AC0832" w:rsidRDefault="00AC0832">
            <w:pPr>
              <w:pStyle w:val="CellColumn"/>
            </w:pPr>
            <w:r>
              <w:t>1.650.000</w:t>
            </w:r>
          </w:p>
        </w:tc>
        <w:tc>
          <w:tcPr>
            <w:tcW w:w="2322" w:type="dxa"/>
          </w:tcPr>
          <w:p w:rsidR="00AC0832" w:rsidRDefault="00AC0832">
            <w:pPr>
              <w:pStyle w:val="CellColumn"/>
            </w:pPr>
            <w:r>
              <w:t>2.303.225</w:t>
            </w:r>
          </w:p>
        </w:tc>
        <w:tc>
          <w:tcPr>
            <w:tcW w:w="2322" w:type="dxa"/>
          </w:tcPr>
          <w:p w:rsidR="00AC0832" w:rsidRDefault="00AC0832">
            <w:pPr>
              <w:pStyle w:val="CellColumn"/>
            </w:pPr>
            <w:r>
              <w:t>139,6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Planirana i realizirana sredstva namijenjena su za naknade za rad honorarnih motritelja na hidrološkim postajama, dok su druga sredstva potrebna za održavanje i unapređenje mreža postaja za mjerenje stanja površinskih i podzemnih voda planirana u zajedničkim projektima DHMZ-a. </w:t>
      </w:r>
    </w:p>
    <w:p w:rsidR="00AC0832" w:rsidRDefault="00AC0832">
      <w:pPr>
        <w:pStyle w:val="Normal6"/>
      </w:pPr>
      <w:r>
        <w:t>Kroz ovu  aktivnost se realizira osiguranje kvalitetnih i pouzdanih hidroloških podataka, informacija, prognoza i upozorenja.</w:t>
      </w:r>
    </w:p>
    <w:p w:rsidR="00AC0832" w:rsidRDefault="00AC0832">
      <w:pPr>
        <w:pStyle w:val="Heading6"/>
      </w:pPr>
      <w:r>
        <w:t>A654021 PRAĆENJE I UBLAŽAVANJE POSLJEDICA NEPOGODA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A654021-PRAĆENJE I UBLAŽAVANJE POSLJEDICA NEPOGODA</w:t>
            </w:r>
          </w:p>
        </w:tc>
        <w:tc>
          <w:tcPr>
            <w:tcW w:w="2322" w:type="dxa"/>
          </w:tcPr>
          <w:p w:rsidR="00AC0832" w:rsidRDefault="00AC0832">
            <w:pPr>
              <w:pStyle w:val="CellColumn"/>
            </w:pPr>
            <w:r>
              <w:t>16.524.810</w:t>
            </w:r>
          </w:p>
        </w:tc>
        <w:tc>
          <w:tcPr>
            <w:tcW w:w="2322" w:type="dxa"/>
          </w:tcPr>
          <w:p w:rsidR="00AC0832" w:rsidRDefault="00AC0832">
            <w:pPr>
              <w:pStyle w:val="CellColumn"/>
            </w:pPr>
            <w:r>
              <w:t>14.787.221</w:t>
            </w:r>
          </w:p>
        </w:tc>
        <w:tc>
          <w:tcPr>
            <w:tcW w:w="2322" w:type="dxa"/>
          </w:tcPr>
          <w:p w:rsidR="00AC0832" w:rsidRDefault="00AC0832">
            <w:pPr>
              <w:pStyle w:val="CellColumn"/>
            </w:pPr>
            <w:r>
              <w:t>89,5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Planirana i realizirana sredstva za ovu aktivnost namijenjena su za provedbu daljinskog (radarskog) praćenja vremena te za provedbu poslova prema Zakonu o sustavu obranu od tuče (NN 53/01. Pretežiti dio ostvarenih sredstava odnosi se na nabavu meteoroloških raketa i otopina. Ova aktivnosti je podrška analizi i prognozi stanja atmosfere, tla i voda na području RH, s osobitim naglaskom na opasne vremenske pojave (olujni vjetar, tuča, jake oborine) te obrana od tuče.</w:t>
      </w:r>
    </w:p>
    <w:p w:rsidR="00AC0832" w:rsidRDefault="00AC0832">
      <w:pPr>
        <w:pStyle w:val="Heading6"/>
      </w:pPr>
      <w:r>
        <w:t>A654057 DRŽAVNA MREŽA ZA TRAJNO PRAĆENJE KAKVOĆE ZRAKA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A654057-DRŽAVNA MREŽA ZA TRAJNO PRAĆENJE KAKVOĆE ZRAKA</w:t>
            </w:r>
          </w:p>
        </w:tc>
        <w:tc>
          <w:tcPr>
            <w:tcW w:w="2322" w:type="dxa"/>
          </w:tcPr>
          <w:p w:rsidR="00AC0832" w:rsidRDefault="00AC0832">
            <w:pPr>
              <w:pStyle w:val="CellColumn"/>
            </w:pPr>
            <w:r>
              <w:t>4.287.865</w:t>
            </w:r>
          </w:p>
        </w:tc>
        <w:tc>
          <w:tcPr>
            <w:tcW w:w="2322" w:type="dxa"/>
          </w:tcPr>
          <w:p w:rsidR="00AC0832" w:rsidRDefault="00AC0832">
            <w:pPr>
              <w:pStyle w:val="CellColumn"/>
            </w:pPr>
            <w:r>
              <w:t>4.285.338</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Planirana i realizirana sredstva utrošena su na nabavu potrošnog materijala i kemikalija za laboratorije, filtere za mjerne uređaje, uzorkivače oborine i aerosola, rezervne dijelove, usluge tekućeg i investicijko održavanje postaja i opreme, zakup prostora za Službu.  </w:t>
      </w:r>
    </w:p>
    <w:p w:rsidR="00AC0832" w:rsidRDefault="00AC0832">
      <w:pPr>
        <w:pStyle w:val="Normal6"/>
      </w:pPr>
      <w:r>
        <w:t xml:space="preserve">Poslovi ove aktivnosti određeni su kroz Zakon o zaštiti zraka, Uredbu o utvrđivanju lokacija postaja mreža za trajno praćenje kakvoće zraka  i Programom mjerenja kakvoće zraka u mreži za trajno praćenje kakvoće zraka. </w:t>
      </w:r>
    </w:p>
    <w:p w:rsidR="00AC0832" w:rsidRDefault="00AC0832">
      <w:pPr>
        <w:pStyle w:val="Normal6"/>
      </w:pPr>
      <w:r>
        <w:t>Sredstva iz ove aktivnosti doprinose  povećanju kakvoće zraka i smanjenje zagađenja okoliša kroz unapređenje sustava praćenja,analize i upravljanje kakvoćom zraka.</w:t>
      </w:r>
    </w:p>
    <w:p w:rsidR="00AC0832" w:rsidRDefault="00AC0832">
      <w:pPr>
        <w:pStyle w:val="Heading6"/>
      </w:pPr>
      <w:r>
        <w:t>K654050 UREĐAJI ZA POVEĆANJE NIVOA USLUGA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K654050-UREĐAJI ZA POVEĆANJE NIVOA USLUGA</w:t>
            </w:r>
          </w:p>
        </w:tc>
        <w:tc>
          <w:tcPr>
            <w:tcW w:w="2322" w:type="dxa"/>
          </w:tcPr>
          <w:p w:rsidR="00AC0832" w:rsidRDefault="00AC0832">
            <w:pPr>
              <w:pStyle w:val="CellColumn"/>
            </w:pPr>
            <w:r>
              <w:t>3.746.190</w:t>
            </w:r>
          </w:p>
        </w:tc>
        <w:tc>
          <w:tcPr>
            <w:tcW w:w="2322" w:type="dxa"/>
          </w:tcPr>
          <w:p w:rsidR="00AC0832" w:rsidRDefault="00AC0832">
            <w:pPr>
              <w:pStyle w:val="CellColumn"/>
            </w:pPr>
            <w:r>
              <w:t>3.653.020</w:t>
            </w:r>
          </w:p>
        </w:tc>
        <w:tc>
          <w:tcPr>
            <w:tcW w:w="2322" w:type="dxa"/>
          </w:tcPr>
          <w:p w:rsidR="00AC0832" w:rsidRDefault="00AC0832">
            <w:pPr>
              <w:pStyle w:val="CellColumn"/>
            </w:pPr>
            <w:r>
              <w:t>97,5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Planirana i realizirana sredstva za ovu aktivnost odnose se na unapređenje i održavanje komunikacijske i mjerne opreme, s ciljem osiguranja infrastrukture za prikupljanje meteoroloških, hidroloških i ekoloških podataka u realnom vremenu i njihov prijenos korisnicima.</w:t>
      </w:r>
    </w:p>
    <w:p w:rsidR="00AC0832" w:rsidRDefault="00AC0832">
      <w:pPr>
        <w:pStyle w:val="Heading6"/>
      </w:pPr>
      <w:r>
        <w:t>K654052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K654052-INFORMATIZACIJA</w:t>
            </w:r>
          </w:p>
        </w:tc>
        <w:tc>
          <w:tcPr>
            <w:tcW w:w="2322" w:type="dxa"/>
          </w:tcPr>
          <w:p w:rsidR="00AC0832" w:rsidRDefault="00AC0832">
            <w:pPr>
              <w:pStyle w:val="CellColumn"/>
            </w:pPr>
            <w:r>
              <w:t>1.327.700</w:t>
            </w:r>
          </w:p>
        </w:tc>
        <w:tc>
          <w:tcPr>
            <w:tcW w:w="2322" w:type="dxa"/>
          </w:tcPr>
          <w:p w:rsidR="00AC0832" w:rsidRDefault="00AC0832">
            <w:pPr>
              <w:pStyle w:val="CellColumn"/>
            </w:pPr>
            <w:r>
              <w:t>1.170.339</w:t>
            </w:r>
          </w:p>
        </w:tc>
        <w:tc>
          <w:tcPr>
            <w:tcW w:w="2322" w:type="dxa"/>
          </w:tcPr>
          <w:p w:rsidR="00AC0832" w:rsidRDefault="00AC0832">
            <w:pPr>
              <w:pStyle w:val="CellColumn"/>
            </w:pPr>
            <w:r>
              <w:t>88,1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Planirana i realizirana sredstva za ovu aktivnost  odnose se na održavanje i razvoj meteoroloških i hidroloških baza podataka, održavanje i razvoj numeričkih prognostičkih modela atmosfere za potrebe vremenske prognoze i ranih upozorenja, te zaštita okoliša. Isto tako sredstva su trošena i za razvoj modela za praćenje vremenskih stanja i klimatskih promjena te modernizaciju centralnog računala, a sve kako bi se  povećala  spremnost prognoziranja budućih stanja atmosfere, voda i tla.</w:t>
      </w:r>
    </w:p>
    <w:p w:rsidR="00AC0832" w:rsidRDefault="00AC0832">
      <w:pPr>
        <w:pStyle w:val="Heading5"/>
      </w:pPr>
      <w:r>
        <w:t>3802 TEHNOLOGIJSKI RAZVITAK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3802-TEHNOLOGIJSKI RAZVITAK</w:t>
            </w:r>
          </w:p>
        </w:tc>
        <w:tc>
          <w:tcPr>
            <w:tcW w:w="2322" w:type="dxa"/>
          </w:tcPr>
          <w:p w:rsidR="00AC0832" w:rsidRDefault="00AC0832">
            <w:pPr>
              <w:pStyle w:val="CellColumn"/>
            </w:pPr>
            <w:r>
              <w:t>4.918.979</w:t>
            </w:r>
          </w:p>
        </w:tc>
        <w:tc>
          <w:tcPr>
            <w:tcW w:w="2322" w:type="dxa"/>
          </w:tcPr>
          <w:p w:rsidR="00AC0832" w:rsidRDefault="00AC0832">
            <w:pPr>
              <w:pStyle w:val="CellColumn"/>
            </w:pPr>
            <w:r>
              <w:t>4.898.852</w:t>
            </w:r>
          </w:p>
        </w:tc>
        <w:tc>
          <w:tcPr>
            <w:tcW w:w="2322" w:type="dxa"/>
          </w:tcPr>
          <w:p w:rsidR="00AC0832" w:rsidRDefault="00AC0832">
            <w:pPr>
              <w:pStyle w:val="CellColumn"/>
            </w:pPr>
            <w:r>
              <w:t>99,6</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Prijenos znanja i rezultata znanstvenog rada prema primjeni u gospodarskom sektoru i dalje ostaje jedan od glavnih ciljeva hrvatske znanstveno – tehnološke politike. U Republici Hrvatskoj javni sektor značajno dominira kada je riječ o ulaganjima u istraživanje i razvoj što se pokazalo neadekvatnim i nedostatnim da bi se osigurala odgovarajuća razina inovacijskih rezultata. Stoga Ministarstvo sustavno razvija i koordinira mjere i instrumente inovacijskog sustava radi motiviranja javnih poduzeća za ulaganje u istraživanje i razvoj, čime bi se povećala konkurentnost, te bi se postigao održiv rast i produktivnost, s ciljem dugoročnog preokretanja odnosa javnog istraživanja i razvoja u odnosu na poslovno. Ministarstvo također provodi, razvija i usklađuje mjere nacionalnog inovacijskog sustava: poticanje istraživanja u javnom sektoru, financijske potpore za ulaganje u istraživanje, razvoj i inovacije u privatnom sektoru, te državne potpore za istraživanje i razvoj. </w:t>
      </w:r>
    </w:p>
    <w:p w:rsidR="00AC0832" w:rsidRDefault="00AC0832">
      <w:pPr>
        <w:pStyle w:val="Normal5"/>
      </w:pPr>
      <w:r>
        <w:t>Provedba ovog programa vezana je uz ostvarivanje općeg cilja pod brojem 2. Razvoj znanosti kao pokretača dugoročnoga gospodarskog i društvenog razvoja u Strateškom planu za razdoblje 2012.-2014. Ministarstva znanosti, obrazovanja i sporta.</w:t>
      </w:r>
    </w:p>
    <w:p w:rsidR="00AC0832" w:rsidRDefault="00AC0832">
      <w:pPr>
        <w:pStyle w:val="Heading6"/>
      </w:pPr>
      <w:r>
        <w:t>Zakonske i druge pravne osnove</w:t>
      </w:r>
    </w:p>
    <w:p w:rsidR="00AC0832" w:rsidRDefault="00AC0832">
      <w:pPr>
        <w:pStyle w:val="Normal5"/>
      </w:pPr>
      <w:r>
        <w:t xml:space="preserve">Uredba Vlade Republike Hrvatske o izmjenama Uredbe o osnivanju Poslovno-inovacijske agencije Republike Hrvatske, NN 31/12 </w:t>
      </w:r>
    </w:p>
    <w:p w:rsidR="00AC0832" w:rsidRDefault="00AC0832">
      <w:pPr>
        <w:pStyle w:val="Normal5"/>
      </w:pPr>
      <w:r>
        <w:t xml:space="preserve">Ugovor o predujmu za pripremu Drugog projekta tehnologijskog razvoja (STP II) br. IBRD P4640-HR </w:t>
      </w:r>
    </w:p>
    <w:p w:rsidR="00AC0832" w:rsidRDefault="00AC0832">
      <w:pPr>
        <w:pStyle w:val="Normal5"/>
      </w:pPr>
      <w:r>
        <w:t>Memorandum o razumijevanju i suradnji na projektu "Nacionalna strategija inovacija Republike Hrvatske 2013.-2020. s akcijskim planom za razdoblje 2013.-2014." između Ministarstva, Ministarstva gospodarstva i OECD-a.</w:t>
      </w:r>
    </w:p>
    <w:p w:rsidR="00AC0832" w:rsidRDefault="00AC0832">
      <w:pPr>
        <w:pStyle w:val="Heading7"/>
      </w:pPr>
      <w:r>
        <w:t>Cilj 1. Cilj 1. Poticati poduzetništvo zasnovano na inovacijama i visokim tehnologijama (poseban cilj 2.4. – Strateški plan MZOS-a 2012.-2014.)</w:t>
      </w:r>
    </w:p>
    <w:p w:rsidR="00AC0832" w:rsidRDefault="00AC0832">
      <w:pPr>
        <w:pStyle w:val="Heading8"/>
        <w:jc w:val="left"/>
      </w:pPr>
      <w:r>
        <w:t>Opis provedbe cilja programa</w:t>
      </w:r>
    </w:p>
    <w:p w:rsidR="00AC0832" w:rsidRDefault="00AC0832">
      <w:pPr>
        <w:pStyle w:val="Normal6"/>
      </w:pPr>
      <w:r>
        <w:t xml:space="preserve">Uredbom Vlade Republike Hrvatske o izmjenama Uredbe o osnivanju Poslovno-inovacijske agencije Republike Hrvatske (BICRO) u veljači 2012. godine Hrvatski institut za tehnologiju (HIT) postao je dijelom Poslovno-inovacijske agencije čime je osnažen njen položaj kao središnje ustanove orijentirane prema promoviranju i poticanju koncepta inovativnog poduzetništva, a čime se poradilo na i ispunilo mjeru "redefiniranja i osnaživanja poslovno inovacijskog centra i instituta za tehnologiju" (izvor: Program Vlade RH). Tako nastao pravni oblik ustanove predstavlja onaj optimalan za provođenje projekata i programa u okviru EU fondova. </w:t>
      </w:r>
    </w:p>
    <w:p w:rsidR="00AC0832" w:rsidRDefault="00AC0832">
      <w:pPr>
        <w:pStyle w:val="Normal6"/>
      </w:pPr>
      <w:r>
        <w:t>U travnju 2012. godine Vlada Republike Hrvatske potpisala je s Međunarodnom bankom za obnovu i razvoj Ugovor o predujmu za pripremu Drugog projekta tehnologijskog razvoja (STP II) čime će se omogućiti privlačenje financijskih sredstava u iznosu od 1,5 milijuna USD koja su se kroz 6 mjeseci koristila za pripremu projekta.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3"/>
        <w:gridCol w:w="974"/>
        <w:gridCol w:w="974"/>
        <w:gridCol w:w="974"/>
        <w:gridCol w:w="3406"/>
        <w:gridCol w:w="974"/>
        <w:gridCol w:w="103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Rast ukupnog indeksa inovacija za RH (SII RH)</w:t>
            </w:r>
          </w:p>
        </w:tc>
        <w:tc>
          <w:tcPr>
            <w:tcW w:w="1300" w:type="dxa"/>
          </w:tcPr>
          <w:p w:rsidR="00AC0832" w:rsidRDefault="00AC0832">
            <w:pPr>
              <w:pStyle w:val="CellColumn"/>
            </w:pPr>
            <w:r>
              <w:t>vrijednost Ukupnog Rast ukupnog indeksa inovacija za RH</w:t>
            </w:r>
          </w:p>
        </w:tc>
        <w:tc>
          <w:tcPr>
            <w:tcW w:w="1300" w:type="dxa"/>
          </w:tcPr>
          <w:p w:rsidR="00AC0832" w:rsidRDefault="00AC0832">
            <w:pPr>
              <w:pStyle w:val="CellColumn"/>
            </w:pPr>
            <w:r>
              <w:t>vrijednost Ukupnog indeksa inovacija</w:t>
            </w:r>
          </w:p>
        </w:tc>
        <w:tc>
          <w:tcPr>
            <w:tcW w:w="1300" w:type="dxa"/>
          </w:tcPr>
          <w:p w:rsidR="00AC0832" w:rsidRDefault="00AC0832">
            <w:pPr>
              <w:pStyle w:val="CellColumn"/>
            </w:pPr>
            <w:r>
              <w:t>0.301</w:t>
            </w:r>
          </w:p>
        </w:tc>
        <w:tc>
          <w:tcPr>
            <w:tcW w:w="1300" w:type="dxa"/>
          </w:tcPr>
          <w:p w:rsidR="00AC0832" w:rsidRDefault="00AC0832">
            <w:pPr>
              <w:pStyle w:val="CellColumn"/>
            </w:pPr>
            <w:r>
              <w:t>Innovation Union Scoreboard 2010 (http://ec.europa.eu/research/innovation-union/pdf/iu-scoreboard-2010_en.pdf)</w:t>
            </w:r>
          </w:p>
        </w:tc>
        <w:tc>
          <w:tcPr>
            <w:tcW w:w="1300" w:type="dxa"/>
          </w:tcPr>
          <w:p w:rsidR="00AC0832" w:rsidRDefault="00AC0832">
            <w:pPr>
              <w:pStyle w:val="CellColumn"/>
            </w:pPr>
            <w:r>
              <w:t>0.312</w:t>
            </w:r>
          </w:p>
        </w:tc>
        <w:tc>
          <w:tcPr>
            <w:tcW w:w="1300" w:type="dxa"/>
          </w:tcPr>
          <w:p w:rsidR="00AC0832" w:rsidRDefault="00AC0832">
            <w:pPr>
              <w:pStyle w:val="CellColumn"/>
            </w:pPr>
            <w:r>
              <w:t xml:space="preserve">0.310 </w:t>
            </w:r>
          </w:p>
          <w:p w:rsidR="00AC0832" w:rsidRDefault="00AC0832">
            <w:pPr>
              <w:pStyle w:val="CellColumn"/>
            </w:pPr>
            <w:r>
              <w:t>(2011.)</w:t>
            </w:r>
          </w:p>
        </w:tc>
      </w:tr>
    </w:tbl>
    <w:p w:rsidR="00AC0832" w:rsidRDefault="00AC0832">
      <w:pPr>
        <w:jc w:val="left"/>
      </w:pPr>
    </w:p>
    <w:p w:rsidR="00AC0832" w:rsidRDefault="00AC0832">
      <w:pPr>
        <w:pStyle w:val="Heading6"/>
      </w:pPr>
      <w:r>
        <w:t>A676006 RAZVOJ NA ZNANJU UTEMELJENIH MALIH I SREDNJIH TRGOVAČKIH DRUŠTAVA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A676006-RAZVOJ NA ZNANJU UTEMELJENIH MALIH I SREDNJIH TRGOVAČKIH DRUŠTAVA</w:t>
            </w:r>
          </w:p>
        </w:tc>
        <w:tc>
          <w:tcPr>
            <w:tcW w:w="2322" w:type="dxa"/>
          </w:tcPr>
          <w:p w:rsidR="00AC0832" w:rsidRDefault="00AC0832">
            <w:pPr>
              <w:pStyle w:val="CellColumn"/>
            </w:pPr>
            <w:r>
              <w:t>2.883.697</w:t>
            </w:r>
          </w:p>
        </w:tc>
        <w:tc>
          <w:tcPr>
            <w:tcW w:w="2322" w:type="dxa"/>
          </w:tcPr>
          <w:p w:rsidR="00AC0832" w:rsidRDefault="00AC0832">
            <w:pPr>
              <w:pStyle w:val="CellColumn"/>
            </w:pPr>
            <w:r>
              <w:t>2.883.696</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Porast broja tvrtki korisnica poreznih potpora za I&amp;R</w:t>
            </w:r>
          </w:p>
        </w:tc>
        <w:tc>
          <w:tcPr>
            <w:tcW w:w="1300" w:type="dxa"/>
          </w:tcPr>
          <w:p w:rsidR="00AC0832" w:rsidRDefault="00AC0832">
            <w:pPr>
              <w:pStyle w:val="CellColumn"/>
            </w:pPr>
            <w:r>
              <w:t>Broj tvrtki koje su korisnici poreznih potpora za istraživanje i razvoj</w:t>
            </w:r>
          </w:p>
        </w:tc>
        <w:tc>
          <w:tcPr>
            <w:tcW w:w="1300" w:type="dxa"/>
          </w:tcPr>
          <w:p w:rsidR="00AC0832" w:rsidRDefault="00AC0832">
            <w:pPr>
              <w:pStyle w:val="CellColumn"/>
            </w:pPr>
            <w:r>
              <w:t>Broj tvrtki</w:t>
            </w:r>
          </w:p>
        </w:tc>
        <w:tc>
          <w:tcPr>
            <w:tcW w:w="1300" w:type="dxa"/>
          </w:tcPr>
          <w:p w:rsidR="00AC0832" w:rsidRDefault="00AC0832">
            <w:pPr>
              <w:pStyle w:val="CellColumn"/>
            </w:pPr>
            <w:r>
              <w:t>77 u 2009. godini (95 u razdoblju 2007-2009)</w:t>
            </w:r>
          </w:p>
        </w:tc>
        <w:tc>
          <w:tcPr>
            <w:tcW w:w="1300" w:type="dxa"/>
          </w:tcPr>
          <w:p w:rsidR="00AC0832" w:rsidRDefault="00AC0832">
            <w:pPr>
              <w:pStyle w:val="CellColumn"/>
            </w:pPr>
            <w:r>
              <w:t>Ekonomski institut Zagreb</w:t>
            </w:r>
          </w:p>
        </w:tc>
        <w:tc>
          <w:tcPr>
            <w:tcW w:w="1300" w:type="dxa"/>
          </w:tcPr>
          <w:p w:rsidR="00AC0832" w:rsidRDefault="00AC0832">
            <w:pPr>
              <w:pStyle w:val="CellColumn"/>
            </w:pPr>
            <w:r>
              <w:t xml:space="preserve">100 </w:t>
            </w:r>
          </w:p>
          <w:p w:rsidR="00AC0832" w:rsidRDefault="00AC0832">
            <w:pPr>
              <w:pStyle w:val="CellColumn"/>
            </w:pPr>
            <w:r>
              <w:t>(2011.)</w:t>
            </w:r>
          </w:p>
        </w:tc>
        <w:tc>
          <w:tcPr>
            <w:tcW w:w="1300" w:type="dxa"/>
          </w:tcPr>
          <w:p w:rsidR="00AC0832" w:rsidRDefault="00AC0832">
            <w:pPr>
              <w:pStyle w:val="CellColumn"/>
            </w:pPr>
            <w:r>
              <w:t>80</w:t>
            </w:r>
          </w:p>
        </w:tc>
      </w:tr>
    </w:tbl>
    <w:p w:rsidR="00AC0832" w:rsidRDefault="00AC0832">
      <w:pPr>
        <w:jc w:val="left"/>
      </w:pPr>
    </w:p>
    <w:p w:rsidR="00AC0832" w:rsidRDefault="00AC0832">
      <w:pPr>
        <w:pStyle w:val="Heading6"/>
      </w:pPr>
      <w:r>
        <w:t>A676050 RAZVOJ TEHNOLOŠKE INFRASTRUKTURE TEHCRO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A676050-RAZVOJ TEHNOLOŠKE INFRASTRUKTURE TEHCRO</w:t>
            </w:r>
          </w:p>
        </w:tc>
        <w:tc>
          <w:tcPr>
            <w:tcW w:w="2322" w:type="dxa"/>
          </w:tcPr>
          <w:p w:rsidR="00AC0832" w:rsidRDefault="00AC0832">
            <w:pPr>
              <w:pStyle w:val="CellColumn"/>
            </w:pPr>
            <w:r>
              <w:t>1.752.050</w:t>
            </w:r>
          </w:p>
        </w:tc>
        <w:tc>
          <w:tcPr>
            <w:tcW w:w="2322" w:type="dxa"/>
          </w:tcPr>
          <w:p w:rsidR="00AC0832" w:rsidRDefault="00AC0832">
            <w:pPr>
              <w:pStyle w:val="CellColumn"/>
            </w:pPr>
            <w:r>
              <w:t>1.752.050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Porast broja tvrtki korisnica poreznih potpora za I&amp;R</w:t>
            </w:r>
          </w:p>
        </w:tc>
        <w:tc>
          <w:tcPr>
            <w:tcW w:w="1300" w:type="dxa"/>
          </w:tcPr>
          <w:p w:rsidR="00AC0832" w:rsidRDefault="00AC0832">
            <w:pPr>
              <w:pStyle w:val="CellColumn"/>
            </w:pPr>
            <w:r>
              <w:t>Broj tvrtki koje su korisnici poreznih potpora za istraživanje i razvoj</w:t>
            </w:r>
          </w:p>
        </w:tc>
        <w:tc>
          <w:tcPr>
            <w:tcW w:w="1300" w:type="dxa"/>
          </w:tcPr>
          <w:p w:rsidR="00AC0832" w:rsidRDefault="00AC0832">
            <w:pPr>
              <w:pStyle w:val="CellColumn"/>
            </w:pPr>
            <w:r>
              <w:t>Broj tvrtki</w:t>
            </w:r>
          </w:p>
        </w:tc>
        <w:tc>
          <w:tcPr>
            <w:tcW w:w="1300" w:type="dxa"/>
          </w:tcPr>
          <w:p w:rsidR="00AC0832" w:rsidRDefault="00AC0832">
            <w:pPr>
              <w:pStyle w:val="CellColumn"/>
            </w:pPr>
            <w:r>
              <w:t>77 u 2009. godini (95 u razdoblju 2007-2009)</w:t>
            </w:r>
          </w:p>
        </w:tc>
        <w:tc>
          <w:tcPr>
            <w:tcW w:w="1300" w:type="dxa"/>
          </w:tcPr>
          <w:p w:rsidR="00AC0832" w:rsidRDefault="00AC0832">
            <w:pPr>
              <w:pStyle w:val="CellColumn"/>
            </w:pPr>
            <w:r>
              <w:t>Ekonomski institut Zagreb</w:t>
            </w:r>
          </w:p>
        </w:tc>
        <w:tc>
          <w:tcPr>
            <w:tcW w:w="1300" w:type="dxa"/>
          </w:tcPr>
          <w:p w:rsidR="00AC0832" w:rsidRDefault="00AC0832">
            <w:pPr>
              <w:pStyle w:val="CellColumn"/>
            </w:pPr>
            <w:r>
              <w:t>80</w:t>
            </w:r>
          </w:p>
        </w:tc>
        <w:tc>
          <w:tcPr>
            <w:tcW w:w="1300" w:type="dxa"/>
          </w:tcPr>
          <w:p w:rsidR="00AC0832" w:rsidRDefault="00AC0832">
            <w:pPr>
              <w:pStyle w:val="CellColumn"/>
            </w:pPr>
            <w:r>
              <w:t xml:space="preserve">100 </w:t>
            </w:r>
          </w:p>
          <w:p w:rsidR="00AC0832" w:rsidRDefault="00AC0832">
            <w:pPr>
              <w:pStyle w:val="CellColumn"/>
            </w:pPr>
            <w:r>
              <w:t>(2011.)</w:t>
            </w:r>
          </w:p>
        </w:tc>
      </w:tr>
    </w:tbl>
    <w:p w:rsidR="00AC0832" w:rsidRDefault="00AC0832">
      <w:pPr>
        <w:jc w:val="left"/>
      </w:pPr>
    </w:p>
    <w:p w:rsidR="00AC0832" w:rsidRDefault="00AC0832">
      <w:pPr>
        <w:pStyle w:val="Heading2"/>
      </w:pPr>
      <w:r>
        <w:t>08012 Državni zavod za intelektualno vlasništvo</w:t>
      </w:r>
    </w:p>
    <w:p w:rsidR="00AC0832" w:rsidRDefault="00AC0832">
      <w:pPr>
        <w:pStyle w:val="Heading4"/>
      </w:pPr>
      <w:r>
        <w:t>Uvod</w:t>
      </w:r>
    </w:p>
    <w:p w:rsidR="00AC0832" w:rsidRDefault="00AC0832">
      <w:pPr>
        <w:pStyle w:val="Normal3"/>
      </w:pPr>
      <w:r>
        <w:t>Sukladno propisanim ili dodijeljenim nadležnostima Državnog zavoda za intelektualno vlasništvo (DZIV-a) najznačajniji poslovi i zadaci DZIV-a u razdoblju od 2012. do 2014. godini su sljedeći: osiguravanje kvalitetnih, učinkovitih i financijski prihvatljivih postupaka priznanja prava industrijskog vlasništva na teritoriju Republike Hrvatske, koje DZIV kao temeljno tijelo za provedbu glavnine od ukupnog skupa postupaka za priznanje prava industrijskog vlasništva provodi bilo samostalno ili putem odgovarajućih međunarodnih sustava u kojima RH sudjeluje; osiguravanje učinkovite provedbe obveza iz svih relevantnih međunarodnih konvencija i ugovora iz područja intelektualnog vlasništva kojih je Republika Hrvatska članica, a koje su u nadležnosti DZIV-a; daljnji razvoj Članstva u međunarodnim konvencijama i ugovorima u skladu sa strateškim ciljevima razvoja nacionalnog sustava intelektualnog vlasništva, te jačanje utjecaja Republike Hrvatske u međunarodnim (europskim i svjetskim) organizacijama iz područja intelektualnog vlasništva; doprinos razvoju učinkovitog nacionalnog sustava provedbe prava intelektualnog vlasništva u suradnji i uz koordinaciju s odgovarajućim tijelima za provedbu prava, relevantnim nacionalnim organizacijama i interesnim skupinama; doprinos razvoju primjene prava intelektualnog vlasništva te razvoj pratećih javnih stručnih usluga DZIV-a u suradnji s drugim sudionicima nacionalnog inovacijskog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08012-Državni zavod za intelektualno vlasništvo</w:t>
            </w:r>
          </w:p>
        </w:tc>
        <w:tc>
          <w:tcPr>
            <w:tcW w:w="2322" w:type="dxa"/>
          </w:tcPr>
          <w:p w:rsidR="00AC0832" w:rsidRDefault="00AC0832">
            <w:pPr>
              <w:pStyle w:val="CellColumn"/>
            </w:pPr>
            <w:r>
              <w:t>16.493.871</w:t>
            </w:r>
          </w:p>
        </w:tc>
        <w:tc>
          <w:tcPr>
            <w:tcW w:w="2322" w:type="dxa"/>
          </w:tcPr>
          <w:p w:rsidR="00AC0832" w:rsidRDefault="00AC0832">
            <w:pPr>
              <w:pStyle w:val="CellColumn"/>
            </w:pPr>
            <w:r>
              <w:t>15.410.430</w:t>
            </w:r>
          </w:p>
        </w:tc>
        <w:tc>
          <w:tcPr>
            <w:tcW w:w="2322" w:type="dxa"/>
          </w:tcPr>
          <w:p w:rsidR="00AC0832" w:rsidRDefault="00AC0832">
            <w:pPr>
              <w:pStyle w:val="CellColumn"/>
            </w:pPr>
            <w:r>
              <w:t>93,4</w:t>
            </w:r>
          </w:p>
        </w:tc>
      </w:tr>
      <w:tr w:rsidR="00AC0832" w:rsidTr="00BE20ED">
        <w:trPr>
          <w:jc w:val="center"/>
        </w:trPr>
        <w:tc>
          <w:tcPr>
            <w:tcW w:w="2322" w:type="dxa"/>
          </w:tcPr>
          <w:p w:rsidR="00AC0832" w:rsidRDefault="00AC0832">
            <w:pPr>
              <w:pStyle w:val="CellColumnSmall"/>
            </w:pPr>
            <w:r>
              <w:t>3801-ULAGANJE U ZNANSTVENO ISTRAŽIVAČKU DJELATNOST</w:t>
            </w:r>
          </w:p>
        </w:tc>
        <w:tc>
          <w:tcPr>
            <w:tcW w:w="2322" w:type="dxa"/>
          </w:tcPr>
          <w:p w:rsidR="00AC0832" w:rsidRDefault="00AC0832">
            <w:pPr>
              <w:pStyle w:val="CellColumnSmall"/>
            </w:pPr>
            <w:r>
              <w:t>16.493.871</w:t>
            </w:r>
          </w:p>
        </w:tc>
        <w:tc>
          <w:tcPr>
            <w:tcW w:w="2322" w:type="dxa"/>
          </w:tcPr>
          <w:p w:rsidR="00AC0832" w:rsidRDefault="00AC0832">
            <w:pPr>
              <w:pStyle w:val="CellColumnSmall"/>
            </w:pPr>
            <w:r>
              <w:t>15.410.430</w:t>
            </w:r>
          </w:p>
        </w:tc>
        <w:tc>
          <w:tcPr>
            <w:tcW w:w="2322" w:type="dxa"/>
          </w:tcPr>
          <w:p w:rsidR="00AC0832" w:rsidRDefault="00AC0832">
            <w:pPr>
              <w:pStyle w:val="CellColumnSmall"/>
            </w:pPr>
            <w:r>
              <w:t>93,4</w:t>
            </w:r>
          </w:p>
        </w:tc>
      </w:tr>
    </w:tbl>
    <w:p w:rsidR="00AC0832" w:rsidRDefault="00AC0832">
      <w:pPr>
        <w:jc w:val="left"/>
      </w:pPr>
    </w:p>
    <w:p w:rsidR="00AC0832" w:rsidRDefault="00AC0832">
      <w:pPr>
        <w:pStyle w:val="Heading4"/>
      </w:pPr>
      <w:r>
        <w:t>OBRAZLOŽENJE PROGRAMA</w:t>
      </w:r>
    </w:p>
    <w:p w:rsidR="00AC0832" w:rsidRDefault="00AC0832">
      <w:pPr>
        <w:pStyle w:val="Heading5"/>
      </w:pPr>
      <w:r>
        <w:t>3801 ULAGANJE U ZNANSTVENO ISTRAŽIVAČKU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3801-ULAGANJE U ZNANSTVENO ISTRAŽIVAČKU DJELATNOST</w:t>
            </w:r>
          </w:p>
        </w:tc>
        <w:tc>
          <w:tcPr>
            <w:tcW w:w="2322" w:type="dxa"/>
          </w:tcPr>
          <w:p w:rsidR="00AC0832" w:rsidRDefault="00AC0832">
            <w:pPr>
              <w:pStyle w:val="CellColumn"/>
            </w:pPr>
            <w:r>
              <w:t>16.493.871</w:t>
            </w:r>
          </w:p>
        </w:tc>
        <w:tc>
          <w:tcPr>
            <w:tcW w:w="2322" w:type="dxa"/>
          </w:tcPr>
          <w:p w:rsidR="00AC0832" w:rsidRDefault="00AC0832">
            <w:pPr>
              <w:pStyle w:val="CellColumn"/>
            </w:pPr>
            <w:r>
              <w:t>15.410.430</w:t>
            </w:r>
          </w:p>
        </w:tc>
        <w:tc>
          <w:tcPr>
            <w:tcW w:w="2322" w:type="dxa"/>
          </w:tcPr>
          <w:p w:rsidR="00AC0832" w:rsidRDefault="00AC0832">
            <w:pPr>
              <w:pStyle w:val="CellColumn"/>
            </w:pPr>
            <w:r>
              <w:t>93,4</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 se u DZIV-u odnosi na realizaciju postavljenog glavnog cilja DZIV-a, a to je osiguranje kvalitetnog, učinkovitog i financijski prihvatljivog nacionalnog sustava zaštite, provedbe i primjene intelektualnog vlasništva, optimalno usklađenog s relevantnim međunarodnim i europskim sustavima. </w:t>
      </w:r>
    </w:p>
    <w:p w:rsidR="00AC0832" w:rsidRDefault="00AC0832">
      <w:pPr>
        <w:pStyle w:val="Normal5"/>
      </w:pPr>
      <w:r>
        <w:t xml:space="preserve">Nacionalni sustav intelektualnog vlasništva (NSIV), koji obuhvaća aspekte zaštite, provedbe i primjene prava intelektualnog vlasništva, treba osigurati poticajno okruženje za kreativni i inovativni razvoj svih gospodarskih i društvenih aktivnosti, osiguravajući pri tome pravednu tržišnu utakmicu te optimalan odnos između privatnih interesa stvaratelja odnosno nositelja prava s jedne strane, te općih društvenih interesa s druge strane.  </w:t>
      </w:r>
    </w:p>
    <w:p w:rsidR="00AC0832" w:rsidRDefault="00AC0832">
      <w:pPr>
        <w:pStyle w:val="Normal5"/>
      </w:pPr>
      <w:r>
        <w:t>Ciljevi provedbe programa proizlaze iz Nacionalne strategije razvoja sustava intelektualnog vlasništva Republike Hrvatske 2010-2012.</w:t>
      </w:r>
    </w:p>
    <w:p w:rsidR="00AC0832" w:rsidRDefault="00AC0832">
      <w:pPr>
        <w:pStyle w:val="Heading6"/>
      </w:pPr>
      <w:r>
        <w:t>Zakonske i druge pravne osnove</w:t>
      </w:r>
    </w:p>
    <w:p w:rsidR="00AC0832" w:rsidRDefault="00AC0832">
      <w:pPr>
        <w:pStyle w:val="Normal5"/>
      </w:pPr>
      <w:r>
        <w:t>Provođenje programa Zaštita prava intelektualnog vlasništva zasniva se na zakonodavstvu Republike Hrvatske koje uređuje nacionalni sustav intelektualnog vlasništva u užem smislu: Zakon o patentu (NN br. 173/2003 i njegove izmjene i dopune); Zakon o žigu (NN br. 173/2003 i njegove izmjene i dopune); Zakon o oznakama zemljopisnog podrijetla i oznakama izvornosti proizvoda i usluga (NN br. 173/2003 i njegove izmjene i dopune); Zakon o zaštiti topografija poluvodičkih proizvoda (NN br. 173/2003 i njegove izmjene i dopune); Zakon o industrijskom dizajnu (NN br. 173/2003 i njegove izmjene i dopune); Zakon o autorskom pravu i srodnim pravima (NN br. 167/2003 i njegove izmjene i dopune).</w:t>
      </w:r>
    </w:p>
    <w:p w:rsidR="00AC0832" w:rsidRDefault="00AC0832">
      <w:pPr>
        <w:pStyle w:val="Heading7"/>
      </w:pPr>
      <w:r>
        <w:t xml:space="preserve">Cilj 1. Postizanje kvalitetnog, učinkovitog i financijski prihvatljivog postupka priznavanja prava industrijskog vlasništva   </w:t>
      </w:r>
    </w:p>
    <w:p w:rsidR="00AC0832" w:rsidRDefault="00AC0832">
      <w:pPr>
        <w:pStyle w:val="Heading8"/>
        <w:jc w:val="left"/>
      </w:pPr>
      <w:r>
        <w:t>Opis provedbe cilja programa</w:t>
      </w:r>
    </w:p>
    <w:p w:rsidR="00AC0832" w:rsidRDefault="00AC0832">
      <w:pPr>
        <w:pStyle w:val="Normal6"/>
      </w:pPr>
      <w:r>
        <w:t xml:space="preserve">Osnovni cilj DZIV-a je osiguranje kvalitetnog, učinkovitog i financijski prihvatljivog nacionalnog sustava zaštite intelektualnog vlasništva, optimalno usklađenog s relevantnim međunarodnim i europskim sustavima. </w:t>
      </w:r>
    </w:p>
    <w:p w:rsidR="00AC0832" w:rsidRDefault="00AC0832">
      <w:pPr>
        <w:pStyle w:val="Normal6"/>
      </w:pPr>
      <w:r>
        <w:t>U segmentu postupaka za zaštitu industrijskog vlasništva (postupaka priznanja odnosno stjecanja prava), čiju glavninu na nacionalnoj razini provodi DZIV, potrebno je radi trajnog osiguranja primjerene kvalitete i učinkovitosti provedbe postupaka usklađenih s relevantnim europskim standardima osigurati optimalni formalno-organizacijski status DZIV-a, stabilan daljnji razvoj odgovarajućih visokostručnih ljudskih resursa, te primjereni daljnji razvoj informacijske infrastrukture radi osiguravanja optimalne integriranosti u informacijske sustave državne i javne uprave s jedne strane, te europskog i međunarodnog sustava intelektualnog vlasništva s druge strane.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1"/>
        <w:gridCol w:w="135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Stupanj kvalitete, učinkovitosti i financijske prihvatljivosti postupaka priznanja prava industrijskog vlasništva usklađen s europskim standardima</w:t>
            </w:r>
          </w:p>
        </w:tc>
        <w:tc>
          <w:tcPr>
            <w:tcW w:w="1300" w:type="dxa"/>
          </w:tcPr>
          <w:p w:rsidR="00AC0832" w:rsidRDefault="00AC0832">
            <w:pPr>
              <w:pStyle w:val="CellColumn"/>
            </w:pPr>
            <w:r>
              <w:t>Usklađivanje razine kvalitete provedbe postupaka, učinkovitosti obavljanja poslova i sustava financiranja postupaka za zaštitu prava industrijskog vlasništva s onima u zemljama EU-a dovodi do ostvarenja cilja</w:t>
            </w:r>
          </w:p>
        </w:tc>
        <w:tc>
          <w:tcPr>
            <w:tcW w:w="1300" w:type="dxa"/>
          </w:tcPr>
          <w:p w:rsidR="00AC0832" w:rsidRDefault="00AC0832">
            <w:pPr>
              <w:pStyle w:val="CellColumn"/>
            </w:pPr>
            <w:r>
              <w:t>%</w:t>
            </w:r>
          </w:p>
        </w:tc>
        <w:tc>
          <w:tcPr>
            <w:tcW w:w="1300" w:type="dxa"/>
          </w:tcPr>
          <w:p w:rsidR="00AC0832" w:rsidRDefault="00AC0832">
            <w:pPr>
              <w:pStyle w:val="CellColumn"/>
            </w:pPr>
            <w:r>
              <w:t>75%</w:t>
            </w:r>
          </w:p>
        </w:tc>
        <w:tc>
          <w:tcPr>
            <w:tcW w:w="1300" w:type="dxa"/>
          </w:tcPr>
          <w:p w:rsidR="00AC0832" w:rsidRDefault="00AC0832">
            <w:pPr>
              <w:pStyle w:val="CellColumn"/>
            </w:pPr>
            <w:r>
              <w:t>DZIV</w:t>
            </w:r>
          </w:p>
        </w:tc>
        <w:tc>
          <w:tcPr>
            <w:tcW w:w="1300" w:type="dxa"/>
          </w:tcPr>
          <w:p w:rsidR="00AC0832" w:rsidRDefault="00AC0832">
            <w:pPr>
              <w:pStyle w:val="CellColumn"/>
            </w:pPr>
            <w:r>
              <w:t>75%</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A763000 ADMINISTRACIJA I UPRAVLJANJE DRŽAVNOG ZAVODA ZA INTELEKTUALNO VLASNIŠTVO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A763000-ADMINISTRACIJA I UPRAVLJANJE DRŽAVNOG ZAVODA ZA INTELEKTUALNO VLASNIŠTVO</w:t>
            </w:r>
          </w:p>
        </w:tc>
        <w:tc>
          <w:tcPr>
            <w:tcW w:w="2322" w:type="dxa"/>
          </w:tcPr>
          <w:p w:rsidR="00AC0832" w:rsidRDefault="00AC0832">
            <w:pPr>
              <w:pStyle w:val="CellColumn"/>
            </w:pPr>
            <w:r>
              <w:t>14.956.871</w:t>
            </w:r>
          </w:p>
        </w:tc>
        <w:tc>
          <w:tcPr>
            <w:tcW w:w="2322" w:type="dxa"/>
          </w:tcPr>
          <w:p w:rsidR="00AC0832" w:rsidRDefault="00AC0832">
            <w:pPr>
              <w:pStyle w:val="CellColumn"/>
            </w:pPr>
            <w:r>
              <w:t>14.243.874</w:t>
            </w:r>
          </w:p>
        </w:tc>
        <w:tc>
          <w:tcPr>
            <w:tcW w:w="2322" w:type="dxa"/>
          </w:tcPr>
          <w:p w:rsidR="00AC0832" w:rsidRDefault="00AC0832">
            <w:pPr>
              <w:pStyle w:val="CellColumn"/>
            </w:pPr>
            <w:r>
              <w:t>95,2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Aktivnost Administracija i upravljanje je temeljna aktivnost DZIV-a koja obuhvaća sve redovne stručne poslove i aktivnosti DZIV-a za ostvarenje osnovnog cilja - Kvalitetan, učinkovit i financijski prihvatljiv postupak priznavanja prava industrijskog vlasništva. Provođenje ove aktivnosti omogućava nositeljima prava intelektualnog vlasništva učinkovitu daljnju  primjenu tih prava u razvojne i poslovne svrhe, uz istovremeno osiguranje pravne sigurnosti za zainteresirane treće strane, kao i očuvanje društvenog i javnog interesa.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0"/>
        <w:gridCol w:w="1717"/>
        <w:gridCol w:w="1166"/>
        <w:gridCol w:w="1213"/>
        <w:gridCol w:w="1200"/>
        <w:gridCol w:w="1213"/>
        <w:gridCol w:w="123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usluga dostupnih elektroničkim putem</w:t>
            </w:r>
          </w:p>
        </w:tc>
        <w:tc>
          <w:tcPr>
            <w:tcW w:w="1300" w:type="dxa"/>
          </w:tcPr>
          <w:p w:rsidR="00AC0832" w:rsidRDefault="00AC0832">
            <w:pPr>
              <w:pStyle w:val="CellColumn"/>
            </w:pPr>
            <w:r>
              <w:t>Uvođenjem e-usluga povećat će se dostupnost usluga DZIV-a</w:t>
            </w:r>
          </w:p>
        </w:tc>
        <w:tc>
          <w:tcPr>
            <w:tcW w:w="1300" w:type="dxa"/>
          </w:tcPr>
          <w:p w:rsidR="00AC0832" w:rsidRDefault="00AC0832">
            <w:pPr>
              <w:pStyle w:val="CellColumn"/>
            </w:pPr>
            <w:r>
              <w:t>%</w:t>
            </w:r>
          </w:p>
        </w:tc>
        <w:tc>
          <w:tcPr>
            <w:tcW w:w="1300" w:type="dxa"/>
          </w:tcPr>
          <w:p w:rsidR="00AC0832" w:rsidRDefault="00AC0832">
            <w:pPr>
              <w:pStyle w:val="CellColumn"/>
            </w:pPr>
            <w:r>
              <w:t>34%</w:t>
            </w:r>
          </w:p>
        </w:tc>
        <w:tc>
          <w:tcPr>
            <w:tcW w:w="1300" w:type="dxa"/>
          </w:tcPr>
          <w:p w:rsidR="00AC0832" w:rsidRDefault="00AC0832">
            <w:pPr>
              <w:pStyle w:val="CellColumn"/>
            </w:pPr>
            <w:r>
              <w:t>DZIV</w:t>
            </w:r>
          </w:p>
        </w:tc>
        <w:tc>
          <w:tcPr>
            <w:tcW w:w="1300" w:type="dxa"/>
          </w:tcPr>
          <w:p w:rsidR="00AC0832" w:rsidRDefault="00AC0832">
            <w:pPr>
              <w:pStyle w:val="CellColumn"/>
            </w:pPr>
            <w:r>
              <w:t>68%</w:t>
            </w:r>
          </w:p>
        </w:tc>
        <w:tc>
          <w:tcPr>
            <w:tcW w:w="1300" w:type="dxa"/>
          </w:tcPr>
          <w:p w:rsidR="00AC0832" w:rsidRDefault="00AC0832">
            <w:pPr>
              <w:pStyle w:val="CellColumn"/>
            </w:pPr>
            <w:r>
              <w:t>46%</w:t>
            </w:r>
          </w:p>
        </w:tc>
      </w:tr>
      <w:tr w:rsidR="00AC0832" w:rsidTr="00BE20ED">
        <w:trPr>
          <w:jc w:val="center"/>
        </w:trPr>
        <w:tc>
          <w:tcPr>
            <w:tcW w:w="1300" w:type="dxa"/>
          </w:tcPr>
          <w:p w:rsidR="00AC0832" w:rsidRDefault="00AC0832">
            <w:pPr>
              <w:pStyle w:val="CellColumn"/>
            </w:pPr>
            <w:r>
              <w:t>Stupanj razvoja nove internetske stranice DZIV-a s unaprijeđenom strukturom i sadržajem informacija</w:t>
            </w:r>
          </w:p>
        </w:tc>
        <w:tc>
          <w:tcPr>
            <w:tcW w:w="1300" w:type="dxa"/>
          </w:tcPr>
          <w:p w:rsidR="00AC0832" w:rsidRDefault="00AC0832">
            <w:pPr>
              <w:pStyle w:val="CellColumn"/>
            </w:pPr>
            <w:r>
              <w:t>Izradom projekta razvoja nove internetske stranice i sustavnom implementacijom povećat će se informiranost korisnika o uslugama DZIV-a</w:t>
            </w:r>
          </w:p>
        </w:tc>
        <w:tc>
          <w:tcPr>
            <w:tcW w:w="1300" w:type="dxa"/>
          </w:tcPr>
          <w:p w:rsidR="00AC0832" w:rsidRDefault="00AC0832">
            <w:pPr>
              <w:pStyle w:val="CellColumn"/>
            </w:pPr>
            <w:r>
              <w:t>%</w:t>
            </w:r>
          </w:p>
        </w:tc>
        <w:tc>
          <w:tcPr>
            <w:tcW w:w="1300" w:type="dxa"/>
          </w:tcPr>
          <w:p w:rsidR="00AC0832" w:rsidRDefault="00AC0832">
            <w:pPr>
              <w:pStyle w:val="CellColumn"/>
            </w:pPr>
            <w:r>
              <w:t>80%</w:t>
            </w:r>
          </w:p>
        </w:tc>
        <w:tc>
          <w:tcPr>
            <w:tcW w:w="1300" w:type="dxa"/>
          </w:tcPr>
          <w:p w:rsidR="00AC0832" w:rsidRDefault="00AC0832">
            <w:pPr>
              <w:pStyle w:val="CellColumn"/>
            </w:pPr>
            <w:r>
              <w:t>DZIV</w:t>
            </w:r>
          </w:p>
        </w:tc>
        <w:tc>
          <w:tcPr>
            <w:tcW w:w="1300" w:type="dxa"/>
          </w:tcPr>
          <w:p w:rsidR="00AC0832" w:rsidRDefault="00AC0832">
            <w:pPr>
              <w:pStyle w:val="CellColumn"/>
            </w:pPr>
            <w:r>
              <w:t>100%</w:t>
            </w:r>
          </w:p>
        </w:tc>
        <w:tc>
          <w:tcPr>
            <w:tcW w:w="1300" w:type="dxa"/>
          </w:tcPr>
          <w:p w:rsidR="00AC0832" w:rsidRDefault="00AC0832">
            <w:pPr>
              <w:pStyle w:val="CellColumn"/>
            </w:pPr>
            <w:r>
              <w:t>100%</w:t>
            </w:r>
          </w:p>
        </w:tc>
      </w:tr>
      <w:tr w:rsidR="00AC0832" w:rsidTr="00BE20ED">
        <w:trPr>
          <w:jc w:val="center"/>
        </w:trPr>
        <w:tc>
          <w:tcPr>
            <w:tcW w:w="1300" w:type="dxa"/>
          </w:tcPr>
          <w:p w:rsidR="00AC0832" w:rsidRDefault="00AC0832">
            <w:pPr>
              <w:pStyle w:val="CellColumn"/>
            </w:pPr>
            <w:r>
              <w:t>Broj zajedničkih projekata i suradničkih aktivnosti</w:t>
            </w:r>
          </w:p>
        </w:tc>
        <w:tc>
          <w:tcPr>
            <w:tcW w:w="1300" w:type="dxa"/>
          </w:tcPr>
          <w:p w:rsidR="00AC0832" w:rsidRDefault="00AC0832">
            <w:pPr>
              <w:pStyle w:val="CellColumn"/>
            </w:pPr>
            <w:r>
              <w:t>Zajednički projekti i suradničke aktivnosti između DZIV-a i tijela za provedbu prava intelektualnog vlasništva pridonijet će povećanju kvalitete i učinkovitosti mjera za provedbu prava.</w:t>
            </w:r>
          </w:p>
        </w:tc>
        <w:tc>
          <w:tcPr>
            <w:tcW w:w="1300" w:type="dxa"/>
          </w:tcPr>
          <w:p w:rsidR="00AC0832" w:rsidRDefault="00AC0832">
            <w:pPr>
              <w:pStyle w:val="CellColumn"/>
            </w:pPr>
            <w:r>
              <w:t>Broj</w:t>
            </w:r>
          </w:p>
        </w:tc>
        <w:tc>
          <w:tcPr>
            <w:tcW w:w="1300" w:type="dxa"/>
          </w:tcPr>
          <w:p w:rsidR="00AC0832" w:rsidRDefault="00AC0832">
            <w:pPr>
              <w:pStyle w:val="CellColumn"/>
            </w:pPr>
            <w:r>
              <w:t>2</w:t>
            </w:r>
          </w:p>
        </w:tc>
        <w:tc>
          <w:tcPr>
            <w:tcW w:w="1300" w:type="dxa"/>
          </w:tcPr>
          <w:p w:rsidR="00AC0832" w:rsidRDefault="00AC0832">
            <w:pPr>
              <w:pStyle w:val="CellColumn"/>
            </w:pPr>
            <w:r>
              <w:t>DZIV</w:t>
            </w:r>
          </w:p>
        </w:tc>
        <w:tc>
          <w:tcPr>
            <w:tcW w:w="1300" w:type="dxa"/>
          </w:tcPr>
          <w:p w:rsidR="00AC0832" w:rsidRDefault="00AC0832">
            <w:pPr>
              <w:pStyle w:val="CellColumn"/>
            </w:pPr>
            <w:r>
              <w:t>3</w:t>
            </w:r>
          </w:p>
        </w:tc>
        <w:tc>
          <w:tcPr>
            <w:tcW w:w="1300" w:type="dxa"/>
          </w:tcPr>
          <w:p w:rsidR="00AC0832" w:rsidRDefault="00AC0832">
            <w:pPr>
              <w:pStyle w:val="CellColumn"/>
            </w:pPr>
            <w:r>
              <w:t>3</w:t>
            </w:r>
          </w:p>
        </w:tc>
      </w:tr>
      <w:tr w:rsidR="00AC0832" w:rsidTr="00BE20ED">
        <w:trPr>
          <w:jc w:val="center"/>
        </w:trPr>
        <w:tc>
          <w:tcPr>
            <w:tcW w:w="1300" w:type="dxa"/>
          </w:tcPr>
          <w:p w:rsidR="00AC0832" w:rsidRDefault="00AC0832">
            <w:pPr>
              <w:pStyle w:val="CellColumn"/>
            </w:pPr>
            <w:r>
              <w:t>Stupanj uključenosti DZIV-a u sustav Europske patentne mreže</w:t>
            </w:r>
          </w:p>
        </w:tc>
        <w:tc>
          <w:tcPr>
            <w:tcW w:w="1300" w:type="dxa"/>
          </w:tcPr>
          <w:p w:rsidR="00AC0832" w:rsidRDefault="00AC0832">
            <w:pPr>
              <w:pStyle w:val="CellColumn"/>
            </w:pPr>
            <w:r>
              <w:t>Optimalna usklađenost i održivost resursa između DZIV-a i europskog patentnog sustava pratit će se temeljem stupnja aktivnog sudjelovanja predstavnika DZIV-a u upravljačkim i stručnim tijelima Europske patente organizacije (EPO).</w:t>
            </w:r>
          </w:p>
        </w:tc>
        <w:tc>
          <w:tcPr>
            <w:tcW w:w="1300" w:type="dxa"/>
          </w:tcPr>
          <w:p w:rsidR="00AC0832" w:rsidRDefault="00AC0832">
            <w:pPr>
              <w:pStyle w:val="CellColumn"/>
            </w:pPr>
            <w:r>
              <w:t>%</w:t>
            </w:r>
          </w:p>
        </w:tc>
        <w:tc>
          <w:tcPr>
            <w:tcW w:w="1300" w:type="dxa"/>
          </w:tcPr>
          <w:p w:rsidR="00AC0832" w:rsidRDefault="00AC0832">
            <w:pPr>
              <w:pStyle w:val="CellColumn"/>
            </w:pPr>
            <w:r>
              <w:t>75%</w:t>
            </w:r>
          </w:p>
        </w:tc>
        <w:tc>
          <w:tcPr>
            <w:tcW w:w="1300" w:type="dxa"/>
          </w:tcPr>
          <w:p w:rsidR="00AC0832" w:rsidRDefault="00AC0832">
            <w:pPr>
              <w:pStyle w:val="CellColumn"/>
            </w:pPr>
            <w:r>
              <w:t>DZIV</w:t>
            </w:r>
          </w:p>
        </w:tc>
        <w:tc>
          <w:tcPr>
            <w:tcW w:w="1300" w:type="dxa"/>
          </w:tcPr>
          <w:p w:rsidR="00AC0832" w:rsidRDefault="00AC0832">
            <w:pPr>
              <w:pStyle w:val="CellColumn"/>
            </w:pPr>
            <w:r>
              <w:t>80%</w:t>
            </w:r>
          </w:p>
        </w:tc>
        <w:tc>
          <w:tcPr>
            <w:tcW w:w="1300" w:type="dxa"/>
          </w:tcPr>
          <w:p w:rsidR="00AC0832" w:rsidRDefault="00AC0832">
            <w:pPr>
              <w:pStyle w:val="CellColumn"/>
            </w:pPr>
            <w:r>
              <w:t>80%</w:t>
            </w:r>
          </w:p>
        </w:tc>
      </w:tr>
    </w:tbl>
    <w:p w:rsidR="00AC0832" w:rsidRDefault="00AC0832">
      <w:pPr>
        <w:jc w:val="left"/>
      </w:pPr>
    </w:p>
    <w:p w:rsidR="00AC0832" w:rsidRDefault="00AC0832">
      <w:pPr>
        <w:pStyle w:val="Heading6"/>
      </w:pPr>
      <w:r>
        <w:t>K763001 INFORMATIZACIJA ZAVODA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K763001-INFORMATIZACIJA ZAVODA</w:t>
            </w:r>
          </w:p>
        </w:tc>
        <w:tc>
          <w:tcPr>
            <w:tcW w:w="2322" w:type="dxa"/>
          </w:tcPr>
          <w:p w:rsidR="00AC0832" w:rsidRDefault="00AC0832">
            <w:pPr>
              <w:pStyle w:val="CellColumn"/>
            </w:pPr>
            <w:r>
              <w:t>990.000</w:t>
            </w:r>
          </w:p>
        </w:tc>
        <w:tc>
          <w:tcPr>
            <w:tcW w:w="2322" w:type="dxa"/>
          </w:tcPr>
          <w:p w:rsidR="00AC0832" w:rsidRDefault="00AC0832">
            <w:pPr>
              <w:pStyle w:val="CellColumn"/>
            </w:pPr>
            <w:r>
              <w:t>944.261</w:t>
            </w:r>
          </w:p>
        </w:tc>
        <w:tc>
          <w:tcPr>
            <w:tcW w:w="2322" w:type="dxa"/>
          </w:tcPr>
          <w:p w:rsidR="00AC0832" w:rsidRDefault="00AC0832">
            <w:pPr>
              <w:pStyle w:val="CellColumn"/>
            </w:pPr>
            <w:r>
              <w:t>95,4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Projekt Informatizacija Zavoda usmjeren je na održavanje i razvoj prateće mrežne infrastrukture kao jedan od osnovnih preduvjeta za provedbu postupaka zaštite industrijskog vlasništva, razvoja pratećih e-usluga te odgovarajuću razmjenu podataka s međunarodnim i regionalnim sustavima zaštite intelektualnog vlasništva.  </w:t>
      </w:r>
    </w:p>
    <w:p w:rsidR="00AC0832" w:rsidRDefault="00AC0832">
      <w:pPr>
        <w:pStyle w:val="Normal6"/>
      </w:pPr>
      <w:r>
        <w:t xml:space="preserve">U 2012. godini izvršeno je niz  projekata na realizaciji trogodišnjeg plana nadogradnje i konsolidacije informacijskog (IT) sustava DZIV-a, od kojih najvažniji uključuju virtualizaciju informatičke infrastrukture, implementaciju novog sustava za pohranu podataka i migraciju podataka, te uvođenje novog sustava za sigurnosnu pohranu podataka. </w:t>
      </w:r>
    </w:p>
    <w:p w:rsidR="00AC0832" w:rsidRDefault="00AC0832">
      <w:pPr>
        <w:pStyle w:val="Normal6"/>
      </w:pPr>
      <w:r>
        <w:t>Također, sukladno planiranome ostvareno je povećanje obuhvata  podataka u automatskoj razmjeni sa međunarodnim sustavima intelektualnog vlasništva (u nadležnosti Europskog ureda za intelektualno vlasništvo i Međunarodnog ureda Svjetske organizacije za intelektualno vlasništvo).</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1717"/>
        <w:gridCol w:w="1163"/>
        <w:gridCol w:w="1211"/>
        <w:gridCol w:w="1198"/>
        <w:gridCol w:w="1211"/>
        <w:gridCol w:w="123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Stupanj implementacije strateškog plana razvoja informacijske infrastrukture</w:t>
            </w:r>
          </w:p>
        </w:tc>
        <w:tc>
          <w:tcPr>
            <w:tcW w:w="1300" w:type="dxa"/>
          </w:tcPr>
          <w:p w:rsidR="00AC0832" w:rsidRDefault="00AC0832">
            <w:pPr>
              <w:pStyle w:val="CellColumn"/>
            </w:pPr>
            <w:r>
              <w:t>Izradom i implementacijom strategije  razvoja informacijske infrastrukture DZIV-a osigurat će se optimalna učinkovitost i integriranost  informacijskog sustava DZIV-a u sustave državne/javne uprave, te europskog i međunarodnog sustava intelektualnog vlasništva.</w:t>
            </w:r>
          </w:p>
        </w:tc>
        <w:tc>
          <w:tcPr>
            <w:tcW w:w="1300" w:type="dxa"/>
          </w:tcPr>
          <w:p w:rsidR="00AC0832" w:rsidRDefault="00AC0832">
            <w:pPr>
              <w:pStyle w:val="CellColumn"/>
            </w:pPr>
            <w:r>
              <w:t>%</w:t>
            </w:r>
          </w:p>
        </w:tc>
        <w:tc>
          <w:tcPr>
            <w:tcW w:w="1300" w:type="dxa"/>
          </w:tcPr>
          <w:p w:rsidR="00AC0832" w:rsidRDefault="00AC0832">
            <w:pPr>
              <w:pStyle w:val="CellColumn"/>
            </w:pPr>
            <w:r>
              <w:t>50%</w:t>
            </w:r>
          </w:p>
        </w:tc>
        <w:tc>
          <w:tcPr>
            <w:tcW w:w="1300" w:type="dxa"/>
          </w:tcPr>
          <w:p w:rsidR="00AC0832" w:rsidRDefault="00AC0832">
            <w:pPr>
              <w:pStyle w:val="CellColumn"/>
            </w:pPr>
            <w:r>
              <w:t>DZIV</w:t>
            </w:r>
          </w:p>
        </w:tc>
        <w:tc>
          <w:tcPr>
            <w:tcW w:w="1300" w:type="dxa"/>
          </w:tcPr>
          <w:p w:rsidR="00AC0832" w:rsidRDefault="00AC0832">
            <w:pPr>
              <w:pStyle w:val="CellColumn"/>
            </w:pPr>
            <w:r>
              <w:t>75%</w:t>
            </w:r>
          </w:p>
        </w:tc>
        <w:tc>
          <w:tcPr>
            <w:tcW w:w="1300" w:type="dxa"/>
          </w:tcPr>
          <w:p w:rsidR="00AC0832" w:rsidRDefault="00AC0832">
            <w:pPr>
              <w:pStyle w:val="CellColumn"/>
            </w:pPr>
            <w:r>
              <w:t>75%</w:t>
            </w:r>
          </w:p>
        </w:tc>
      </w:tr>
      <w:tr w:rsidR="00AC0832" w:rsidTr="00BE20ED">
        <w:trPr>
          <w:jc w:val="center"/>
        </w:trPr>
        <w:tc>
          <w:tcPr>
            <w:tcW w:w="1300" w:type="dxa"/>
          </w:tcPr>
          <w:p w:rsidR="00AC0832" w:rsidRDefault="00AC0832">
            <w:pPr>
              <w:pStyle w:val="CellColumn"/>
            </w:pPr>
            <w:r>
              <w:t>Stupanj automatizirane razmjene podataka sa međunarodnim sustavima intelektualnog vlasništva</w:t>
            </w:r>
          </w:p>
        </w:tc>
        <w:tc>
          <w:tcPr>
            <w:tcW w:w="1300" w:type="dxa"/>
          </w:tcPr>
          <w:p w:rsidR="00AC0832" w:rsidRDefault="00AC0832">
            <w:pPr>
              <w:pStyle w:val="CellColumn"/>
            </w:pPr>
            <w:r>
              <w:t>Povećanje učinkovitosti i integriranosti informacijskog sustava DZIV-a mjerit će se porastom obuhvata podataka u automatskoj razmjeni sa međunarodnim sustavima</w:t>
            </w:r>
          </w:p>
        </w:tc>
        <w:tc>
          <w:tcPr>
            <w:tcW w:w="1300" w:type="dxa"/>
          </w:tcPr>
          <w:p w:rsidR="00AC0832" w:rsidRDefault="00AC0832">
            <w:pPr>
              <w:pStyle w:val="CellColumn"/>
            </w:pPr>
            <w:r>
              <w:t>%</w:t>
            </w:r>
          </w:p>
        </w:tc>
        <w:tc>
          <w:tcPr>
            <w:tcW w:w="1300" w:type="dxa"/>
          </w:tcPr>
          <w:p w:rsidR="00AC0832" w:rsidRDefault="00AC0832">
            <w:pPr>
              <w:pStyle w:val="CellColumn"/>
            </w:pPr>
            <w:r>
              <w:t>85%</w:t>
            </w:r>
          </w:p>
        </w:tc>
        <w:tc>
          <w:tcPr>
            <w:tcW w:w="1300" w:type="dxa"/>
          </w:tcPr>
          <w:p w:rsidR="00AC0832" w:rsidRDefault="00AC0832">
            <w:pPr>
              <w:pStyle w:val="CellColumn"/>
            </w:pPr>
            <w:r>
              <w:t>DZIV</w:t>
            </w:r>
          </w:p>
        </w:tc>
        <w:tc>
          <w:tcPr>
            <w:tcW w:w="1300" w:type="dxa"/>
          </w:tcPr>
          <w:p w:rsidR="00AC0832" w:rsidRDefault="00AC0832">
            <w:pPr>
              <w:pStyle w:val="CellColumn"/>
            </w:pPr>
            <w:r>
              <w:t>90%</w:t>
            </w:r>
          </w:p>
        </w:tc>
        <w:tc>
          <w:tcPr>
            <w:tcW w:w="1300" w:type="dxa"/>
          </w:tcPr>
          <w:p w:rsidR="00AC0832" w:rsidRDefault="00AC0832">
            <w:pPr>
              <w:pStyle w:val="CellColumn"/>
            </w:pPr>
            <w:r>
              <w:t>90%</w:t>
            </w:r>
          </w:p>
        </w:tc>
      </w:tr>
    </w:tbl>
    <w:p w:rsidR="00AC0832" w:rsidRDefault="00AC0832">
      <w:pPr>
        <w:jc w:val="left"/>
      </w:pPr>
    </w:p>
    <w:p w:rsidR="00AC0832" w:rsidRDefault="00AC0832">
      <w:pPr>
        <w:pStyle w:val="Heading6"/>
      </w:pPr>
      <w:r>
        <w:t>T763005 SURADNJA DZIV-a S EUROPSKIM UREDOM ZA ŽIGOVE I DIZAJN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T763005-SURADNJA DZIV-a S EUROPSKIM UREDOM ZA ŽIGOVE I DIZAJN</w:t>
            </w:r>
          </w:p>
        </w:tc>
        <w:tc>
          <w:tcPr>
            <w:tcW w:w="2322" w:type="dxa"/>
          </w:tcPr>
          <w:p w:rsidR="00AC0832" w:rsidRDefault="00AC0832">
            <w:pPr>
              <w:pStyle w:val="CellColumn"/>
            </w:pPr>
            <w:r>
              <w:t>547.000</w:t>
            </w:r>
          </w:p>
        </w:tc>
        <w:tc>
          <w:tcPr>
            <w:tcW w:w="2322" w:type="dxa"/>
          </w:tcPr>
          <w:p w:rsidR="00AC0832" w:rsidRDefault="00AC0832">
            <w:pPr>
              <w:pStyle w:val="CellColumn"/>
            </w:pPr>
            <w:r>
              <w:t>222.294</w:t>
            </w:r>
          </w:p>
        </w:tc>
        <w:tc>
          <w:tcPr>
            <w:tcW w:w="2322" w:type="dxa"/>
          </w:tcPr>
          <w:p w:rsidR="00AC0832" w:rsidRDefault="00AC0832">
            <w:pPr>
              <w:pStyle w:val="CellColumn"/>
            </w:pPr>
            <w:r>
              <w:t>40,6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Temeljem ugovora o suradnji Europskog ureda za žigove i dizajn (OHIM) i Državnog zavoda za intelektualno vlasništvo, s ciljem harmonizacije DZIV-a s europskim sustavom zaštite žigova i dizajna koji su financirani temeljem posebnog ugovora o zajedničkoj suradnji, provedeni su planirani projekti. </w:t>
      </w:r>
    </w:p>
    <w:p w:rsidR="00AC0832" w:rsidRDefault="00AC0832">
      <w:pPr>
        <w:pStyle w:val="Normal6"/>
      </w:pPr>
      <w:r>
        <w:t>Također, nastavljena je stručna suradnja na aktivnostima u okviru programima konvergencije prakse u zemljama Europske unije u području registracije žigova. Ostale najvažnije aktivnosti odnosile su se na suradnju na pripremi svih tehničkih podloga za provedbu procedura OHIM-a na hrvatskom jeziku, kao jednom od službenih jezika postupaka OHIM-a po stupanju Republike Hrvatske članstvo u Europskoj uniji.</w:t>
      </w:r>
    </w:p>
    <w:p w:rsidR="00AC0832" w:rsidRDefault="00AC0832">
      <w:pPr>
        <w:pStyle w:val="Heading2"/>
      </w:pPr>
      <w:r>
        <w:t>08091 Agencije i ostale javne ustanove u znanosti, obrazovanju i sportu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21836-Nacionalna i sveučilišna knjižnica</w:t>
            </w:r>
          </w:p>
        </w:tc>
        <w:tc>
          <w:tcPr>
            <w:tcW w:w="2322" w:type="dxa"/>
          </w:tcPr>
          <w:p w:rsidR="00AC0832" w:rsidRDefault="00AC0832">
            <w:pPr>
              <w:pStyle w:val="CellColumn"/>
            </w:pPr>
            <w:r>
              <w:t>50.346.163</w:t>
            </w:r>
          </w:p>
        </w:tc>
        <w:tc>
          <w:tcPr>
            <w:tcW w:w="2322" w:type="dxa"/>
          </w:tcPr>
          <w:p w:rsidR="00AC0832" w:rsidRDefault="00AC0832">
            <w:pPr>
              <w:pStyle w:val="CellColumn"/>
            </w:pPr>
            <w:r>
              <w:t>50.334.931</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
            </w:pPr>
            <w:r>
              <w:t>21852-Hrvatska akademska i istraživačka mreža Carnet</w:t>
            </w:r>
          </w:p>
        </w:tc>
        <w:tc>
          <w:tcPr>
            <w:tcW w:w="2322" w:type="dxa"/>
          </w:tcPr>
          <w:p w:rsidR="00AC0832" w:rsidRDefault="00AC0832">
            <w:pPr>
              <w:pStyle w:val="CellColumn"/>
            </w:pPr>
            <w:r>
              <w:t>78.773.211</w:t>
            </w:r>
          </w:p>
        </w:tc>
        <w:tc>
          <w:tcPr>
            <w:tcW w:w="2322" w:type="dxa"/>
          </w:tcPr>
          <w:p w:rsidR="00AC0832" w:rsidRDefault="00AC0832">
            <w:pPr>
              <w:pStyle w:val="CellColumn"/>
            </w:pPr>
            <w:r>
              <w:t>77.552.394</w:t>
            </w:r>
          </w:p>
        </w:tc>
        <w:tc>
          <w:tcPr>
            <w:tcW w:w="2322" w:type="dxa"/>
          </w:tcPr>
          <w:p w:rsidR="00AC0832" w:rsidRDefault="00AC0832">
            <w:pPr>
              <w:pStyle w:val="CellColumn"/>
            </w:pPr>
            <w:r>
              <w:t>98,5</w:t>
            </w:r>
          </w:p>
        </w:tc>
      </w:tr>
      <w:tr w:rsidR="00AC0832" w:rsidTr="00BE20ED">
        <w:trPr>
          <w:jc w:val="center"/>
        </w:trPr>
        <w:tc>
          <w:tcPr>
            <w:tcW w:w="2322" w:type="dxa"/>
          </w:tcPr>
          <w:p w:rsidR="00AC0832" w:rsidRDefault="00AC0832">
            <w:pPr>
              <w:pStyle w:val="CellColumn"/>
            </w:pPr>
            <w:r>
              <w:t>21869-Leksikografski zavod Miroslav Krleža</w:t>
            </w:r>
          </w:p>
        </w:tc>
        <w:tc>
          <w:tcPr>
            <w:tcW w:w="2322" w:type="dxa"/>
          </w:tcPr>
          <w:p w:rsidR="00AC0832" w:rsidRDefault="00AC0832">
            <w:pPr>
              <w:pStyle w:val="CellColumn"/>
            </w:pPr>
            <w:r>
              <w:t>25.496.569</w:t>
            </w:r>
          </w:p>
        </w:tc>
        <w:tc>
          <w:tcPr>
            <w:tcW w:w="2322" w:type="dxa"/>
          </w:tcPr>
          <w:p w:rsidR="00AC0832" w:rsidRDefault="00AC0832">
            <w:pPr>
              <w:pStyle w:val="CellColumn"/>
            </w:pPr>
            <w:r>
              <w:t>25.470.296</w:t>
            </w:r>
          </w:p>
        </w:tc>
        <w:tc>
          <w:tcPr>
            <w:tcW w:w="2322" w:type="dxa"/>
          </w:tcPr>
          <w:p w:rsidR="00AC0832" w:rsidRDefault="00AC0832">
            <w:pPr>
              <w:pStyle w:val="CellColumn"/>
            </w:pPr>
            <w:r>
              <w:t>99,9</w:t>
            </w:r>
          </w:p>
        </w:tc>
      </w:tr>
      <w:tr w:rsidR="00AC0832" w:rsidTr="00BE20ED">
        <w:trPr>
          <w:jc w:val="center"/>
        </w:trPr>
        <w:tc>
          <w:tcPr>
            <w:tcW w:w="2322" w:type="dxa"/>
          </w:tcPr>
          <w:p w:rsidR="00AC0832" w:rsidRDefault="00AC0832">
            <w:pPr>
              <w:pStyle w:val="CellColumn"/>
            </w:pPr>
            <w:r>
              <w:t>23665-Sveučilišni računski centar SRCE</w:t>
            </w:r>
          </w:p>
        </w:tc>
        <w:tc>
          <w:tcPr>
            <w:tcW w:w="2322" w:type="dxa"/>
          </w:tcPr>
          <w:p w:rsidR="00AC0832" w:rsidRDefault="00AC0832">
            <w:pPr>
              <w:pStyle w:val="CellColumn"/>
            </w:pPr>
            <w:r>
              <w:t>27.951.492</w:t>
            </w:r>
          </w:p>
        </w:tc>
        <w:tc>
          <w:tcPr>
            <w:tcW w:w="2322" w:type="dxa"/>
          </w:tcPr>
          <w:p w:rsidR="00AC0832" w:rsidRDefault="00AC0832">
            <w:pPr>
              <w:pStyle w:val="CellColumn"/>
            </w:pPr>
            <w:r>
              <w:t>27.749.098</w:t>
            </w:r>
          </w:p>
        </w:tc>
        <w:tc>
          <w:tcPr>
            <w:tcW w:w="2322" w:type="dxa"/>
          </w:tcPr>
          <w:p w:rsidR="00AC0832" w:rsidRDefault="00AC0832">
            <w:pPr>
              <w:pStyle w:val="CellColumn"/>
            </w:pPr>
            <w:r>
              <w:t>99,3</w:t>
            </w:r>
          </w:p>
        </w:tc>
      </w:tr>
      <w:tr w:rsidR="00AC0832" w:rsidTr="00BE20ED">
        <w:trPr>
          <w:jc w:val="center"/>
        </w:trPr>
        <w:tc>
          <w:tcPr>
            <w:tcW w:w="2322" w:type="dxa"/>
          </w:tcPr>
          <w:p w:rsidR="00AC0832" w:rsidRDefault="00AC0832">
            <w:pPr>
              <w:pStyle w:val="CellColumn"/>
            </w:pPr>
            <w:r>
              <w:t>23962-Agencija za odgoj i obrazovanje</w:t>
            </w:r>
          </w:p>
        </w:tc>
        <w:tc>
          <w:tcPr>
            <w:tcW w:w="2322" w:type="dxa"/>
          </w:tcPr>
          <w:p w:rsidR="00AC0832" w:rsidRDefault="00AC0832">
            <w:pPr>
              <w:pStyle w:val="CellColumn"/>
            </w:pPr>
            <w:r>
              <w:t>38.812.361</w:t>
            </w:r>
          </w:p>
        </w:tc>
        <w:tc>
          <w:tcPr>
            <w:tcW w:w="2322" w:type="dxa"/>
          </w:tcPr>
          <w:p w:rsidR="00AC0832" w:rsidRDefault="00AC0832">
            <w:pPr>
              <w:pStyle w:val="CellColumn"/>
            </w:pPr>
            <w:r>
              <w:t>37.919.096</w:t>
            </w:r>
          </w:p>
        </w:tc>
        <w:tc>
          <w:tcPr>
            <w:tcW w:w="2322" w:type="dxa"/>
          </w:tcPr>
          <w:p w:rsidR="00AC0832" w:rsidRDefault="00AC0832">
            <w:pPr>
              <w:pStyle w:val="CellColumn"/>
            </w:pPr>
            <w:r>
              <w:t>97,7</w:t>
            </w:r>
          </w:p>
        </w:tc>
      </w:tr>
      <w:tr w:rsidR="00AC0832" w:rsidTr="00BE20ED">
        <w:trPr>
          <w:jc w:val="center"/>
        </w:trPr>
        <w:tc>
          <w:tcPr>
            <w:tcW w:w="2322" w:type="dxa"/>
          </w:tcPr>
          <w:p w:rsidR="00AC0832" w:rsidRDefault="00AC0832">
            <w:pPr>
              <w:pStyle w:val="CellColumn"/>
            </w:pPr>
            <w:r>
              <w:t>38487-Agencija za znanost i visoko obrazovanje</w:t>
            </w:r>
          </w:p>
        </w:tc>
        <w:tc>
          <w:tcPr>
            <w:tcW w:w="2322" w:type="dxa"/>
          </w:tcPr>
          <w:p w:rsidR="00AC0832" w:rsidRDefault="00AC0832">
            <w:pPr>
              <w:pStyle w:val="CellColumn"/>
            </w:pPr>
            <w:r>
              <w:t>21.264.575</w:t>
            </w:r>
          </w:p>
        </w:tc>
        <w:tc>
          <w:tcPr>
            <w:tcW w:w="2322" w:type="dxa"/>
          </w:tcPr>
          <w:p w:rsidR="00AC0832" w:rsidRDefault="00AC0832">
            <w:pPr>
              <w:pStyle w:val="CellColumn"/>
            </w:pPr>
            <w:r>
              <w:t>21.065.599</w:t>
            </w:r>
          </w:p>
        </w:tc>
        <w:tc>
          <w:tcPr>
            <w:tcW w:w="2322" w:type="dxa"/>
          </w:tcPr>
          <w:p w:rsidR="00AC0832" w:rsidRDefault="00AC0832">
            <w:pPr>
              <w:pStyle w:val="CellColumn"/>
            </w:pPr>
            <w:r>
              <w:t>99,1</w:t>
            </w:r>
          </w:p>
        </w:tc>
      </w:tr>
      <w:tr w:rsidR="00AC0832" w:rsidTr="00BE20ED">
        <w:trPr>
          <w:jc w:val="center"/>
        </w:trPr>
        <w:tc>
          <w:tcPr>
            <w:tcW w:w="2322" w:type="dxa"/>
          </w:tcPr>
          <w:p w:rsidR="00AC0832" w:rsidRDefault="00AC0832">
            <w:pPr>
              <w:pStyle w:val="CellColumn"/>
            </w:pPr>
            <w:r>
              <w:t>40883-Nacionalni centar za vanjsko vrednovanje obrazovanja</w:t>
            </w:r>
          </w:p>
        </w:tc>
        <w:tc>
          <w:tcPr>
            <w:tcW w:w="2322" w:type="dxa"/>
          </w:tcPr>
          <w:p w:rsidR="00AC0832" w:rsidRDefault="00AC0832">
            <w:pPr>
              <w:pStyle w:val="CellColumn"/>
            </w:pPr>
            <w:r>
              <w:t>48.469.786</w:t>
            </w:r>
          </w:p>
        </w:tc>
        <w:tc>
          <w:tcPr>
            <w:tcW w:w="2322" w:type="dxa"/>
          </w:tcPr>
          <w:p w:rsidR="00AC0832" w:rsidRDefault="00AC0832">
            <w:pPr>
              <w:pStyle w:val="CellColumn"/>
            </w:pPr>
            <w:r>
              <w:t>52.148.091</w:t>
            </w:r>
          </w:p>
        </w:tc>
        <w:tc>
          <w:tcPr>
            <w:tcW w:w="2322" w:type="dxa"/>
          </w:tcPr>
          <w:p w:rsidR="00AC0832" w:rsidRDefault="00AC0832">
            <w:pPr>
              <w:pStyle w:val="CellColumn"/>
            </w:pPr>
            <w:r>
              <w:t>107,6</w:t>
            </w:r>
          </w:p>
        </w:tc>
      </w:tr>
      <w:tr w:rsidR="00AC0832" w:rsidTr="00BE20ED">
        <w:trPr>
          <w:jc w:val="center"/>
        </w:trPr>
        <w:tc>
          <w:tcPr>
            <w:tcW w:w="2322" w:type="dxa"/>
          </w:tcPr>
          <w:p w:rsidR="00AC0832" w:rsidRDefault="00AC0832">
            <w:pPr>
              <w:pStyle w:val="CellColumn"/>
            </w:pPr>
            <w:r>
              <w:t>40891-Agencija za obrazovanje odraslih</w:t>
            </w:r>
          </w:p>
        </w:tc>
        <w:tc>
          <w:tcPr>
            <w:tcW w:w="2322" w:type="dxa"/>
          </w:tcPr>
          <w:p w:rsidR="00AC0832" w:rsidRDefault="00AC0832">
            <w:pPr>
              <w:pStyle w:val="CellColumn"/>
            </w:pPr>
            <w:r>
              <w:t>Sap podatak nije pronađen!</w:t>
            </w:r>
          </w:p>
        </w:tc>
        <w:tc>
          <w:tcPr>
            <w:tcW w:w="2322" w:type="dxa"/>
          </w:tcPr>
          <w:p w:rsidR="00AC0832" w:rsidRDefault="00AC0832">
            <w:pPr>
              <w:pStyle w:val="CellColumn"/>
            </w:pPr>
            <w:r>
              <w:t>Sap podatak nije pronađen!</w:t>
            </w:r>
          </w:p>
        </w:tc>
        <w:tc>
          <w:tcPr>
            <w:tcW w:w="2322" w:type="dxa"/>
          </w:tcPr>
          <w:p w:rsidR="00AC0832" w:rsidRDefault="00AC0832">
            <w:pPr>
              <w:pStyle w:val="CellColumn"/>
            </w:pPr>
            <w:r>
              <w:t>Sap podatak nije pronađen!</w:t>
            </w:r>
          </w:p>
        </w:tc>
      </w:tr>
      <w:tr w:rsidR="00AC0832" w:rsidTr="00BE20ED">
        <w:trPr>
          <w:jc w:val="center"/>
        </w:trPr>
        <w:tc>
          <w:tcPr>
            <w:tcW w:w="2322" w:type="dxa"/>
          </w:tcPr>
          <w:p w:rsidR="00AC0832" w:rsidRDefault="00AC0832">
            <w:pPr>
              <w:pStyle w:val="CellColumn"/>
            </w:pPr>
            <w:r>
              <w:t>43062-Hrvatska agencija za borbu protiv dopinga u športu</w:t>
            </w:r>
          </w:p>
        </w:tc>
        <w:tc>
          <w:tcPr>
            <w:tcW w:w="2322" w:type="dxa"/>
          </w:tcPr>
          <w:p w:rsidR="00AC0832" w:rsidRDefault="00AC0832">
            <w:pPr>
              <w:pStyle w:val="CellColumn"/>
            </w:pPr>
            <w:r>
              <w:t>Sap podatak nije pronađen!</w:t>
            </w:r>
          </w:p>
        </w:tc>
        <w:tc>
          <w:tcPr>
            <w:tcW w:w="2322" w:type="dxa"/>
          </w:tcPr>
          <w:p w:rsidR="00AC0832" w:rsidRDefault="00AC0832">
            <w:pPr>
              <w:pStyle w:val="CellColumn"/>
            </w:pPr>
            <w:r>
              <w:t>Sap podatak nije pronađen!</w:t>
            </w:r>
          </w:p>
        </w:tc>
        <w:tc>
          <w:tcPr>
            <w:tcW w:w="2322" w:type="dxa"/>
          </w:tcPr>
          <w:p w:rsidR="00AC0832" w:rsidRDefault="00AC0832">
            <w:pPr>
              <w:pStyle w:val="CellColumn"/>
            </w:pPr>
            <w:r>
              <w:t>Sap podatak nije pronađen!</w:t>
            </w:r>
          </w:p>
        </w:tc>
      </w:tr>
      <w:tr w:rsidR="00AC0832" w:rsidTr="00BE20ED">
        <w:trPr>
          <w:jc w:val="center"/>
        </w:trPr>
        <w:tc>
          <w:tcPr>
            <w:tcW w:w="2322" w:type="dxa"/>
          </w:tcPr>
          <w:p w:rsidR="00AC0832" w:rsidRDefault="00AC0832">
            <w:pPr>
              <w:pStyle w:val="CellColumn"/>
            </w:pPr>
            <w:r>
              <w:t>43335-Agencija za mobilnost i programe Europske unije</w:t>
            </w:r>
          </w:p>
        </w:tc>
        <w:tc>
          <w:tcPr>
            <w:tcW w:w="2322" w:type="dxa"/>
          </w:tcPr>
          <w:p w:rsidR="00AC0832" w:rsidRDefault="00AC0832">
            <w:pPr>
              <w:pStyle w:val="CellColumn"/>
            </w:pPr>
            <w:r>
              <w:t>49.053.656</w:t>
            </w:r>
          </w:p>
        </w:tc>
        <w:tc>
          <w:tcPr>
            <w:tcW w:w="2322" w:type="dxa"/>
          </w:tcPr>
          <w:p w:rsidR="00AC0832" w:rsidRDefault="00AC0832">
            <w:pPr>
              <w:pStyle w:val="CellColumn"/>
            </w:pPr>
            <w:r>
              <w:t>69.043.283</w:t>
            </w:r>
          </w:p>
        </w:tc>
        <w:tc>
          <w:tcPr>
            <w:tcW w:w="2322" w:type="dxa"/>
          </w:tcPr>
          <w:p w:rsidR="00AC0832" w:rsidRDefault="00AC0832">
            <w:pPr>
              <w:pStyle w:val="CellColumn"/>
            </w:pPr>
            <w:r>
              <w:t>140,8</w:t>
            </w:r>
          </w:p>
        </w:tc>
      </w:tr>
      <w:tr w:rsidR="00AC0832" w:rsidTr="00BE20ED">
        <w:trPr>
          <w:jc w:val="center"/>
        </w:trPr>
        <w:tc>
          <w:tcPr>
            <w:tcW w:w="2322" w:type="dxa"/>
          </w:tcPr>
          <w:p w:rsidR="00AC0832" w:rsidRDefault="00AC0832">
            <w:pPr>
              <w:pStyle w:val="CellColumn"/>
            </w:pPr>
            <w:r>
              <w:t>43450-Javna ustanova Hrvatski olimpijski centar</w:t>
            </w:r>
          </w:p>
        </w:tc>
        <w:tc>
          <w:tcPr>
            <w:tcW w:w="2322" w:type="dxa"/>
          </w:tcPr>
          <w:p w:rsidR="00AC0832" w:rsidRDefault="00AC0832">
            <w:pPr>
              <w:pStyle w:val="CellColumn"/>
            </w:pPr>
            <w:r>
              <w:t>00</w:t>
            </w:r>
          </w:p>
        </w:tc>
        <w:tc>
          <w:tcPr>
            <w:tcW w:w="2322" w:type="dxa"/>
          </w:tcPr>
          <w:p w:rsidR="00AC0832" w:rsidRDefault="00AC0832">
            <w:pPr>
              <w:pStyle w:val="CellColumn"/>
            </w:pPr>
            <w:r>
              <w:t>00</w:t>
            </w:r>
          </w:p>
        </w:tc>
        <w:tc>
          <w:tcPr>
            <w:tcW w:w="2322" w:type="dxa"/>
          </w:tcPr>
          <w:p w:rsidR="00AC0832" w:rsidRDefault="00AC0832">
            <w:pPr>
              <w:pStyle w:val="CellColumn"/>
            </w:pPr>
            <w:r>
              <w:t>0,0</w:t>
            </w:r>
          </w:p>
        </w:tc>
      </w:tr>
      <w:tr w:rsidR="00AC0832" w:rsidTr="00BE20ED">
        <w:trPr>
          <w:jc w:val="center"/>
        </w:trPr>
        <w:tc>
          <w:tcPr>
            <w:tcW w:w="2322" w:type="dxa"/>
          </w:tcPr>
          <w:p w:rsidR="00AC0832" w:rsidRDefault="00AC0832">
            <w:pPr>
              <w:pStyle w:val="CellColumn"/>
            </w:pPr>
            <w:r>
              <w:t>46173-Agencija za strukovno obrazovanje i obrazovanje odraslih</w:t>
            </w:r>
          </w:p>
        </w:tc>
        <w:tc>
          <w:tcPr>
            <w:tcW w:w="2322" w:type="dxa"/>
          </w:tcPr>
          <w:p w:rsidR="00AC0832" w:rsidRDefault="00AC0832">
            <w:pPr>
              <w:pStyle w:val="CellColumn"/>
            </w:pPr>
            <w:r>
              <w:t>86.904.091</w:t>
            </w:r>
          </w:p>
        </w:tc>
        <w:tc>
          <w:tcPr>
            <w:tcW w:w="2322" w:type="dxa"/>
          </w:tcPr>
          <w:p w:rsidR="00AC0832" w:rsidRDefault="00AC0832">
            <w:pPr>
              <w:pStyle w:val="CellColumn"/>
            </w:pPr>
            <w:r>
              <w:t>57.043.204</w:t>
            </w:r>
          </w:p>
        </w:tc>
        <w:tc>
          <w:tcPr>
            <w:tcW w:w="2322" w:type="dxa"/>
          </w:tcPr>
          <w:p w:rsidR="00AC0832" w:rsidRDefault="00AC0832">
            <w:pPr>
              <w:pStyle w:val="CellColumn"/>
            </w:pPr>
            <w:r>
              <w:t>65,6</w:t>
            </w:r>
          </w:p>
        </w:tc>
      </w:tr>
    </w:tbl>
    <w:p w:rsidR="00AC0832" w:rsidRDefault="00AC0832">
      <w:pPr>
        <w:jc w:val="left"/>
      </w:pPr>
    </w:p>
    <w:p w:rsidR="00AC0832" w:rsidRDefault="00AC0832">
      <w:pPr>
        <w:pStyle w:val="Heading4"/>
      </w:pPr>
      <w:r>
        <w:t>OBRAZLOŽENJE PROGRAMA</w:t>
      </w:r>
    </w:p>
    <w:p w:rsidR="00AC0832" w:rsidRDefault="00AC0832">
      <w:pPr>
        <w:pStyle w:val="Heading3"/>
      </w:pPr>
      <w:r>
        <w:t>21836 Nacionalna i sveučilišna knjižnica</w:t>
      </w:r>
    </w:p>
    <w:p w:rsidR="00AC0832" w:rsidRDefault="00AC0832">
      <w:pPr>
        <w:pStyle w:val="Heading4"/>
      </w:pPr>
      <w:r>
        <w:t>Uvod</w:t>
      </w:r>
    </w:p>
    <w:p w:rsidR="00AC0832" w:rsidRDefault="00AC0832">
      <w:pPr>
        <w:pStyle w:val="Normal5"/>
      </w:pPr>
      <w:r>
        <w:t>Nacionalna sveučilišna knjižnica u Zagrebu javna je ustanova od nacionalnog značenja koja obavlja knjižničnu i informacijsku djelatnost nacionalne knjižnice Republike Hrvatske i središnje knjižnice Sveučilišta u Zagrebu. Kao nacionalna knjižnica vodeća je ustanova takvog tipa u zemlji te svojom djelatnošću razvija odnose kako sa ostalim knjižnicama u Republici Hrvatskoj tako i ostalih knjižnica sa onima diljem svijeta. Knjižnica obavlja i znanstveno-istraživačku i razvojnu djelatnost radi unapređivanja hrvatskog knjižničarstva te izgradnje i razvoja hrvatskog knjižničnog sustava. Kontinuiranim ulaganjima u aktivnosti nabavke, obnove i održavanja knjižnog fonda te svojom djelatnošću Knjižnica pruža sustavnu informacijsku podršku znanstvenoistraživačkom radu te nastavi u visokoškolskim ustanovama, kroz dostupnost stručne i znanstvene literature svim zainteresiranim sudionicima.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21836-Nacionalna i sveučilišna knjižnica</w:t>
            </w:r>
          </w:p>
        </w:tc>
        <w:tc>
          <w:tcPr>
            <w:tcW w:w="2322" w:type="dxa"/>
          </w:tcPr>
          <w:p w:rsidR="00AC0832" w:rsidRDefault="00AC0832">
            <w:pPr>
              <w:pStyle w:val="CellColumn"/>
            </w:pPr>
            <w:r>
              <w:t>50.346.163</w:t>
            </w:r>
          </w:p>
        </w:tc>
        <w:tc>
          <w:tcPr>
            <w:tcW w:w="2322" w:type="dxa"/>
          </w:tcPr>
          <w:p w:rsidR="00AC0832" w:rsidRDefault="00AC0832">
            <w:pPr>
              <w:pStyle w:val="CellColumn"/>
            </w:pPr>
            <w:r>
              <w:t>50.334.931</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Small"/>
            </w:pPr>
            <w:r>
              <w:t>3801-ULAGANJE U ZNANSTVENO ISTRAŽIVAČKU DJELATNOST</w:t>
            </w:r>
          </w:p>
        </w:tc>
        <w:tc>
          <w:tcPr>
            <w:tcW w:w="2322" w:type="dxa"/>
          </w:tcPr>
          <w:p w:rsidR="00AC0832" w:rsidRDefault="00AC0832">
            <w:pPr>
              <w:pStyle w:val="CellColumnSmall"/>
            </w:pPr>
            <w:r>
              <w:t>50.346.163</w:t>
            </w:r>
          </w:p>
        </w:tc>
        <w:tc>
          <w:tcPr>
            <w:tcW w:w="2322" w:type="dxa"/>
          </w:tcPr>
          <w:p w:rsidR="00AC0832" w:rsidRDefault="00AC0832">
            <w:pPr>
              <w:pStyle w:val="CellColumnSmall"/>
            </w:pPr>
            <w:r>
              <w:t>50.334.931</w:t>
            </w:r>
          </w:p>
        </w:tc>
        <w:tc>
          <w:tcPr>
            <w:tcW w:w="2322" w:type="dxa"/>
          </w:tcPr>
          <w:p w:rsidR="00AC0832" w:rsidRDefault="00AC0832">
            <w:pPr>
              <w:pStyle w:val="CellColumnSmall"/>
            </w:pPr>
            <w:r>
              <w:t>100,0</w:t>
            </w:r>
          </w:p>
        </w:tc>
      </w:tr>
    </w:tbl>
    <w:p w:rsidR="00AC0832" w:rsidRDefault="00AC0832">
      <w:pPr>
        <w:jc w:val="left"/>
      </w:pPr>
    </w:p>
    <w:p w:rsidR="00AC0832" w:rsidRDefault="00AC0832">
      <w:pPr>
        <w:pStyle w:val="Heading4"/>
      </w:pPr>
      <w:r>
        <w:t>OBRAZLOŽENJE PROGRAMA</w:t>
      </w:r>
    </w:p>
    <w:p w:rsidR="00AC0832" w:rsidRDefault="00AC0832">
      <w:pPr>
        <w:pStyle w:val="Heading5"/>
      </w:pPr>
      <w:r>
        <w:t>3801 ULAGANJE U ZNANSTVENO ISTRAŽIVAČKU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3801-ULAGANJE U ZNANSTVENO ISTRAŽIVAČKU DJELATNOST</w:t>
            </w:r>
          </w:p>
        </w:tc>
        <w:tc>
          <w:tcPr>
            <w:tcW w:w="2322" w:type="dxa"/>
          </w:tcPr>
          <w:p w:rsidR="00AC0832" w:rsidRDefault="00AC0832">
            <w:pPr>
              <w:pStyle w:val="CellColumn"/>
            </w:pPr>
            <w:r>
              <w:t>50.346.163</w:t>
            </w:r>
          </w:p>
        </w:tc>
        <w:tc>
          <w:tcPr>
            <w:tcW w:w="2322" w:type="dxa"/>
          </w:tcPr>
          <w:p w:rsidR="00AC0832" w:rsidRDefault="00AC0832">
            <w:pPr>
              <w:pStyle w:val="CellColumn"/>
            </w:pPr>
            <w:r>
              <w:t>50.334.931</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Opis programa</w:t>
      </w:r>
    </w:p>
    <w:p w:rsidR="00AC0832" w:rsidRDefault="00AC0832">
      <w:r>
        <w:t xml:space="preserve">Nacionalna i sveučilišna knjižnica izgrađuje i organizira hrvatsku nacionalnu zbirku knjižnične građe i usklađuje nabavu inozemne znanstvene literature na nacionalnoj razini i na razini Sveučilišta u Zagrebu. Obavlja djelatnost nacionalnog bibliografskog ureda. </w:t>
      </w:r>
    </w:p>
    <w:p w:rsidR="00AC0832" w:rsidRDefault="00AC0832">
      <w:r>
        <w:t>Čuva i obnavlja knjižničnu građu u skladu s međunarodnim programom. Promiče hrvatsku knjigu i druge publikacije. Obavlja bibliografsku i informacijsku djelatnost, uključujući i međuknjižničnu posudbu. Obavlja znanstvena istraživanja na području knjižnične i informacijske znanosti. Obavlja izdavačku, izložbenu i promotivnu djelatnost. Provedba ovog programa vezana je uz uspostavljanje cilja pod brojem 4.2.3. u Strategiji Vladinih programa za razdoblje 2012.-2014.</w:t>
      </w:r>
    </w:p>
    <w:p w:rsidR="00AC0832" w:rsidRDefault="00AC0832">
      <w:pPr>
        <w:pStyle w:val="Heading6"/>
      </w:pPr>
      <w:r>
        <w:t>Zakonske i druge pravne osnove</w:t>
      </w:r>
    </w:p>
    <w:p w:rsidR="00AC0832" w:rsidRDefault="00AC0832">
      <w:r>
        <w:t xml:space="preserve">Zakon o knjižnicama, NN 105/97; 5/98; 104/00 i 69/09 </w:t>
      </w:r>
    </w:p>
    <w:p w:rsidR="00AC0832" w:rsidRDefault="00AC0832">
      <w:r>
        <w:t xml:space="preserve">Statut Nacionalne i sveučilišne knjižnice </w:t>
      </w:r>
    </w:p>
    <w:p w:rsidR="00AC0832" w:rsidRDefault="00AC0832">
      <w:r>
        <w:t xml:space="preserve">Suglasnost Vlade na Statut Nacionalne i Sveučilišne knjižnice </w:t>
      </w:r>
    </w:p>
    <w:p w:rsidR="00AC0832" w:rsidRDefault="00AC0832">
      <w:r>
        <w:t xml:space="preserve">Zakon o ustanovama, NN 76/93; 29/97; 47/99 i 35/08 </w:t>
      </w:r>
    </w:p>
    <w:p w:rsidR="00AC0832" w:rsidRDefault="00AC0832">
      <w:r>
        <w:t xml:space="preserve">Kolektivni ugovor za znanost i visoko obrazovanje, 142/10 </w:t>
      </w:r>
    </w:p>
    <w:p w:rsidR="00AC0832" w:rsidRDefault="00AC0832">
      <w:r>
        <w:t>Temeljni kolektivni ugovor za službenike i namještenike u javnim službama, 115/10</w:t>
      </w:r>
    </w:p>
    <w:p w:rsidR="00AC0832" w:rsidRDefault="00AC0832">
      <w:pPr>
        <w:pStyle w:val="Heading6"/>
      </w:pPr>
      <w:r>
        <w:t>A622017 REDOVNA DJELATNOST NACIONALNE SVEUČILIŠNE KNJIŽNICE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A622017-REDOVNA DJELATNOST NACIONALNE SVEUČILIŠNE KNJIŽNICE</w:t>
            </w:r>
          </w:p>
        </w:tc>
        <w:tc>
          <w:tcPr>
            <w:tcW w:w="2322" w:type="dxa"/>
          </w:tcPr>
          <w:p w:rsidR="00AC0832" w:rsidRDefault="00AC0832">
            <w:pPr>
              <w:pStyle w:val="CellColumn"/>
            </w:pPr>
            <w:r>
              <w:t>49.664.375</w:t>
            </w:r>
          </w:p>
        </w:tc>
        <w:tc>
          <w:tcPr>
            <w:tcW w:w="2322" w:type="dxa"/>
          </w:tcPr>
          <w:p w:rsidR="00AC0832" w:rsidRDefault="00AC0832">
            <w:pPr>
              <w:pStyle w:val="CellColumn"/>
            </w:pPr>
            <w:r>
              <w:t>49.654.439</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Sredstvima ove aktivnosti financiraju se osnovni materijalni troškovi (hladni pogon) redovitog poslovanja Knjižnice i to u znatnom iznosu iz razloga što Knjižnica raspolaže s veoma malim dijelom vlastitih sredstava (prihoda) koje ostvaruje obavljanjem svoje osnovne djelatnosti, kao i plaće i ostali rashodi (materijalna prava te prijevoz na posao i s posla) za 316 zaposlenika Knjižnice.</w:t>
      </w:r>
    </w:p>
    <w:p w:rsidR="00AC0832" w:rsidRDefault="00AC0832">
      <w:pPr>
        <w:pStyle w:val="Heading6"/>
      </w:pPr>
      <w:r>
        <w:t>K622116 KNJIGE, UMJETNIČKA DJELA I OSTALE IZLOŽBENE VRIJEDNOSTI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K622116-KNJIGE, UMJETNIČKA DJELA I OSTALE IZLOŽBENE VRIJEDNOSTI</w:t>
            </w:r>
          </w:p>
        </w:tc>
        <w:tc>
          <w:tcPr>
            <w:tcW w:w="2322" w:type="dxa"/>
          </w:tcPr>
          <w:p w:rsidR="00AC0832" w:rsidRDefault="00AC0832">
            <w:pPr>
              <w:pStyle w:val="CellColumn"/>
            </w:pPr>
            <w:r>
              <w:t>681.788</w:t>
            </w:r>
          </w:p>
        </w:tc>
        <w:tc>
          <w:tcPr>
            <w:tcW w:w="2322" w:type="dxa"/>
          </w:tcPr>
          <w:p w:rsidR="00AC0832" w:rsidRDefault="00AC0832">
            <w:pPr>
              <w:pStyle w:val="CellColumn"/>
            </w:pPr>
            <w:r>
              <w:t>680.492</w:t>
            </w:r>
          </w:p>
        </w:tc>
        <w:tc>
          <w:tcPr>
            <w:tcW w:w="2322" w:type="dxa"/>
          </w:tcPr>
          <w:p w:rsidR="00AC0832" w:rsidRDefault="00AC0832">
            <w:pPr>
              <w:pStyle w:val="CellColumn"/>
            </w:pPr>
            <w:r>
              <w:t>99,8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Nacionalna i sveučilišna knjižnica sistematski prikuplja, obrađuje, pohranjuje i zaštićuje knjižničnu građu te se financijska sredstva s ove aktivnosti temelje na potrebama nadoknade zaostataka u obnovi knjižničnog fonda.</w:t>
      </w:r>
    </w:p>
    <w:p w:rsidR="00AC0832" w:rsidRDefault="00AC0832">
      <w:pPr>
        <w:pStyle w:val="Heading3"/>
      </w:pPr>
      <w:r>
        <w:t>21852 Hrvatska akademska i istraživačka mreža Carnet</w:t>
      </w:r>
    </w:p>
    <w:p w:rsidR="00AC0832" w:rsidRDefault="00AC0832">
      <w:pPr>
        <w:pStyle w:val="Heading4"/>
      </w:pPr>
      <w:r>
        <w:t>Uvod</w:t>
      </w:r>
    </w:p>
    <w:p w:rsidR="00AC0832" w:rsidRDefault="00AC0832">
      <w:pPr>
        <w:pStyle w:val="Normal5"/>
      </w:pPr>
      <w:r>
        <w:t xml:space="preserve">Hrvatska akademska i istraživačka mreža – CARNet osnovana je 1995. uredbom Vlade Republike Hrvatske. Osnovne djelatnosti CARNeta su: razvoj, izgradnja i održavanje računalno-komunikacijske infrastrukture koja će povezivati obrazovne i znanstveno-istraživačke ustanove međusobno u jedinstveni informacijski sustav, povezivanje CARNet mreže s međunarodnim mrežama, razvoj i izgradnja informacijskih čvorišta i mreža, edukacija (obavljanje i organizacija edukativnih djelatnosti), projektiranje i izgradnja u području informacijskih tehnologija, projektiranje telekomunikacijskih sustava, organiziranje i ostvarivanje tehničke potpore korisnicima. </w:t>
      </w:r>
    </w:p>
    <w:p w:rsidR="00AC0832" w:rsidRDefault="00AC0832">
      <w:pPr>
        <w:pStyle w:val="Normal5"/>
      </w:pPr>
      <w:r>
        <w:t>Povezivanje svih hrvatskih akademskih i znanstvenih ustanova, te osnovnih i srednjih škola u zajedničku komunikacijsku mrežu, a samim time i na Internet, izgradnja i održavanje većeg broja servisa koji koriste ovako uspostavljenu mrežnu povezanost, osiguranje napredne informacijske i komunikacijske infrastrukture za akademsku, istraživačku i obrazovnu zajednicu uključujući  brzu i sigurnu mrežu, raznovrsne sadržaje i usluge.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21852-Hrvatska akademska i istraživačka mreža Carnet</w:t>
            </w:r>
          </w:p>
        </w:tc>
        <w:tc>
          <w:tcPr>
            <w:tcW w:w="2322" w:type="dxa"/>
          </w:tcPr>
          <w:p w:rsidR="00AC0832" w:rsidRDefault="00AC0832">
            <w:pPr>
              <w:pStyle w:val="CellColumn"/>
            </w:pPr>
            <w:r>
              <w:t>78.773.211</w:t>
            </w:r>
          </w:p>
        </w:tc>
        <w:tc>
          <w:tcPr>
            <w:tcW w:w="2322" w:type="dxa"/>
          </w:tcPr>
          <w:p w:rsidR="00AC0832" w:rsidRDefault="00AC0832">
            <w:pPr>
              <w:pStyle w:val="CellColumn"/>
            </w:pPr>
            <w:r>
              <w:t>77.552.394</w:t>
            </w:r>
          </w:p>
        </w:tc>
        <w:tc>
          <w:tcPr>
            <w:tcW w:w="2322" w:type="dxa"/>
          </w:tcPr>
          <w:p w:rsidR="00AC0832" w:rsidRDefault="00AC0832">
            <w:pPr>
              <w:pStyle w:val="CellColumn"/>
            </w:pPr>
            <w:r>
              <w:t>98,5</w:t>
            </w:r>
          </w:p>
        </w:tc>
      </w:tr>
      <w:tr w:rsidR="00AC0832" w:rsidTr="00BE20ED">
        <w:trPr>
          <w:jc w:val="center"/>
        </w:trPr>
        <w:tc>
          <w:tcPr>
            <w:tcW w:w="2322" w:type="dxa"/>
          </w:tcPr>
          <w:p w:rsidR="00AC0832" w:rsidRDefault="00AC0832">
            <w:pPr>
              <w:pStyle w:val="CellColumnSmall"/>
            </w:pPr>
            <w:r>
              <w:t>3803-RAZVOJ INFORMACIJSKOG DRUŠTVA</w:t>
            </w:r>
          </w:p>
        </w:tc>
        <w:tc>
          <w:tcPr>
            <w:tcW w:w="2322" w:type="dxa"/>
          </w:tcPr>
          <w:p w:rsidR="00AC0832" w:rsidRDefault="00AC0832">
            <w:pPr>
              <w:pStyle w:val="CellColumnSmall"/>
            </w:pPr>
            <w:r>
              <w:t>78.773.211</w:t>
            </w:r>
          </w:p>
        </w:tc>
        <w:tc>
          <w:tcPr>
            <w:tcW w:w="2322" w:type="dxa"/>
          </w:tcPr>
          <w:p w:rsidR="00AC0832" w:rsidRDefault="00AC0832">
            <w:pPr>
              <w:pStyle w:val="CellColumnSmall"/>
            </w:pPr>
            <w:r>
              <w:t>77.552.394</w:t>
            </w:r>
          </w:p>
        </w:tc>
        <w:tc>
          <w:tcPr>
            <w:tcW w:w="2322" w:type="dxa"/>
          </w:tcPr>
          <w:p w:rsidR="00AC0832" w:rsidRDefault="00AC0832">
            <w:pPr>
              <w:pStyle w:val="CellColumnSmall"/>
            </w:pPr>
            <w:r>
              <w:t>98,5</w:t>
            </w:r>
          </w:p>
        </w:tc>
      </w:tr>
    </w:tbl>
    <w:p w:rsidR="00AC0832" w:rsidRDefault="00AC0832">
      <w:pPr>
        <w:jc w:val="left"/>
      </w:pPr>
    </w:p>
    <w:p w:rsidR="00AC0832" w:rsidRDefault="00AC0832">
      <w:pPr>
        <w:pStyle w:val="Heading4"/>
      </w:pPr>
      <w:r>
        <w:t>OBRAZLOŽENJE PROGRAMA</w:t>
      </w:r>
    </w:p>
    <w:p w:rsidR="00AC0832" w:rsidRDefault="00AC0832">
      <w:pPr>
        <w:pStyle w:val="Heading5"/>
      </w:pPr>
      <w:r>
        <w:t>3803 RAZVOJ INFORMACIJSKOG DRUŠTVA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3803-RAZVOJ INFORMACIJSKOG DRUŠTVA</w:t>
            </w:r>
          </w:p>
        </w:tc>
        <w:tc>
          <w:tcPr>
            <w:tcW w:w="2322" w:type="dxa"/>
          </w:tcPr>
          <w:p w:rsidR="00AC0832" w:rsidRDefault="00AC0832">
            <w:pPr>
              <w:pStyle w:val="CellColumn"/>
            </w:pPr>
            <w:r>
              <w:t>78.773.211</w:t>
            </w:r>
          </w:p>
        </w:tc>
        <w:tc>
          <w:tcPr>
            <w:tcW w:w="2322" w:type="dxa"/>
          </w:tcPr>
          <w:p w:rsidR="00AC0832" w:rsidRDefault="00AC0832">
            <w:pPr>
              <w:pStyle w:val="CellColumn"/>
            </w:pPr>
            <w:r>
              <w:t>77.552.394</w:t>
            </w:r>
          </w:p>
        </w:tc>
        <w:tc>
          <w:tcPr>
            <w:tcW w:w="2322" w:type="dxa"/>
          </w:tcPr>
          <w:p w:rsidR="00AC0832" w:rsidRDefault="00AC0832">
            <w:pPr>
              <w:pStyle w:val="CellColumn"/>
            </w:pPr>
            <w:r>
              <w:t>98,5</w:t>
            </w:r>
          </w:p>
        </w:tc>
      </w:tr>
    </w:tbl>
    <w:p w:rsidR="00AC0832" w:rsidRDefault="00AC0832">
      <w:pPr>
        <w:jc w:val="left"/>
      </w:pPr>
    </w:p>
    <w:p w:rsidR="00AC0832" w:rsidRDefault="00AC0832">
      <w:pPr>
        <w:pStyle w:val="Heading6"/>
      </w:pPr>
      <w:r>
        <w:t>Opis programa</w:t>
      </w:r>
    </w:p>
    <w:p w:rsidR="00AC0832" w:rsidRDefault="00AC0832">
      <w:r>
        <w:t xml:space="preserve">Informacijsko-komunikacijska  infrastruktura važna je komponenta infrastrukture sustava znanosti i obrazovanja. Razvijena informacijsko-komunikacijska infrastruktura pridonosi unapređenju kvalitete obrazovanja i istraživanja  i stvara preduvjete za ubrzani razvoj informacijskog društva u području e-obrazovanja i e-znanosti.  </w:t>
      </w:r>
    </w:p>
    <w:p w:rsidR="00AC0832" w:rsidRDefault="00AC0832">
      <w:r>
        <w:t>Program se veže na posebni cilj 4.1 Održiva kvaliteta obrazovnog sustava i sporta i posebni cilj 4.3. Razvoj informacijskog društva na svim razinama Strategije Vladinih programa za razdoblje 2011.-2013.</w:t>
      </w:r>
    </w:p>
    <w:p w:rsidR="00AC0832" w:rsidRDefault="00AC0832">
      <w:pPr>
        <w:pStyle w:val="Heading6"/>
      </w:pPr>
      <w:r>
        <w:t>Zakonske i druge pravne osnove</w:t>
      </w:r>
    </w:p>
    <w:p w:rsidR="00AC0832" w:rsidRDefault="00AC0832">
      <w:r>
        <w:t>Izvršenje programa temelji se na Strategiji Hrvatska u 21. Stoljeću – Informacijska i  komunikacijska tehnologija, Strategiji razvoja elektroničke uprave u Republici Hrvatskoj za razdoblje od 2009. do 2012. godine, Nacionalnom programu informacijske sigurnosti u RH, Zakonu o informacijskoj sigurnosti i Zakonu o elektroničkim komunikacijama, Program Vlade Republike Hrvatske 2011.-2015.</w:t>
      </w:r>
    </w:p>
    <w:p w:rsidR="00AC0832" w:rsidRDefault="00AC0832">
      <w:pPr>
        <w:pStyle w:val="Heading7"/>
      </w:pPr>
      <w:r>
        <w:t xml:space="preserve">Cilj 1. Razvijena informacijsko-komunikacijska infrastruktura sustava znanosti i obrazovanja  </w:t>
      </w:r>
    </w:p>
    <w:p w:rsidR="00AC0832" w:rsidRDefault="00AC0832">
      <w:pPr>
        <w:pStyle w:val="Heading8"/>
        <w:jc w:val="left"/>
      </w:pPr>
      <w:r>
        <w:t>Opis provedbe cilja programa</w:t>
      </w:r>
    </w:p>
    <w:p w:rsidR="00AC0832" w:rsidRDefault="00AC0832">
      <w:pPr>
        <w:pStyle w:val="Normal6"/>
      </w:pPr>
      <w:r>
        <w:t xml:space="preserve">Informacijsko-komunikacijska  infrastruktura važna je komponenta infrastrukture sustava znanosti i obrazovanja. Razvijena informacijsko-komunikacijska infrastruktura pridonosi unapređenju kvalitete obrazovanja i istraživanja. </w:t>
      </w:r>
    </w:p>
    <w:p w:rsidR="00AC0832" w:rsidRDefault="00AC0832">
      <w:pPr>
        <w:pStyle w:val="Normal6"/>
      </w:pPr>
      <w:r>
        <w:t xml:space="preserve">Pod razvojem informacijsko-komunikacijske  infrastrukture podrazumijeva se razvoj nacionalne obrazovne i istraživačko računalno-komunikacijske mreže, povezivanje na Internet, računalno-komunikacijske resurse, sigurno korištenje Interneta. </w:t>
      </w:r>
    </w:p>
    <w:p w:rsidR="00AC0832" w:rsidRDefault="00AC0832">
      <w:pPr>
        <w:pStyle w:val="Normal6"/>
      </w:pPr>
      <w:r>
        <w:t xml:space="preserve">Nacionalna obrazovna i istraživačka računalno-komunikacijska mreža (NREN-National research and education network) temeljni je dio infrastrukture sustava znanosti i obrazovanja. NREN osigurava međusobnu povezanost svih dionika u procesu obrazovanja i istraživanja u svrhu osiguranja komunikacije, razmjene podataka i pristupa resursima te korištenju  usluga informacijske infrastrukture sustava znanosti i obrazovanja.  </w:t>
      </w:r>
    </w:p>
    <w:p w:rsidR="00AC0832" w:rsidRDefault="00AC0832">
      <w:pPr>
        <w:pStyle w:val="Normal6"/>
      </w:pPr>
      <w:r>
        <w:t xml:space="preserve">Povezivanjem na Internet osigurava se međunarodna povezanost NREN-a sa NREN-ovima drugih zemalja te prisutnost svih dionika sustava znanosti i obrazovanja u međunarodnom virtualnom prostoru. </w:t>
      </w:r>
    </w:p>
    <w:p w:rsidR="00AC0832" w:rsidRDefault="00AC0832">
      <w:pPr>
        <w:pStyle w:val="Normal6"/>
      </w:pPr>
      <w:r>
        <w:t xml:space="preserve">Razvoj računalno-komunikacijskih resursa obuhvaća aktivnosti vezane uz opremanje obrazovnih i istraživačkih ustanova računalnom i programskom opremom, omogućavanje pristupa računalnim i informacijskim resursima te uslugama sustavu znanosti i obrazovanja unutar i izvan prostora ustanove, unutar i izvan granica Republike Hrvatske.  </w:t>
      </w:r>
    </w:p>
    <w:p w:rsidR="00AC0832" w:rsidRDefault="00AC0832">
      <w:pPr>
        <w:pStyle w:val="Normal6"/>
      </w:pPr>
      <w:r>
        <w:t>Kako bi se informacijsko-komunikacijska infrastruktura mogla koristiti s povjerenjem važno je promicati sigurno korištenje Interneta kroz tehničko i organizacijsko osiguranje sigurnosti u samom sustavu te sigurnosno obrazovanje svih korisnika sustava.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1428"/>
        <w:gridCol w:w="1165"/>
        <w:gridCol w:w="1195"/>
        <w:gridCol w:w="1528"/>
        <w:gridCol w:w="1195"/>
        <w:gridCol w:w="122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Povećati broj učenika u srednjim škola koji pristupaju e-obrazovnim sadržajima</w:t>
            </w:r>
          </w:p>
        </w:tc>
        <w:tc>
          <w:tcPr>
            <w:tcW w:w="1300" w:type="dxa"/>
          </w:tcPr>
          <w:p w:rsidR="00AC0832" w:rsidRDefault="00AC0832">
            <w:pPr>
              <w:pStyle w:val="CellColumn"/>
            </w:pPr>
            <w:r>
              <w:t>Pratiti broj pojedinačnih  korisnika koji pristupaju recenziranom e-obrazovnom sadržaju na portalu „Nikola Tesla“</w:t>
            </w:r>
          </w:p>
        </w:tc>
        <w:tc>
          <w:tcPr>
            <w:tcW w:w="1300" w:type="dxa"/>
          </w:tcPr>
          <w:p w:rsidR="00AC0832" w:rsidRDefault="00AC0832">
            <w:pPr>
              <w:pStyle w:val="CellColumn"/>
            </w:pPr>
            <w:r>
              <w:t>broj korisnika</w:t>
            </w:r>
          </w:p>
        </w:tc>
        <w:tc>
          <w:tcPr>
            <w:tcW w:w="1300" w:type="dxa"/>
          </w:tcPr>
          <w:p w:rsidR="00AC0832" w:rsidRDefault="00AC0832">
            <w:pPr>
              <w:pStyle w:val="CellColumn"/>
            </w:pPr>
            <w:r>
              <w:t>7500</w:t>
            </w:r>
          </w:p>
        </w:tc>
        <w:tc>
          <w:tcPr>
            <w:tcW w:w="1300" w:type="dxa"/>
          </w:tcPr>
          <w:p w:rsidR="00AC0832" w:rsidRDefault="00AC0832">
            <w:pPr>
              <w:pStyle w:val="CellColumn"/>
            </w:pPr>
            <w:r>
              <w:t>CARNet/Portal „Nikola Tesla“</w:t>
            </w:r>
          </w:p>
        </w:tc>
        <w:tc>
          <w:tcPr>
            <w:tcW w:w="1300" w:type="dxa"/>
          </w:tcPr>
          <w:p w:rsidR="00AC0832" w:rsidRDefault="00AC0832">
            <w:pPr>
              <w:pStyle w:val="CellColumn"/>
            </w:pPr>
            <w:r>
              <w:t>9000</w:t>
            </w:r>
          </w:p>
        </w:tc>
        <w:tc>
          <w:tcPr>
            <w:tcW w:w="1300" w:type="dxa"/>
          </w:tcPr>
          <w:p w:rsidR="00AC0832" w:rsidRDefault="00AC0832">
            <w:pPr>
              <w:pStyle w:val="CellColumn"/>
            </w:pPr>
            <w:r>
              <w:t>8000</w:t>
            </w:r>
          </w:p>
        </w:tc>
      </w:tr>
      <w:tr w:rsidR="00AC0832" w:rsidTr="00BE20ED">
        <w:trPr>
          <w:jc w:val="center"/>
        </w:trPr>
        <w:tc>
          <w:tcPr>
            <w:tcW w:w="1300" w:type="dxa"/>
          </w:tcPr>
          <w:p w:rsidR="00AC0832" w:rsidRDefault="00AC0832">
            <w:pPr>
              <w:pStyle w:val="CellColumn"/>
            </w:pPr>
            <w:r>
              <w:t>Broj/postotak umreženih obrazovnih i istraživačkih ustanova</w:t>
            </w:r>
          </w:p>
        </w:tc>
        <w:tc>
          <w:tcPr>
            <w:tcW w:w="1300" w:type="dxa"/>
          </w:tcPr>
          <w:p w:rsidR="00AC0832" w:rsidRDefault="00AC0832">
            <w:pPr>
              <w:pStyle w:val="CellColumn"/>
            </w:pPr>
            <w:r>
              <w:t>Broj/postotak ustanova sustava znanosti i obrazovanja spojenih na mrežu CARNet</w:t>
            </w:r>
          </w:p>
        </w:tc>
        <w:tc>
          <w:tcPr>
            <w:tcW w:w="1300" w:type="dxa"/>
          </w:tcPr>
          <w:p w:rsidR="00AC0832" w:rsidRDefault="00AC0832">
            <w:pPr>
              <w:pStyle w:val="CellColumn"/>
            </w:pPr>
            <w:r>
              <w:t>%</w:t>
            </w:r>
          </w:p>
        </w:tc>
        <w:tc>
          <w:tcPr>
            <w:tcW w:w="1300" w:type="dxa"/>
          </w:tcPr>
          <w:p w:rsidR="00AC0832" w:rsidRDefault="00AC0832">
            <w:pPr>
              <w:pStyle w:val="CellColumn"/>
            </w:pPr>
            <w:r>
              <w:t>76%</w:t>
            </w:r>
          </w:p>
        </w:tc>
        <w:tc>
          <w:tcPr>
            <w:tcW w:w="1300" w:type="dxa"/>
          </w:tcPr>
          <w:p w:rsidR="00AC0832" w:rsidRDefault="00AC0832">
            <w:pPr>
              <w:pStyle w:val="CellColumn"/>
            </w:pPr>
            <w:r>
              <w:t>CARNet</w:t>
            </w:r>
          </w:p>
        </w:tc>
        <w:tc>
          <w:tcPr>
            <w:tcW w:w="1300" w:type="dxa"/>
          </w:tcPr>
          <w:p w:rsidR="00AC0832" w:rsidRDefault="00AC0832">
            <w:pPr>
              <w:pStyle w:val="CellColumn"/>
            </w:pPr>
            <w:r>
              <w:t>82%</w:t>
            </w:r>
          </w:p>
        </w:tc>
        <w:tc>
          <w:tcPr>
            <w:tcW w:w="1300" w:type="dxa"/>
          </w:tcPr>
          <w:p w:rsidR="00AC0832" w:rsidRDefault="00AC0832">
            <w:pPr>
              <w:pStyle w:val="CellColumn"/>
            </w:pPr>
            <w:r>
              <w:t>77,83%</w:t>
            </w:r>
          </w:p>
        </w:tc>
      </w:tr>
      <w:tr w:rsidR="00AC0832" w:rsidTr="00BE20ED">
        <w:trPr>
          <w:jc w:val="center"/>
        </w:trPr>
        <w:tc>
          <w:tcPr>
            <w:tcW w:w="1300" w:type="dxa"/>
          </w:tcPr>
          <w:p w:rsidR="00AC0832" w:rsidRDefault="00AC0832">
            <w:pPr>
              <w:pStyle w:val="CellColumn"/>
            </w:pPr>
            <w:r>
              <w:t>Broj/postotak obrazovnih i istraživačkih ustanova sa širokopojasnim pristupom Internetu</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76%</w:t>
            </w:r>
          </w:p>
        </w:tc>
        <w:tc>
          <w:tcPr>
            <w:tcW w:w="1300" w:type="dxa"/>
          </w:tcPr>
          <w:p w:rsidR="00AC0832" w:rsidRDefault="00AC0832">
            <w:pPr>
              <w:pStyle w:val="CellColumn"/>
            </w:pPr>
            <w:r>
              <w:t>CARNet</w:t>
            </w:r>
          </w:p>
        </w:tc>
        <w:tc>
          <w:tcPr>
            <w:tcW w:w="1300" w:type="dxa"/>
          </w:tcPr>
          <w:p w:rsidR="00AC0832" w:rsidRDefault="00AC0832">
            <w:pPr>
              <w:pStyle w:val="CellColumn"/>
            </w:pPr>
            <w:r>
              <w:t>82%</w:t>
            </w:r>
          </w:p>
        </w:tc>
        <w:tc>
          <w:tcPr>
            <w:tcW w:w="1300" w:type="dxa"/>
          </w:tcPr>
          <w:p w:rsidR="00AC0832" w:rsidRDefault="00AC0832">
            <w:pPr>
              <w:pStyle w:val="CellColumn"/>
            </w:pPr>
            <w:r>
              <w:t>77,76%</w:t>
            </w:r>
          </w:p>
        </w:tc>
      </w:tr>
      <w:tr w:rsidR="00AC0832" w:rsidTr="00BE20ED">
        <w:trPr>
          <w:jc w:val="center"/>
        </w:trPr>
        <w:tc>
          <w:tcPr>
            <w:tcW w:w="1300" w:type="dxa"/>
          </w:tcPr>
          <w:p w:rsidR="00AC0832" w:rsidRDefault="00AC0832">
            <w:pPr>
              <w:pStyle w:val="CellColumn"/>
            </w:pPr>
            <w:r>
              <w:t>Brzina pristupa Internetu (međunarodna veza)</w:t>
            </w:r>
          </w:p>
        </w:tc>
        <w:tc>
          <w:tcPr>
            <w:tcW w:w="1300" w:type="dxa"/>
          </w:tcPr>
          <w:p w:rsidR="00AC0832" w:rsidRDefault="00AC0832">
            <w:pPr>
              <w:pStyle w:val="CellColumn"/>
            </w:pPr>
            <w:r>
              <w:t>Brzina veze na pan-europsku</w:t>
            </w:r>
          </w:p>
        </w:tc>
        <w:tc>
          <w:tcPr>
            <w:tcW w:w="1300" w:type="dxa"/>
          </w:tcPr>
          <w:p w:rsidR="00AC0832" w:rsidRDefault="00AC0832">
            <w:pPr>
              <w:pStyle w:val="CellColumn"/>
            </w:pPr>
            <w:r>
              <w:t>Gbit/s</w:t>
            </w:r>
          </w:p>
        </w:tc>
        <w:tc>
          <w:tcPr>
            <w:tcW w:w="1300" w:type="dxa"/>
          </w:tcPr>
          <w:p w:rsidR="00AC0832" w:rsidRDefault="00AC0832">
            <w:pPr>
              <w:pStyle w:val="CellColumn"/>
            </w:pPr>
            <w:r>
              <w:t>10</w:t>
            </w:r>
          </w:p>
        </w:tc>
        <w:tc>
          <w:tcPr>
            <w:tcW w:w="1300" w:type="dxa"/>
          </w:tcPr>
          <w:p w:rsidR="00AC0832" w:rsidRDefault="00AC0832">
            <w:pPr>
              <w:pStyle w:val="CellColumn"/>
            </w:pPr>
            <w:r>
              <w:t>CARNet</w:t>
            </w:r>
          </w:p>
        </w:tc>
        <w:tc>
          <w:tcPr>
            <w:tcW w:w="1300" w:type="dxa"/>
          </w:tcPr>
          <w:p w:rsidR="00AC0832" w:rsidRDefault="00AC0832">
            <w:pPr>
              <w:pStyle w:val="CellColumn"/>
            </w:pPr>
            <w:r>
              <w:t>15</w:t>
            </w:r>
          </w:p>
        </w:tc>
        <w:tc>
          <w:tcPr>
            <w:tcW w:w="1300" w:type="dxa"/>
          </w:tcPr>
          <w:p w:rsidR="00AC0832" w:rsidRDefault="00AC0832">
            <w:pPr>
              <w:pStyle w:val="CellColumn"/>
            </w:pPr>
            <w:r>
              <w:t>10</w:t>
            </w:r>
          </w:p>
        </w:tc>
      </w:tr>
      <w:tr w:rsidR="00AC0832" w:rsidTr="00BE20ED">
        <w:trPr>
          <w:jc w:val="center"/>
        </w:trPr>
        <w:tc>
          <w:tcPr>
            <w:tcW w:w="1300" w:type="dxa"/>
          </w:tcPr>
          <w:p w:rsidR="00AC0832" w:rsidRDefault="00AC0832">
            <w:pPr>
              <w:pStyle w:val="CellColumn"/>
            </w:pPr>
            <w:r>
              <w:t>Broj registriranih ".hr" domena</w:t>
            </w:r>
          </w:p>
        </w:tc>
        <w:tc>
          <w:tcPr>
            <w:tcW w:w="1300" w:type="dxa"/>
          </w:tcPr>
          <w:p w:rsidR="00AC0832" w:rsidRDefault="00AC0832">
            <w:pPr>
              <w:pStyle w:val="CellColumn"/>
            </w:pPr>
            <w:r>
              <w:t>Broj domena registriranih pod vršnom .hr domenom</w:t>
            </w:r>
          </w:p>
        </w:tc>
        <w:tc>
          <w:tcPr>
            <w:tcW w:w="1300" w:type="dxa"/>
          </w:tcPr>
          <w:p w:rsidR="00AC0832" w:rsidRDefault="00AC0832">
            <w:pPr>
              <w:pStyle w:val="CellColumn"/>
            </w:pPr>
            <w:r>
              <w:t>Kom</w:t>
            </w:r>
          </w:p>
        </w:tc>
        <w:tc>
          <w:tcPr>
            <w:tcW w:w="1300" w:type="dxa"/>
          </w:tcPr>
          <w:p w:rsidR="00AC0832" w:rsidRDefault="00AC0832">
            <w:pPr>
              <w:pStyle w:val="CellColumn"/>
            </w:pPr>
            <w:r>
              <w:t>85000</w:t>
            </w:r>
          </w:p>
        </w:tc>
        <w:tc>
          <w:tcPr>
            <w:tcW w:w="1300" w:type="dxa"/>
          </w:tcPr>
          <w:p w:rsidR="00AC0832" w:rsidRDefault="00AC0832">
            <w:pPr>
              <w:pStyle w:val="CellColumn"/>
            </w:pPr>
            <w:r>
              <w:t>CARNet</w:t>
            </w:r>
          </w:p>
        </w:tc>
        <w:tc>
          <w:tcPr>
            <w:tcW w:w="1300" w:type="dxa"/>
          </w:tcPr>
          <w:p w:rsidR="00AC0832" w:rsidRDefault="00AC0832">
            <w:pPr>
              <w:pStyle w:val="CellColumn"/>
            </w:pPr>
            <w:r>
              <w:t>90000</w:t>
            </w:r>
          </w:p>
        </w:tc>
        <w:tc>
          <w:tcPr>
            <w:tcW w:w="1300" w:type="dxa"/>
          </w:tcPr>
          <w:p w:rsidR="00AC0832" w:rsidRDefault="00AC0832">
            <w:pPr>
              <w:pStyle w:val="CellColumn"/>
            </w:pPr>
            <w:r>
              <w:t>88638</w:t>
            </w:r>
          </w:p>
        </w:tc>
      </w:tr>
      <w:tr w:rsidR="00AC0832" w:rsidTr="00BE20ED">
        <w:trPr>
          <w:jc w:val="center"/>
        </w:trPr>
        <w:tc>
          <w:tcPr>
            <w:tcW w:w="1300" w:type="dxa"/>
          </w:tcPr>
          <w:p w:rsidR="00AC0832" w:rsidRDefault="00AC0832">
            <w:pPr>
              <w:pStyle w:val="CellColumn"/>
            </w:pPr>
            <w:r>
              <w:t>broj/postotak škola sa vezom na Internet</w:t>
            </w:r>
          </w:p>
        </w:tc>
        <w:tc>
          <w:tcPr>
            <w:tcW w:w="1300" w:type="dxa"/>
          </w:tcPr>
          <w:p w:rsidR="00AC0832" w:rsidRDefault="00AC0832">
            <w:pPr>
              <w:pStyle w:val="CellColumn"/>
            </w:pPr>
            <w:r>
              <w:t>Broj/postotak osnovnih i srednjih škola sa vezom na Internet</w:t>
            </w:r>
          </w:p>
        </w:tc>
        <w:tc>
          <w:tcPr>
            <w:tcW w:w="1300" w:type="dxa"/>
          </w:tcPr>
          <w:p w:rsidR="00AC0832" w:rsidRDefault="00AC0832">
            <w:pPr>
              <w:pStyle w:val="CellColumn"/>
            </w:pPr>
            <w:r>
              <w:t>%</w:t>
            </w:r>
          </w:p>
        </w:tc>
        <w:tc>
          <w:tcPr>
            <w:tcW w:w="1300" w:type="dxa"/>
          </w:tcPr>
          <w:p w:rsidR="00AC0832" w:rsidRDefault="00AC0832">
            <w:pPr>
              <w:pStyle w:val="CellColumn"/>
            </w:pPr>
            <w:r>
              <w:t>74%</w:t>
            </w:r>
          </w:p>
        </w:tc>
        <w:tc>
          <w:tcPr>
            <w:tcW w:w="1300" w:type="dxa"/>
          </w:tcPr>
          <w:p w:rsidR="00AC0832" w:rsidRDefault="00AC0832">
            <w:pPr>
              <w:pStyle w:val="CellColumn"/>
            </w:pPr>
            <w:r>
              <w:t>CARNet</w:t>
            </w:r>
          </w:p>
        </w:tc>
        <w:tc>
          <w:tcPr>
            <w:tcW w:w="1300" w:type="dxa"/>
          </w:tcPr>
          <w:p w:rsidR="00AC0832" w:rsidRDefault="00AC0832">
            <w:pPr>
              <w:pStyle w:val="CellColumn"/>
            </w:pPr>
            <w:r>
              <w:t>80%</w:t>
            </w:r>
          </w:p>
        </w:tc>
        <w:tc>
          <w:tcPr>
            <w:tcW w:w="1300" w:type="dxa"/>
          </w:tcPr>
          <w:p w:rsidR="00AC0832" w:rsidRDefault="00AC0832">
            <w:pPr>
              <w:pStyle w:val="CellColumn"/>
            </w:pPr>
            <w:r>
              <w:t>76,80%</w:t>
            </w:r>
          </w:p>
        </w:tc>
      </w:tr>
      <w:tr w:rsidR="00AC0832" w:rsidTr="00BE20ED">
        <w:trPr>
          <w:jc w:val="center"/>
        </w:trPr>
        <w:tc>
          <w:tcPr>
            <w:tcW w:w="1300" w:type="dxa"/>
          </w:tcPr>
          <w:p w:rsidR="00AC0832" w:rsidRDefault="00AC0832">
            <w:pPr>
              <w:pStyle w:val="CellColumn"/>
            </w:pPr>
            <w:r>
              <w:t>Broj izdanih poslužiteljskih elektroničkih certifikate za uspostavu sigurnih kanala komunikacije</w:t>
            </w:r>
          </w:p>
        </w:tc>
        <w:tc>
          <w:tcPr>
            <w:tcW w:w="1300" w:type="dxa"/>
          </w:tcPr>
          <w:p w:rsidR="00AC0832" w:rsidRDefault="00AC0832">
            <w:pPr>
              <w:pStyle w:val="CellColumn"/>
            </w:pPr>
            <w:r>
              <w:t>Broj aktivnih TCS certifikata</w:t>
            </w:r>
          </w:p>
        </w:tc>
        <w:tc>
          <w:tcPr>
            <w:tcW w:w="1300" w:type="dxa"/>
          </w:tcPr>
          <w:p w:rsidR="00AC0832" w:rsidRDefault="00AC0832">
            <w:pPr>
              <w:pStyle w:val="CellColumn"/>
            </w:pPr>
            <w:r>
              <w:t>Kom</w:t>
            </w:r>
          </w:p>
        </w:tc>
        <w:tc>
          <w:tcPr>
            <w:tcW w:w="1300" w:type="dxa"/>
          </w:tcPr>
          <w:p w:rsidR="00AC0832" w:rsidRDefault="00AC0832">
            <w:pPr>
              <w:pStyle w:val="CellColumn"/>
            </w:pPr>
            <w:r>
              <w:t>600</w:t>
            </w:r>
          </w:p>
        </w:tc>
        <w:tc>
          <w:tcPr>
            <w:tcW w:w="1300" w:type="dxa"/>
          </w:tcPr>
          <w:p w:rsidR="00AC0832" w:rsidRDefault="00AC0832">
            <w:pPr>
              <w:pStyle w:val="CellColumn"/>
            </w:pPr>
            <w:r>
              <w:t>CARNet)</w:t>
            </w:r>
          </w:p>
        </w:tc>
        <w:tc>
          <w:tcPr>
            <w:tcW w:w="1300" w:type="dxa"/>
          </w:tcPr>
          <w:p w:rsidR="00AC0832" w:rsidRDefault="00AC0832">
            <w:pPr>
              <w:pStyle w:val="CellColumn"/>
            </w:pPr>
            <w:r>
              <w:t>800</w:t>
            </w:r>
          </w:p>
        </w:tc>
        <w:tc>
          <w:tcPr>
            <w:tcW w:w="1300" w:type="dxa"/>
          </w:tcPr>
          <w:p w:rsidR="00AC0832" w:rsidRDefault="00AC0832">
            <w:pPr>
              <w:pStyle w:val="CellColumn"/>
            </w:pPr>
            <w:r>
              <w:t>613 aktivnih TCS certifikata / 701 izdan TCS certifikat</w:t>
            </w:r>
          </w:p>
        </w:tc>
      </w:tr>
      <w:tr w:rsidR="00AC0832" w:rsidTr="00BE20ED">
        <w:trPr>
          <w:jc w:val="center"/>
        </w:trPr>
        <w:tc>
          <w:tcPr>
            <w:tcW w:w="1300" w:type="dxa"/>
          </w:tcPr>
          <w:p w:rsidR="00AC0832" w:rsidRDefault="00AC0832">
            <w:pPr>
              <w:pStyle w:val="CellColumn"/>
            </w:pPr>
            <w:r>
              <w:t>Broj korisnika CERT usluge provjere ranjivosti</w:t>
            </w:r>
          </w:p>
        </w:tc>
        <w:tc>
          <w:tcPr>
            <w:tcW w:w="1300" w:type="dxa"/>
          </w:tcPr>
          <w:p w:rsidR="00AC0832" w:rsidRDefault="00AC0832">
            <w:pPr>
              <w:pStyle w:val="CellColumn"/>
            </w:pPr>
            <w:r>
              <w:t>Broj ustanova korisnica usluge</w:t>
            </w:r>
          </w:p>
        </w:tc>
        <w:tc>
          <w:tcPr>
            <w:tcW w:w="1300" w:type="dxa"/>
          </w:tcPr>
          <w:p w:rsidR="00AC0832" w:rsidRDefault="00AC0832">
            <w:pPr>
              <w:pStyle w:val="CellColumn"/>
            </w:pPr>
            <w:r>
              <w:t>Kom</w:t>
            </w:r>
          </w:p>
        </w:tc>
        <w:tc>
          <w:tcPr>
            <w:tcW w:w="1300" w:type="dxa"/>
          </w:tcPr>
          <w:p w:rsidR="00AC0832" w:rsidRDefault="00AC0832">
            <w:pPr>
              <w:pStyle w:val="CellColumn"/>
            </w:pPr>
            <w:r>
              <w:t>60</w:t>
            </w:r>
          </w:p>
        </w:tc>
        <w:tc>
          <w:tcPr>
            <w:tcW w:w="1300" w:type="dxa"/>
          </w:tcPr>
          <w:p w:rsidR="00AC0832" w:rsidRDefault="00AC0832">
            <w:pPr>
              <w:pStyle w:val="CellColumn"/>
            </w:pPr>
            <w:r>
              <w:t>CARNet</w:t>
            </w:r>
          </w:p>
        </w:tc>
        <w:tc>
          <w:tcPr>
            <w:tcW w:w="1300" w:type="dxa"/>
          </w:tcPr>
          <w:p w:rsidR="00AC0832" w:rsidRDefault="00AC0832">
            <w:pPr>
              <w:pStyle w:val="CellColumn"/>
            </w:pPr>
            <w:r>
              <w:t>65</w:t>
            </w:r>
          </w:p>
        </w:tc>
        <w:tc>
          <w:tcPr>
            <w:tcW w:w="1300" w:type="dxa"/>
          </w:tcPr>
          <w:p w:rsidR="00AC0832" w:rsidRDefault="00AC0832">
            <w:pPr>
              <w:pStyle w:val="CellColumn"/>
            </w:pPr>
            <w:r>
              <w:t>57</w:t>
            </w:r>
          </w:p>
        </w:tc>
      </w:tr>
      <w:tr w:rsidR="00AC0832" w:rsidTr="00BE20ED">
        <w:trPr>
          <w:jc w:val="center"/>
        </w:trPr>
        <w:tc>
          <w:tcPr>
            <w:tcW w:w="1300" w:type="dxa"/>
          </w:tcPr>
          <w:p w:rsidR="00AC0832" w:rsidRDefault="00AC0832">
            <w:pPr>
              <w:pStyle w:val="CellColumn"/>
            </w:pPr>
            <w:r>
              <w:t>Broj pretplata na CERT sigurnosne preporuke</w:t>
            </w:r>
          </w:p>
        </w:tc>
        <w:tc>
          <w:tcPr>
            <w:tcW w:w="1300" w:type="dxa"/>
          </w:tcPr>
          <w:p w:rsidR="00AC0832" w:rsidRDefault="00AC0832">
            <w:pPr>
              <w:pStyle w:val="CellColumn"/>
            </w:pPr>
            <w:r>
              <w:t>Broj pretplatnika</w:t>
            </w:r>
          </w:p>
        </w:tc>
        <w:tc>
          <w:tcPr>
            <w:tcW w:w="1300" w:type="dxa"/>
          </w:tcPr>
          <w:p w:rsidR="00AC0832" w:rsidRDefault="00AC0832">
            <w:pPr>
              <w:pStyle w:val="CellColumn"/>
            </w:pPr>
            <w:r>
              <w:t>Kom</w:t>
            </w:r>
          </w:p>
        </w:tc>
        <w:tc>
          <w:tcPr>
            <w:tcW w:w="1300" w:type="dxa"/>
          </w:tcPr>
          <w:p w:rsidR="00AC0832" w:rsidRDefault="00AC0832">
            <w:pPr>
              <w:pStyle w:val="CellColumn"/>
            </w:pPr>
            <w:r>
              <w:t>1450</w:t>
            </w:r>
          </w:p>
        </w:tc>
        <w:tc>
          <w:tcPr>
            <w:tcW w:w="1300" w:type="dxa"/>
          </w:tcPr>
          <w:p w:rsidR="00AC0832" w:rsidRDefault="00AC0832">
            <w:pPr>
              <w:pStyle w:val="CellColumn"/>
            </w:pPr>
            <w:r>
              <w:t>CARNet, NCERT</w:t>
            </w:r>
          </w:p>
        </w:tc>
        <w:tc>
          <w:tcPr>
            <w:tcW w:w="1300" w:type="dxa"/>
          </w:tcPr>
          <w:p w:rsidR="00AC0832" w:rsidRDefault="00AC0832">
            <w:pPr>
              <w:pStyle w:val="CellColumn"/>
            </w:pPr>
            <w:r>
              <w:t>1550</w:t>
            </w:r>
          </w:p>
        </w:tc>
        <w:tc>
          <w:tcPr>
            <w:tcW w:w="1300" w:type="dxa"/>
          </w:tcPr>
          <w:p w:rsidR="00AC0832" w:rsidRDefault="00AC0832">
            <w:pPr>
              <w:pStyle w:val="CellColumn"/>
            </w:pPr>
            <w:r>
              <w:t>1886</w:t>
            </w:r>
          </w:p>
        </w:tc>
      </w:tr>
    </w:tbl>
    <w:p w:rsidR="00AC0832" w:rsidRDefault="00AC0832">
      <w:pPr>
        <w:jc w:val="left"/>
      </w:pPr>
    </w:p>
    <w:p w:rsidR="00AC0832" w:rsidRDefault="00AC0832">
      <w:pPr>
        <w:pStyle w:val="Heading6"/>
      </w:pPr>
      <w:r>
        <w:t>A628009 ADMINISTRACIJA I UPRAVLJANJE HRVATSKE AKADEMSKE I ISTRAŽIVAČKE MREŽE CARNET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A628009-ADMINISTRACIJA I UPRAVLJANJE HRVATSKE AKADEMSKE I ISTRAŽIVAČKE MREŽE CARNET</w:t>
            </w:r>
          </w:p>
        </w:tc>
        <w:tc>
          <w:tcPr>
            <w:tcW w:w="2322" w:type="dxa"/>
          </w:tcPr>
          <w:p w:rsidR="00AC0832" w:rsidRDefault="00AC0832">
            <w:pPr>
              <w:pStyle w:val="CellColumn"/>
            </w:pPr>
            <w:r>
              <w:t>27.328.330</w:t>
            </w:r>
          </w:p>
        </w:tc>
        <w:tc>
          <w:tcPr>
            <w:tcW w:w="2322" w:type="dxa"/>
          </w:tcPr>
          <w:p w:rsidR="00AC0832" w:rsidRDefault="00AC0832">
            <w:pPr>
              <w:pStyle w:val="CellColumn"/>
            </w:pPr>
            <w:r>
              <w:t>30.480.036</w:t>
            </w:r>
          </w:p>
        </w:tc>
        <w:tc>
          <w:tcPr>
            <w:tcW w:w="2322" w:type="dxa"/>
          </w:tcPr>
          <w:p w:rsidR="00AC0832" w:rsidRDefault="00AC0832">
            <w:pPr>
              <w:pStyle w:val="CellColumn"/>
            </w:pPr>
            <w:r>
              <w:t>111,5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Iz ove aktivnosti financirane su plaće i ostali rashodi za zaposlenike (materijalna prava te prijevoz na posao i s posla) CARNet-a, te materijalni troškovi odvijanja redovitog poslovanja. U sklopu svih aktivnosti CARNeta bila su  potrebna sredstva za službena putovanja zaposlenika (održavanje mreže, edukacija nastavnika, e-dnevnik projekt, ICT-Edu projekt…), te kontinuirano školovanje zaposlenika na području ICT tehnologija.  </w:t>
      </w:r>
    </w:p>
    <w:p w:rsidR="00AC0832" w:rsidRDefault="00AC0832">
      <w:pPr>
        <w:pStyle w:val="Normal6"/>
      </w:pPr>
      <w:r>
        <w:t xml:space="preserve">U okviru aktivnosti financirana su tekuća održavanja i nadogradnje servisa CARNeta (održavanje sustava za upravljanje aplikacijskih prometom, održavanje i unapređivanje sadržaja poslužitelja www.hr, održavanje postojećeg VoIP sustava uključujući postojeće CRM rješenje, održavanje i nadogradnja Red Hat Linux operativnog sustava uključujući GFS na poslužiteljima….) kako bi se osigurala ista razina i kvaliteta usluge koje CARNet danas pruža svojim korisnicima, a to je dostupnost mreže i servisa minimum 99% vremena, te tekuće održavanje CARNet mreže i  mrežne opreme. Financirale su se i članarine u međunarodnim organizacijama.  </w:t>
      </w:r>
    </w:p>
    <w:p w:rsidR="00AC0832" w:rsidRDefault="00AC0832">
      <w:pPr>
        <w:pStyle w:val="Normal6"/>
      </w:pPr>
      <w:r>
        <w:t xml:space="preserve">Kroz aktivnost su financirani i agenti helpdeska, koji većinom rade temeljem studentskog ugovora unutar  Odjela za podršku korisnicima koji su u  2012. godini odgovorili na preko 140.000 upita vezano za CARNetove usluge i servise, te vezano za nacionalne informacijske servise. </w:t>
      </w:r>
    </w:p>
    <w:p w:rsidR="00AC0832" w:rsidRDefault="00AC0832">
      <w:pPr>
        <w:pStyle w:val="Normal6"/>
      </w:pPr>
      <w:r>
        <w:t xml:space="preserve">U okviru ove aktivnosti u sustav e-Dnevnik, koji se počeo provoditi 2011/2012. kao pilot projekt na 3 škole, ove je godine uključeno 27 novih škola te se kroz aktivnost održava sustav u cijelosti. Ovim projektom se korištenjem različitih vrsta prijenosnih računala osiguravaju sve funkcionalnosti postojeće razredne knjige uz dodatne funkcionalnosti koje omogućava uporaba informacijsko-komunikacijskih tehnologija (IKT). </w:t>
      </w:r>
    </w:p>
    <w:p w:rsidR="00AC0832" w:rsidRDefault="00AC0832">
      <w:pPr>
        <w:pStyle w:val="Normal6"/>
      </w:pPr>
      <w:r>
        <w:t xml:space="preserve">CARNetov odjel podrške obrazovanju koji djeluje unutar ove aktivnosti ove je godine u okviru E-learning akademije upisao 10. generaciju polaznika, te su organizirani webinari, stručni skupovi i okrugli stolovi na temu korištenja tehnologije u obrazovanju.  </w:t>
      </w:r>
    </w:p>
    <w:p w:rsidR="00AC0832" w:rsidRDefault="00AC0832">
      <w:pPr>
        <w:pStyle w:val="Normal6"/>
      </w:pPr>
      <w:r>
        <w:t xml:space="preserve">Kroz ovu aktivnost provodile su se i sve aktivnosti vezane uz registraciju hr.domena, koje se u cijelosti financiraju iz  izvora 43 prihoda za posebne namjene, izrađen je sustav on-line registracije domena, te je ukupno registrirano 88638 . hr domena. </w:t>
      </w:r>
    </w:p>
    <w:p w:rsidR="00AC0832" w:rsidRDefault="00AC0832">
      <w:pPr>
        <w:pStyle w:val="Normal6"/>
      </w:pPr>
      <w:r>
        <w:t xml:space="preserve"> U okviru aktivnosti obrađeno je 8236 računalno-sigurnosnih incidenata, obavljeno 219 provjera ranjivosti, izdano 182 poslužiteljska certifikata, izdano je ukupno 1866 sigurnosnih preporuka, obavljeno 574 ispitivanja sigurnosti računalnih mreža članica, održano je 10-tak predavanja na temu računalne sigurnosti te je pokrenut Centar za sigurniji Internet u suradnji s Ministarstvom unutarnjih poslova i Tehničkim veleučilištem u Zagrebu. Na portalu Nacionalnog CERT-a objavljeno je 97 novosti iz područja računalne sigurnosti, 15 sigurnosnih alata i 6 tehničkih dokumenata.</w:t>
      </w:r>
    </w:p>
    <w:p w:rsidR="00AC0832" w:rsidRDefault="00AC0832">
      <w:pPr>
        <w:pStyle w:val="Heading6"/>
      </w:pPr>
      <w:r>
        <w:t>A628011 PROGRAM TELEKOMUNIKACIJSKIH KAPACITETA ZA MREŽU CARNET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0"/>
        <w:gridCol w:w="2240"/>
        <w:gridCol w:w="2241"/>
        <w:gridCol w:w="2257"/>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A628011-PROGRAM TELEKOMUNIKACIJSKIH KAPACITETA ZA MREŽU CARNET</w:t>
            </w:r>
          </w:p>
        </w:tc>
        <w:tc>
          <w:tcPr>
            <w:tcW w:w="2322" w:type="dxa"/>
          </w:tcPr>
          <w:p w:rsidR="00AC0832" w:rsidRDefault="00AC0832">
            <w:pPr>
              <w:pStyle w:val="CellColumn"/>
            </w:pPr>
            <w:r>
              <w:t>19.984.697</w:t>
            </w:r>
          </w:p>
        </w:tc>
        <w:tc>
          <w:tcPr>
            <w:tcW w:w="2322" w:type="dxa"/>
          </w:tcPr>
          <w:p w:rsidR="00AC0832" w:rsidRDefault="00AC0832">
            <w:pPr>
              <w:pStyle w:val="CellColumn"/>
            </w:pPr>
            <w:r>
              <w:t>19.984.583</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Iz ove aktivnosti CARNet je za sve svoje članice plaćao troškove spajanja na CARNet mrežu tj. telekomunikacijske troškove.  Cilj programa bio je omogućiti istu, odnosno povećati brzinu pristupa spajanja na CARNet mrežu svojim članicama iz akademske zajednice, te iz osnovnog i srednjeg školstva.</w:t>
      </w:r>
    </w:p>
    <w:p w:rsidR="00AC0832" w:rsidRDefault="00AC0832">
      <w:pPr>
        <w:pStyle w:val="Heading6"/>
      </w:pPr>
      <w:r>
        <w:t>A628015 UKLJUČIVANJE MREŽE CARNET U PAN-EUROPSKE AKADEMSKE I ISTRAŽIVAČKE MREŽE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A628015-UKLJUČIVANJE MREŽE CARNET U PAN-EUROPSKE AKADEMSKE I ISTRAŽIVAČKE MREŽE</w:t>
            </w:r>
          </w:p>
        </w:tc>
        <w:tc>
          <w:tcPr>
            <w:tcW w:w="2322" w:type="dxa"/>
          </w:tcPr>
          <w:p w:rsidR="00AC0832" w:rsidRDefault="00AC0832">
            <w:pPr>
              <w:pStyle w:val="CellColumn"/>
            </w:pPr>
            <w:r>
              <w:t>9.674.000</w:t>
            </w:r>
          </w:p>
        </w:tc>
        <w:tc>
          <w:tcPr>
            <w:tcW w:w="2322" w:type="dxa"/>
          </w:tcPr>
          <w:p w:rsidR="00AC0832" w:rsidRDefault="00AC0832">
            <w:pPr>
              <w:pStyle w:val="CellColumn"/>
            </w:pPr>
            <w:r>
              <w:t>9.673.244</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Mreža CARNet, u koju su spojene sve CARNetove članice, trenutno je povezana je na pan-europsku mrežu GÉANT3 mrežu koja povezuje preko 30 europskih zemalja, a čiji je cilj uspostava slijedeće generacije mrežne infrastrukture koja će moći adekvatno pratiti potrebe europske, a time i hrvatske, istraživačke, akademske i obrazovne zajednice.  Kroz ovu aktivnost financiran je pristup na   GÉANT mrežu i na Internet brzinom od 10 Gbps,  te zakup TK vodova za okosnicu mreže.</w:t>
      </w:r>
    </w:p>
    <w:p w:rsidR="00AC0832" w:rsidRDefault="00AC0832">
      <w:pPr>
        <w:pStyle w:val="Heading6"/>
      </w:pPr>
      <w:r>
        <w:t>A628068 SUDJELOVANJE NA IZGRADNJI, TESTIRANJU I RAZVOJU OKOSNICE PAN-EUROPSKE RAČUNALNO KOMUNIKACIJSKE MREŽE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A628068-SUDJELOVANJE NA IZGRADNJI, TESTIRANJU I RAZVOJU OKOSNICE PAN-EUROPSKE RAČUNALNO KOMUNIKACIJSKE MREŽE</w:t>
            </w:r>
          </w:p>
        </w:tc>
        <w:tc>
          <w:tcPr>
            <w:tcW w:w="2322" w:type="dxa"/>
          </w:tcPr>
          <w:p w:rsidR="00AC0832" w:rsidRDefault="00AC0832">
            <w:pPr>
              <w:pStyle w:val="CellColumn"/>
            </w:pPr>
            <w:r>
              <w:t>7.035.216</w:t>
            </w:r>
          </w:p>
        </w:tc>
        <w:tc>
          <w:tcPr>
            <w:tcW w:w="2322" w:type="dxa"/>
          </w:tcPr>
          <w:p w:rsidR="00AC0832" w:rsidRDefault="00AC0832">
            <w:pPr>
              <w:pStyle w:val="CellColumn"/>
            </w:pPr>
            <w:r>
              <w:t>3.673.926</w:t>
            </w:r>
          </w:p>
        </w:tc>
        <w:tc>
          <w:tcPr>
            <w:tcW w:w="2322" w:type="dxa"/>
          </w:tcPr>
          <w:p w:rsidR="00AC0832" w:rsidRDefault="00AC0832">
            <w:pPr>
              <w:pStyle w:val="CellColumn"/>
            </w:pPr>
            <w:r>
              <w:t>52,2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okviru ove aktivnosti financirano je CARNetovo  sudjelovanje na projektu GEANT3 koji je započeo u travnju 2009. Riječ je o velikom međunarodnom projektu nadogradnje pan-europske akademske i istraživačke mreže GEANT.  Projekt GEANT 3 predstavlja treću generaciju GEANT mreže. Predviđeno trajanje GEANT3 projekta je 4 godine, a uključeno je 36 europskih zemalja. Fokus projekta GEANT 3 je razvoj Service Activities (SA) ili aktivnosti koje razvijaju određene usluge. Te servisne aktivnosti upotpunjuju se uz pomoć Joint Research Activities (JRA). Misija projekta je: izgradnja inovativne, multidomenske hibridne mrežne infrastrukture koja omogućava znanstveno istraživačkoj zajednici i njezinim korisnicima fleksibilne, skalabilne i kvalitetne usluge, a putem akademskih i istraživačkih mreža.</w:t>
      </w:r>
    </w:p>
    <w:p w:rsidR="00AC0832" w:rsidRDefault="00AC0832">
      <w:pPr>
        <w:pStyle w:val="Heading6"/>
      </w:pPr>
      <w:r>
        <w:t>A628070 PROGRAM OBJEDINJAVANJA I ODRŽAVANJA NACIONALNIH INFORMACIJSKIH SERVISA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A628070-PROGRAM OBJEDINJAVANJA I ODRŽAVANJA NACIONALNIH INFORMACIJSKIH SERVISA</w:t>
            </w:r>
          </w:p>
        </w:tc>
        <w:tc>
          <w:tcPr>
            <w:tcW w:w="2322" w:type="dxa"/>
          </w:tcPr>
          <w:p w:rsidR="00AC0832" w:rsidRDefault="00AC0832">
            <w:pPr>
              <w:pStyle w:val="CellColumn"/>
            </w:pPr>
            <w:r>
              <w:t>2.424.077</w:t>
            </w:r>
          </w:p>
        </w:tc>
        <w:tc>
          <w:tcPr>
            <w:tcW w:w="2322" w:type="dxa"/>
          </w:tcPr>
          <w:p w:rsidR="00AC0832" w:rsidRDefault="00AC0832">
            <w:pPr>
              <w:pStyle w:val="CellColumn"/>
            </w:pPr>
            <w:r>
              <w:t>2.337.521</w:t>
            </w:r>
          </w:p>
        </w:tc>
        <w:tc>
          <w:tcPr>
            <w:tcW w:w="2322" w:type="dxa"/>
          </w:tcPr>
          <w:p w:rsidR="00AC0832" w:rsidRDefault="00AC0832">
            <w:pPr>
              <w:pStyle w:val="CellColumn"/>
            </w:pPr>
            <w:r>
              <w:t>96,4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Ovom aktivnosti obuhvaćeno je održavanje Hosting usluge za srednje i osnovne škole (HUSO) u kojem su škole kreirale adrese elektroničke pošte i AAI@EduHr identitete za korištenje svih CARNetovih usluga za oko 400.000 učenika, nastavnika i ostalih zaposlenika, a svaka škola dobiva mogućnost korištenja CMS-a za izradu svojeg web sjedišta, Nacionalnog portala za udaljeno učenje (LMS) "Nikola Tesla" koji je uspostavljen kao središnji repozitorij za pohranu obrazovnih materijala kao što su npr. digitalni obrazovni sadržaje za gradivo predmeta srednjih škola, e-Tečajeve za primjenu u nastavi, ECDL tečajeve te CARNetove tečajeve za samostalno učenje.  </w:t>
      </w:r>
    </w:p>
    <w:p w:rsidR="00AC0832" w:rsidRDefault="00AC0832">
      <w:pPr>
        <w:pStyle w:val="Normal6"/>
      </w:pPr>
      <w:r>
        <w:t xml:space="preserve">Financirano je održavanje i nadogradnja portala Školska učilica, koji sadrže sadržaje za učenje koji su usklađeni s nastavnim planom i programom, a dostupni su svim učenicima i zaposlenicima škola sa AAI identitetom uspostavljenim na HUSO-i, te financiranje nabave ustupanja filmskog obrazovanog školskog programa za CARNet internetsku platformu. </w:t>
      </w:r>
    </w:p>
    <w:p w:rsidR="00AC0832" w:rsidRDefault="00AC0832">
      <w:pPr>
        <w:pStyle w:val="Normal6"/>
      </w:pPr>
      <w:r>
        <w:t>U sklopu ove aktivnosti organizirana je  potpora za Nacionalni informacijski  sustav za upis na visoka učilišta u RH gdje specijalizirani agenti helpdeska, koji su većinom radili temeljem studentskog ugovora i pružali potporu pri korištenju NISpVU sustava.</w:t>
      </w:r>
    </w:p>
    <w:p w:rsidR="00AC0832" w:rsidRDefault="00AC0832">
      <w:pPr>
        <w:pStyle w:val="Heading6"/>
      </w:pPr>
      <w:r>
        <w:t>K406669 CARNET - ZAJEDNIČKA RK INFRASTRUKTURA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K406669-CARNET - ZAJEDNIČKA RK INFRASTRUKTURA</w:t>
            </w:r>
          </w:p>
        </w:tc>
        <w:tc>
          <w:tcPr>
            <w:tcW w:w="2322" w:type="dxa"/>
          </w:tcPr>
          <w:p w:rsidR="00AC0832" w:rsidRDefault="00AC0832">
            <w:pPr>
              <w:pStyle w:val="CellColumn"/>
            </w:pPr>
            <w:r>
              <w:t>6.188.613</w:t>
            </w:r>
          </w:p>
        </w:tc>
        <w:tc>
          <w:tcPr>
            <w:tcW w:w="2322" w:type="dxa"/>
          </w:tcPr>
          <w:p w:rsidR="00AC0832" w:rsidRDefault="00AC0832">
            <w:pPr>
              <w:pStyle w:val="CellColumn"/>
            </w:pPr>
            <w:r>
              <w:t>5.257.864</w:t>
            </w:r>
          </w:p>
        </w:tc>
        <w:tc>
          <w:tcPr>
            <w:tcW w:w="2322" w:type="dxa"/>
          </w:tcPr>
          <w:p w:rsidR="00AC0832" w:rsidRDefault="00AC0832">
            <w:pPr>
              <w:pStyle w:val="CellColumn"/>
            </w:pPr>
            <w:r>
              <w:t>85,0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Iz ove aktivnosti financirana je nabava komunikacijske i računalne opreme (usmjerivači, preklopnici, diskovi, serveri i sl.) potrebne za   spajanja samih članica te za  izgradnju jezgre CARNet mreže. Nabavljana je aktivna mrežna oprema i osigurano besprekidno napajanje na čvorištima. Nadograđen je i nadzorni sustav za nadzor CARNet mreže. U okviru aktivnost je financirana i nadogradnje postojećeg IBM TS3500 TAPE LIBRARY sustava. </w:t>
      </w:r>
    </w:p>
    <w:p w:rsidR="00AC0832" w:rsidRDefault="00AC0832">
      <w:pPr>
        <w:pStyle w:val="Normal6"/>
      </w:pPr>
      <w:r>
        <w:t>U okviru aktivnosti nastavilo se s financiranjem izgradnje vlastite DTK i optičke infrastrukture u Puli.</w:t>
      </w:r>
    </w:p>
    <w:p w:rsidR="00AC0832" w:rsidRDefault="00AC0832">
      <w:pPr>
        <w:pStyle w:val="Heading6"/>
      </w:pPr>
      <w:r>
        <w:t>K628069 ULAGANJE U OPREMU ZA ODRŽAVANJE NACIONALNIH I INFORMACIJSKIH SERVISA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K628069-ULAGANJE U OPREMU ZA ODRŽAVANJE NACIONALNIH I INFORMACIJSKIH SERVISA</w:t>
            </w:r>
          </w:p>
        </w:tc>
        <w:tc>
          <w:tcPr>
            <w:tcW w:w="2322" w:type="dxa"/>
          </w:tcPr>
          <w:p w:rsidR="00AC0832" w:rsidRDefault="00AC0832">
            <w:pPr>
              <w:pStyle w:val="CellColumn"/>
            </w:pPr>
            <w:r>
              <w:t>6.052.897</w:t>
            </w:r>
          </w:p>
        </w:tc>
        <w:tc>
          <w:tcPr>
            <w:tcW w:w="2322" w:type="dxa"/>
          </w:tcPr>
          <w:p w:rsidR="00AC0832" w:rsidRDefault="00AC0832">
            <w:pPr>
              <w:pStyle w:val="CellColumn"/>
            </w:pPr>
            <w:r>
              <w:t>5.831.914</w:t>
            </w:r>
          </w:p>
        </w:tc>
        <w:tc>
          <w:tcPr>
            <w:tcW w:w="2322" w:type="dxa"/>
          </w:tcPr>
          <w:p w:rsidR="00AC0832" w:rsidRDefault="00AC0832">
            <w:pPr>
              <w:pStyle w:val="CellColumn"/>
            </w:pPr>
            <w:r>
              <w:t>96,3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okviru ove aktivnosti nabavljana je računalna i komunikacijska oprema koja osigurava neprekinutost u radu sustava Nacionalnog informacijskog sustava za prijave na visoka učilišta u RH  u najkritičnijim periodima konačne potvrde odabranih studijskih programa. Financirana je i nadogradnja NISpVU sustava za podršku upisu učenika u srednje škole koja se sastojala od prilagodbe programskih rješenja NISpVU sustava za upis učenika u srednje škole.  </w:t>
      </w:r>
    </w:p>
    <w:p w:rsidR="00AC0832" w:rsidRDefault="00AC0832">
      <w:pPr>
        <w:pStyle w:val="Normal6"/>
      </w:pPr>
      <w:r>
        <w:t xml:space="preserve">Usporedno s preseljenjem sustava e-matice bilo je potrebno obaviti njezinu nadogradnju da bi se osigurao neprekidan i pouzdan rad odnosno planirana povezivanja s drugim informatičkim sustavima. </w:t>
      </w:r>
    </w:p>
    <w:p w:rsidR="00AC0832" w:rsidRDefault="00AC0832">
      <w:pPr>
        <w:pStyle w:val="Normal6"/>
      </w:pPr>
      <w:r>
        <w:t>U suradnji CARNeta i „Bulaja naklade“ u 2012. nabavljena su elektronička  izdanja knjiga osnovnoškolske i srednjoškolske lektire za objavu na portalu  e Lektire, web mjestu na kojem su dostupna  cjelovita djela hrvatskih i stranih pisaca s popisa obvezne školske lektire i šire. Pristup sadržajima je besplatan, a dostupni su učenicima i studentima, te njihovim nastavnicima i profesorima uz korištenje elektroničkog identiteta AAI@EduHr.</w:t>
      </w:r>
    </w:p>
    <w:p w:rsidR="00AC0832" w:rsidRDefault="00AC0832">
      <w:pPr>
        <w:pStyle w:val="Heading6"/>
      </w:pPr>
      <w:r>
        <w:t>K628071 POTICANJE RAZVOJA ŠIROKOPOJASNE INFRASTRUKTURE NA POSEBNIM PODRUČJIMA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K628071-POTICANJE RAZVOJA ŠIROKOPOJASNE INFRASTRUKTURE NA POSEBNIM PODRUČJIMA</w:t>
            </w:r>
          </w:p>
        </w:tc>
        <w:tc>
          <w:tcPr>
            <w:tcW w:w="2322" w:type="dxa"/>
          </w:tcPr>
          <w:p w:rsidR="00AC0832" w:rsidRDefault="00AC0832">
            <w:pPr>
              <w:pStyle w:val="CellColumn"/>
            </w:pPr>
            <w:r>
              <w:t>85.381</w:t>
            </w:r>
          </w:p>
        </w:tc>
        <w:tc>
          <w:tcPr>
            <w:tcW w:w="2322" w:type="dxa"/>
          </w:tcPr>
          <w:p w:rsidR="00AC0832" w:rsidRDefault="00AC0832">
            <w:pPr>
              <w:pStyle w:val="CellColumn"/>
            </w:pPr>
            <w:r>
              <w:t>277.807</w:t>
            </w:r>
          </w:p>
        </w:tc>
        <w:tc>
          <w:tcPr>
            <w:tcW w:w="2322" w:type="dxa"/>
          </w:tcPr>
          <w:p w:rsidR="00AC0832" w:rsidRDefault="00AC0832">
            <w:pPr>
              <w:pStyle w:val="CellColumn"/>
            </w:pPr>
            <w:r>
              <w:t>325,4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 temelju odluke Vlade RH u 2012. godini pokrenut je i projekt Škole 2.0 s ciljem da se na mrežu poveže škole u ruralnim, udaljenim i izoliranim dijelovima Hrvatske kako bi se i učenicima u tim dijelovima Hrvatske omogućili jednaki uvjeti školovanja. U projekt je uključeno 7 osnovnih škola na 25 lokacija (matične škole, neke i sa po 8 područnih škola), koje će kroz projekt biti povezane na brzi Internet pomoću optike te opremljene najmodernijom videokonferencijskom opremom i drugim informacijsko-komunikacijskim tehnologijama namijenjenim unapređenju obrazovnog procesa. Cilj je projekta omogućiti funkcionalnu nastavu na daljinu za učenike u područnim školama, kako bi se osigurala visoka kvaliteta obrazovanja bez obzira na geografski položaj ustanove, kroz vezu ne samo s matičnom školom, već i drugim školama uključenim u projekt, ali i drugim školama u Hrvatskoj i svijetu. U 2012 godini radilo se na edukaciji nastavnika škola  uključenih u projekt o primjeni informacijsko-komunikacijskih tehnologija u obrazovanju.</w:t>
      </w:r>
    </w:p>
    <w:p w:rsidR="00AC0832" w:rsidRDefault="00AC0832">
      <w:pPr>
        <w:pStyle w:val="Heading6"/>
      </w:pPr>
      <w:r>
        <w:t>T628072 PROJEKT OTVORENI ISTRAŽIVAČKI PROSTOR (ODS)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T628072-PROJEKT OTVORENI ISTRAŽIVAČKI PROSTOR (ODS)</w:t>
            </w:r>
          </w:p>
        </w:tc>
        <w:tc>
          <w:tcPr>
            <w:tcW w:w="2322" w:type="dxa"/>
          </w:tcPr>
          <w:p w:rsidR="00AC0832" w:rsidRDefault="00AC0832">
            <w:pPr>
              <w:pStyle w:val="CellColumn"/>
            </w:pPr>
            <w:r>
              <w:t>00</w:t>
            </w:r>
          </w:p>
        </w:tc>
        <w:tc>
          <w:tcPr>
            <w:tcW w:w="2322" w:type="dxa"/>
          </w:tcPr>
          <w:p w:rsidR="00AC0832" w:rsidRDefault="00AC0832">
            <w:pPr>
              <w:pStyle w:val="CellColumn"/>
            </w:pPr>
            <w:r>
              <w:t>35.499</w:t>
            </w:r>
          </w:p>
        </w:tc>
        <w:tc>
          <w:tcPr>
            <w:tcW w:w="2322" w:type="dxa"/>
          </w:tcPr>
          <w:p w:rsidR="00AC0832" w:rsidRDefault="00AC0832">
            <w:pPr>
              <w:pStyle w:val="CellColumn"/>
            </w:pPr>
            <w:r>
              <w:t>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Projekt Open Discovery Space je sufinanciran u iznosu od 50% iz programa CIP ICT PSP (Competitiveness and Innovation Framework Programme, ICT Policy Support Programme). Cilj programa je izrada europskog e-learning portala, društveno pogonjenog, kojemu je glavna svrha povezati postojeće obrazovne digitalne resurse i ponuditi ih europskoj obrazovnoj zajednici kroz različite opcije pristupa (otvoreni, uz razl.vrste registracije itd), te povezati nastavnike, učenike, roditelje i nacionalna tijela zadužena za razvoj e-učenja i vrednovanje kurikuluma u osnovnim i srednjim školama. Projekt je velikog opsega, na njemu sudjeluje 51 ustanova partner na projektu, te je stoga podijeljen na 4 klustera. CARNet sudjeluje u klasteru I (Communities) klasteru 3 (Impact).</w:t>
      </w:r>
    </w:p>
    <w:p w:rsidR="00AC0832" w:rsidRDefault="00AC0832">
      <w:pPr>
        <w:pStyle w:val="Heading3"/>
      </w:pPr>
      <w:r>
        <w:t>21869 Leksikografski zavod Miroslav Krleža</w:t>
      </w:r>
    </w:p>
    <w:p w:rsidR="00AC0832" w:rsidRDefault="00AC0832">
      <w:pPr>
        <w:pStyle w:val="Heading4"/>
      </w:pPr>
      <w:r>
        <w:t>Uvod</w:t>
      </w:r>
    </w:p>
    <w:p w:rsidR="00AC0832" w:rsidRDefault="00AC0832">
      <w:pPr>
        <w:pStyle w:val="Normal5"/>
      </w:pPr>
      <w:r>
        <w:t>Leksikografski zavod "Miroslav Krleža" utemeljen je 05. listopada 1950. godine na poticaj književnika i erudita Miroslava Krleže. Hrvatski sabor donio je 29. svibnja 2003. Zakon o Leksikografskom zavodu, kojim je regulirao njegov pravni status, djelatnost i ustrojstvo. Zavod je tada definiran kao javna ustanova osnovana od strane Republike Hrvatske i od njenog osobitog interesa. Leksikografski zavod je središnja hrvatska leksikografska ustanova čija izdanja predstavljaju važan doprinos održavanju i podizanju hrvatskog intelektualnog standarda. Osnovna je djelatnost Zavoda leksikografska i enciklopedička, odnosno  prikupljanje, obrada i provjera podataka, koji se uz dodatna temeljna istraživanja (radi razvijanja znanstveno-strukovne osnove) koriste kao baza podataka, za izradbu različitih edicija.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21869-Leksikografski zavod Miroslav Krleža</w:t>
            </w:r>
          </w:p>
        </w:tc>
        <w:tc>
          <w:tcPr>
            <w:tcW w:w="2322" w:type="dxa"/>
          </w:tcPr>
          <w:p w:rsidR="00AC0832" w:rsidRDefault="00AC0832">
            <w:pPr>
              <w:pStyle w:val="CellColumn"/>
            </w:pPr>
            <w:r>
              <w:t>25.496.569</w:t>
            </w:r>
          </w:p>
        </w:tc>
        <w:tc>
          <w:tcPr>
            <w:tcW w:w="2322" w:type="dxa"/>
          </w:tcPr>
          <w:p w:rsidR="00AC0832" w:rsidRDefault="00AC0832">
            <w:pPr>
              <w:pStyle w:val="CellColumn"/>
            </w:pPr>
            <w:r>
              <w:t>25.470.296</w:t>
            </w:r>
          </w:p>
        </w:tc>
        <w:tc>
          <w:tcPr>
            <w:tcW w:w="2322" w:type="dxa"/>
          </w:tcPr>
          <w:p w:rsidR="00AC0832" w:rsidRDefault="00AC0832">
            <w:pPr>
              <w:pStyle w:val="CellColumn"/>
            </w:pPr>
            <w:r>
              <w:t>99,9</w:t>
            </w:r>
          </w:p>
        </w:tc>
      </w:tr>
      <w:tr w:rsidR="00AC0832" w:rsidTr="00BE20ED">
        <w:trPr>
          <w:jc w:val="center"/>
        </w:trPr>
        <w:tc>
          <w:tcPr>
            <w:tcW w:w="2322" w:type="dxa"/>
          </w:tcPr>
          <w:p w:rsidR="00AC0832" w:rsidRDefault="00AC0832">
            <w:pPr>
              <w:pStyle w:val="CellColumnSmall"/>
            </w:pPr>
            <w:r>
              <w:t>3801-ULAGANJE U ZNANSTVENO ISTRAŽIVAČKU DJELATNOST</w:t>
            </w:r>
          </w:p>
        </w:tc>
        <w:tc>
          <w:tcPr>
            <w:tcW w:w="2322" w:type="dxa"/>
          </w:tcPr>
          <w:p w:rsidR="00AC0832" w:rsidRDefault="00AC0832">
            <w:pPr>
              <w:pStyle w:val="CellColumnSmall"/>
            </w:pPr>
            <w:r>
              <w:t>25.496.569</w:t>
            </w:r>
          </w:p>
        </w:tc>
        <w:tc>
          <w:tcPr>
            <w:tcW w:w="2322" w:type="dxa"/>
          </w:tcPr>
          <w:p w:rsidR="00AC0832" w:rsidRDefault="00AC0832">
            <w:pPr>
              <w:pStyle w:val="CellColumnSmall"/>
            </w:pPr>
            <w:r>
              <w:t>25.470.296</w:t>
            </w:r>
          </w:p>
        </w:tc>
        <w:tc>
          <w:tcPr>
            <w:tcW w:w="2322" w:type="dxa"/>
          </w:tcPr>
          <w:p w:rsidR="00AC0832" w:rsidRDefault="00AC0832">
            <w:pPr>
              <w:pStyle w:val="CellColumnSmall"/>
            </w:pPr>
            <w:r>
              <w:t>99,9</w:t>
            </w:r>
          </w:p>
        </w:tc>
      </w:tr>
    </w:tbl>
    <w:p w:rsidR="00AC0832" w:rsidRDefault="00AC0832">
      <w:pPr>
        <w:jc w:val="left"/>
      </w:pPr>
    </w:p>
    <w:p w:rsidR="00AC0832" w:rsidRDefault="00AC0832">
      <w:pPr>
        <w:pStyle w:val="Heading4"/>
      </w:pPr>
      <w:r>
        <w:t>OBRAZLOŽENJE PROGRAMA</w:t>
      </w:r>
    </w:p>
    <w:p w:rsidR="00AC0832" w:rsidRDefault="00AC0832">
      <w:pPr>
        <w:pStyle w:val="Heading5"/>
      </w:pPr>
      <w:r>
        <w:t>3801 ULAGANJE U ZNANSTVENO ISTRAŽIVAČKU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3801-ULAGANJE U ZNANSTVENO ISTRAŽIVAČKU DJELATNOST</w:t>
            </w:r>
          </w:p>
        </w:tc>
        <w:tc>
          <w:tcPr>
            <w:tcW w:w="2322" w:type="dxa"/>
          </w:tcPr>
          <w:p w:rsidR="00AC0832" w:rsidRDefault="00AC0832">
            <w:pPr>
              <w:pStyle w:val="CellColumn"/>
            </w:pPr>
            <w:r>
              <w:t>25.496.569</w:t>
            </w:r>
          </w:p>
        </w:tc>
        <w:tc>
          <w:tcPr>
            <w:tcW w:w="2322" w:type="dxa"/>
          </w:tcPr>
          <w:p w:rsidR="00AC0832" w:rsidRDefault="00AC0832">
            <w:pPr>
              <w:pStyle w:val="CellColumn"/>
            </w:pPr>
            <w:r>
              <w:t>25.470.296</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6"/>
      </w:pPr>
      <w:r>
        <w:t>Opis programa</w:t>
      </w:r>
    </w:p>
    <w:p w:rsidR="00AC0832" w:rsidRDefault="00AC0832">
      <w:r>
        <w:t>Leksikografski zavod Miroslav Krleža u Zagrebu središnja je nacionalna leksikografska ustanova u čijem je programu i izdanjima sadržana tradicija i težnja razumijevanja hrvatske jezične, kulturne i društvene zajednice u univerzalnome iskustvu i znanju. Zavod je nositelj poslova u djelatnosti leksikografije i enciklopedike od interesa za Republiku Hrvatsku. Poslovi leksikografske i enciklopedičke djelatnosti su: prikupljanje i obrada podataka, znanstveno istraživanje, dokumentiranje i čuvanje podataka, objavljivanje i davanje podataka na korištenje, znanstveno usavršavanje i stručna izobrazba, utvrđivanje i primjena strukovnih standarda.</w:t>
      </w:r>
    </w:p>
    <w:p w:rsidR="00AC0832" w:rsidRDefault="00AC0832">
      <w:pPr>
        <w:pStyle w:val="Heading6"/>
      </w:pPr>
      <w:r>
        <w:t>Zakonske i druge pravne osnove</w:t>
      </w:r>
    </w:p>
    <w:p w:rsidR="00AC0832" w:rsidRDefault="00AC0832">
      <w:r>
        <w:t>Zakon o Leksikografskom zavodu "Miroslav Krleža", NN 96/03 i 190/03</w:t>
      </w:r>
    </w:p>
    <w:p w:rsidR="00AC0832" w:rsidRDefault="00AC0832">
      <w:pPr>
        <w:pStyle w:val="Heading6"/>
      </w:pPr>
      <w:r>
        <w:t>A622107 ADMINISTRACIJA I UPRAVLJANJE LEKSIKOGRAFSKOG ZAVODA MIROSLAV KRLEŽA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A622107-ADMINISTRACIJA I UPRAVLJANJE LEKSIKOGRAFSKOG ZAVODA MIROSLAV KRLEŽA</w:t>
            </w:r>
          </w:p>
        </w:tc>
        <w:tc>
          <w:tcPr>
            <w:tcW w:w="2322" w:type="dxa"/>
          </w:tcPr>
          <w:p w:rsidR="00AC0832" w:rsidRDefault="00AC0832">
            <w:pPr>
              <w:pStyle w:val="CellColumn"/>
            </w:pPr>
            <w:r>
              <w:t>25.496.569</w:t>
            </w:r>
          </w:p>
        </w:tc>
        <w:tc>
          <w:tcPr>
            <w:tcW w:w="2322" w:type="dxa"/>
          </w:tcPr>
          <w:p w:rsidR="00AC0832" w:rsidRDefault="00AC0832">
            <w:pPr>
              <w:pStyle w:val="CellColumn"/>
            </w:pPr>
            <w:r>
              <w:t>25.470.296</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Financiranjem rada i djelovanja Leksikografskog zavoda osiguravaju se sredstva za plaće i ostale rashode za 173 zaposlenika (materijalna prava te prijevoz na posao i s posla). Također se financiraju i osnovni materijalni troškovi, te hladni pogon odvijanja redovitog poslovanja zavoda.</w:t>
      </w:r>
    </w:p>
    <w:p w:rsidR="00AC0832" w:rsidRDefault="00AC0832">
      <w:pPr>
        <w:pStyle w:val="Heading3"/>
      </w:pPr>
      <w:r>
        <w:t>23665 Sveučilišni računski centar SRCE</w:t>
      </w:r>
    </w:p>
    <w:p w:rsidR="00AC0832" w:rsidRDefault="00AC0832">
      <w:pPr>
        <w:pStyle w:val="Heading4"/>
      </w:pPr>
      <w:r>
        <w:t>Uvod</w:t>
      </w:r>
    </w:p>
    <w:p w:rsidR="00AC0832" w:rsidRDefault="00AC0832">
      <w:pPr>
        <w:pStyle w:val="Normal5"/>
      </w:pPr>
      <w:r>
        <w:t>Prema osnivačkom aktu i Statutu Srca, Srce je infrastrukturna javna ustanova osnovana s ciljem planiranja, projektiranja, izgradnje, održavanja i potpore uporabi infrastruktura i sustava utemeljenih na informacijskim i komunikacijskim tehnologijama, kako na nacionalnoj (državnoj) razini, tako i na razini Sveučilišta u Zagrebu.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23665-Sveučilišni računski centar SRCE</w:t>
            </w:r>
          </w:p>
        </w:tc>
        <w:tc>
          <w:tcPr>
            <w:tcW w:w="2322" w:type="dxa"/>
          </w:tcPr>
          <w:p w:rsidR="00AC0832" w:rsidRDefault="00AC0832">
            <w:pPr>
              <w:pStyle w:val="CellColumn"/>
            </w:pPr>
            <w:r>
              <w:t>27.951.492</w:t>
            </w:r>
          </w:p>
        </w:tc>
        <w:tc>
          <w:tcPr>
            <w:tcW w:w="2322" w:type="dxa"/>
          </w:tcPr>
          <w:p w:rsidR="00AC0832" w:rsidRDefault="00AC0832">
            <w:pPr>
              <w:pStyle w:val="CellColumn"/>
            </w:pPr>
            <w:r>
              <w:t>27.749.098</w:t>
            </w:r>
          </w:p>
        </w:tc>
        <w:tc>
          <w:tcPr>
            <w:tcW w:w="2322" w:type="dxa"/>
          </w:tcPr>
          <w:p w:rsidR="00AC0832" w:rsidRDefault="00AC0832">
            <w:pPr>
              <w:pStyle w:val="CellColumn"/>
            </w:pPr>
            <w:r>
              <w:t>99,3</w:t>
            </w:r>
          </w:p>
        </w:tc>
      </w:tr>
      <w:tr w:rsidR="00AC0832" w:rsidTr="00BE20ED">
        <w:trPr>
          <w:jc w:val="center"/>
        </w:trPr>
        <w:tc>
          <w:tcPr>
            <w:tcW w:w="2322" w:type="dxa"/>
          </w:tcPr>
          <w:p w:rsidR="00AC0832" w:rsidRDefault="00AC0832">
            <w:pPr>
              <w:pStyle w:val="CellColumnSmall"/>
            </w:pPr>
            <w:r>
              <w:t>3803-RAZVOJ INFORMACIJSKOG DRUŠTVA</w:t>
            </w:r>
          </w:p>
        </w:tc>
        <w:tc>
          <w:tcPr>
            <w:tcW w:w="2322" w:type="dxa"/>
          </w:tcPr>
          <w:p w:rsidR="00AC0832" w:rsidRDefault="00AC0832">
            <w:pPr>
              <w:pStyle w:val="CellColumnSmall"/>
            </w:pPr>
            <w:r>
              <w:t>27.951.492</w:t>
            </w:r>
          </w:p>
        </w:tc>
        <w:tc>
          <w:tcPr>
            <w:tcW w:w="2322" w:type="dxa"/>
          </w:tcPr>
          <w:p w:rsidR="00AC0832" w:rsidRDefault="00AC0832">
            <w:pPr>
              <w:pStyle w:val="CellColumnSmall"/>
            </w:pPr>
            <w:r>
              <w:t>27.749.098</w:t>
            </w:r>
          </w:p>
        </w:tc>
        <w:tc>
          <w:tcPr>
            <w:tcW w:w="2322" w:type="dxa"/>
          </w:tcPr>
          <w:p w:rsidR="00AC0832" w:rsidRDefault="00AC0832">
            <w:pPr>
              <w:pStyle w:val="CellColumnSmall"/>
            </w:pPr>
            <w:r>
              <w:t>99,3</w:t>
            </w:r>
          </w:p>
        </w:tc>
      </w:tr>
    </w:tbl>
    <w:p w:rsidR="00AC0832" w:rsidRDefault="00AC0832">
      <w:pPr>
        <w:jc w:val="left"/>
      </w:pPr>
    </w:p>
    <w:p w:rsidR="00AC0832" w:rsidRDefault="00AC0832">
      <w:pPr>
        <w:pStyle w:val="Heading4"/>
      </w:pPr>
      <w:r>
        <w:t>OBRAZLOŽENJE PROGRAMA</w:t>
      </w:r>
    </w:p>
    <w:p w:rsidR="00AC0832" w:rsidRDefault="00AC0832">
      <w:pPr>
        <w:pStyle w:val="Heading5"/>
      </w:pPr>
      <w:r>
        <w:t>3803 RAZVOJ INFORMACIJSKOG DRUŠTVA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3803-RAZVOJ INFORMACIJSKOG DRUŠTVA</w:t>
            </w:r>
          </w:p>
        </w:tc>
        <w:tc>
          <w:tcPr>
            <w:tcW w:w="2322" w:type="dxa"/>
          </w:tcPr>
          <w:p w:rsidR="00AC0832" w:rsidRDefault="00AC0832">
            <w:pPr>
              <w:pStyle w:val="CellColumn"/>
            </w:pPr>
            <w:r>
              <w:t>27.951.492</w:t>
            </w:r>
          </w:p>
        </w:tc>
        <w:tc>
          <w:tcPr>
            <w:tcW w:w="2322" w:type="dxa"/>
          </w:tcPr>
          <w:p w:rsidR="00AC0832" w:rsidRDefault="00AC0832">
            <w:pPr>
              <w:pStyle w:val="CellColumn"/>
            </w:pPr>
            <w:r>
              <w:t>27.749.098</w:t>
            </w:r>
          </w:p>
        </w:tc>
        <w:tc>
          <w:tcPr>
            <w:tcW w:w="2322" w:type="dxa"/>
          </w:tcPr>
          <w:p w:rsidR="00AC0832" w:rsidRDefault="00AC0832">
            <w:pPr>
              <w:pStyle w:val="CellColumn"/>
            </w:pPr>
            <w:r>
              <w:t>99,3</w:t>
            </w:r>
          </w:p>
        </w:tc>
      </w:tr>
    </w:tbl>
    <w:p w:rsidR="00AC0832" w:rsidRDefault="00AC0832">
      <w:pPr>
        <w:jc w:val="left"/>
      </w:pPr>
    </w:p>
    <w:p w:rsidR="00AC0832" w:rsidRDefault="00AC0832">
      <w:pPr>
        <w:pStyle w:val="Heading6"/>
      </w:pPr>
      <w:r>
        <w:t>Opis programa</w:t>
      </w:r>
    </w:p>
    <w:p w:rsidR="00AC0832" w:rsidRDefault="00AC0832">
      <w:r>
        <w:t>Informacijsko-komunikacijska  infrastruktura važna je komponenta infrastrukture sustava znanosti i obrazovanja. Razvijena informacijsko-komunikacijska infrastruktura pridonosi unaprjeđenju kvalitete obrazovanja i istraživanja  i stvara preduvjete za ubrzani razvoj informacijskog društva u području e-obrazovanja i e-znanosti.</w:t>
      </w:r>
    </w:p>
    <w:p w:rsidR="00AC0832" w:rsidRDefault="00AC0832">
      <w:pPr>
        <w:pStyle w:val="Heading6"/>
      </w:pPr>
      <w:r>
        <w:t>Zakonske i druge pravne osnove</w:t>
      </w:r>
    </w:p>
    <w:p w:rsidR="00AC0832" w:rsidRDefault="00AC0832">
      <w:r>
        <w:t>Izvršenje programa temelji se na Strategiji Hrvatska u 21. stoljeću-Informacijska i komunikacijska tehnologija, Strategiji razvoja elektroničke uprave u Republici Hrvatskoj za razdoblje od 2009. do 2012. godine, Nacionalnom programu informacijske sigurnosti u Republici Hrvatskoj, Zakonuo informacijskoj sigurnosti i Zakonu o elektroničkim komunikacijama.</w:t>
      </w:r>
    </w:p>
    <w:p w:rsidR="00AC0832" w:rsidRDefault="00AC0832">
      <w:pPr>
        <w:pStyle w:val="Heading7"/>
      </w:pPr>
      <w:r>
        <w:t xml:space="preserve">Cilj 1. Unaprijediti i osigurati pouzdan i stabilan rad temeljnih sastavnica e-infrastrukture sustava znanosti i obrazovanja RH, te ih povezati s europskim e-infrastrukturama, osigurati akademskoj zajednici pristup najnovijoj tehnologiji i uslugama.  </w:t>
      </w:r>
    </w:p>
    <w:p w:rsidR="00AC0832" w:rsidRDefault="00AC0832">
      <w:pPr>
        <w:pStyle w:val="Heading8"/>
        <w:jc w:val="left"/>
      </w:pPr>
      <w:r>
        <w:t>Opis provedbe cilja programa</w:t>
      </w:r>
    </w:p>
    <w:p w:rsidR="00AC0832" w:rsidRDefault="00AC0832">
      <w:pPr>
        <w:pStyle w:val="Normal6"/>
      </w:pPr>
      <w:r>
        <w:t>Za uspješno svakodnevno funkcioniranje sustava obrazovanja i znanosti, za odvijanje obrazovnog procesa, kao i za izvođenje istraživačkih programa i projekata, te za povezivanje hrvatskoga s europskim obrazovnim i istraživačkim prostorom, nužno je pouzdano, stabilno i kvalitetno funkcioniranje temeljnih sastavnica e-infrastrukture, kao što su računalno-komunikacijska mreža, računalna sredstva opće namjene kao i računalna sredstva visoke učinkovitosti i/ili računalna sredstva za zahtjevna računanja, podatkovna infrastruktura za prihvat, pristup i čuvanje kolekcija podataka itd. Srce je svojim aktivnostima tijekom 2012. godine osiguravalo kontinuitet pouzdanog i stabilnog funkcioniranja, ali i razvoj i tehnološki i korisnički opravdanu nadogradnju nekih od navedenih sastavnica, među kojima su: StuDOM - mrežna infrastruktura studentskih domova u RH, važna za sve studente smještene u svim studentskim domovima u RH; hrvatsko sjedište (čvor) pan-europske mreže GEANT, važno za povezanost hrvatske akademske i istraživačke mreže s europskom i globalnom mrežom; Croatian Internet Exchange (CIX), hrvatsko nacionalno sjedište za razmjenu internetskog prometa, važno za funkcioniranje Interneta u RH; CRO NGI - Hrvatska nacionalna grid infrastruktura CRO NGI, distribuirana računalna i podatkovna okolina za obrazovne i istraživačke svrhe, dostupna svim sudionicima obrazovanja i istraživanja u RH; hrvatski segment paneuropske grid infrastrukture EGI; računalni klaster Isabella, najsnažniji zajednički računalni resurs za sva numerički zahtjevna računanja za potrebe istraživačkih projekata u RH; podatkovna infrastruktura za dugoročno ili kratkoročno pohranjivanje velikih kolekcija podataka, vezanih uz obrazovni i istraživački sustav u RH.</w:t>
      </w:r>
    </w:p>
    <w:p w:rsidR="00AC0832" w:rsidRDefault="00AC0832">
      <w:pPr>
        <w:pStyle w:val="Heading7"/>
      </w:pPr>
      <w:r>
        <w:t xml:space="preserve">Cilj 2. Osigurati pouzdan i stabilan rad sastavnica posredničkog sloja e-infrastrukture sustava znanosti i obrazovanja RH, te ih povezati s odgovarajućim europskim sustavima.  </w:t>
      </w:r>
    </w:p>
    <w:p w:rsidR="00AC0832" w:rsidRDefault="00AC0832">
      <w:pPr>
        <w:pStyle w:val="Heading8"/>
        <w:jc w:val="left"/>
      </w:pPr>
      <w:r>
        <w:t>Opis provedbe cilja programa</w:t>
      </w:r>
    </w:p>
    <w:p w:rsidR="00AC0832" w:rsidRDefault="00AC0832">
      <w:pPr>
        <w:pStyle w:val="Normal6"/>
      </w:pPr>
      <w:r>
        <w:t xml:space="preserve">Za uspješno funkcioniranje i uporabu modernih sustava i usluga utemeljenih na informacijskim i komunikacijskim tehnologijama od posebne su važnosti sustavi posredničkog sloja, koji s jedne strane korisnicima olakšavaju pristup i uporabu usluga, a s druge strane osiguravaju sigurnost, nadzor i praćenje razine uporabe tih usluga. Cjelovita autentikacijska i autorizacijska infrastruktura sustava znanosti i obrazovanja u RH - AAI@EduHr, koju je Srce izgradilo i uspješno održava osigurava da više od 650.000 osoba u sustavu znanosti i obrazovanja, vezanih uz 220 ustanova (ne računajući pojedinačne osnovne i srednje škole) ima i uspješno koristi svoje elektroničke identitete za pristup više od 100 različitih usluga i servisa, kao što su informacijski sustavi MZOS (Matica, Državna matura, NISPVU), mrežne usluge CARNeta, različiti sustavi za e-učenje, bibliografski ili knjižnični sustavi (npr. Hrvatska nacionalna bibliografija, HRČAK - portal hrvatskih znanstvenih časopisa i sl.). </w:t>
      </w:r>
    </w:p>
    <w:p w:rsidR="00AC0832" w:rsidRDefault="00AC0832">
      <w:pPr>
        <w:pStyle w:val="Normal6"/>
      </w:pPr>
      <w:r>
        <w:t>Hrvatski AAI sustav potrebno je povezati s odgovarajućim europskim sustavima (edugain), te nastaviti aktivnosti vezane uz uporabu i širenje paneuropskog roaming sustava bežičnog pristupa Internetu eduroam, kojim se omogućava pristup Internetu i mrežnim uslugama svim članovima obrazovne i istraživačke zajednice bez obzira na njihovu konkretnu lokaciju na bilo kojoj od lokacija ustanova iz sustava obrazovanja i znanosti u RH, ali i izvan RH.</w:t>
      </w:r>
    </w:p>
    <w:p w:rsidR="00AC0832" w:rsidRDefault="00AC0832">
      <w:pPr>
        <w:pStyle w:val="Heading7"/>
      </w:pPr>
      <w:r>
        <w:t>Cilj 3. Osigurati pouzdan rad i unapređenje informacijskih sustava i internetskih aplikacija vezanih uz funkcioniranje sustava visokog obrazovanja u RH.</w:t>
      </w:r>
    </w:p>
    <w:p w:rsidR="00AC0832" w:rsidRDefault="00AC0832">
      <w:pPr>
        <w:pStyle w:val="Heading8"/>
        <w:jc w:val="left"/>
      </w:pPr>
      <w:r>
        <w:t>Opis provedbe cilja programa</w:t>
      </w:r>
    </w:p>
    <w:p w:rsidR="00AC0832" w:rsidRDefault="00AC0832">
      <w:pPr>
        <w:pStyle w:val="Normal6"/>
      </w:pPr>
      <w:r>
        <w:t xml:space="preserve">Učinkovit i kvalitetan obrazovni proces danas nije moguć bez adekvatne potpore informacijskih sustava i internetskih aplikacija, koje omogućavaju i/ili olakšavaju izvođenje tih procesa u administrativnom/poslovnom smislu, ali i u smislu neposredne primjene unutar samog obrazovnog procesa, te trebaju osigurati podatke za donošenje odluka na svim razinama sustava. </w:t>
      </w:r>
    </w:p>
    <w:p w:rsidR="00AC0832" w:rsidRDefault="00AC0832">
      <w:pPr>
        <w:pStyle w:val="Normal6"/>
      </w:pPr>
      <w:r>
        <w:t xml:space="preserve">Srce je svojim aktivnostima tijekom 2012. godine osiguravalo kontinuitet pouzdanog i stabilnog funkcioniranja, ali i razvoj i tehnološki i korisnički opravdanu nadogradnju nekih od temeljnih informacijskih sustava u sustavu visokog obrazovanja u RH, konkretno: </w:t>
      </w:r>
    </w:p>
    <w:p w:rsidR="00AC0832" w:rsidRDefault="00AC0832">
      <w:pPr>
        <w:pStyle w:val="Normal6"/>
      </w:pPr>
      <w:r>
        <w:t xml:space="preserve">•Informacijskog sustava visokih učilišta (ISVU), kojeg koristi više od 90 visokih učilišta i koristi se vođenje podataka i poslovanje s više od 125.000 aktivnih studenata, </w:t>
      </w:r>
    </w:p>
    <w:p w:rsidR="00AC0832" w:rsidRDefault="00AC0832">
      <w:pPr>
        <w:pStyle w:val="Normal6"/>
      </w:pPr>
      <w:r>
        <w:t xml:space="preserve">•Informacijski sustav studentske prehrane (ISSP), koji se koristi za upravljanje uporabom prava studenata (prvenstveno prava na subvencioniranu prehranu) i za upravljanje sustavom studentskih iskaznica (X-ca), a koristi se na svim visokim učilištima u RH (za više od 134.000 aktivnih studenata), </w:t>
      </w:r>
    </w:p>
    <w:p w:rsidR="00AC0832" w:rsidRDefault="00AC0832">
      <w:pPr>
        <w:pStyle w:val="Normal6"/>
      </w:pPr>
      <w:r>
        <w:t xml:space="preserve">•sustav za udaljeno učenje (e-učenje) Merlin (za visoko obrazovanje) i prateći sustavi za druge skupine korisnika (škole, projekti od interesa za zajednicu), kao i prateće usluge (sustav e-portfolia, sustav webinara i sl.); trenutno se koristi za više od 800 sveučilišnih kolegija godišnje s ukupno više od 27.500 registriranih korisnika, </w:t>
      </w:r>
    </w:p>
    <w:p w:rsidR="00AC0832" w:rsidRDefault="00AC0832">
      <w:pPr>
        <w:pStyle w:val="Normal6"/>
      </w:pPr>
      <w:r>
        <w:t>•sustav za udomljavanje osnovnih internetskih usluga DOMUS za ustanove, udruge, projekte i pojedince iz sustava obrazovanja i znanosti.</w:t>
      </w:r>
    </w:p>
    <w:p w:rsidR="00AC0832" w:rsidRDefault="00AC0832">
      <w:pPr>
        <w:pStyle w:val="Heading7"/>
      </w:pPr>
      <w:r>
        <w:t>Cilj 4. Unaprijediti i olakšati uporabu informacijske i komunikacijske tehnologije u obrazovanju i znanosti, te proširiti krug korisnika e-infrastrukture sustava znanosti i visokog obrazovanja.</w:t>
      </w:r>
    </w:p>
    <w:p w:rsidR="00AC0832" w:rsidRDefault="00AC0832">
      <w:pPr>
        <w:pStyle w:val="Heading8"/>
        <w:jc w:val="left"/>
      </w:pPr>
      <w:r>
        <w:t>Opis provedbe cilja programa</w:t>
      </w:r>
    </w:p>
    <w:p w:rsidR="00AC0832" w:rsidRDefault="00AC0832">
      <w:pPr>
        <w:pStyle w:val="Normal6"/>
      </w:pPr>
      <w:r>
        <w:t xml:space="preserve">E-infrastruktura, njezina tehnička sredstva, alati i usluge nemaju smisla ako se ne osigura podrška korisnicima i njihovo osposobljavanje za njezinu uporabu, kako bi mogli navedena sredstva, alate i usluge koristiti u obrazovanju i istraživanjima učinkovito i jednostavno. </w:t>
      </w:r>
    </w:p>
    <w:p w:rsidR="00AC0832" w:rsidRDefault="00AC0832">
      <w:pPr>
        <w:pStyle w:val="Normal6"/>
      </w:pPr>
      <w:r>
        <w:t>Srce kroz više od 80 obrazovnih programa (osnovnih i naprednih tečajeva, tečajeva za IT profesionalce, programa za certificiranje) rad općeg i specijaliziranih helpdeskova, rad referalnih i ekspertnih centara, davanje savjetodavnih usluga vezanih uz izgradnju e-infrastrukture i uporabu novih tehnologija, sudjelovanje u razvojnim projektima osigurava potrebnu podršku i osposobljavanje korisnika za uporabu e-infrastrukture i usluga utemeljenih na informacijskoj i komunikacijskoj tehnologiji.</w:t>
      </w:r>
    </w:p>
    <w:p w:rsidR="00AC0832" w:rsidRDefault="00AC0832">
      <w:pPr>
        <w:pStyle w:val="Heading6"/>
      </w:pPr>
      <w:r>
        <w:t>K628055 SRCE -IZRAVNA KAPITALNA ULAGANJA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K628055-SRCE -IZRAVNA KAPITALNA ULAGANJA</w:t>
            </w:r>
          </w:p>
        </w:tc>
        <w:tc>
          <w:tcPr>
            <w:tcW w:w="2322" w:type="dxa"/>
          </w:tcPr>
          <w:p w:rsidR="00AC0832" w:rsidRDefault="00AC0832">
            <w:pPr>
              <w:pStyle w:val="CellColumn"/>
            </w:pPr>
            <w:r>
              <w:t>3.244.146</w:t>
            </w:r>
          </w:p>
        </w:tc>
        <w:tc>
          <w:tcPr>
            <w:tcW w:w="2322" w:type="dxa"/>
          </w:tcPr>
          <w:p w:rsidR="00AC0832" w:rsidRDefault="00AC0832">
            <w:pPr>
              <w:pStyle w:val="CellColumn"/>
            </w:pPr>
            <w:r>
              <w:t>3.244.140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infrastrukture sustava obrazovanja i znanosti u Republici Hrvatskoj, konkretno: </w:t>
      </w:r>
    </w:p>
    <w:p w:rsidR="00AC0832" w:rsidRDefault="00AC0832">
      <w:pPr>
        <w:pStyle w:val="Normal6"/>
      </w:pPr>
      <w:r>
        <w:t xml:space="preserve">•održavanje i razvoj mrežnih čvorišta i mrežne infrastrukture, npr. Croatian Internet Exchange (CIX), GEANT PoP, akademski roaming sustav bežičnog pristupa Internetu eduroam, računalno komunikacijska infrastruktura studentskih domova u RH, računalno-komunikacijska mreža kampusa Borongaj; </w:t>
      </w:r>
    </w:p>
    <w:p w:rsidR="00AC0832" w:rsidRDefault="00AC0832">
      <w:pPr>
        <w:pStyle w:val="Normal6"/>
      </w:pPr>
      <w:r>
        <w:t xml:space="preserve">•održavanje i razvoj grid infrastruktura (npr. CRO NGI, Hrvatska nacionalna grid infrastruktura, ili EGI - hrvatski segment paneuropske grid infrastrukture) i računalnih sustava visoke učinkovitosti, posebno računalnog klastera Isabella; </w:t>
      </w:r>
    </w:p>
    <w:p w:rsidR="00AC0832" w:rsidRDefault="00AC0832">
      <w:pPr>
        <w:pStyle w:val="Normal6"/>
      </w:pPr>
      <w:r>
        <w:t xml:space="preserve">•održavanje i razvoj podatkovne infrastrukture za prikupljanje, čuvanje, opisivanje i omogućavanje trajnog pristupa kolekcijama podataka, npr. primarnih znanstvenih podataka i podataka vezanih uz sustav obrazovanja; </w:t>
      </w:r>
    </w:p>
    <w:p w:rsidR="00AC0832" w:rsidRDefault="00AC0832">
      <w:pPr>
        <w:pStyle w:val="Normal6"/>
      </w:pPr>
      <w:r>
        <w:t xml:space="preserve">•održavanje i razvoj autentikacijskih i autorizacijskih (AA) sustava i sustava imenika za potrebe sustava znanosti i obrazovanja RH, posebno Autentikacijske i autorizacijske infrastrukture sustava znanosti i visokog obrazovanja AAI@EduHr; </w:t>
      </w:r>
    </w:p>
    <w:p w:rsidR="00AC0832" w:rsidRDefault="00AC0832">
      <w:pPr>
        <w:pStyle w:val="Normal6"/>
      </w:pPr>
      <w:r>
        <w:t xml:space="preserve">•održavanje i razvoj informacijskih sustava za potrebe visokog obrazovanja i znanosti, posebno održavanje Informacijskog sustava visokih učilišta (ISVU), održavanje i razvoj Informacijskog sustava studentske prehrane (ISSP), razvoj i održavanje specifičnih informacijskih sustava za potrebe Sveučilišta u Zagrebu; </w:t>
      </w:r>
    </w:p>
    <w:p w:rsidR="00AC0832" w:rsidRDefault="00AC0832">
      <w:pPr>
        <w:pStyle w:val="Normal6"/>
      </w:pPr>
      <w:r>
        <w:t xml:space="preserve">•održavanje i razvoj internetskih aplikacija i sustava za e-učenje u visokom obrazovanju, npr. sustava za udomljavanje osnovnih internetskih usluga DOMUS i sustava za udaljeno učenje Merlin. </w:t>
      </w:r>
    </w:p>
    <w:p w:rsidR="00AC0832" w:rsidRDefault="00AC0832">
      <w:pPr>
        <w:pStyle w:val="Normal6"/>
      </w:pPr>
      <w:r>
        <w:t>• Potpora korisnicima i osposobljavanje korisnika za uporabu informacijskih tehnologija i alata u obrazovanju i znanstvenom radu, kroz pripremanje i izvođenje obrazovnih programa za korisnike i IT profesionalce, certificiranje IT profesionalaca, rad općih i specijaliziranih službi potpore (helpdeska), rad referalnih centara, pružanje savjetodavnih usluga.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0"/>
        <w:gridCol w:w="1428"/>
        <w:gridCol w:w="1292"/>
        <w:gridCol w:w="1271"/>
        <w:gridCol w:w="1306"/>
        <w:gridCol w:w="1271"/>
        <w:gridCol w:w="128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Povećati dostupnost temeljnih sastavnica e-infrastrukture, informacijskih sustava i aplikacija u nadležnosti Srca</w:t>
            </w:r>
          </w:p>
        </w:tc>
        <w:tc>
          <w:tcPr>
            <w:tcW w:w="1300" w:type="dxa"/>
          </w:tcPr>
          <w:p w:rsidR="00AC0832" w:rsidRDefault="00AC0832">
            <w:pPr>
              <w:pStyle w:val="CellColumn"/>
            </w:pPr>
            <w:r>
              <w:t>Povećanjem dostupnosti usluga e-infrastrukture povećava se učinkovitost i uporabe sredstava i količina i kvaliteta rezultata nastalih uporabom e-infrastrukture</w:t>
            </w:r>
          </w:p>
        </w:tc>
        <w:tc>
          <w:tcPr>
            <w:tcW w:w="1300" w:type="dxa"/>
          </w:tcPr>
          <w:p w:rsidR="00AC0832" w:rsidRDefault="00AC0832">
            <w:pPr>
              <w:pStyle w:val="CellColumn"/>
            </w:pPr>
            <w:r>
              <w:t>min % vremena dostupnosti (od 24 sata tijekom 365 dana u godini)</w:t>
            </w:r>
          </w:p>
        </w:tc>
        <w:tc>
          <w:tcPr>
            <w:tcW w:w="1300" w:type="dxa"/>
          </w:tcPr>
          <w:p w:rsidR="00AC0832" w:rsidRDefault="00AC0832">
            <w:pPr>
              <w:pStyle w:val="CellColumn"/>
            </w:pPr>
            <w:r>
              <w:t>96%</w:t>
            </w:r>
          </w:p>
        </w:tc>
        <w:tc>
          <w:tcPr>
            <w:tcW w:w="1300" w:type="dxa"/>
          </w:tcPr>
          <w:p w:rsidR="00AC0832" w:rsidRDefault="00AC0832">
            <w:pPr>
              <w:pStyle w:val="CellColumn"/>
            </w:pPr>
            <w:r>
              <w:t>SRCE</w:t>
            </w:r>
          </w:p>
        </w:tc>
        <w:tc>
          <w:tcPr>
            <w:tcW w:w="1300" w:type="dxa"/>
          </w:tcPr>
          <w:p w:rsidR="00AC0832" w:rsidRDefault="00AC0832">
            <w:pPr>
              <w:pStyle w:val="CellColumn"/>
            </w:pPr>
            <w:r>
              <w:t>97%</w:t>
            </w:r>
          </w:p>
        </w:tc>
        <w:tc>
          <w:tcPr>
            <w:tcW w:w="1300" w:type="dxa"/>
          </w:tcPr>
          <w:p w:rsidR="00AC0832" w:rsidRDefault="00AC0832">
            <w:pPr>
              <w:pStyle w:val="CellColumn"/>
            </w:pPr>
            <w:r>
              <w:t>98%</w:t>
            </w:r>
          </w:p>
        </w:tc>
      </w:tr>
      <w:tr w:rsidR="00AC0832" w:rsidTr="00BE20ED">
        <w:trPr>
          <w:jc w:val="center"/>
        </w:trPr>
        <w:tc>
          <w:tcPr>
            <w:tcW w:w="1300" w:type="dxa"/>
          </w:tcPr>
          <w:p w:rsidR="00AC0832" w:rsidRDefault="00AC0832">
            <w:pPr>
              <w:pStyle w:val="CellColumn"/>
            </w:pPr>
            <w:r>
              <w:t>Povećanje broja resursa dostupnih uporabom AAI@EduHr identiteta</w:t>
            </w:r>
          </w:p>
        </w:tc>
        <w:tc>
          <w:tcPr>
            <w:tcW w:w="1300" w:type="dxa"/>
          </w:tcPr>
          <w:p w:rsidR="00AC0832" w:rsidRDefault="00AC0832">
            <w:pPr>
              <w:pStyle w:val="CellColumn"/>
            </w:pPr>
            <w:r>
              <w:t>Osigurati što veći broj  usluga dostupnih uz AAI@EduHr identitet</w:t>
            </w:r>
          </w:p>
        </w:tc>
        <w:tc>
          <w:tcPr>
            <w:tcW w:w="1300" w:type="dxa"/>
          </w:tcPr>
          <w:p w:rsidR="00AC0832" w:rsidRDefault="00AC0832">
            <w:pPr>
              <w:pStyle w:val="CellColumn"/>
            </w:pPr>
            <w:r>
              <w:t>Broj usluga</w:t>
            </w:r>
          </w:p>
        </w:tc>
        <w:tc>
          <w:tcPr>
            <w:tcW w:w="1300" w:type="dxa"/>
          </w:tcPr>
          <w:p w:rsidR="00AC0832" w:rsidRDefault="00AC0832">
            <w:pPr>
              <w:pStyle w:val="CellColumn"/>
            </w:pPr>
            <w:r>
              <w:t>230</w:t>
            </w:r>
          </w:p>
        </w:tc>
        <w:tc>
          <w:tcPr>
            <w:tcW w:w="1300" w:type="dxa"/>
          </w:tcPr>
          <w:p w:rsidR="00AC0832" w:rsidRDefault="00AC0832">
            <w:pPr>
              <w:pStyle w:val="CellColumn"/>
            </w:pPr>
            <w:r>
              <w:t>SRCE / MZOŠ</w:t>
            </w:r>
          </w:p>
        </w:tc>
        <w:tc>
          <w:tcPr>
            <w:tcW w:w="1300" w:type="dxa"/>
          </w:tcPr>
          <w:p w:rsidR="00AC0832" w:rsidRDefault="00AC0832">
            <w:pPr>
              <w:pStyle w:val="CellColumn"/>
            </w:pPr>
            <w:r>
              <w:t>240</w:t>
            </w:r>
          </w:p>
        </w:tc>
        <w:tc>
          <w:tcPr>
            <w:tcW w:w="1300" w:type="dxa"/>
          </w:tcPr>
          <w:p w:rsidR="00AC0832" w:rsidRDefault="00AC0832">
            <w:pPr>
              <w:pStyle w:val="CellColumn"/>
            </w:pPr>
            <w:r>
              <w:t>250</w:t>
            </w:r>
          </w:p>
        </w:tc>
      </w:tr>
      <w:tr w:rsidR="00AC0832" w:rsidTr="00BE20ED">
        <w:trPr>
          <w:jc w:val="center"/>
        </w:trPr>
        <w:tc>
          <w:tcPr>
            <w:tcW w:w="1300" w:type="dxa"/>
          </w:tcPr>
          <w:p w:rsidR="00AC0832" w:rsidRDefault="00AC0832">
            <w:pPr>
              <w:pStyle w:val="CellColumn"/>
            </w:pPr>
            <w:r>
              <w:t>Povećati broj polaznika obrazovnih programa Srca</w:t>
            </w:r>
          </w:p>
        </w:tc>
        <w:tc>
          <w:tcPr>
            <w:tcW w:w="1300" w:type="dxa"/>
          </w:tcPr>
          <w:p w:rsidR="00AC0832" w:rsidRDefault="00AC0832">
            <w:pPr>
              <w:pStyle w:val="CellColumn"/>
            </w:pPr>
            <w:r>
              <w:t>Povećati broj pojedinaca sposobnih za učinkovitu uporabu ICT u obrazovanju i istraživanjima</w:t>
            </w:r>
          </w:p>
        </w:tc>
        <w:tc>
          <w:tcPr>
            <w:tcW w:w="1300" w:type="dxa"/>
          </w:tcPr>
          <w:p w:rsidR="00AC0832" w:rsidRDefault="00AC0832">
            <w:pPr>
              <w:pStyle w:val="CellColumn"/>
            </w:pPr>
            <w:r>
              <w:t>broj polaznika obrazovnih programa Srca  godišnje</w:t>
            </w:r>
          </w:p>
        </w:tc>
        <w:tc>
          <w:tcPr>
            <w:tcW w:w="1300" w:type="dxa"/>
          </w:tcPr>
          <w:p w:rsidR="00AC0832" w:rsidRDefault="00AC0832">
            <w:pPr>
              <w:pStyle w:val="CellColumn"/>
            </w:pPr>
            <w:r>
              <w:t>1000</w:t>
            </w:r>
          </w:p>
        </w:tc>
        <w:tc>
          <w:tcPr>
            <w:tcW w:w="1300" w:type="dxa"/>
          </w:tcPr>
          <w:p w:rsidR="00AC0832" w:rsidRDefault="00AC0832">
            <w:pPr>
              <w:pStyle w:val="CellColumn"/>
            </w:pPr>
            <w:r>
              <w:t>SRCE / Sektor za obrazovanje i podršku korisnicima</w:t>
            </w:r>
          </w:p>
        </w:tc>
        <w:tc>
          <w:tcPr>
            <w:tcW w:w="1300" w:type="dxa"/>
          </w:tcPr>
          <w:p w:rsidR="00AC0832" w:rsidRDefault="00AC0832">
            <w:pPr>
              <w:pStyle w:val="CellColumn"/>
            </w:pPr>
            <w:r>
              <w:t>1300</w:t>
            </w:r>
          </w:p>
        </w:tc>
        <w:tc>
          <w:tcPr>
            <w:tcW w:w="1300" w:type="dxa"/>
          </w:tcPr>
          <w:p w:rsidR="00AC0832" w:rsidRDefault="00AC0832">
            <w:pPr>
              <w:pStyle w:val="CellColumn"/>
            </w:pPr>
            <w:r>
              <w:t>1411</w:t>
            </w:r>
          </w:p>
        </w:tc>
      </w:tr>
    </w:tbl>
    <w:p w:rsidR="00AC0832" w:rsidRDefault="00AC0832">
      <w:pPr>
        <w:jc w:val="left"/>
      </w:pPr>
    </w:p>
    <w:p w:rsidR="00AC0832" w:rsidRDefault="00AC0832">
      <w:pPr>
        <w:pStyle w:val="Heading5"/>
      </w:pPr>
      <w:r>
        <w:t>3701 RAZVOJ ODGOJNO OBRAZOVNOG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3701-RAZVOJ ODGOJNO OBRAZOVNOG SUSTAVA</w:t>
            </w:r>
          </w:p>
        </w:tc>
        <w:tc>
          <w:tcPr>
            <w:tcW w:w="2322" w:type="dxa"/>
          </w:tcPr>
          <w:p w:rsidR="00AC0832" w:rsidRDefault="00AC0832">
            <w:pPr>
              <w:pStyle w:val="CellColumn"/>
            </w:pPr>
            <w:r>
              <w:t>38.812.361</w:t>
            </w:r>
          </w:p>
        </w:tc>
        <w:tc>
          <w:tcPr>
            <w:tcW w:w="2322" w:type="dxa"/>
          </w:tcPr>
          <w:p w:rsidR="00AC0832" w:rsidRDefault="00AC0832">
            <w:pPr>
              <w:pStyle w:val="CellColumn"/>
            </w:pPr>
            <w:r>
              <w:t>37.919.096</w:t>
            </w:r>
          </w:p>
        </w:tc>
        <w:tc>
          <w:tcPr>
            <w:tcW w:w="2322" w:type="dxa"/>
          </w:tcPr>
          <w:p w:rsidR="00AC0832" w:rsidRDefault="00AC0832">
            <w:pPr>
              <w:pStyle w:val="CellColumn"/>
            </w:pPr>
            <w:r>
              <w:t>97,7</w:t>
            </w:r>
          </w:p>
        </w:tc>
      </w:tr>
    </w:tbl>
    <w:p w:rsidR="00AC0832" w:rsidRDefault="00AC0832">
      <w:pPr>
        <w:jc w:val="left"/>
      </w:pPr>
    </w:p>
    <w:p w:rsidR="00AC0832" w:rsidRDefault="00AC0832">
      <w:pPr>
        <w:pStyle w:val="Heading6"/>
      </w:pPr>
      <w:r>
        <w:t>Opis programa</w:t>
      </w:r>
    </w:p>
    <w:p w:rsidR="00AC0832" w:rsidRDefault="00AC0832">
      <w:r>
        <w:t xml:space="preserve">Agencija za odgoj i obrazovanje pruža usluge profesionalne podrške i profesionalnog razvoja odgojno-obrazovnim radnicima u cilju stvaranja društva znanja temeljenog na kompetentnim i inovativnim odgojno-obrazovnim radnicima. </w:t>
      </w:r>
    </w:p>
    <w:p w:rsidR="00AC0832" w:rsidRDefault="00AC0832">
      <w:r>
        <w:t xml:space="preserve">Člankom 4. Zakona o Agenciji za odgoj i obrazovanje  utvrđene su djelatnosti Agencije: </w:t>
      </w:r>
    </w:p>
    <w:p w:rsidR="00AC0832" w:rsidRDefault="00AC0832">
      <w:r>
        <w:t xml:space="preserve">•obavljanje stručnih i savjetodavnih poslova u odgoju i obrazovanju </w:t>
      </w:r>
    </w:p>
    <w:p w:rsidR="00AC0832" w:rsidRDefault="00AC0832">
      <w:r>
        <w:t xml:space="preserve">•sudjelovanje u praćenju, unapređivanju i razvoju odgoja i obrazovanja na području predškolskog, osnovnoškolskog i srednjoškolskog odgoja i obrazovanja, obrazovanja odraslih te školovanja djece hrvatskih građana u inozemstvu i djece stranih državljana </w:t>
      </w:r>
    </w:p>
    <w:p w:rsidR="00AC0832" w:rsidRDefault="00AC0832">
      <w:r>
        <w:t xml:space="preserve">•sudjelovanje u izradi, razvoju i implementaciji nacionalnog kurikuluma </w:t>
      </w:r>
    </w:p>
    <w:p w:rsidR="00AC0832" w:rsidRDefault="00AC0832">
      <w:r>
        <w:t xml:space="preserve">•pružanje stručne pomoći i davanje uputa odgojno-obrazovnim ustanovama, njihovim ravnateljima te odgojiteljima, učiteljima, nastavnicima, stručnim suradnicima (u daljnjem tekstu: odgojno-obrazovni radnici) u provedbi djelatnosti odgoja i obrazovanja </w:t>
      </w:r>
    </w:p>
    <w:p w:rsidR="00AC0832" w:rsidRDefault="00AC0832">
      <w:r>
        <w:t xml:space="preserve">•organiziranje i provođenje stručnog usavršavanja odgojno-obrazovnih radnika i ravnatelja, ako posebnim propisima nije drugačije određeno </w:t>
      </w:r>
    </w:p>
    <w:p w:rsidR="00AC0832" w:rsidRDefault="00AC0832">
      <w:r>
        <w:t xml:space="preserve">•provođenje stručnih ispita za odgojno-obrazovne radnike, prema posebnim propisima </w:t>
      </w:r>
    </w:p>
    <w:p w:rsidR="00AC0832" w:rsidRDefault="00AC0832">
      <w:r>
        <w:t xml:space="preserve">•provođenje postupka stručnog napredovanja za odgojno-obrazovne radnike prema posebnim propisima </w:t>
      </w:r>
    </w:p>
    <w:p w:rsidR="00AC0832" w:rsidRDefault="00AC0832">
      <w:r>
        <w:t xml:space="preserve">•davanje stručnih mišljenja o programima u predškolskom odgoju, nastavnim programima u osnovnom školstvu i gimnazijama, općeobrazovnim programima srednjeg strukovnog školstva te o programima u obrazovanju odraslih, osim ako posebnim propisima nije drugačije određeno </w:t>
      </w:r>
    </w:p>
    <w:p w:rsidR="00AC0832" w:rsidRDefault="00AC0832">
      <w:r>
        <w:t xml:space="preserve">•davanje stručnih mišljenja o nastavnim programima općeobrazovnih pred¬meta u postupku verifikacije odgojno-obrazovnih ustanova </w:t>
      </w:r>
    </w:p>
    <w:p w:rsidR="00AC0832" w:rsidRDefault="00AC0832">
      <w:r>
        <w:t xml:space="preserve">•obavljanje stručno-pedagoškog nadzora </w:t>
      </w:r>
    </w:p>
    <w:p w:rsidR="00AC0832" w:rsidRDefault="00AC0832">
      <w:r>
        <w:t xml:space="preserve">•sudjelovanje  u organizaciji i provođenju učeničkih smotri i natjecanja </w:t>
      </w:r>
    </w:p>
    <w:p w:rsidR="00AC0832" w:rsidRDefault="00AC0832">
      <w:r>
        <w:t xml:space="preserve">•sudjelovanje u izradi i pružanju stručne podrške provedbi nacionalnih programa </w:t>
      </w:r>
    </w:p>
    <w:p w:rsidR="00AC0832" w:rsidRDefault="00AC0832">
      <w:r>
        <w:t xml:space="preserve">•obavljanje informacijsko-dokumentacijske i nakladničke djelatnosti </w:t>
      </w:r>
    </w:p>
    <w:p w:rsidR="00AC0832" w:rsidRDefault="00AC0832">
      <w:r>
        <w:t xml:space="preserve">•sudjelovanje u sustavima obveznog izvješćivanja o provedbi potpisanih međunarodnih konvencija i preporuka u odgoju i obrazovanju </w:t>
      </w:r>
    </w:p>
    <w:p w:rsidR="00AC0832" w:rsidRDefault="00AC0832">
      <w:r>
        <w:t>•obavljanje drugih poslova u sustavu odgoja i obrazovanja u skladu sa zakonom i provedbenim propisima ministra nadležnog za obrazovanje</w:t>
      </w:r>
    </w:p>
    <w:p w:rsidR="00AC0832" w:rsidRDefault="00AC0832">
      <w:pPr>
        <w:pStyle w:val="Heading6"/>
      </w:pPr>
      <w:r>
        <w:t>Zakonske i druge pravne osnove</w:t>
      </w:r>
    </w:p>
    <w:p w:rsidR="00AC0832" w:rsidRDefault="00AC0832">
      <w:r>
        <w:t xml:space="preserve">Nacionalni okvirni kurikulum za predškolski odgoj te opće obvezno i srednjoškolsko obrazovanje (Ministarstvo znanosti, obrazovanja i sporta, srpanj 2010.) </w:t>
      </w:r>
    </w:p>
    <w:p w:rsidR="00AC0832" w:rsidRDefault="00AC0832">
      <w:r>
        <w:t xml:space="preserve">Zakon o predškolskom odgoju i naobrazbi (Narodne novine, 10/97 i 107/07) </w:t>
      </w:r>
    </w:p>
    <w:p w:rsidR="00AC0832" w:rsidRDefault="00AC0832">
      <w:r>
        <w:t xml:space="preserve">Zakon o odgoju i obrazovanju u osnovnoj i srednjoj školi (Narodne novine, 87/08, 86/09, 92/10, 105/10 , 90/11, 5/12,86/12 i 126/12) </w:t>
      </w:r>
    </w:p>
    <w:p w:rsidR="00AC0832" w:rsidRDefault="00AC0832">
      <w:r>
        <w:t>Zakon o Agenciji za odgoj i obrazovanje (Narodne novine, 85/06)</w:t>
      </w:r>
    </w:p>
    <w:p w:rsidR="00AC0832" w:rsidRDefault="00AC0832">
      <w:pPr>
        <w:pStyle w:val="Heading7"/>
      </w:pPr>
      <w:r>
        <w:t>Cilj 1. Strategija stručnog usavršavanja za razdoblje od 2009. do 2013. godine</w:t>
      </w:r>
    </w:p>
    <w:p w:rsidR="00AC0832" w:rsidRDefault="00AC0832">
      <w:pPr>
        <w:pStyle w:val="Heading8"/>
        <w:jc w:val="left"/>
      </w:pPr>
      <w:r>
        <w:t>Opis provedbe cilja programa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9"/>
        <w:gridCol w:w="1389"/>
        <w:gridCol w:w="1410"/>
        <w:gridCol w:w="1256"/>
        <w:gridCol w:w="1643"/>
        <w:gridCol w:w="1067"/>
        <w:gridCol w:w="113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odgojno-obrazovnih radnika uključenih u programe stručnog usavršavanja</w:t>
            </w:r>
          </w:p>
        </w:tc>
        <w:tc>
          <w:tcPr>
            <w:tcW w:w="1300" w:type="dxa"/>
          </w:tcPr>
          <w:p w:rsidR="00AC0832" w:rsidRDefault="00AC0832">
            <w:pPr>
              <w:pStyle w:val="CellColumn"/>
            </w:pPr>
            <w:r>
              <w:t>Broj odgojno-obrazovnih radnika uključenih u programe stručnog usavršavanja</w:t>
            </w:r>
          </w:p>
        </w:tc>
        <w:tc>
          <w:tcPr>
            <w:tcW w:w="1300" w:type="dxa"/>
          </w:tcPr>
          <w:p w:rsidR="00AC0832" w:rsidRDefault="00AC0832">
            <w:pPr>
              <w:pStyle w:val="CellColumn"/>
            </w:pPr>
            <w:r>
              <w:t>broj (kumulativno)</w:t>
            </w:r>
          </w:p>
        </w:tc>
        <w:tc>
          <w:tcPr>
            <w:tcW w:w="1300" w:type="dxa"/>
          </w:tcPr>
          <w:p w:rsidR="00AC0832" w:rsidRDefault="00AC0832">
            <w:pPr>
              <w:pStyle w:val="CellColumn"/>
            </w:pPr>
            <w:r>
              <w:t xml:space="preserve">22.000 </w:t>
            </w:r>
          </w:p>
          <w:p w:rsidR="00AC0832" w:rsidRDefault="00AC0832">
            <w:pPr>
              <w:pStyle w:val="CellColumn"/>
            </w:pPr>
            <w:r>
              <w:t xml:space="preserve"> (broj zabilježenih prijava u razdoblju 2007.-2011.)</w:t>
            </w:r>
          </w:p>
        </w:tc>
        <w:tc>
          <w:tcPr>
            <w:tcW w:w="1300" w:type="dxa"/>
          </w:tcPr>
          <w:p w:rsidR="00AC0832" w:rsidRDefault="00AC0832">
            <w:pPr>
              <w:pStyle w:val="CellColumn"/>
            </w:pPr>
            <w:r>
              <w:t xml:space="preserve">www.ettaedu.eu  </w:t>
            </w:r>
          </w:p>
          <w:p w:rsidR="00AC0832" w:rsidRDefault="00AC0832">
            <w:pPr>
              <w:pStyle w:val="CellColumn"/>
            </w:pPr>
            <w:r>
              <w:t>- alikacija za elektroničko praćenje stručnih skupova</w:t>
            </w:r>
          </w:p>
        </w:tc>
        <w:tc>
          <w:tcPr>
            <w:tcW w:w="1300" w:type="dxa"/>
          </w:tcPr>
          <w:p w:rsidR="00AC0832" w:rsidRDefault="00AC0832">
            <w:pPr>
              <w:pStyle w:val="CellColumn"/>
            </w:pPr>
            <w:r>
              <w:t>32.000</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A733027 STRUČNO USAVRŠAVANJE VODITELJA ŽUPANIJSKIH STRUČNIH VIJEĆA OSNOVNIH ŠKOLA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A733027-STRUČNO USAVRŠAVANJE VODITELJA ŽUPANIJSKIH STRUČNIH VIJEĆA OSNOVNIH ŠKOLA</w:t>
            </w:r>
          </w:p>
        </w:tc>
        <w:tc>
          <w:tcPr>
            <w:tcW w:w="2322" w:type="dxa"/>
          </w:tcPr>
          <w:p w:rsidR="00AC0832" w:rsidRDefault="00AC0832">
            <w:pPr>
              <w:pStyle w:val="CellColumn"/>
            </w:pPr>
            <w:r>
              <w:t>1.733.524</w:t>
            </w:r>
          </w:p>
        </w:tc>
        <w:tc>
          <w:tcPr>
            <w:tcW w:w="2322" w:type="dxa"/>
          </w:tcPr>
          <w:p w:rsidR="00AC0832" w:rsidRDefault="00AC0832">
            <w:pPr>
              <w:pStyle w:val="CellColumn"/>
            </w:pPr>
            <w:r>
              <w:t>1.722.302</w:t>
            </w:r>
          </w:p>
        </w:tc>
        <w:tc>
          <w:tcPr>
            <w:tcW w:w="2322" w:type="dxa"/>
          </w:tcPr>
          <w:p w:rsidR="00AC0832" w:rsidRDefault="00AC0832">
            <w:pPr>
              <w:pStyle w:val="CellColumn"/>
            </w:pPr>
            <w:r>
              <w:t>99,4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Agencija za odgoj i obrazovanje u suradnji s voditeljima županijskih stručnih vijeća tijekom 2012. godine organizirala je  3.516 stručnih skupova na županijskoj i međužupanijskoj razini. U 2012. imenovano je 1455 voditelja. </w:t>
      </w:r>
    </w:p>
    <w:p w:rsidR="00AC0832" w:rsidRDefault="00AC0832">
      <w:pPr>
        <w:pStyle w:val="Normal6"/>
      </w:pPr>
      <w:r>
        <w:t xml:space="preserve"> Ministarstvo znanosti, obrazovanja i sporta i Agencija za odgoj i obrazovanje osigurali  su sredstva za rad županijskih stručnih vijeća u 2012. godini. Sukladno Odluci o isplati sredstava za rad ŽSV-a osnovnim školama za školsku godinu 2011./2012.isplaćeno je 1.800,00 kn po stručnom vijeću. Sredstva su se koristila za pokrivanje troškova stručnog usavršavanja u organizaciji voditelja ŽSV-a. </w:t>
      </w:r>
    </w:p>
    <w:p w:rsidR="00AC0832" w:rsidRDefault="00AC0832">
      <w:pPr>
        <w:pStyle w:val="Normal6"/>
      </w:pPr>
      <w:r>
        <w:t xml:space="preserve"> Teme koje su  voditelji županijskih stručnih vijeća obrađivali  na svojim skupovima dogovorene su sa savjetnicima Agencije na razini nastavnog predmeta/područja. Svima su zajedničke smjernice teme bile vezane uz Nacionalni kurikulum (kurikulumski ciljevi, vrijednosti, načela; sadržaji i provedba), projekt Državne mature u srednjim školama, dječja prava i učenici s posebnim odgojno-obrazovnim potrebama i ostale teme usmjerene na razvoj profesionalnih kompetencija odgojno-obrazovnih radnika unutar nastavnog predmeta/područja ili interdisciplinarno. </w:t>
      </w:r>
    </w:p>
    <w:p w:rsidR="00AC0832" w:rsidRDefault="00AC0832">
      <w:pPr>
        <w:pStyle w:val="Normal6"/>
      </w:pPr>
      <w:r>
        <w:t xml:space="preserve">Osim organizacije i provedbe stručnog usavršavanja na lokalnoj razini, voditelji županijskih stručnih vijeća i savjetnici Agencije osiguravali su  stručnu i savjetodavnu pomoć učiteljima, nastavnicima, stručnim suradnicima i ravnateljima u osnovnim i srednjim školama. Voditelji županijskih stručnih vijeća su uz savjetnike Agencije, odgojitelje, učitelje, nastavnike i stručne suradnike koji su napredovali u zvanja mentora i savjetnika provodili stručno osposobljavanje i usavršavanje odgojitelja, učitelja, stručnih suradnika i ravnatelja u okviru primjene Nacionalnog kurikuluma u predškolskim ustanovama, osnovnim i srednjim školama tijekom školske godine 2011/2012.  </w:t>
      </w:r>
    </w:p>
    <w:p w:rsidR="00AC0832" w:rsidRDefault="00AC0832">
      <w:pPr>
        <w:pStyle w:val="Normal6"/>
      </w:pPr>
      <w:r>
        <w:t>Voditelji županijskih stručnih vijeća u 2012. održali su ukupno 3516 stručnih skupova na kojima je sudjelovalo 32 631 sudionika.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3"/>
        <w:gridCol w:w="1262"/>
        <w:gridCol w:w="1417"/>
        <w:gridCol w:w="1272"/>
        <w:gridCol w:w="1651"/>
        <w:gridCol w:w="1196"/>
        <w:gridCol w:w="122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Stručni skupovi u organizaciji VŽSV-a</w:t>
            </w:r>
          </w:p>
        </w:tc>
        <w:tc>
          <w:tcPr>
            <w:tcW w:w="1300" w:type="dxa"/>
          </w:tcPr>
          <w:p w:rsidR="00AC0832" w:rsidRDefault="00AC0832">
            <w:pPr>
              <w:pStyle w:val="CellColumn"/>
            </w:pPr>
            <w:r>
              <w:t>Stručni skupovi u organizaciji VŽSV-a</w:t>
            </w:r>
          </w:p>
        </w:tc>
        <w:tc>
          <w:tcPr>
            <w:tcW w:w="1300" w:type="dxa"/>
          </w:tcPr>
          <w:p w:rsidR="00AC0832" w:rsidRDefault="00AC0832">
            <w:pPr>
              <w:pStyle w:val="CellColumn"/>
            </w:pPr>
            <w:r>
              <w:t>broj (kumulativno)</w:t>
            </w:r>
          </w:p>
        </w:tc>
        <w:tc>
          <w:tcPr>
            <w:tcW w:w="1300" w:type="dxa"/>
          </w:tcPr>
          <w:p w:rsidR="00AC0832" w:rsidRDefault="00AC0832">
            <w:pPr>
              <w:pStyle w:val="CellColumn"/>
            </w:pPr>
            <w:r>
              <w:t>1355 (posljednje tromjesečje 2012.)</w:t>
            </w:r>
          </w:p>
        </w:tc>
        <w:tc>
          <w:tcPr>
            <w:tcW w:w="1300" w:type="dxa"/>
          </w:tcPr>
          <w:p w:rsidR="00AC0832" w:rsidRDefault="00AC0832">
            <w:pPr>
              <w:pStyle w:val="CellColumn"/>
            </w:pPr>
            <w:r>
              <w:t xml:space="preserve">www.ettaedu.eu  </w:t>
            </w:r>
          </w:p>
          <w:p w:rsidR="00AC0832" w:rsidRDefault="00AC0832">
            <w:pPr>
              <w:pStyle w:val="CellColumn"/>
            </w:pPr>
            <w:r>
              <w:t xml:space="preserve"> </w:t>
            </w:r>
          </w:p>
          <w:p w:rsidR="00AC0832" w:rsidRDefault="00AC0832">
            <w:pPr>
              <w:pStyle w:val="CellColumn"/>
            </w:pPr>
            <w:r>
              <w:t>- aplikacija za elektroničko praćenje stručnih skupova</w:t>
            </w:r>
          </w:p>
        </w:tc>
        <w:tc>
          <w:tcPr>
            <w:tcW w:w="1300" w:type="dxa"/>
          </w:tcPr>
          <w:p w:rsidR="00AC0832" w:rsidRDefault="00AC0832">
            <w:pPr>
              <w:pStyle w:val="CellColumn"/>
            </w:pPr>
            <w:r>
              <w:t>3000</w:t>
            </w:r>
          </w:p>
        </w:tc>
        <w:tc>
          <w:tcPr>
            <w:tcW w:w="1300" w:type="dxa"/>
          </w:tcPr>
          <w:p w:rsidR="00AC0832" w:rsidRDefault="00AC0832">
            <w:pPr>
              <w:pStyle w:val="CellColumn"/>
            </w:pPr>
            <w:r>
              <w:t>3 516</w:t>
            </w:r>
          </w:p>
        </w:tc>
      </w:tr>
    </w:tbl>
    <w:p w:rsidR="00AC0832" w:rsidRDefault="00AC0832">
      <w:pPr>
        <w:jc w:val="left"/>
      </w:pPr>
    </w:p>
    <w:p w:rsidR="00AC0832" w:rsidRDefault="00AC0832">
      <w:pPr>
        <w:pStyle w:val="Heading6"/>
      </w:pPr>
      <w:r>
        <w:t>A733032 IZVANNASTAVNE AKTIVNOSTI U OSNOVNIM I SREDNJIM ŠKOLAMA-NATJECANJE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A733032-IZVANNASTAVNE AKTIVNOSTI U OSNOVNIM I SREDNJIM ŠKOLAMA-NATJECANJE</w:t>
            </w:r>
          </w:p>
        </w:tc>
        <w:tc>
          <w:tcPr>
            <w:tcW w:w="2322" w:type="dxa"/>
          </w:tcPr>
          <w:p w:rsidR="00AC0832" w:rsidRDefault="00AC0832">
            <w:pPr>
              <w:pStyle w:val="CellColumn"/>
            </w:pPr>
            <w:r>
              <w:t>10.658.682</w:t>
            </w:r>
          </w:p>
        </w:tc>
        <w:tc>
          <w:tcPr>
            <w:tcW w:w="2322" w:type="dxa"/>
          </w:tcPr>
          <w:p w:rsidR="00AC0832" w:rsidRDefault="00AC0832">
            <w:pPr>
              <w:pStyle w:val="CellColumn"/>
            </w:pPr>
            <w:r>
              <w:t>10.226.970</w:t>
            </w:r>
          </w:p>
        </w:tc>
        <w:tc>
          <w:tcPr>
            <w:tcW w:w="2322" w:type="dxa"/>
          </w:tcPr>
          <w:p w:rsidR="00AC0832" w:rsidRDefault="00AC0832">
            <w:pPr>
              <w:pStyle w:val="CellColumn"/>
            </w:pPr>
            <w:r>
              <w:t>95,9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Agencija za odgoj i obrazovanje u 2012. je  organizirala, koordinirala i financijski pratila 34 natjecanja,  smotre i programa.  </w:t>
      </w:r>
    </w:p>
    <w:p w:rsidR="00AC0832" w:rsidRDefault="00AC0832">
      <w:pPr>
        <w:pStyle w:val="Normal6"/>
      </w:pPr>
      <w:r>
        <w:t xml:space="preserve">Natjecanja,  smotre i programi u 2012. godini provodili su se u (8) područja (jezično-umjetničko područje, prirodoslovno-matematičko područje, humanističko područje, tehničko područje, umjetničko područje, zdravstveno područje, ekološko područje i ostali programi) na školskoj, županijskoj i državnoj razini. Cilj im je bio  predstaviti rezultate rada, znanja, vještina, sposobnosti i kompetencija učenika i njihovih mentora na određenom području i, istodobno, poticati i motivirati na sudjelovanje te međusobno natjecanje učenikašto je prema različitim pokazateljima , rezultatima i postignuto.  </w:t>
      </w:r>
    </w:p>
    <w:p w:rsidR="00AC0832" w:rsidRDefault="00AC0832">
      <w:pPr>
        <w:pStyle w:val="Normal6"/>
      </w:pPr>
      <w:r>
        <w:t xml:space="preserve"> Natjecanjima su obuhvaćeni učenici osnovnih škola, gimnazija, umjetničkih škola i učenici strukovnih škola iz općeobrazovnih predmeta. Savjetnici Agencije za odgoj i obrazovanje bili su  uključeni u provedbu natjecanja, smotri i programa kao  tajnici državnih povjerenstava i,prema planu i programu pojedinih natjecanja, smotri i programa, aktivno su sudjelovali u organizaciji i provedbi navedenih aktivnosti, kao članovi povjerenstava  s posebnim naglaskom na pružanje različitih vrsta potpora tijekom pripreme i provedbe školskih, općinskih, gradskih i županijskih natjecanja i smotri. U cilju osiguranja što kvalitetnije organizacije i provedbe natjecanja i smotri nastavila se suradnja sa županijskim uredima zaduženim za obrazovanje u organizaciji natjecanja i smotri na školskim i županijskim razinama. </w:t>
      </w:r>
    </w:p>
    <w:p w:rsidR="00AC0832" w:rsidRDefault="00AC0832">
      <w:pPr>
        <w:pStyle w:val="Normal6"/>
      </w:pPr>
      <w:r>
        <w:t xml:space="preserve">Podaci  za natjecanja, smotre i programe  u 2012. </w:t>
      </w:r>
    </w:p>
    <w:p w:rsidR="00AC0832" w:rsidRDefault="00AC0832">
      <w:pPr>
        <w:pStyle w:val="Normal6"/>
      </w:pPr>
      <w:r>
        <w:t xml:space="preserve">Kategorije natjecanja, smotri   i programa  34 </w:t>
      </w:r>
    </w:p>
    <w:p w:rsidR="00AC0832" w:rsidRDefault="00AC0832">
      <w:pPr>
        <w:pStyle w:val="Normal6"/>
      </w:pPr>
      <w:r>
        <w:t xml:space="preserve">Broj učenika na državnoj razini </w:t>
      </w:r>
      <w:r>
        <w:tab/>
        <w:t xml:space="preserve">8008 </w:t>
      </w:r>
    </w:p>
    <w:p w:rsidR="00AC0832" w:rsidRDefault="00AC0832">
      <w:pPr>
        <w:pStyle w:val="Normal6"/>
      </w:pPr>
      <w:r>
        <w:t>Broj mentora na državnoj razini</w:t>
      </w:r>
      <w:r>
        <w:tab/>
        <w:t xml:space="preserve">2971 </w:t>
      </w:r>
    </w:p>
    <w:p w:rsidR="00AC0832" w:rsidRDefault="00AC0832">
      <w:pPr>
        <w:pStyle w:val="Normal6"/>
      </w:pPr>
      <w:r>
        <w:t>Državni prvaci (24 natjecanja)</w:t>
      </w:r>
      <w:r>
        <w:tab/>
        <w:t xml:space="preserve">192 </w:t>
      </w:r>
    </w:p>
    <w:p w:rsidR="00AC0832" w:rsidRDefault="00AC0832">
      <w:pPr>
        <w:pStyle w:val="Normal6"/>
      </w:pPr>
      <w:r>
        <w:t>Međunarodni  prvaci (14 natjecanja)</w:t>
      </w:r>
      <w:r>
        <w:tab/>
        <w:t>43</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9"/>
        <w:gridCol w:w="1339"/>
        <w:gridCol w:w="1417"/>
        <w:gridCol w:w="1271"/>
        <w:gridCol w:w="1372"/>
        <w:gridCol w:w="1271"/>
        <w:gridCol w:w="127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 broj učenika/ca uključenih u sustav natjecanja, smotri i programa na školskoj razini a koji će sudjelovati na državnim natjecanjima</w:t>
            </w:r>
          </w:p>
        </w:tc>
        <w:tc>
          <w:tcPr>
            <w:tcW w:w="1300" w:type="dxa"/>
          </w:tcPr>
          <w:p w:rsidR="00AC0832" w:rsidRDefault="00AC0832">
            <w:pPr>
              <w:pStyle w:val="CellColumn"/>
            </w:pPr>
            <w:r>
              <w:t>Povećan broj učenika/ca uključenih u sustav natjecanja, smotri i programa na školskoj razini  a koji će sudjelovati na državnim natjecanjima</w:t>
            </w:r>
          </w:p>
        </w:tc>
        <w:tc>
          <w:tcPr>
            <w:tcW w:w="1300" w:type="dxa"/>
          </w:tcPr>
          <w:p w:rsidR="00AC0832" w:rsidRDefault="00AC0832">
            <w:pPr>
              <w:pStyle w:val="CellColumn"/>
            </w:pPr>
            <w:r>
              <w:t>broj (kumulativno)</w:t>
            </w:r>
          </w:p>
        </w:tc>
        <w:tc>
          <w:tcPr>
            <w:tcW w:w="1300" w:type="dxa"/>
          </w:tcPr>
          <w:p w:rsidR="00AC0832" w:rsidRDefault="00AC0832">
            <w:pPr>
              <w:pStyle w:val="CellColumn"/>
            </w:pPr>
            <w:r>
              <w:t>130000</w:t>
            </w:r>
          </w:p>
        </w:tc>
        <w:tc>
          <w:tcPr>
            <w:tcW w:w="1300" w:type="dxa"/>
          </w:tcPr>
          <w:p w:rsidR="00AC0832" w:rsidRDefault="00AC0832">
            <w:pPr>
              <w:pStyle w:val="CellColumn"/>
            </w:pPr>
            <w:r>
              <w:t xml:space="preserve">www.azoo.hr  </w:t>
            </w:r>
          </w:p>
          <w:p w:rsidR="00AC0832" w:rsidRDefault="00AC0832">
            <w:pPr>
              <w:pStyle w:val="CellColumn"/>
            </w:pPr>
            <w:r>
              <w:t xml:space="preserve"> </w:t>
            </w:r>
          </w:p>
          <w:p w:rsidR="00AC0832" w:rsidRDefault="00AC0832">
            <w:pPr>
              <w:pStyle w:val="CellColumn"/>
            </w:pPr>
            <w:r>
              <w:t>- katalog natjecanja i smotri AZOO</w:t>
            </w:r>
          </w:p>
        </w:tc>
        <w:tc>
          <w:tcPr>
            <w:tcW w:w="1300" w:type="dxa"/>
          </w:tcPr>
          <w:p w:rsidR="00AC0832" w:rsidRDefault="00AC0832">
            <w:pPr>
              <w:pStyle w:val="CellColumn"/>
            </w:pPr>
            <w:r>
              <w:t>135000</w:t>
            </w:r>
          </w:p>
        </w:tc>
        <w:tc>
          <w:tcPr>
            <w:tcW w:w="1300" w:type="dxa"/>
          </w:tcPr>
          <w:p w:rsidR="00AC0832" w:rsidRDefault="00AC0832">
            <w:pPr>
              <w:pStyle w:val="CellColumn"/>
            </w:pPr>
            <w:r>
              <w:t>136480</w:t>
            </w:r>
          </w:p>
        </w:tc>
      </w:tr>
    </w:tbl>
    <w:p w:rsidR="00AC0832" w:rsidRDefault="00AC0832">
      <w:pPr>
        <w:jc w:val="left"/>
      </w:pPr>
    </w:p>
    <w:p w:rsidR="00AC0832" w:rsidRDefault="00AC0832">
      <w:pPr>
        <w:pStyle w:val="Heading6"/>
      </w:pPr>
      <w:r>
        <w:t>A767022 STRUČNO USAVRŠAVANJE ODGOJNO-OBRAZOVNIH DJELATNIKA U SUSTAVU OSNOVNOG I SREDNJEG ŠKOLSTVA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A767022-STRUČNO USAVRŠAVANJE ODGOJNO-OBRAZOVNIH DJELATNIKA U SUSTAVU OSNOVNOG I SREDNJEG ŠKOLSTVA</w:t>
            </w:r>
          </w:p>
        </w:tc>
        <w:tc>
          <w:tcPr>
            <w:tcW w:w="2322" w:type="dxa"/>
          </w:tcPr>
          <w:p w:rsidR="00AC0832" w:rsidRDefault="00AC0832">
            <w:pPr>
              <w:pStyle w:val="CellColumn"/>
            </w:pPr>
            <w:r>
              <w:t>4.343.685</w:t>
            </w:r>
          </w:p>
        </w:tc>
        <w:tc>
          <w:tcPr>
            <w:tcW w:w="2322" w:type="dxa"/>
          </w:tcPr>
          <w:p w:rsidR="00AC0832" w:rsidRDefault="00AC0832">
            <w:pPr>
              <w:pStyle w:val="CellColumn"/>
            </w:pPr>
            <w:r>
              <w:t>4.154.792</w:t>
            </w:r>
          </w:p>
        </w:tc>
        <w:tc>
          <w:tcPr>
            <w:tcW w:w="2322" w:type="dxa"/>
          </w:tcPr>
          <w:p w:rsidR="00AC0832" w:rsidRDefault="00AC0832">
            <w:pPr>
              <w:pStyle w:val="CellColumn"/>
            </w:pPr>
            <w:r>
              <w:t>95,7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Organizacija i provedba stručnog usavršavanja za 66 500 odgojno-obrazovnih radnika (odgojitelja, učitelja/nastavnika, stručnih suradnika i ravnatelja) te podizanje razine njihovih generičkih i profesionalnih kompetencija za rad u predškolskim, osnovnoškolskim i srednjoškolskim ustanovama temeljna je zadaća Agencije za odgoj i obrazovanje.  </w:t>
      </w:r>
    </w:p>
    <w:p w:rsidR="00AC0832" w:rsidRDefault="00AC0832">
      <w:pPr>
        <w:pStyle w:val="Normal6"/>
      </w:pPr>
      <w:r>
        <w:t xml:space="preserve">U aplikaciji za elektroničko prijavljivanje www.ettaedu.eu  registrirano je 60 337 odgojno-obrazovnih radnika. 101 viši savjetnik Agencije i 1455 voditelja županijskih stručnih vijeća (VŽSV-a) organiziralo je stručna usavršavanja koja su sva financirana sredstvima Državnog proračuna. </w:t>
      </w:r>
    </w:p>
    <w:p w:rsidR="00AC0832" w:rsidRDefault="00AC0832">
      <w:pPr>
        <w:pStyle w:val="Normal6"/>
      </w:pPr>
      <w:r>
        <w:t xml:space="preserve"> Sva stručna usavršavanja za odgojno-obrazovne radnike u 2012. godini bila su usmjerena na teme: vrednovanje i nacionalni ispiti, nacionalni i školski kurikulum, kompetencije prema Nacionalnom okvirnom kurikulumu. Nastavnici, stručni suradnici i ravnatelji u srednjim školama u okviru stručnog usavršavanja pripremani su za provedbu Državne mature. Realizirani su  svi predviđeni projekti: Festival znanja, koji tradicionalno organiziraju Sveučilišta iz Osijeka, Rijeke, Splita i Zagreba, Društvo matematičara i fizičara Rijeka, Britanski savjet (British Council) i Tehnički muzej iz Zagreba; projekt u suradnji s Hrvatskom akademskom i istraživačkom mrežom CARNet: CARNetov portaL za škole, Net u školi, Obrazovanje za novo doba, Informacijsko-komunikacijska tehnologija u obrazovanju (ICT Edu). Nositelji edukacije bili su Ministarstvo znanosti, obrazovanja i sporta, CARNet-Hrvatska akademska i istraživačka mreža i Agencija za odgoj i obrazovanje.  </w:t>
      </w:r>
    </w:p>
    <w:p w:rsidR="00AC0832" w:rsidRDefault="00AC0832">
      <w:pPr>
        <w:pStyle w:val="Normal6"/>
      </w:pPr>
      <w:r>
        <w:t xml:space="preserve">Realizirano je 77 stručnih skupova za učiteljska i nastavnička vijeća u odgojno-obrazovnim ustanovama s više od  20 različitih općeobrazovnih tema. Preventivnim programima obuhvaćeno je stručno usavršavanje o temama: Prevencija depresije i suicidalnih ponašanja djece i mladih za stručne suradnike pedagoge, psihologe i odgajatelje, Depresija i suicidalno ponašanje djece i mladih, Prevencija nasilja u mladenačkim vezama, Navike i obilježja kockanja i sportskog klađenja adolescenata u urbanim sredinama, Uloga odgojno-obrazovnih ustanova u promoviranju zdravih stilova života i spolno-odgovornog ponašanja, Sport i nasilje u Europi, Uloga odgojno-obrazovnih ustanova u prevenciji rizičnih oblika ponašanja. Uspješno je realiziran projekt Modularnog stručno usavršavanje učitelja razredne nastave u Gradu Zagrebu u koji je uključeno 2000 učitelja u 39 modula.  </w:t>
      </w:r>
    </w:p>
    <w:p w:rsidR="00AC0832" w:rsidRDefault="00AC0832">
      <w:pPr>
        <w:pStyle w:val="Normal6"/>
      </w:pPr>
      <w:r>
        <w:t xml:space="preserve">Aktivnosti vezane za unapređivanje odgoja i obrazovanja učenika pripadnika nacionalnih manjina i zajednica koje se školuju u Republici Hrvatskoj provodio se u suradnji s Upravom za nacionalne manjine Ministarstva znanosti, obrazovanja i sporta.   </w:t>
      </w:r>
    </w:p>
    <w:p w:rsidR="00AC0832" w:rsidRDefault="00AC0832">
      <w:pPr>
        <w:pStyle w:val="Normal6"/>
      </w:pPr>
      <w:r>
        <w:t>Stručnim usavršavanjem ravnatelja stvaraju se pretpostavke za njihovo učinkovito upravljanje i rukovođenje u odgojno-obrazovnim ustanovama, kroz modularno stručno usavršavanje (10 modula). Agencija je u suradnji s British Councilom nastavila suradnju provođenjem projekta Školski laboratorij slave za nastavnike biologije i kemije koje se stručno usavršavalo o kreativnom pristupu učenju i prezentaciji prirodoslovnih znanstvenih tema prilagođenih dobi učenika kojim se popularizira znanost. Realiziran je projekt koji je dio Akcijskog plana za prevenciju i smanjenje prekomjerne tjelesne težine u razdoblju do 2012. godine Vlade Republike Hrvatske: Istraživanje o prehrambenim navikama adolescenata. Održano je više od 40 državnih stručnih skupova za različite ciljane skupine (učitelje i nastavnike matematike, fizike, hrvatskoga jezika, razredne nastave itd.</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9"/>
        <w:gridCol w:w="1389"/>
        <w:gridCol w:w="1410"/>
        <w:gridCol w:w="1256"/>
        <w:gridCol w:w="1643"/>
        <w:gridCol w:w="1067"/>
        <w:gridCol w:w="113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Stručni skupovi u organizaciji viših savjetnika AZOO.</w:t>
            </w:r>
          </w:p>
        </w:tc>
        <w:tc>
          <w:tcPr>
            <w:tcW w:w="1300" w:type="dxa"/>
          </w:tcPr>
          <w:p w:rsidR="00AC0832" w:rsidRDefault="00AC0832">
            <w:pPr>
              <w:pStyle w:val="CellColumn"/>
            </w:pPr>
            <w:r>
              <w:t>Stručni skupovi u organizaciji viših savjetnika AZOO.</w:t>
            </w:r>
          </w:p>
        </w:tc>
        <w:tc>
          <w:tcPr>
            <w:tcW w:w="1300" w:type="dxa"/>
          </w:tcPr>
          <w:p w:rsidR="00AC0832" w:rsidRDefault="00AC0832">
            <w:pPr>
              <w:pStyle w:val="CellColumn"/>
            </w:pPr>
            <w:r>
              <w:t>broj (kumulativno)</w:t>
            </w:r>
          </w:p>
        </w:tc>
        <w:tc>
          <w:tcPr>
            <w:tcW w:w="1300" w:type="dxa"/>
          </w:tcPr>
          <w:p w:rsidR="00AC0832" w:rsidRDefault="00AC0832">
            <w:pPr>
              <w:pStyle w:val="CellColumn"/>
            </w:pPr>
            <w:r>
              <w:t>871</w:t>
            </w:r>
          </w:p>
        </w:tc>
        <w:tc>
          <w:tcPr>
            <w:tcW w:w="1300" w:type="dxa"/>
          </w:tcPr>
          <w:p w:rsidR="00AC0832" w:rsidRDefault="00AC0832">
            <w:pPr>
              <w:pStyle w:val="CellColumn"/>
            </w:pPr>
            <w:r>
              <w:t xml:space="preserve">www.ettaedu.eu  </w:t>
            </w:r>
          </w:p>
          <w:p w:rsidR="00AC0832" w:rsidRDefault="00AC0832">
            <w:pPr>
              <w:pStyle w:val="CellColumn"/>
            </w:pPr>
            <w:r>
              <w:t xml:space="preserve"> </w:t>
            </w:r>
          </w:p>
          <w:p w:rsidR="00AC0832" w:rsidRDefault="00AC0832">
            <w:pPr>
              <w:pStyle w:val="CellColumn"/>
            </w:pPr>
            <w:r>
              <w:t>- aplikacija za elektroničko praćenje stručnih skupova</w:t>
            </w:r>
          </w:p>
        </w:tc>
        <w:tc>
          <w:tcPr>
            <w:tcW w:w="1300" w:type="dxa"/>
          </w:tcPr>
          <w:p w:rsidR="00AC0832" w:rsidRDefault="00AC0832">
            <w:pPr>
              <w:pStyle w:val="CellColumn"/>
            </w:pPr>
            <w:r>
              <w:t>900</w:t>
            </w:r>
          </w:p>
        </w:tc>
        <w:tc>
          <w:tcPr>
            <w:tcW w:w="1300" w:type="dxa"/>
          </w:tcPr>
          <w:p w:rsidR="00AC0832" w:rsidRDefault="00AC0832">
            <w:pPr>
              <w:pStyle w:val="CellColumn"/>
            </w:pPr>
            <w:r>
              <w:t>1020</w:t>
            </w:r>
          </w:p>
        </w:tc>
      </w:tr>
      <w:tr w:rsidR="00AC0832" w:rsidTr="00BE20ED">
        <w:trPr>
          <w:jc w:val="center"/>
        </w:trPr>
        <w:tc>
          <w:tcPr>
            <w:tcW w:w="1300" w:type="dxa"/>
          </w:tcPr>
          <w:p w:rsidR="00AC0832" w:rsidRDefault="00AC0832">
            <w:pPr>
              <w:pStyle w:val="CellColumn"/>
            </w:pPr>
            <w:r>
              <w:t>Povećanje broja odgojno-obrazovnih radnika uključenih u programe stručnog usavršavanja</w:t>
            </w:r>
          </w:p>
        </w:tc>
        <w:tc>
          <w:tcPr>
            <w:tcW w:w="1300" w:type="dxa"/>
          </w:tcPr>
          <w:p w:rsidR="00AC0832" w:rsidRDefault="00AC0832">
            <w:pPr>
              <w:pStyle w:val="CellColumn"/>
            </w:pPr>
            <w:r>
              <w:t>Broj odgojno-obrazovnih radnika uključenih u programe stručnog usavršavanja</w:t>
            </w:r>
          </w:p>
        </w:tc>
        <w:tc>
          <w:tcPr>
            <w:tcW w:w="1300" w:type="dxa"/>
          </w:tcPr>
          <w:p w:rsidR="00AC0832" w:rsidRDefault="00AC0832">
            <w:pPr>
              <w:pStyle w:val="CellColumn"/>
            </w:pPr>
            <w:r>
              <w:t>broj (kumulativno)</w:t>
            </w:r>
          </w:p>
        </w:tc>
        <w:tc>
          <w:tcPr>
            <w:tcW w:w="1300" w:type="dxa"/>
          </w:tcPr>
          <w:p w:rsidR="00AC0832" w:rsidRDefault="00AC0832">
            <w:pPr>
              <w:pStyle w:val="CellColumn"/>
            </w:pPr>
            <w:r>
              <w:t xml:space="preserve">22.000 </w:t>
            </w:r>
          </w:p>
          <w:p w:rsidR="00AC0832" w:rsidRDefault="00AC0832">
            <w:pPr>
              <w:pStyle w:val="CellColumn"/>
            </w:pPr>
            <w:r>
              <w:t xml:space="preserve"> (broj zabilježenih prijava u razdoblju 2007.-2011.)</w:t>
            </w:r>
          </w:p>
        </w:tc>
        <w:tc>
          <w:tcPr>
            <w:tcW w:w="1300" w:type="dxa"/>
          </w:tcPr>
          <w:p w:rsidR="00AC0832" w:rsidRDefault="00AC0832">
            <w:pPr>
              <w:pStyle w:val="CellColumn"/>
            </w:pPr>
            <w:r>
              <w:t xml:space="preserve">www.ettaedu.eu  </w:t>
            </w:r>
          </w:p>
          <w:p w:rsidR="00AC0832" w:rsidRDefault="00AC0832">
            <w:pPr>
              <w:pStyle w:val="CellColumn"/>
            </w:pPr>
            <w:r>
              <w:t xml:space="preserve"> </w:t>
            </w:r>
          </w:p>
          <w:p w:rsidR="00AC0832" w:rsidRDefault="00AC0832">
            <w:pPr>
              <w:pStyle w:val="CellColumn"/>
            </w:pPr>
            <w:r>
              <w:t>- aplikacija za elektroničko praćenje stručnih skupova</w:t>
            </w:r>
          </w:p>
        </w:tc>
        <w:tc>
          <w:tcPr>
            <w:tcW w:w="1300" w:type="dxa"/>
          </w:tcPr>
          <w:p w:rsidR="00AC0832" w:rsidRDefault="00AC0832">
            <w:pPr>
              <w:pStyle w:val="CellColumn"/>
            </w:pPr>
            <w:r>
              <w:t>25 000 sudionika</w:t>
            </w:r>
          </w:p>
        </w:tc>
        <w:tc>
          <w:tcPr>
            <w:tcW w:w="1300" w:type="dxa"/>
          </w:tcPr>
          <w:p w:rsidR="00AC0832" w:rsidRDefault="00AC0832">
            <w:pPr>
              <w:pStyle w:val="CellColumn"/>
            </w:pPr>
            <w:r>
              <w:t>26319</w:t>
            </w:r>
          </w:p>
        </w:tc>
      </w:tr>
    </w:tbl>
    <w:p w:rsidR="00AC0832" w:rsidRDefault="00AC0832">
      <w:pPr>
        <w:jc w:val="left"/>
      </w:pPr>
    </w:p>
    <w:p w:rsidR="00AC0832" w:rsidRDefault="00AC0832">
      <w:pPr>
        <w:pStyle w:val="Heading3"/>
      </w:pPr>
      <w:r>
        <w:t>38487 Agencija za znanost i visoko obrazovanje</w:t>
      </w:r>
    </w:p>
    <w:p w:rsidR="00AC0832" w:rsidRDefault="00AC0832">
      <w:pPr>
        <w:pStyle w:val="Heading4"/>
      </w:pPr>
      <w:r>
        <w:t>Uvod</w:t>
      </w:r>
    </w:p>
    <w:p w:rsidR="00AC0832" w:rsidRDefault="00AC0832">
      <w:pPr>
        <w:pStyle w:val="Normal5"/>
      </w:pPr>
      <w:r>
        <w:t xml:space="preserve">Najznačajnije aktivnosti i zadaci Agencije za znanost i visoko obrazovanje su sljedeći: </w:t>
      </w:r>
    </w:p>
    <w:p w:rsidR="00AC0832" w:rsidRDefault="00AC0832">
      <w:pPr>
        <w:pStyle w:val="Normal5"/>
      </w:pPr>
      <w:r>
        <w:t>sudjelovanje u postupku inicijalne akreditacije;sudjelovanje u postupku reakreditacije; provođenje postupka tematskog vrednovanja;provođenje postupka vanjske neovisne periodične prosudbe unutarnjih sustava osiguravanja i unaprjeđivanja kvalitete (audit); prikupljanje i obrađivanje podataka o sustavu znanosti i visokog obrazovanja u svrhu pružanja relevantnih informacija, statističkih pokazatelja i analiza koje su potrebne kao polazišta za utvrđivanje standarda, kriterija i donošenje ocjena u svim postupcima vrednovanja koje provodi Agencija, te relevantnih informacija o stanju i učinkovitosti cjelokupnog sustava znanosti i visokog obrazovanja; pružanje informacija o uvjetima upisa na visoka učilišta u Republici Hrvatskoj i objedinjavanje podataka o ispunjavanju uvjeta za upis pristupnika na visoka učilišta temeljem kojih visoka učilišta vrše upis na studijske programe.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38487-Agencija za znanost i visoko obrazovanje</w:t>
            </w:r>
          </w:p>
        </w:tc>
        <w:tc>
          <w:tcPr>
            <w:tcW w:w="2322" w:type="dxa"/>
          </w:tcPr>
          <w:p w:rsidR="00AC0832" w:rsidRDefault="00AC0832">
            <w:pPr>
              <w:pStyle w:val="CellColumn"/>
            </w:pPr>
            <w:r>
              <w:t>21.264.575</w:t>
            </w:r>
          </w:p>
        </w:tc>
        <w:tc>
          <w:tcPr>
            <w:tcW w:w="2322" w:type="dxa"/>
          </w:tcPr>
          <w:p w:rsidR="00AC0832" w:rsidRDefault="00AC0832">
            <w:pPr>
              <w:pStyle w:val="CellColumn"/>
            </w:pPr>
            <w:r>
              <w:t>21.065.599</w:t>
            </w:r>
          </w:p>
        </w:tc>
        <w:tc>
          <w:tcPr>
            <w:tcW w:w="2322" w:type="dxa"/>
          </w:tcPr>
          <w:p w:rsidR="00AC0832" w:rsidRDefault="00AC0832">
            <w:pPr>
              <w:pStyle w:val="CellColumn"/>
            </w:pPr>
            <w:r>
              <w:t>99,1</w:t>
            </w:r>
          </w:p>
        </w:tc>
      </w:tr>
      <w:tr w:rsidR="00AC0832" w:rsidTr="00BE20ED">
        <w:trPr>
          <w:jc w:val="center"/>
        </w:trPr>
        <w:tc>
          <w:tcPr>
            <w:tcW w:w="2322" w:type="dxa"/>
          </w:tcPr>
          <w:p w:rsidR="00AC0832" w:rsidRDefault="00AC0832">
            <w:pPr>
              <w:pStyle w:val="CellColumnSmall"/>
            </w:pPr>
            <w:r>
              <w:t>3705-VISOKO OBRAZOVANJE</w:t>
            </w:r>
          </w:p>
        </w:tc>
        <w:tc>
          <w:tcPr>
            <w:tcW w:w="2322" w:type="dxa"/>
          </w:tcPr>
          <w:p w:rsidR="00AC0832" w:rsidRDefault="00AC0832">
            <w:pPr>
              <w:pStyle w:val="CellColumnSmall"/>
            </w:pPr>
            <w:r>
              <w:t>21.264.575</w:t>
            </w:r>
          </w:p>
        </w:tc>
        <w:tc>
          <w:tcPr>
            <w:tcW w:w="2322" w:type="dxa"/>
          </w:tcPr>
          <w:p w:rsidR="00AC0832" w:rsidRDefault="00AC0832">
            <w:pPr>
              <w:pStyle w:val="CellColumnSmall"/>
            </w:pPr>
            <w:r>
              <w:t>21.065.599</w:t>
            </w:r>
          </w:p>
        </w:tc>
        <w:tc>
          <w:tcPr>
            <w:tcW w:w="2322" w:type="dxa"/>
          </w:tcPr>
          <w:p w:rsidR="00AC0832" w:rsidRDefault="00AC0832">
            <w:pPr>
              <w:pStyle w:val="CellColumnSmall"/>
            </w:pPr>
            <w:r>
              <w:t>99,1</w:t>
            </w:r>
          </w:p>
        </w:tc>
      </w:tr>
    </w:tbl>
    <w:p w:rsidR="00AC0832" w:rsidRDefault="00AC0832">
      <w:pPr>
        <w:jc w:val="left"/>
      </w:pPr>
    </w:p>
    <w:p w:rsidR="00AC0832" w:rsidRDefault="00AC0832">
      <w:pPr>
        <w:pStyle w:val="Heading4"/>
      </w:pPr>
      <w:r>
        <w:t>OBRAZLOŽENJE PROGRAMA</w:t>
      </w:r>
    </w:p>
    <w:p w:rsidR="00AC0832" w:rsidRDefault="00AC0832">
      <w:pPr>
        <w:pStyle w:val="Heading5"/>
      </w:pPr>
      <w:r>
        <w:t>3705 VISOKO OBRAZOVANJE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3705-VISOKO OBRAZOVANJE</w:t>
            </w:r>
          </w:p>
        </w:tc>
        <w:tc>
          <w:tcPr>
            <w:tcW w:w="2322" w:type="dxa"/>
          </w:tcPr>
          <w:p w:rsidR="00AC0832" w:rsidRDefault="00AC0832">
            <w:pPr>
              <w:pStyle w:val="CellColumn"/>
            </w:pPr>
            <w:r>
              <w:t>21.264.575</w:t>
            </w:r>
          </w:p>
        </w:tc>
        <w:tc>
          <w:tcPr>
            <w:tcW w:w="2322" w:type="dxa"/>
          </w:tcPr>
          <w:p w:rsidR="00AC0832" w:rsidRDefault="00AC0832">
            <w:pPr>
              <w:pStyle w:val="CellColumn"/>
            </w:pPr>
            <w:r>
              <w:t>21.065.599</w:t>
            </w:r>
          </w:p>
        </w:tc>
        <w:tc>
          <w:tcPr>
            <w:tcW w:w="2322" w:type="dxa"/>
          </w:tcPr>
          <w:p w:rsidR="00AC0832" w:rsidRDefault="00AC0832">
            <w:pPr>
              <w:pStyle w:val="CellColumn"/>
            </w:pPr>
            <w:r>
              <w:t>99,1</w:t>
            </w:r>
          </w:p>
        </w:tc>
      </w:tr>
    </w:tbl>
    <w:p w:rsidR="00AC0832" w:rsidRDefault="00AC0832">
      <w:pPr>
        <w:jc w:val="left"/>
      </w:pPr>
    </w:p>
    <w:p w:rsidR="00AC0832" w:rsidRDefault="00AC0832">
      <w:pPr>
        <w:pStyle w:val="Heading6"/>
      </w:pPr>
      <w:r>
        <w:t>Opis programa</w:t>
      </w:r>
    </w:p>
    <w:p w:rsidR="00AC0832" w:rsidRDefault="00AC0832">
      <w:r>
        <w:t>Ovim programom će se omogućiti planirano unaprjeđenje procesa razvoja studijskih programa, osnivanja visokih učilišta i znanstvenih organizacija, poboljšanje kvalitete nastavnog osoblja i njihovih kompetencija, procesa nastave, znanstvene djelatnosti i stručnih usluga te praćenje tržišta rada radi poboljšanja mogućnosti zapošljavanja završenih studenata i poticanja međunarodne suradnje koja utječe na gospodarski razvoj, kao neophodan način ostvarenja općeg cilja Vlade RH u poticanju znanja, izvrsnosti i kulture kao i posebnog cilja u održivosti kvalitete obrazovnog sustava u RH.</w:t>
      </w:r>
    </w:p>
    <w:p w:rsidR="00AC0832" w:rsidRDefault="00AC0832">
      <w:pPr>
        <w:pStyle w:val="Heading6"/>
      </w:pPr>
      <w:r>
        <w:t>Zakonske i druge pravne osnove</w:t>
      </w:r>
    </w:p>
    <w:p w:rsidR="00AC0832" w:rsidRDefault="00AC0832">
      <w:r>
        <w:t xml:space="preserve">Zakon o osiguravanju kvalitete u znanosti i visokom obrazovanju (NN, broj 45/09), </w:t>
      </w:r>
    </w:p>
    <w:p w:rsidR="00AC0832" w:rsidRDefault="00AC0832">
      <w:r>
        <w:t xml:space="preserve">Zakon o znanstvenoj djelatnosti i visokom obrazovanju (NN, broj 123/03, 198/03, 105/04, 174/04, 2/07-Odluka USRH i 46/07), </w:t>
      </w:r>
    </w:p>
    <w:p w:rsidR="00AC0832" w:rsidRDefault="00AC0832">
      <w:r>
        <w:t xml:space="preserve">Zakon o priznavanju inozemnih obrazovnih kvalifikacija (NN, broj 158/03, 198/03 , 138/06 , 124/09 i 45/11), </w:t>
      </w:r>
    </w:p>
    <w:p w:rsidR="00AC0832" w:rsidRDefault="00AC0832">
      <w:r>
        <w:t xml:space="preserve">Pravilnik o sadržaju dopusnice te uvjetima za izdavanje dopusnice za obavljanje djelatnosti visokog obrazovanja, izvođenje studijskog programa i reakreditaciju visokih učilišta  (NN, broj 24/2010), </w:t>
      </w:r>
    </w:p>
    <w:p w:rsidR="00AC0832" w:rsidRDefault="00AC0832">
      <w:r>
        <w:t>Pravilnik o uvjetima za izdavanje dopusnice za obavljanje znanstvene djelatnosti, uvjetima za reakreditaciju znanstvenih organizacija i sadržaju dopusnice (NN, broj 83/2010)</w:t>
      </w:r>
    </w:p>
    <w:p w:rsidR="00AC0832" w:rsidRDefault="00AC0832">
      <w:pPr>
        <w:pStyle w:val="Heading7"/>
      </w:pPr>
      <w:r>
        <w:t>Cilj 1. Povećanje kvalitete visokih učilišta u RH</w:t>
      </w:r>
    </w:p>
    <w:p w:rsidR="00AC0832" w:rsidRDefault="00AC0832">
      <w:pPr>
        <w:pStyle w:val="Heading8"/>
        <w:jc w:val="left"/>
      </w:pPr>
      <w:r>
        <w:t>Opis provedbe cilja programa</w:t>
      </w:r>
    </w:p>
    <w:p w:rsidR="00AC0832" w:rsidRDefault="00AC0832">
      <w:pPr>
        <w:pStyle w:val="Normal6"/>
      </w:pPr>
      <w:r>
        <w:t xml:space="preserve">Svim postupcima vrednovanja visokih učilišta cilj je povećati racionalnost javnog financiranja, a time i njihovu učinkovitost. Postupak reakreditacije usmjeren je na detektiranje visokih učilišta koja ne zadovoljavaju niti minimalne kriterije kvalitete i kojima će se uskratiti dopusnica, a samim tim, za javna učilišta i financiranje iz državnog proračuna. Reakreditacija rezultira i ocjenom kvalitete koja može utjecati na javno financiranje, odnosno nagraditi izvrsnost. Inicijalnom akreditacijom sprječava se osnivanje novih visokih učilišta i studijskih programa koji ne zadovoljavaju minimalne uvjete kvalitete. </w:t>
      </w:r>
    </w:p>
    <w:p w:rsidR="00AC0832" w:rsidRDefault="00AC0832">
      <w:pPr>
        <w:pStyle w:val="Normal6"/>
      </w:pPr>
      <w:r>
        <w:t>Rad Nacionalnog vijeća za visoko obrazovanje (NVVO) i Vijeća veleučilišta i visokih škola (VVVIŠ) doprinijet će ostvarenju ovoga cilja i omogućiti promišljenije raspolaganje resursima u sustavu visokoga obrazovanja. Nacionalno vijeće za visoko obrazovanje donošenjem strateških odluka i preporuka (primjerice strateškog dokumenta mreže visokih učilišta i studijskih programa) potiče razvoj i unaprjeđenje cjelokupnog sustava visokog obrazovanja Republike Hrvatske. Vijeće veleučilišta i visokih škola povezivanjem članica iz sustava veleučilišta i visokih škola potiče razvoj stručnih studija koji bi trebali biti temelj gospodarskog razvoja Republike Hrvatske.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4"/>
        <w:gridCol w:w="1762"/>
        <w:gridCol w:w="1083"/>
        <w:gridCol w:w="1143"/>
        <w:gridCol w:w="1121"/>
        <w:gridCol w:w="1506"/>
        <w:gridCol w:w="118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visokih učilišta koja su usklađena sa Europskim standardima i smjernicama i ostalim EU standardima</w:t>
            </w:r>
          </w:p>
        </w:tc>
        <w:tc>
          <w:tcPr>
            <w:tcW w:w="1300" w:type="dxa"/>
          </w:tcPr>
          <w:p w:rsidR="00AC0832" w:rsidRDefault="00AC0832">
            <w:pPr>
              <w:pStyle w:val="CellColumn"/>
            </w:pPr>
            <w:r>
              <w:t xml:space="preserve">Usklađivanje svih visokih učilišta sa EU standardima dovodi do ostvarenja uspješne integracije sustava visokog obrazovanja RH u Europski </w:t>
            </w:r>
          </w:p>
          <w:p w:rsidR="00AC0832" w:rsidRDefault="00AC0832">
            <w:pPr>
              <w:pStyle w:val="CellColumn"/>
            </w:pPr>
            <w:r>
              <w:t xml:space="preserve"> visokoobrazovani sustav</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AZVO</w:t>
            </w:r>
          </w:p>
        </w:tc>
        <w:tc>
          <w:tcPr>
            <w:tcW w:w="1300" w:type="dxa"/>
          </w:tcPr>
          <w:p w:rsidR="00AC0832" w:rsidRDefault="00AC0832">
            <w:pPr>
              <w:pStyle w:val="CellColumn"/>
            </w:pPr>
            <w:r>
              <w:t>50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Broj reakreditiranih visokih učilišta</w:t>
            </w:r>
          </w:p>
        </w:tc>
        <w:tc>
          <w:tcPr>
            <w:tcW w:w="1300" w:type="dxa"/>
          </w:tcPr>
          <w:p w:rsidR="00AC0832" w:rsidRDefault="00AC0832">
            <w:pPr>
              <w:pStyle w:val="CellColumn"/>
            </w:pPr>
            <w:r>
              <w:t>Povećanjem broja reakreditiranih visokih učilišta smanjuje se broj nekvalitetnih studijskih programa i visokih učilišta</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AZVO</w:t>
            </w:r>
          </w:p>
        </w:tc>
        <w:tc>
          <w:tcPr>
            <w:tcW w:w="1300" w:type="dxa"/>
          </w:tcPr>
          <w:p w:rsidR="00AC0832" w:rsidRDefault="00AC0832">
            <w:pPr>
              <w:pStyle w:val="CellColumn"/>
            </w:pPr>
            <w:r>
              <w:t>50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Postotak provedenih postupaka inicijalne akreditacije u odnosu na broj zahtjeva</w:t>
            </w:r>
          </w:p>
        </w:tc>
        <w:tc>
          <w:tcPr>
            <w:tcW w:w="1300" w:type="dxa"/>
          </w:tcPr>
          <w:p w:rsidR="00AC0832" w:rsidRDefault="00AC0832">
            <w:pPr>
              <w:pStyle w:val="CellColumn"/>
            </w:pPr>
            <w:r>
              <w:t>Provođenjem inicijalne akreditacije svih zaprimljenih zahtjeva spriječava se financiranje nekvalitetnih studijskih programa</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AZVO</w:t>
            </w:r>
          </w:p>
        </w:tc>
        <w:tc>
          <w:tcPr>
            <w:tcW w:w="1300" w:type="dxa"/>
          </w:tcPr>
          <w:p w:rsidR="00AC0832" w:rsidRDefault="00AC0832">
            <w:pPr>
              <w:pStyle w:val="CellColumn"/>
            </w:pPr>
            <w:r>
              <w:t>50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Broj usvojenih preporuka, odluka i dokumenata</w:t>
            </w:r>
          </w:p>
        </w:tc>
        <w:tc>
          <w:tcPr>
            <w:tcW w:w="1300" w:type="dxa"/>
          </w:tcPr>
          <w:p w:rsidR="00AC0832" w:rsidRDefault="00AC0832">
            <w:pPr>
              <w:pStyle w:val="CellColumn"/>
            </w:pPr>
            <w:r>
              <w:t>Održavanjem sjednica NVVO, VVVIŠ, SZF i Međuresornog radnog tijela za praćenje potreba tržišta rada</w:t>
            </w:r>
          </w:p>
        </w:tc>
        <w:tc>
          <w:tcPr>
            <w:tcW w:w="1300" w:type="dxa"/>
          </w:tcPr>
          <w:p w:rsidR="00AC0832" w:rsidRDefault="00AC0832">
            <w:pPr>
              <w:pStyle w:val="CellColumn"/>
            </w:pPr>
            <w:r>
              <w:t>Broj održanih sjednica</w:t>
            </w:r>
          </w:p>
        </w:tc>
        <w:tc>
          <w:tcPr>
            <w:tcW w:w="1300" w:type="dxa"/>
          </w:tcPr>
          <w:p w:rsidR="00AC0832" w:rsidRDefault="00AC0832">
            <w:pPr>
              <w:pStyle w:val="CellColumn"/>
            </w:pPr>
            <w:r>
              <w:t>0</w:t>
            </w:r>
          </w:p>
        </w:tc>
        <w:tc>
          <w:tcPr>
            <w:tcW w:w="1300" w:type="dxa"/>
          </w:tcPr>
          <w:p w:rsidR="00AC0832" w:rsidRDefault="00AC0832">
            <w:pPr>
              <w:pStyle w:val="CellColumn"/>
            </w:pPr>
            <w:r>
              <w:t>AZVO</w:t>
            </w:r>
          </w:p>
        </w:tc>
        <w:tc>
          <w:tcPr>
            <w:tcW w:w="1300" w:type="dxa"/>
          </w:tcPr>
          <w:p w:rsidR="00AC0832" w:rsidRDefault="00AC0832">
            <w:pPr>
              <w:pStyle w:val="CellColumn"/>
            </w:pPr>
            <w:r>
              <w:t xml:space="preserve">10 sjednica NVVO </w:t>
            </w:r>
          </w:p>
          <w:p w:rsidR="00AC0832" w:rsidRDefault="00AC0832">
            <w:pPr>
              <w:pStyle w:val="CellColumn"/>
            </w:pPr>
            <w:r>
              <w:t xml:space="preserve">20 sjednica VVVIŠ uključujući i matična povjerenstva VVIVŠ </w:t>
            </w:r>
          </w:p>
          <w:p w:rsidR="00AC0832" w:rsidRDefault="00AC0832">
            <w:pPr>
              <w:pStyle w:val="CellColumn"/>
            </w:pPr>
            <w:r>
              <w:t xml:space="preserve">5 sjednica SZF </w:t>
            </w:r>
          </w:p>
          <w:p w:rsidR="00AC0832" w:rsidRDefault="00AC0832">
            <w:pPr>
              <w:pStyle w:val="CellColumn"/>
            </w:pPr>
            <w:r>
              <w:t xml:space="preserve">10 sjednica Međuresornog tijela </w:t>
            </w:r>
          </w:p>
          <w:p w:rsidR="00AC0832" w:rsidRDefault="00AC0832">
            <w:pPr>
              <w:pStyle w:val="CellColumn"/>
            </w:pPr>
            <w:r>
              <w:t>uključujući i sjednice uže radne skupine navedenog tijela</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7"/>
      </w:pPr>
      <w:r>
        <w:t>Cilj 2. Povećanje kvalitete znanstvenih organizacija u RH</w:t>
      </w:r>
    </w:p>
    <w:p w:rsidR="00AC0832" w:rsidRDefault="00AC0832">
      <w:pPr>
        <w:pStyle w:val="Heading8"/>
        <w:jc w:val="left"/>
      </w:pPr>
      <w:r>
        <w:t>Opis provedbe cilja programa</w:t>
      </w:r>
    </w:p>
    <w:p w:rsidR="00AC0832" w:rsidRDefault="00AC0832">
      <w:pPr>
        <w:pStyle w:val="Normal6"/>
      </w:pPr>
      <w:r>
        <w:t xml:space="preserve">Svim postupcima vrednovanja znanstvenih organizacija cilj je povećati racionalnost javnog financiranja, a time i njihovu učinkovitost, suradnju sa privredom i doprinos razvoju društva. Postupak reakreditacije usmjeren je na detektiranje znanstvenih organizacija koje ne udovoljavaju niti minimalnim kriterijima kvalitete i kojima će se uskratiti dopusnica, a samim tim i financiranje iz državnog proračuna. Reakreditacija rezultira i ocjenom kvalitete koja može utjecati na javno financiranje, odnosno nagraditi izvrsnost. Inicijalnom akreditacijom sprječava se osnivanje novih znanstvenih organizacija koji ne zadovoljavaju minimalne uvjete kvalitete. </w:t>
      </w:r>
    </w:p>
    <w:p w:rsidR="00AC0832" w:rsidRDefault="00AC0832">
      <w:pPr>
        <w:pStyle w:val="Normal6"/>
      </w:pPr>
      <w:r>
        <w:t xml:space="preserve">Rad Nacionalnog vijeća za znanost (NVZ) i Područnih znanstvenih vijeća koja su savjetodavna tijela Nacionalnog vijeća za znanost te matičnih odbora doprinijet će ostvarenju ovoga cilja.. Nacionalno vijeće za znanost donošenjem strateških odluka i preporuka potiče razvoj i unaprjeđenje cjelokupnog sustava znanosti Republike Hrvatske. Područna znanstvena vijeća razmatranjem pitanja iz nadležnosti Nacionalnog vijeća za znanost doprinose unaprjeđenju kvalitete pojedinih znanstvenih i umjetničkih područja, a matični odbori sudjeluju u postupku izbora u znanstvena zvanja te donose konačnu odluku o izboru u znanstveno zvanje.  </w:t>
      </w:r>
    </w:p>
    <w:p w:rsidR="00AC0832" w:rsidRDefault="00AC0832">
      <w:pPr>
        <w:pStyle w:val="Normal6"/>
      </w:pPr>
      <w:r>
        <w:t>Savjet za financiranje znanstvene djelatnosti i visokog obrazovanja je stručno tijelo Nacionalnog vijeća za znanost i Nacionalnog vijeća za visoko obrazovanje.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135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znanstvenih organizacija koje su usklađene sa nacionalnim standardima temeljenim na principima znanstvene izvrsnosti EU</w:t>
            </w:r>
          </w:p>
        </w:tc>
        <w:tc>
          <w:tcPr>
            <w:tcW w:w="1300" w:type="dxa"/>
          </w:tcPr>
          <w:p w:rsidR="00AC0832" w:rsidRDefault="00AC0832">
            <w:pPr>
              <w:pStyle w:val="CellColumn"/>
            </w:pPr>
            <w:r>
              <w:t>Usklađivanje svih znanstvenih organizacija sa nacionalnim standardima dovodi do ostvarenja cilja</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AZVO</w:t>
            </w:r>
          </w:p>
        </w:tc>
        <w:tc>
          <w:tcPr>
            <w:tcW w:w="1300" w:type="dxa"/>
          </w:tcPr>
          <w:p w:rsidR="00AC0832" w:rsidRDefault="00AC0832">
            <w:pPr>
              <w:pStyle w:val="CellColumn"/>
            </w:pPr>
            <w:r>
              <w:t>50</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7"/>
      </w:pPr>
      <w:r>
        <w:t>Cilj 3. Unapređenje kvalitete visokog obrazovanja  sustavnim praćenjem  stupnja razvijenosti i učinkovitosti sustava osiguravanja kvalitete  visokih učilišta u RH – putem vanjske prosudbe</w:t>
      </w:r>
    </w:p>
    <w:p w:rsidR="00AC0832" w:rsidRDefault="00AC0832">
      <w:pPr>
        <w:pStyle w:val="Heading8"/>
        <w:jc w:val="left"/>
      </w:pPr>
      <w:r>
        <w:t>Opis provedbe cilja programa</w:t>
      </w:r>
    </w:p>
    <w:p w:rsidR="00AC0832" w:rsidRDefault="00AC0832">
      <w:pPr>
        <w:pStyle w:val="Normal6"/>
      </w:pPr>
      <w:r>
        <w:t>Postupkom vanjske prosudbe prosuđuje se stupanj razvijenosti i učinkovitosti sustava osiguravanja visokih učilišta odnosno  kvaliteta obrazovanja koje nude visoka učilišta. Sva izvješća o provedenim vanjskim prosudbama javno se objavljuju na mrežnim stranicama Agencije kako bi javnost bila upoznata s kvalitetom obrazovanja koje nudi svako visoko učilište. Sam postupak vanjske prosudbe provjerava učinkovitost sustava osiguravanja kvalitete visokih učilišta tijekom faze naknadnog praćenja u kojoj visoko učilište provodi aktivnosti u skladu s preporukama povjerenstva koje je provodi vanjsku prosudbu. Nakon završene  faze naknadnog praćenja povjerenstvo ocjenjuje stupanj razvijenosti i učinkovitost sustava osiguravanja kvalitete visokog učilišta. Na kraju svake vanjske prosudbe izdaje se certifikat i/ili traži ponavljanje vanjske prosudbe u kraćem razdoblju (18 mjeseci) ili reakreditaciju.</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1"/>
        <w:gridCol w:w="1351"/>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Sustavi osiguravanja kvalitete visokih učilišta u RH usklađeni s ESG</w:t>
            </w:r>
          </w:p>
        </w:tc>
        <w:tc>
          <w:tcPr>
            <w:tcW w:w="1300" w:type="dxa"/>
          </w:tcPr>
          <w:p w:rsidR="00AC0832" w:rsidRDefault="00AC0832">
            <w:pPr>
              <w:pStyle w:val="CellColumn"/>
            </w:pPr>
            <w:r>
              <w:t>Usklađivanje sustava osiguravanja kvalitete  visokih učilišta sa EU standardima dovodi do ostvarenja cilja</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AZVO</w:t>
            </w:r>
          </w:p>
        </w:tc>
        <w:tc>
          <w:tcPr>
            <w:tcW w:w="1300" w:type="dxa"/>
          </w:tcPr>
          <w:p w:rsidR="00AC0832" w:rsidRDefault="00AC0832">
            <w:pPr>
              <w:pStyle w:val="CellColumn"/>
            </w:pPr>
            <w:r>
              <w:t>121</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7"/>
      </w:pPr>
      <w:r>
        <w:t>Cilj 4. Razvoj Nacionalnog informacijskog sustava visokog obrazovanja i znanosti (NISVOZ)</w:t>
      </w:r>
    </w:p>
    <w:p w:rsidR="00AC0832" w:rsidRDefault="00AC0832">
      <w:pPr>
        <w:pStyle w:val="Heading8"/>
        <w:jc w:val="left"/>
      </w:pPr>
      <w:r>
        <w:t>Opis provedbe cilja programa</w:t>
      </w:r>
    </w:p>
    <w:p w:rsidR="00AC0832" w:rsidRDefault="00AC0832">
      <w:pPr>
        <w:pStyle w:val="Normal6"/>
      </w:pPr>
      <w:r>
        <w:t>NISVOZ je projekt nacionalnog informacijskog sustava u svrhu dobivanja kompletnih i vjerodostojnih statistika i izvješća o sustavu visokog obrazovanja i znanosti RH, pružanja informatičke podrške postupcima osiguravanja kvalitete, vrednovanja i akreditacije visokih učilišta koje provodi Agencija sukladno Zakonu o osiguravanju kvalitete u visokom obrazovanju i znanosti. NISVOZ je potreban kako u svrhu planiranja i strategije razvoja visokog obrazovanja i znanosti, tako i zbog zahtjeva za vjerodostojnim statističkim izvještajima za potrebe EU. NISVOZ će sadržavati programe za upravljanje poslovnim procesima te biti središnja baza podataka sa svim relevantnim i službenim podacima i informacijama o hrvatskom visokom obrazovanju i znanstvenoj djelatnosti. Sva bi se dostava podataka od strane visokih učilišta i znanstvenih organizacija trebala odvijati kroz ovaj sustav, čime bi NISVOZ predstavljao informatičku okosnicu razvoja i unaprjeđenja kvalitete visokog obrazovanja i znanosti u RH.</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5"/>
        <w:gridCol w:w="1473"/>
        <w:gridCol w:w="1269"/>
        <w:gridCol w:w="1462"/>
        <w:gridCol w:w="1166"/>
        <w:gridCol w:w="1573"/>
        <w:gridCol w:w="12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NISVOZ u funkciji</w:t>
            </w:r>
          </w:p>
        </w:tc>
        <w:tc>
          <w:tcPr>
            <w:tcW w:w="1300" w:type="dxa"/>
          </w:tcPr>
          <w:p w:rsidR="00AC0832" w:rsidRDefault="00AC0832">
            <w:pPr>
              <w:pStyle w:val="CellColumn"/>
            </w:pPr>
            <w:r>
              <w:t>NISVOZ razvijen i implementiran u AZVO i u korisničkim institucijama u sustavu visokog obrazovanja i znanosti</w:t>
            </w:r>
          </w:p>
        </w:tc>
        <w:tc>
          <w:tcPr>
            <w:tcW w:w="1300" w:type="dxa"/>
          </w:tcPr>
          <w:p w:rsidR="00AC0832" w:rsidRDefault="00AC0832">
            <w:pPr>
              <w:pStyle w:val="CellColumn"/>
            </w:pPr>
            <w:r>
              <w:t>Funkcional-nost sustava</w:t>
            </w:r>
          </w:p>
        </w:tc>
        <w:tc>
          <w:tcPr>
            <w:tcW w:w="1300" w:type="dxa"/>
          </w:tcPr>
          <w:p w:rsidR="00AC0832" w:rsidRDefault="00AC0832">
            <w:pPr>
              <w:pStyle w:val="CellColumn"/>
            </w:pPr>
            <w:r>
              <w:t>Natječajna dokumentacia NISVOZ-a</w:t>
            </w:r>
          </w:p>
        </w:tc>
        <w:tc>
          <w:tcPr>
            <w:tcW w:w="1300" w:type="dxa"/>
          </w:tcPr>
          <w:p w:rsidR="00AC0832" w:rsidRDefault="00AC0832">
            <w:pPr>
              <w:pStyle w:val="CellColumn"/>
            </w:pPr>
            <w:r>
              <w:t>AZVO/EK</w:t>
            </w:r>
          </w:p>
        </w:tc>
        <w:tc>
          <w:tcPr>
            <w:tcW w:w="1300" w:type="dxa"/>
          </w:tcPr>
          <w:p w:rsidR="00AC0832" w:rsidRDefault="00AC0832">
            <w:pPr>
              <w:pStyle w:val="CellColumn"/>
            </w:pPr>
            <w:r>
              <w:t>Razvoj funkcionalnosti NISVOZ-a sukladno sistemskim specifikacijama (System Design)</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A621153 TROŠKOVI NACIONALNOG VIJEĆA ZA VISOKU NAOBRAZBU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A621153-TROŠKOVI NACIONALNOG VIJEĆA ZA VISOKU NAOBRAZBU</w:t>
            </w:r>
          </w:p>
        </w:tc>
        <w:tc>
          <w:tcPr>
            <w:tcW w:w="2322" w:type="dxa"/>
          </w:tcPr>
          <w:p w:rsidR="00AC0832" w:rsidRDefault="00AC0832">
            <w:pPr>
              <w:pStyle w:val="CellColumn"/>
            </w:pPr>
            <w:r>
              <w:t>543.100</w:t>
            </w:r>
          </w:p>
        </w:tc>
        <w:tc>
          <w:tcPr>
            <w:tcW w:w="2322" w:type="dxa"/>
          </w:tcPr>
          <w:p w:rsidR="00AC0832" w:rsidRDefault="00AC0832">
            <w:pPr>
              <w:pStyle w:val="CellColumn"/>
            </w:pPr>
            <w:r>
              <w:t>543.090</w:t>
            </w:r>
          </w:p>
        </w:tc>
        <w:tc>
          <w:tcPr>
            <w:tcW w:w="2322" w:type="dxa"/>
          </w:tcPr>
          <w:p w:rsidR="00AC0832" w:rsidRDefault="00AC0832">
            <w:pPr>
              <w:pStyle w:val="CellColumn"/>
            </w:pPr>
            <w:r>
              <w:t>100,0</w:t>
            </w:r>
          </w:p>
        </w:tc>
      </w:tr>
    </w:tbl>
    <w:p w:rsidR="00AC0832" w:rsidRDefault="00AC0832">
      <w:pPr>
        <w:jc w:val="left"/>
      </w:pPr>
    </w:p>
    <w:p w:rsidR="00AC0832" w:rsidRDefault="00AC0832">
      <w:pPr>
        <w:jc w:val="left"/>
      </w:pPr>
    </w:p>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okviru ove aktivnosti planira se nastaviti sa radom Nacionalnog vijeća za visoko obrazovanje kao najvišeg stručnog tijela koje brine o kvaliteti visokog obrazovanja Republike Hrvatske, a osnovanog kao saborskog tijela sukladno Zakonu o </w:t>
      </w:r>
    </w:p>
    <w:p w:rsidR="00AC0832" w:rsidRDefault="00AC0832">
      <w:pPr>
        <w:pStyle w:val="Normal6"/>
      </w:pPr>
      <w:r>
        <w:t>znanstvenoj djelatnosti i visokom obrazovanju. Također se planira nastaviti sa radom Vijeća veleučilišta i visokoh škola koje brine o kvaliteti stručnih studija u Republici Hrvatskoj, a također osnovanog sukladno Zakonu o znanstvenoj djelatnosti i visokom obrazovanju.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417"/>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Donesena mreža visokih učilišta</w:t>
            </w:r>
          </w:p>
        </w:tc>
        <w:tc>
          <w:tcPr>
            <w:tcW w:w="1300" w:type="dxa"/>
          </w:tcPr>
          <w:p w:rsidR="00AC0832" w:rsidRDefault="00AC0832">
            <w:pPr>
              <w:pStyle w:val="CellColumn"/>
            </w:pPr>
            <w:r>
              <w:t>Donesen dokument mreže visokih učilišta</w:t>
            </w:r>
          </w:p>
        </w:tc>
        <w:tc>
          <w:tcPr>
            <w:tcW w:w="1300" w:type="dxa"/>
          </w:tcPr>
          <w:p w:rsidR="00AC0832" w:rsidRDefault="00AC0832">
            <w:pPr>
              <w:pStyle w:val="CellColumn"/>
            </w:pPr>
            <w:r>
              <w:t xml:space="preserve">Broj  </w:t>
            </w:r>
          </w:p>
          <w:p w:rsidR="00AC0832" w:rsidRDefault="00AC0832">
            <w:pPr>
              <w:pStyle w:val="CellColumn"/>
            </w:pPr>
            <w:r>
              <w:t>(kumulativno)</w:t>
            </w:r>
          </w:p>
        </w:tc>
        <w:tc>
          <w:tcPr>
            <w:tcW w:w="1300" w:type="dxa"/>
          </w:tcPr>
          <w:p w:rsidR="00AC0832" w:rsidRDefault="00AC0832">
            <w:pPr>
              <w:pStyle w:val="CellColumn"/>
            </w:pPr>
            <w:r>
              <w:t>0</w:t>
            </w:r>
          </w:p>
        </w:tc>
        <w:tc>
          <w:tcPr>
            <w:tcW w:w="1300" w:type="dxa"/>
          </w:tcPr>
          <w:p w:rsidR="00AC0832" w:rsidRDefault="00AC0832">
            <w:pPr>
              <w:pStyle w:val="CellColumn"/>
            </w:pPr>
            <w:r>
              <w:t>MZOS i NVVO</w:t>
            </w:r>
          </w:p>
        </w:tc>
        <w:tc>
          <w:tcPr>
            <w:tcW w:w="1300" w:type="dxa"/>
          </w:tcPr>
          <w:p w:rsidR="00AC0832" w:rsidRDefault="00AC0832">
            <w:pPr>
              <w:pStyle w:val="CellColumn"/>
            </w:pPr>
            <w:r>
              <w:t>1</w:t>
            </w:r>
          </w:p>
        </w:tc>
        <w:tc>
          <w:tcPr>
            <w:tcW w:w="1300" w:type="dxa"/>
          </w:tcPr>
          <w:p w:rsidR="00AC0832" w:rsidRDefault="00AC0832">
            <w:pPr>
              <w:pStyle w:val="CellColumn"/>
            </w:pPr>
            <w:r>
              <w:t>1</w:t>
            </w:r>
          </w:p>
        </w:tc>
      </w:tr>
    </w:tbl>
    <w:p w:rsidR="00AC0832" w:rsidRDefault="00AC0832">
      <w:pPr>
        <w:jc w:val="left"/>
      </w:pPr>
    </w:p>
    <w:p w:rsidR="00AC0832" w:rsidRDefault="00AC0832">
      <w:pPr>
        <w:pStyle w:val="Heading6"/>
      </w:pPr>
      <w:r>
        <w:t>A621179 TROŠKOVI NACIONALNOG VIJEĆA ZA ZNANOST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A621179-TROŠKOVI NACIONALNOG VIJEĆA ZA ZNANOST</w:t>
            </w:r>
          </w:p>
        </w:tc>
        <w:tc>
          <w:tcPr>
            <w:tcW w:w="2322" w:type="dxa"/>
          </w:tcPr>
          <w:p w:rsidR="00AC0832" w:rsidRDefault="00AC0832">
            <w:pPr>
              <w:pStyle w:val="CellColumn"/>
            </w:pPr>
            <w:r>
              <w:t>1.712.736</w:t>
            </w:r>
          </w:p>
        </w:tc>
        <w:tc>
          <w:tcPr>
            <w:tcW w:w="2322" w:type="dxa"/>
          </w:tcPr>
          <w:p w:rsidR="00AC0832" w:rsidRDefault="00AC0832">
            <w:pPr>
              <w:pStyle w:val="CellColumn"/>
            </w:pPr>
            <w:r>
              <w:t>1.712.334</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Nacionalno vijeće za znanost najviše je stručno tijelo koje se brine za razvitak i kvalitetu cjelokupne znanstvene djelatnosti i sustava znanosti u Republici Hrvatskoj. Nacionalno vijeće za znanost: raspravlja pitanja od važnosti za znanstvenu djelatnost te predlaže i potiče donošenje mjera za njezino unaprjeđenje, daje prethodno mišljenje na pravilnik o vrednovanju znanstvenih organizacija koji donosi ministar nadležan za poslove znanosti i visokog obrazovanja, nadzire kvalitetu znanstvenih organizacija te ih vrednuje sukladno ovom Zakonu i utvrđenim kriterijima, prati razvitak i utvrđuje znanstvena i umjetnička područja, polja i grane, imenuje područna znanstvena i umjetnička vijeća te matične odbore za pojedina polja, pobliže utvrđuje uvjete za stjecanje znanstvenih zvanja, u skladu s ovim Zakonom, utvrđuje uvjete koje trebaju ispuniti znanstvene organizacije da bi dobile ovlaštenje za provođenje postupka izbora u znanstvena zvanja, predlaže proglašavanje znanstvenih centara izvrsnosti i provodi njihovo vrednovanje, daje mišljenje o osnivanju znanstvenotehnologijskih parkova te obavlja i druge poslove utvrđene ovim Zakonom i drugim propisima. Za svoje potrebe Nacionalno vijeće za znanost osniva područna znanstvena vijeća, Matične  odbore, te druga stručna povjerenstva, odnosno radne grupe.</w:t>
      </w:r>
    </w:p>
    <w:p w:rsidR="00AC0832" w:rsidRDefault="00AC0832">
      <w:pPr>
        <w:pStyle w:val="Heading6"/>
      </w:pPr>
    </w:p>
    <w:p w:rsidR="00AC0832" w:rsidRDefault="00AC0832">
      <w:pPr>
        <w:pStyle w:val="Heading6"/>
      </w:pPr>
    </w:p>
    <w:p w:rsidR="00AC0832" w:rsidRDefault="00AC0832">
      <w:pPr>
        <w:pStyle w:val="Heading6"/>
      </w:pPr>
      <w:r>
        <w:t>A621187 VREDNOVANJE VISOKIH UČILIŠTA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A621187-VREDNOVANJE VISOKIH UČILIŠTA</w:t>
            </w:r>
          </w:p>
        </w:tc>
        <w:tc>
          <w:tcPr>
            <w:tcW w:w="2322" w:type="dxa"/>
          </w:tcPr>
          <w:p w:rsidR="00AC0832" w:rsidRDefault="00AC0832">
            <w:pPr>
              <w:pStyle w:val="CellColumn"/>
            </w:pPr>
            <w:r>
              <w:t>2.322.200</w:t>
            </w:r>
          </w:p>
        </w:tc>
        <w:tc>
          <w:tcPr>
            <w:tcW w:w="2322" w:type="dxa"/>
          </w:tcPr>
          <w:p w:rsidR="00AC0832" w:rsidRDefault="00AC0832">
            <w:pPr>
              <w:pStyle w:val="CellColumn"/>
            </w:pPr>
            <w:r>
              <w:t>2.316.151</w:t>
            </w:r>
          </w:p>
        </w:tc>
        <w:tc>
          <w:tcPr>
            <w:tcW w:w="2322" w:type="dxa"/>
          </w:tcPr>
          <w:p w:rsidR="00AC0832" w:rsidRDefault="00AC0832">
            <w:pPr>
              <w:pStyle w:val="CellColumn"/>
            </w:pPr>
            <w:r>
              <w:t>99,7</w:t>
            </w:r>
          </w:p>
        </w:tc>
      </w:tr>
    </w:tbl>
    <w:p w:rsidR="00AC0832" w:rsidRDefault="00AC0832">
      <w:pPr>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0"/>
        <w:gridCol w:w="1306"/>
        <w:gridCol w:w="1417"/>
        <w:gridCol w:w="1226"/>
        <w:gridCol w:w="1215"/>
        <w:gridCol w:w="1226"/>
        <w:gridCol w:w="124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provedenih akreditacijskih i reakreditacijskih postupaka Agencije za znanost i visoko obrazovanje</w:t>
            </w:r>
          </w:p>
        </w:tc>
        <w:tc>
          <w:tcPr>
            <w:tcW w:w="1300" w:type="dxa"/>
          </w:tcPr>
          <w:p w:rsidR="00AC0832" w:rsidRDefault="00AC0832">
            <w:pPr>
              <w:pStyle w:val="CellColumn"/>
            </w:pPr>
            <w:r>
              <w:t>Broj visokih učilišta i studijskih programa koje je akreditirala i re-akreditirala Agencija za znanost i visoko obrazovanje</w:t>
            </w:r>
          </w:p>
        </w:tc>
        <w:tc>
          <w:tcPr>
            <w:tcW w:w="1300" w:type="dxa"/>
          </w:tcPr>
          <w:p w:rsidR="00AC0832" w:rsidRDefault="00AC0832">
            <w:pPr>
              <w:pStyle w:val="CellColumn"/>
            </w:pPr>
            <w:r>
              <w:t>Broj (kumulativno)</w:t>
            </w:r>
          </w:p>
        </w:tc>
        <w:tc>
          <w:tcPr>
            <w:tcW w:w="1300" w:type="dxa"/>
          </w:tcPr>
          <w:p w:rsidR="00AC0832" w:rsidRDefault="00AC0832">
            <w:pPr>
              <w:pStyle w:val="CellColumn"/>
            </w:pPr>
            <w:r>
              <w:t>20</w:t>
            </w:r>
          </w:p>
        </w:tc>
        <w:tc>
          <w:tcPr>
            <w:tcW w:w="1300" w:type="dxa"/>
          </w:tcPr>
          <w:p w:rsidR="00AC0832" w:rsidRDefault="00AC0832">
            <w:pPr>
              <w:pStyle w:val="CellColumn"/>
            </w:pPr>
            <w:r>
              <w:t>AZVO</w:t>
            </w:r>
          </w:p>
        </w:tc>
        <w:tc>
          <w:tcPr>
            <w:tcW w:w="1300" w:type="dxa"/>
          </w:tcPr>
          <w:p w:rsidR="00AC0832" w:rsidRDefault="00AC0832">
            <w:pPr>
              <w:pStyle w:val="CellColumn"/>
            </w:pPr>
            <w:r>
              <w:t>40</w:t>
            </w:r>
          </w:p>
        </w:tc>
        <w:tc>
          <w:tcPr>
            <w:tcW w:w="1300" w:type="dxa"/>
          </w:tcPr>
          <w:p w:rsidR="00AC0832" w:rsidRDefault="00AC0832">
            <w:pPr>
              <w:pStyle w:val="CellColumn"/>
            </w:pPr>
            <w:r>
              <w:t>50</w:t>
            </w:r>
          </w:p>
        </w:tc>
      </w:tr>
    </w:tbl>
    <w:p w:rsidR="00AC0832" w:rsidRDefault="00AC0832">
      <w:pPr>
        <w:jc w:val="left"/>
      </w:pPr>
    </w:p>
    <w:p w:rsidR="00AC0832" w:rsidRDefault="00AC0832">
      <w:pPr>
        <w:pStyle w:val="Heading6"/>
      </w:pPr>
      <w:r>
        <w:t>A621190 VANJSKA PROSUDBA SUSTAVA OSIGURANJA KVALITETE VISOKIH UČILIŠTA I ZNANSTVENIH ORGANIZACIJA (VP)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A621190-VANJSKA PROSUDBA SUSTAVA OSIGURANJA KVALITETE VISOKIH UČILIŠTA I ZNANSTVENIH ORGANIZACIJA (VP)</w:t>
            </w:r>
          </w:p>
        </w:tc>
        <w:tc>
          <w:tcPr>
            <w:tcW w:w="2322" w:type="dxa"/>
          </w:tcPr>
          <w:p w:rsidR="00AC0832" w:rsidRDefault="00AC0832">
            <w:pPr>
              <w:pStyle w:val="CellColumn"/>
            </w:pPr>
            <w:r>
              <w:t>669.001</w:t>
            </w:r>
          </w:p>
        </w:tc>
        <w:tc>
          <w:tcPr>
            <w:tcW w:w="2322" w:type="dxa"/>
          </w:tcPr>
          <w:p w:rsidR="00AC0832" w:rsidRDefault="00AC0832">
            <w:pPr>
              <w:pStyle w:val="CellColumn"/>
            </w:pPr>
            <w:r>
              <w:t>668.848</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28"/>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udjela visokih učilišta na kojima su ustrojeni uredi za samo-evaluaciju i akreditaciju</w:t>
            </w:r>
          </w:p>
        </w:tc>
        <w:tc>
          <w:tcPr>
            <w:tcW w:w="1300" w:type="dxa"/>
          </w:tcPr>
          <w:p w:rsidR="00AC0832" w:rsidRDefault="00AC0832">
            <w:pPr>
              <w:pStyle w:val="CellColumn"/>
            </w:pPr>
            <w:r>
              <w:t>Visoka učilišta definirala su u svojim proračunima i općim aktima obveze i resurse za poslove samo-evaluacije i akreditacije</w:t>
            </w:r>
          </w:p>
        </w:tc>
        <w:tc>
          <w:tcPr>
            <w:tcW w:w="1300" w:type="dxa"/>
          </w:tcPr>
          <w:p w:rsidR="00AC0832" w:rsidRDefault="00AC0832">
            <w:pPr>
              <w:pStyle w:val="CellColumn"/>
            </w:pPr>
            <w:r>
              <w:t>%</w:t>
            </w:r>
          </w:p>
        </w:tc>
        <w:tc>
          <w:tcPr>
            <w:tcW w:w="1300" w:type="dxa"/>
          </w:tcPr>
          <w:p w:rsidR="00AC0832" w:rsidRDefault="00AC0832">
            <w:pPr>
              <w:pStyle w:val="CellColumn"/>
            </w:pPr>
            <w:r>
              <w:t>20</w:t>
            </w:r>
          </w:p>
        </w:tc>
        <w:tc>
          <w:tcPr>
            <w:tcW w:w="1300" w:type="dxa"/>
          </w:tcPr>
          <w:p w:rsidR="00AC0832" w:rsidRDefault="00AC0832">
            <w:pPr>
              <w:pStyle w:val="CellColumn"/>
            </w:pPr>
            <w:r>
              <w:t>AZVO</w:t>
            </w:r>
          </w:p>
        </w:tc>
        <w:tc>
          <w:tcPr>
            <w:tcW w:w="1300" w:type="dxa"/>
          </w:tcPr>
          <w:p w:rsidR="00AC0832" w:rsidRDefault="00AC0832">
            <w:pPr>
              <w:pStyle w:val="CellColumn"/>
            </w:pPr>
            <w:r>
              <w:t>25</w:t>
            </w:r>
          </w:p>
        </w:tc>
        <w:tc>
          <w:tcPr>
            <w:tcW w:w="1300" w:type="dxa"/>
          </w:tcPr>
          <w:p w:rsidR="00AC0832" w:rsidRDefault="00AC0832">
            <w:pPr>
              <w:pStyle w:val="CellColumn"/>
            </w:pPr>
            <w:r>
              <w:t>100</w:t>
            </w:r>
          </w:p>
        </w:tc>
      </w:tr>
    </w:tbl>
    <w:p w:rsidR="00AC0832" w:rsidRDefault="00AC0832">
      <w:pPr>
        <w:jc w:val="left"/>
      </w:pPr>
    </w:p>
    <w:p w:rsidR="00AC0832" w:rsidRDefault="00AC0832">
      <w:pPr>
        <w:pStyle w:val="Heading3"/>
      </w:pPr>
      <w:r>
        <w:t>40883 Nacionalni centar za vanjsko vrednovanje obrazovanja</w:t>
      </w:r>
    </w:p>
    <w:p w:rsidR="00AC0832" w:rsidRDefault="00AC0832">
      <w:pPr>
        <w:pStyle w:val="Heading4"/>
      </w:pPr>
      <w:r>
        <w:t>Uvod</w:t>
      </w:r>
    </w:p>
    <w:p w:rsidR="00AC0832" w:rsidRDefault="00AC0832">
      <w:pPr>
        <w:pStyle w:val="Normal5"/>
      </w:pPr>
      <w:r>
        <w:t xml:space="preserve">Nacionalni centar za vanjsko vrednovanje obrazovanja (u daljnjem tekstu Centar ili NCVVO) ustrojen je temeljem Zakona o Nacionalnom centru za vanjsko vrednovanje obrazovanja (NN, 151/04). Osnivač Centra je Republika Hrvatska, a prva i dužnosti osnivača obavlja Vlada Republike Hrvatske.  </w:t>
      </w:r>
    </w:p>
    <w:p w:rsidR="00AC0832" w:rsidRDefault="00AC0832">
      <w:pPr>
        <w:pStyle w:val="Normal5"/>
      </w:pPr>
      <w:r>
        <w:t xml:space="preserve">Nacionalni centar za vanjsko vrednovanje obrazovanja je javna ustanova koja obavlja poslove vanjskog vrjednovanja u odgojno-obrazovnom sustavu Republike Hrvatske i poslove provođenja ispita temeljenih na nacionalnim standardima. Na temelju članka 7. stavka 2. Zakona o Nacionalnom centru za vanjsko vrednovanje obrazovanja (NN, 151/04) i članka 54. Zakona o ustanovama (NN, 76/93, 29/97 i 47/99) Upravno vijeće Nacionalnog centra za vanjsko vrednovanje obrazovanja na sjednici održanoj 1. Prosinca 2005. godine donijelo je Statut Centra, koji u 61 članku sadrži odredbe i propise Centra. </w:t>
      </w:r>
    </w:p>
    <w:p w:rsidR="00AC0832" w:rsidRDefault="00AC0832">
      <w:pPr>
        <w:pStyle w:val="Normal5"/>
      </w:pPr>
      <w:r>
        <w:t>U obavljanju poslova iz svoje djelatnosti, Centar surađuje i sa znanstvenim i odgojnoobrazovnim ustanovama te drugim srodnim ustanovama, fizičkim i pravnim osobama. O rezultatima svog rada izvještava Vladu Republike Hrvatske i Odbor za obrazovanje, znanost i kulturu Hrvatskog sabora, najmanje jedanput godišnje.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40883-Nacionalni centar za vanjsko vrednovanje obrazovanja</w:t>
            </w:r>
          </w:p>
        </w:tc>
        <w:tc>
          <w:tcPr>
            <w:tcW w:w="2322" w:type="dxa"/>
          </w:tcPr>
          <w:p w:rsidR="00AC0832" w:rsidRDefault="00AC0832">
            <w:pPr>
              <w:pStyle w:val="CellColumn"/>
            </w:pPr>
            <w:r>
              <w:t>48.469.786</w:t>
            </w:r>
          </w:p>
        </w:tc>
        <w:tc>
          <w:tcPr>
            <w:tcW w:w="2322" w:type="dxa"/>
          </w:tcPr>
          <w:p w:rsidR="00AC0832" w:rsidRDefault="00AC0832">
            <w:pPr>
              <w:pStyle w:val="CellColumn"/>
            </w:pPr>
            <w:r>
              <w:t>52.148.091</w:t>
            </w:r>
          </w:p>
        </w:tc>
        <w:tc>
          <w:tcPr>
            <w:tcW w:w="2322" w:type="dxa"/>
          </w:tcPr>
          <w:p w:rsidR="00AC0832" w:rsidRDefault="00AC0832">
            <w:pPr>
              <w:pStyle w:val="CellColumn"/>
            </w:pPr>
            <w:r>
              <w:t>107,6</w:t>
            </w:r>
          </w:p>
        </w:tc>
      </w:tr>
      <w:tr w:rsidR="00AC0832" w:rsidTr="00BE20ED">
        <w:trPr>
          <w:jc w:val="center"/>
        </w:trPr>
        <w:tc>
          <w:tcPr>
            <w:tcW w:w="2322" w:type="dxa"/>
          </w:tcPr>
          <w:p w:rsidR="00AC0832" w:rsidRDefault="00AC0832">
            <w:pPr>
              <w:pStyle w:val="CellColumnSmall"/>
            </w:pPr>
            <w:r>
              <w:t>3701-RAZVOJ ODGOJNO OBRAZOVNOG SUSTAVA</w:t>
            </w:r>
          </w:p>
        </w:tc>
        <w:tc>
          <w:tcPr>
            <w:tcW w:w="2322" w:type="dxa"/>
          </w:tcPr>
          <w:p w:rsidR="00AC0832" w:rsidRDefault="00AC0832">
            <w:pPr>
              <w:pStyle w:val="CellColumnSmall"/>
            </w:pPr>
            <w:r>
              <w:t>48.469.786</w:t>
            </w:r>
          </w:p>
        </w:tc>
        <w:tc>
          <w:tcPr>
            <w:tcW w:w="2322" w:type="dxa"/>
          </w:tcPr>
          <w:p w:rsidR="00AC0832" w:rsidRDefault="00AC0832">
            <w:pPr>
              <w:pStyle w:val="CellColumnSmall"/>
            </w:pPr>
            <w:r>
              <w:t>52.148.091</w:t>
            </w:r>
          </w:p>
        </w:tc>
        <w:tc>
          <w:tcPr>
            <w:tcW w:w="2322" w:type="dxa"/>
          </w:tcPr>
          <w:p w:rsidR="00AC0832" w:rsidRDefault="00AC0832">
            <w:pPr>
              <w:pStyle w:val="CellColumnSmall"/>
            </w:pPr>
            <w:r>
              <w:t>107,6</w:t>
            </w:r>
          </w:p>
        </w:tc>
      </w:tr>
    </w:tbl>
    <w:p w:rsidR="00AC0832" w:rsidRDefault="00AC0832">
      <w:pPr>
        <w:jc w:val="left"/>
      </w:pPr>
    </w:p>
    <w:p w:rsidR="00AC0832" w:rsidRDefault="00AC0832">
      <w:pPr>
        <w:pStyle w:val="Heading4"/>
      </w:pPr>
      <w:r>
        <w:t>OBRAZLOŽENJE PROGRAMA</w:t>
      </w:r>
    </w:p>
    <w:p w:rsidR="00AC0832" w:rsidRDefault="00AC0832">
      <w:pPr>
        <w:pStyle w:val="Heading5"/>
      </w:pPr>
      <w:r>
        <w:t>3701 RAZVOJ ODGOJNO OBRAZOVNOG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3701-RAZVOJ ODGOJNO OBRAZOVNOG SUSTAVA</w:t>
            </w:r>
          </w:p>
        </w:tc>
        <w:tc>
          <w:tcPr>
            <w:tcW w:w="2322" w:type="dxa"/>
          </w:tcPr>
          <w:p w:rsidR="00AC0832" w:rsidRDefault="00AC0832">
            <w:pPr>
              <w:pStyle w:val="CellColumn"/>
            </w:pPr>
            <w:r>
              <w:t>48.469.786</w:t>
            </w:r>
          </w:p>
        </w:tc>
        <w:tc>
          <w:tcPr>
            <w:tcW w:w="2322" w:type="dxa"/>
          </w:tcPr>
          <w:p w:rsidR="00AC0832" w:rsidRDefault="00AC0832">
            <w:pPr>
              <w:pStyle w:val="CellColumn"/>
            </w:pPr>
            <w:r>
              <w:t>52.148.091</w:t>
            </w:r>
          </w:p>
        </w:tc>
        <w:tc>
          <w:tcPr>
            <w:tcW w:w="2322" w:type="dxa"/>
          </w:tcPr>
          <w:p w:rsidR="00AC0832" w:rsidRDefault="00AC0832">
            <w:pPr>
              <w:pStyle w:val="CellColumn"/>
            </w:pPr>
            <w:r>
              <w:t>107,6</w:t>
            </w:r>
          </w:p>
        </w:tc>
      </w:tr>
    </w:tbl>
    <w:p w:rsidR="00AC0832" w:rsidRDefault="00AC0832">
      <w:pPr>
        <w:jc w:val="left"/>
      </w:pPr>
    </w:p>
    <w:p w:rsidR="00AC0832" w:rsidRDefault="00AC0832">
      <w:pPr>
        <w:pStyle w:val="Heading6"/>
      </w:pPr>
      <w:r>
        <w:t>Opis programa</w:t>
      </w:r>
    </w:p>
    <w:p w:rsidR="00AC0832" w:rsidRDefault="00AC0832">
      <w:r>
        <w:t xml:space="preserve">Pravedan i učinkovit ispitni instrument kojim je moguće usporediti znanje svih učenika jedne generacije u tri ključne komponente – kompetencije: komunikacija na hrvatskom i stranom jeziku i matematička pismenost, te usporedba znanja učenika potrebnih za tercijarno obrazovanje obzirom na potrebe o prirodno znanstvenim ili društveno humanističkim ili umjetničkim znanjima.  </w:t>
      </w:r>
    </w:p>
    <w:p w:rsidR="00AC0832" w:rsidRDefault="00AC0832">
      <w:r>
        <w:t>Osposobiti školu kao društvenu zajednicu da tumači rezultate ispita koje provodi Centar kroz aktivnosti i načine rada kojima ostvaruje obrazovne ciljeve, te nakon samoevaluacije izrađuje i provodi vlastiti plan razvoja i unapređenja rada škole odnosno ustanove. Međunarodna procjena postignuća na tri osnovna područja – razumijevanje čitanja, matematika i priroda i društvo, ciljem rane detekcije mogućeg neusvajanja bazičnih znanja i vještine, ali s otvorenom mogućnosti pravovremene intervencije kojom se mogući nedostaci mogu ispraviti.</w:t>
      </w:r>
    </w:p>
    <w:p w:rsidR="00AC0832" w:rsidRDefault="00AC0832">
      <w:pPr>
        <w:pStyle w:val="Heading6"/>
      </w:pPr>
      <w:r>
        <w:t>Zakonske i druge pravne osnove</w:t>
      </w:r>
    </w:p>
    <w:p w:rsidR="00AC0832" w:rsidRDefault="00AC0832">
      <w:r>
        <w:t xml:space="preserve">Zakon o Nacionalnom centru za vanjsko vrednovanje obrazovanja; Ugovor Vlade RH i OECD-a; </w:t>
      </w:r>
    </w:p>
    <w:p w:rsidR="00AC0832" w:rsidRDefault="00AC0832">
      <w:r>
        <w:t>Zakon o osnovnom i srednjem obrazovanju; Zakon o obrazovanju odraslih; Nacionalni kurikulum</w:t>
      </w:r>
    </w:p>
    <w:p w:rsidR="00AC0832" w:rsidRDefault="00AC0832">
      <w:pPr>
        <w:pStyle w:val="Heading7"/>
      </w:pPr>
      <w:r>
        <w:t xml:space="preserve">Cilj 1. Utvrđivanje razine konkurentnosti hrvatskog ljudskog potencijala obzirom na pokazane mjerljive usporedbe sa zemljama OECD u području čitalačke i matematičke i računalne informatičke pismenosti kao osnove za uspješno obavljanje temeljnih radnih funkcija budućih radnika </w:t>
      </w:r>
    </w:p>
    <w:p w:rsidR="00AC0832" w:rsidRDefault="00AC0832">
      <w:pPr>
        <w:pStyle w:val="Heading8"/>
        <w:jc w:val="left"/>
      </w:pPr>
      <w:r>
        <w:t>Opis provedbe cilja programa</w:t>
      </w:r>
    </w:p>
    <w:p w:rsidR="00AC0832" w:rsidRDefault="00AC0832">
      <w:pPr>
        <w:pStyle w:val="Normal6"/>
      </w:pPr>
      <w:r>
        <w:t xml:space="preserve">Vrednovanje sustava obrazovanja obzirom na ispunjavanje njegove temeljne funkcije osposobljavanja za rad, kroz dvije osi: obzirom na zemlje u regiji i zemlje OECD-a, te praćenje trenda promjena u trogodišnjem ciklusu čime se dobiva jasna povratna informacija o efikasnosti sustava primarnog obrazovanja. Sustav omogućava praćenje </w:t>
      </w:r>
    </w:p>
    <w:p w:rsidR="00AC0832" w:rsidRDefault="00AC0832">
      <w:pPr>
        <w:pStyle w:val="Normal6"/>
      </w:pPr>
      <w:r>
        <w:t xml:space="preserve">i vrednovanje rezultata obrazovanja u četverogodišnjim školama i daje sliku usporedivosti ostvarenih ciljeva programa i zadovoljenja minimalnih kompetencija stečenih u tri područja. Utvrđivanje želja i potreba učenika za nastavkom obrazovanja odnosno uključivanju u rad te utvrđivanje potreba za promjenom mreže visokoškolskih ustanova obzirom na potražnju. Praćenje generacijskih promjena obzirom na vrstu programa i školu, te utvrđivanje mjera za promjene. Razviti banku zadataka za sve ispite državne mature kojom se osigurava transparentnost, valjanost i pouzdanost ispita državne mature. Utvrditi razinu usvojenosti temeljne kompetencije </w:t>
      </w:r>
    </w:p>
    <w:p w:rsidR="00AC0832" w:rsidRDefault="00AC0832">
      <w:pPr>
        <w:pStyle w:val="Normal6"/>
      </w:pPr>
      <w:r>
        <w:t>u zdravstvenim školama kao preduvjet uspješnog zapošljavanja, i razviti instrument kojim se mogu provjeravati kompetencije stečene u strukovnom obrazovanju. Izraditi standarde ispita za hrvatski jezik i matematiku opisane ishodima u nacionalnom kurikulumu.</w:t>
      </w:r>
    </w:p>
    <w:p w:rsidR="00AC0832" w:rsidRDefault="00AC0832">
      <w:pPr>
        <w:pStyle w:val="Heading6"/>
      </w:pPr>
      <w:r>
        <w:t>A580046 ADMINISTRACIJA I UPRAVLJANJE NACIONALNOG CENTRA ZA VANJSKO VREDNOVANJE OBRAZOVANJA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A580046-ADMINISTRACIJA I UPRAVLJANJE NACIONALNOG CENTRA ZA VANJSKO VREDNOVANJE OBRAZOVANJA</w:t>
            </w:r>
          </w:p>
        </w:tc>
        <w:tc>
          <w:tcPr>
            <w:tcW w:w="2322" w:type="dxa"/>
          </w:tcPr>
          <w:p w:rsidR="00AC0832" w:rsidRDefault="00AC0832">
            <w:pPr>
              <w:pStyle w:val="CellColumn"/>
            </w:pPr>
            <w:r>
              <w:t>14.579.441</w:t>
            </w:r>
          </w:p>
        </w:tc>
        <w:tc>
          <w:tcPr>
            <w:tcW w:w="2322" w:type="dxa"/>
          </w:tcPr>
          <w:p w:rsidR="00AC0832" w:rsidRDefault="00AC0832">
            <w:pPr>
              <w:pStyle w:val="CellColumn"/>
            </w:pPr>
            <w:r>
              <w:t>14.564.494</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Kroz aktivnost financiraju se: plaće djelatnika, najam prostora za rad Centra, </w:t>
      </w:r>
    </w:p>
    <w:p w:rsidR="00AC0832" w:rsidRDefault="00AC0832">
      <w:pPr>
        <w:pStyle w:val="Normal6"/>
      </w:pPr>
      <w:r>
        <w:t xml:space="preserve">skladište kao i komunalne usluge, usluge telefona i pošte za dostavu ispita u škole, </w:t>
      </w:r>
    </w:p>
    <w:p w:rsidR="00AC0832" w:rsidRDefault="00AC0832">
      <w:pPr>
        <w:pStyle w:val="Normal6"/>
      </w:pPr>
      <w:r>
        <w:t xml:space="preserve">stručno usavršavanje djelatnika, rad studenata na tehničkoj potpori provođenja ispita, </w:t>
      </w:r>
    </w:p>
    <w:p w:rsidR="00AC0832" w:rsidRDefault="00AC0832">
      <w:pPr>
        <w:pStyle w:val="Normal6"/>
      </w:pPr>
      <w:r>
        <w:t xml:space="preserve">manipulaciji ispitnog materijala kao i pakiranja i raspakiravanja istog, te ostale usluge </w:t>
      </w:r>
    </w:p>
    <w:p w:rsidR="00AC0832" w:rsidRDefault="00AC0832">
      <w:pPr>
        <w:pStyle w:val="Normal6"/>
      </w:pPr>
      <w:r>
        <w:t>koje su bile potrebne za funkcioniranje rada Centra.</w:t>
      </w:r>
    </w:p>
    <w:p w:rsidR="00AC0832" w:rsidRDefault="00AC0832">
      <w:pPr>
        <w:pStyle w:val="Heading6"/>
      </w:pPr>
      <w:r>
        <w:t>A814001 DRŽAVNA MATURA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A814001-DRŽAVNA MATURA</w:t>
            </w:r>
          </w:p>
        </w:tc>
        <w:tc>
          <w:tcPr>
            <w:tcW w:w="2322" w:type="dxa"/>
          </w:tcPr>
          <w:p w:rsidR="00AC0832" w:rsidRDefault="00AC0832">
            <w:pPr>
              <w:pStyle w:val="CellColumn"/>
            </w:pPr>
            <w:r>
              <w:t>26.976.619</w:t>
            </w:r>
          </w:p>
        </w:tc>
        <w:tc>
          <w:tcPr>
            <w:tcW w:w="2322" w:type="dxa"/>
          </w:tcPr>
          <w:p w:rsidR="00AC0832" w:rsidRDefault="00AC0832">
            <w:pPr>
              <w:pStyle w:val="CellColumn"/>
            </w:pPr>
            <w:r>
              <w:t>30.165.513</w:t>
            </w:r>
          </w:p>
        </w:tc>
        <w:tc>
          <w:tcPr>
            <w:tcW w:w="2322" w:type="dxa"/>
          </w:tcPr>
          <w:p w:rsidR="00AC0832" w:rsidRDefault="00AC0832">
            <w:pPr>
              <w:pStyle w:val="CellColumn"/>
            </w:pPr>
            <w:r>
              <w:t>111,8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2012.  godini provedeni su ispiti državne mature za sve učenike četverogodišnjih srednjih škola i time se dobila objektivna i usporediva slika znanja učenika kao i njihovih ocjena iz srednje škole, time se uspostavlja sustav, kojim će se osigurati </w:t>
      </w:r>
    </w:p>
    <w:p w:rsidR="00AC0832" w:rsidRDefault="00AC0832">
      <w:pPr>
        <w:pStyle w:val="Normal6"/>
      </w:pPr>
      <w:r>
        <w:t>jedinstven i transparentan sustav upisa u visokoškolske ustanove. Ispiti državne mature uspostavljaju sustav kojim će se omogućit kvalitativna analiza rada školskog sustava, te dati smjernice za njegovu promjenu. Dobiveni rezultati hrvatskog jezika, matematike, i stranog jezika koji se provode na cijeloj populaciji daju jasne trendove unutar škole, ali i među školama što će poslužiti za izgradnju kvalitetne mreže škole, izgradnju kurikuluma, promjene u temeljnom obrazovanju, inicijalnom obrazovanju nastavnika kao i sustavu trajnog osposobljavanja nastavnika.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7"/>
        <w:gridCol w:w="1628"/>
        <w:gridCol w:w="1417"/>
        <w:gridCol w:w="1177"/>
        <w:gridCol w:w="1159"/>
        <w:gridCol w:w="1177"/>
        <w:gridCol w:w="121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postotka učenika gimnazijskih programa koji su uspješno položili ispite državne mature u odnosu na broj učenika koji su pristupili ispitima državne mature</w:t>
            </w:r>
          </w:p>
        </w:tc>
        <w:tc>
          <w:tcPr>
            <w:tcW w:w="1300" w:type="dxa"/>
          </w:tcPr>
          <w:p w:rsidR="00AC0832" w:rsidRDefault="00AC0832">
            <w:pPr>
              <w:pStyle w:val="CellColumn"/>
            </w:pPr>
            <w:r>
              <w:t>Na temelju standardiziranih testova, procijeniti kompetencije učenika gimnazijskih programa</w:t>
            </w:r>
          </w:p>
        </w:tc>
        <w:tc>
          <w:tcPr>
            <w:tcW w:w="1300" w:type="dxa"/>
          </w:tcPr>
          <w:p w:rsidR="00AC0832" w:rsidRDefault="00AC0832">
            <w:pPr>
              <w:pStyle w:val="CellColumn"/>
            </w:pPr>
            <w:r>
              <w:t>Postotak (kumulativno)</w:t>
            </w:r>
          </w:p>
        </w:tc>
        <w:tc>
          <w:tcPr>
            <w:tcW w:w="1300" w:type="dxa"/>
          </w:tcPr>
          <w:p w:rsidR="00AC0832" w:rsidRDefault="00AC0832">
            <w:pPr>
              <w:pStyle w:val="CellColumn"/>
            </w:pPr>
            <w:r>
              <w:t>97</w:t>
            </w:r>
          </w:p>
        </w:tc>
        <w:tc>
          <w:tcPr>
            <w:tcW w:w="1300" w:type="dxa"/>
          </w:tcPr>
          <w:p w:rsidR="00AC0832" w:rsidRDefault="00AC0832">
            <w:pPr>
              <w:pStyle w:val="CellColumn"/>
            </w:pPr>
            <w:r>
              <w:t>NCVVO</w:t>
            </w:r>
          </w:p>
        </w:tc>
        <w:tc>
          <w:tcPr>
            <w:tcW w:w="1300" w:type="dxa"/>
          </w:tcPr>
          <w:p w:rsidR="00AC0832" w:rsidRDefault="00AC0832">
            <w:pPr>
              <w:pStyle w:val="CellColumn"/>
            </w:pPr>
            <w:r>
              <w:t>98</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Povećanje broja sadržajnih područja obuhvaćenih vanjskim vrjednovanjem</w:t>
            </w:r>
          </w:p>
        </w:tc>
        <w:tc>
          <w:tcPr>
            <w:tcW w:w="1300" w:type="dxa"/>
          </w:tcPr>
          <w:p w:rsidR="00AC0832" w:rsidRDefault="00AC0832">
            <w:pPr>
              <w:pStyle w:val="CellColumn"/>
            </w:pPr>
            <w:r>
              <w:t>Povećanje broja sadržajnih područja obuhvaćenih vanjskim vrjednovanjem</w:t>
            </w:r>
          </w:p>
        </w:tc>
        <w:tc>
          <w:tcPr>
            <w:tcW w:w="1300" w:type="dxa"/>
          </w:tcPr>
          <w:p w:rsidR="00AC0832" w:rsidRDefault="00AC0832">
            <w:pPr>
              <w:pStyle w:val="CellColumn"/>
            </w:pPr>
            <w:r>
              <w:t>Broj (kumulativno)</w:t>
            </w:r>
          </w:p>
        </w:tc>
        <w:tc>
          <w:tcPr>
            <w:tcW w:w="1300" w:type="dxa"/>
          </w:tcPr>
          <w:p w:rsidR="00AC0832" w:rsidRDefault="00AC0832">
            <w:pPr>
              <w:pStyle w:val="CellColumn"/>
            </w:pPr>
            <w:r>
              <w:t>3</w:t>
            </w:r>
          </w:p>
        </w:tc>
        <w:tc>
          <w:tcPr>
            <w:tcW w:w="1300" w:type="dxa"/>
          </w:tcPr>
          <w:p w:rsidR="00AC0832" w:rsidRDefault="00AC0832">
            <w:pPr>
              <w:pStyle w:val="CellColumn"/>
            </w:pPr>
            <w:r>
              <w:t>NCVVO</w:t>
            </w:r>
          </w:p>
        </w:tc>
        <w:tc>
          <w:tcPr>
            <w:tcW w:w="1300" w:type="dxa"/>
          </w:tcPr>
          <w:p w:rsidR="00AC0832" w:rsidRDefault="00AC0832">
            <w:pPr>
              <w:pStyle w:val="CellColumn"/>
            </w:pPr>
            <w:r>
              <w:t>3</w:t>
            </w:r>
          </w:p>
        </w:tc>
        <w:tc>
          <w:tcPr>
            <w:tcW w:w="1300" w:type="dxa"/>
          </w:tcPr>
          <w:p w:rsidR="00AC0832" w:rsidRDefault="00AC0832">
            <w:pPr>
              <w:pStyle w:val="CellColumn"/>
            </w:pPr>
            <w:r>
              <w:t>3</w:t>
            </w:r>
          </w:p>
        </w:tc>
      </w:tr>
    </w:tbl>
    <w:p w:rsidR="00AC0832" w:rsidRDefault="00AC0832">
      <w:pPr>
        <w:jc w:val="left"/>
      </w:pPr>
    </w:p>
    <w:p w:rsidR="00AC0832" w:rsidRDefault="00AC0832">
      <w:pPr>
        <w:pStyle w:val="Heading6"/>
      </w:pPr>
      <w:r>
        <w:t>A814002 SAMOVREDNOVANJE OSNOVNIH I SREDNJIH ŠKOLA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A814002-SAMOVREDNOVANJE OSNOVNIH I SREDNJIH ŠKOLA</w:t>
            </w:r>
          </w:p>
        </w:tc>
        <w:tc>
          <w:tcPr>
            <w:tcW w:w="2322" w:type="dxa"/>
          </w:tcPr>
          <w:p w:rsidR="00AC0832" w:rsidRDefault="00AC0832">
            <w:pPr>
              <w:pStyle w:val="CellColumn"/>
            </w:pPr>
            <w:r>
              <w:t>416.362</w:t>
            </w:r>
          </w:p>
        </w:tc>
        <w:tc>
          <w:tcPr>
            <w:tcW w:w="2322" w:type="dxa"/>
          </w:tcPr>
          <w:p w:rsidR="00AC0832" w:rsidRDefault="00AC0832">
            <w:pPr>
              <w:pStyle w:val="CellColumn"/>
            </w:pPr>
            <w:r>
              <w:t>414.828</w:t>
            </w:r>
          </w:p>
        </w:tc>
        <w:tc>
          <w:tcPr>
            <w:tcW w:w="2322" w:type="dxa"/>
          </w:tcPr>
          <w:p w:rsidR="00AC0832" w:rsidRDefault="00AC0832">
            <w:pPr>
              <w:pStyle w:val="CellColumn"/>
            </w:pPr>
            <w:r>
              <w:t>99,6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Organizirana je mreža kolegijalne pomoći školama u provođenju samovrednovanja temeljenog na rezultatima ispita državne mature i nacionalnih ispita, izrada priručnika, kao i analiza razvojnih planova škola i SWAT analiza koje se tijekom rada prikupe, te predlaganje mjera za unapređenje sustava obrazovanja koji iz projekta proisteknu.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3"/>
        <w:gridCol w:w="1831"/>
        <w:gridCol w:w="1411"/>
        <w:gridCol w:w="1067"/>
        <w:gridCol w:w="1035"/>
        <w:gridCol w:w="1067"/>
        <w:gridCol w:w="113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odgojno-obrazovnih zaposlenika predškolskog i osnovnoškolskog odgoja i obrazovanja uključenih u stručna usavršavanja</w:t>
            </w:r>
          </w:p>
        </w:tc>
        <w:tc>
          <w:tcPr>
            <w:tcW w:w="1300" w:type="dxa"/>
          </w:tcPr>
          <w:p w:rsidR="00AC0832" w:rsidRDefault="00AC0832">
            <w:pPr>
              <w:pStyle w:val="CellColumn"/>
            </w:pPr>
            <w:r>
              <w:t>Provoditi projekt samovrjednovanja srednjih škola</w:t>
            </w:r>
          </w:p>
        </w:tc>
        <w:tc>
          <w:tcPr>
            <w:tcW w:w="1300" w:type="dxa"/>
          </w:tcPr>
          <w:p w:rsidR="00AC0832" w:rsidRDefault="00AC0832">
            <w:pPr>
              <w:pStyle w:val="CellColumn"/>
            </w:pPr>
            <w:r>
              <w:t xml:space="preserve">Broj  </w:t>
            </w:r>
          </w:p>
          <w:p w:rsidR="00AC0832" w:rsidRDefault="00AC0832">
            <w:pPr>
              <w:pStyle w:val="CellColumn"/>
            </w:pPr>
            <w:r>
              <w:t>(kumulativno)</w:t>
            </w:r>
          </w:p>
        </w:tc>
        <w:tc>
          <w:tcPr>
            <w:tcW w:w="1300" w:type="dxa"/>
          </w:tcPr>
          <w:p w:rsidR="00AC0832" w:rsidRDefault="00AC0832">
            <w:pPr>
              <w:pStyle w:val="CellColumn"/>
            </w:pPr>
            <w:r>
              <w:t>84</w:t>
            </w:r>
          </w:p>
        </w:tc>
        <w:tc>
          <w:tcPr>
            <w:tcW w:w="1300" w:type="dxa"/>
          </w:tcPr>
          <w:p w:rsidR="00AC0832" w:rsidRDefault="00AC0832">
            <w:pPr>
              <w:pStyle w:val="CellColumn"/>
            </w:pPr>
            <w:r>
              <w:t>NCVVO</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90</w:t>
            </w:r>
          </w:p>
        </w:tc>
      </w:tr>
    </w:tbl>
    <w:p w:rsidR="00AC0832" w:rsidRDefault="00AC0832">
      <w:pPr>
        <w:jc w:val="left"/>
      </w:pPr>
    </w:p>
    <w:p w:rsidR="00AC0832" w:rsidRDefault="00AC0832">
      <w:pPr>
        <w:pStyle w:val="Heading6"/>
      </w:pPr>
      <w:r>
        <w:t>A814003 NACIONALNI ISPITI U OSNOVNIM I SREDNJIM ŠKOLAMA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A814003-NACIONALNI ISPITI U OSNOVNIM I SREDNJIM ŠKOLAMA</w:t>
            </w:r>
          </w:p>
        </w:tc>
        <w:tc>
          <w:tcPr>
            <w:tcW w:w="2322" w:type="dxa"/>
          </w:tcPr>
          <w:p w:rsidR="00AC0832" w:rsidRDefault="00AC0832">
            <w:pPr>
              <w:pStyle w:val="CellColumn"/>
            </w:pPr>
            <w:r>
              <w:t>563.421</w:t>
            </w:r>
          </w:p>
        </w:tc>
        <w:tc>
          <w:tcPr>
            <w:tcW w:w="2322" w:type="dxa"/>
          </w:tcPr>
          <w:p w:rsidR="00AC0832" w:rsidRDefault="00AC0832">
            <w:pPr>
              <w:pStyle w:val="CellColumn"/>
            </w:pPr>
            <w:r>
              <w:t>533.172</w:t>
            </w:r>
          </w:p>
        </w:tc>
        <w:tc>
          <w:tcPr>
            <w:tcW w:w="2322" w:type="dxa"/>
          </w:tcPr>
          <w:p w:rsidR="00AC0832" w:rsidRDefault="00AC0832">
            <w:pPr>
              <w:pStyle w:val="CellColumn"/>
            </w:pPr>
            <w:r>
              <w:t>94,6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Nastavljene su pripreme za izradu sustava evaluacije na kraju osmogodišnjeg obrazovanja, izrađeni ispitni materijali testiranja iz područja matematike, hrvatskog jezika i prirodoslovlja, te izrađene kvalitativne analize.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417"/>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sadržajnih područja nacionalnih ispita u osnovnim školama</w:t>
            </w:r>
          </w:p>
        </w:tc>
        <w:tc>
          <w:tcPr>
            <w:tcW w:w="1300" w:type="dxa"/>
          </w:tcPr>
          <w:p w:rsidR="00AC0832" w:rsidRDefault="00AC0832">
            <w:pPr>
              <w:pStyle w:val="CellColumn"/>
            </w:pPr>
            <w:r>
              <w:t>Provoditi nacionalne ispite</w:t>
            </w:r>
          </w:p>
        </w:tc>
        <w:tc>
          <w:tcPr>
            <w:tcW w:w="1300" w:type="dxa"/>
          </w:tcPr>
          <w:p w:rsidR="00AC0832" w:rsidRDefault="00AC0832">
            <w:pPr>
              <w:pStyle w:val="CellColumn"/>
            </w:pPr>
            <w:r>
              <w:t xml:space="preserve">Broj  </w:t>
            </w:r>
          </w:p>
          <w:p w:rsidR="00AC0832" w:rsidRDefault="00AC0832">
            <w:pPr>
              <w:pStyle w:val="CellColumn"/>
            </w:pPr>
            <w:r>
              <w:t>(kumulativno)</w:t>
            </w:r>
          </w:p>
        </w:tc>
        <w:tc>
          <w:tcPr>
            <w:tcW w:w="1300" w:type="dxa"/>
          </w:tcPr>
          <w:p w:rsidR="00AC0832" w:rsidRDefault="00AC0832">
            <w:pPr>
              <w:pStyle w:val="CellColumn"/>
            </w:pPr>
            <w:r>
              <w:t>2</w:t>
            </w:r>
          </w:p>
        </w:tc>
        <w:tc>
          <w:tcPr>
            <w:tcW w:w="1300" w:type="dxa"/>
          </w:tcPr>
          <w:p w:rsidR="00AC0832" w:rsidRDefault="00AC0832">
            <w:pPr>
              <w:pStyle w:val="CellColumn"/>
            </w:pPr>
            <w:r>
              <w:t>NCVVO</w:t>
            </w:r>
          </w:p>
        </w:tc>
        <w:tc>
          <w:tcPr>
            <w:tcW w:w="1300" w:type="dxa"/>
          </w:tcPr>
          <w:p w:rsidR="00AC0832" w:rsidRDefault="00AC0832">
            <w:pPr>
              <w:pStyle w:val="CellColumn"/>
            </w:pPr>
            <w:r>
              <w:t>3</w:t>
            </w:r>
          </w:p>
        </w:tc>
        <w:tc>
          <w:tcPr>
            <w:tcW w:w="1300" w:type="dxa"/>
          </w:tcPr>
          <w:p w:rsidR="00AC0832" w:rsidRDefault="00AC0832">
            <w:pPr>
              <w:pStyle w:val="CellColumn"/>
            </w:pPr>
            <w:r>
              <w:t>8</w:t>
            </w:r>
          </w:p>
        </w:tc>
      </w:tr>
    </w:tbl>
    <w:p w:rsidR="00AC0832" w:rsidRDefault="00AC0832">
      <w:pPr>
        <w:jc w:val="left"/>
      </w:pPr>
    </w:p>
    <w:p w:rsidR="00AC0832" w:rsidRDefault="00AC0832">
      <w:pPr>
        <w:pStyle w:val="Heading6"/>
      </w:pPr>
      <w:r>
        <w:t>A814005 MEĐUNARODNA PROVJERA ZNANJA ČITALAČKE PISMENOSTI (PIRLS)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A814005-MEĐUNARODNA PROVJERA ZNANJA ČITALAČKE PISMENOSTI (PIRLS)</w:t>
            </w:r>
          </w:p>
        </w:tc>
        <w:tc>
          <w:tcPr>
            <w:tcW w:w="2322" w:type="dxa"/>
          </w:tcPr>
          <w:p w:rsidR="00AC0832" w:rsidRDefault="00AC0832">
            <w:pPr>
              <w:pStyle w:val="CellColumn"/>
            </w:pPr>
            <w:r>
              <w:t>34.050</w:t>
            </w:r>
          </w:p>
        </w:tc>
        <w:tc>
          <w:tcPr>
            <w:tcW w:w="2322" w:type="dxa"/>
          </w:tcPr>
          <w:p w:rsidR="00AC0832" w:rsidRDefault="00AC0832">
            <w:pPr>
              <w:pStyle w:val="CellColumn"/>
            </w:pPr>
            <w:r>
              <w:t>34.049</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Nastavlja se  započeti  ciklus međunarodne komparativne evaluacije znanja 12 godišnjaka prevođenjem ispitnog materijala i sudjelovanjem međunarodnim skupovima kojima se priprema PIRLS.</w:t>
      </w:r>
    </w:p>
    <w:p w:rsidR="00AC0832" w:rsidRDefault="00AC0832">
      <w:pPr>
        <w:pStyle w:val="Heading3"/>
      </w:pPr>
      <w:r>
        <w:t>43335 Agencija za mobilnost i programe Europske unije</w:t>
      </w:r>
    </w:p>
    <w:p w:rsidR="00AC0832" w:rsidRDefault="00AC0832">
      <w:pPr>
        <w:pStyle w:val="Heading4"/>
      </w:pPr>
      <w:r>
        <w:t>Uvod</w:t>
      </w:r>
    </w:p>
    <w:p w:rsidR="00AC0832" w:rsidRDefault="00AC0832">
      <w:pPr>
        <w:pStyle w:val="Normal5"/>
      </w:pPr>
      <w:r>
        <w:t xml:space="preserve">Agencija za mobilnost i programe EU akreditirana je od strane EK za provođenje programa Zajednice: Programa za cjeloživotno učenje i Mladi na djelu. Za provedbu tih programa Agencija dobiva sredstva iz Europskog proračuna, koja su većim dijelom namijenjena korisnicima (obrazovnim ustanovama RH) kojima se dodjeljuju putem javnog natječaja, te manjim dijelom za operativno poslovanje Agencije. Uz sredstva iz EK, Agencija mora osigurati i sredstva iz državnog proračuna za svoje poslovanje temeljem Memoranduma o razumijevanju – međudržavnog sporazuma između RH i EU. Kao pridružene inicijative Agencija provodi i Europass, Eurodesk i Euroguidance, koji čine horizontalne aktivnosti gore navedenih programa. </w:t>
      </w:r>
    </w:p>
    <w:p w:rsidR="00AC0832" w:rsidRDefault="00AC0832">
      <w:pPr>
        <w:pStyle w:val="Normal5"/>
      </w:pPr>
      <w:r>
        <w:t xml:space="preserve">Uz gore navedene programe EU, Agencija provodi i međunarodne programe mobilnosti, temeljem bilateralnih i multilateralnih sporazuma, a koji su temeljem Odluke MZOSa (kl. 605-01/11-01/0001; Ur.broj: 533-06-11-0001 i 533-06-11-0003) prebačeni na Agenciju. </w:t>
      </w:r>
    </w:p>
    <w:p w:rsidR="00AC0832" w:rsidRDefault="00AC0832">
      <w:pPr>
        <w:pStyle w:val="Normal5"/>
      </w:pPr>
      <w:r>
        <w:t>Agencija također podupire provedbu FP programa – 7.Okvirnog programa za znanost i istraživanje – dio koji se odnosi na mobilnost istraživača (Euraxess, People) te suradnju u područjima energije i okoliša.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43335-Agencija za mobilnost i programe Europske unije</w:t>
            </w:r>
          </w:p>
        </w:tc>
        <w:tc>
          <w:tcPr>
            <w:tcW w:w="2322" w:type="dxa"/>
          </w:tcPr>
          <w:p w:rsidR="00AC0832" w:rsidRDefault="00AC0832">
            <w:pPr>
              <w:pStyle w:val="CellColumn"/>
            </w:pPr>
            <w:r>
              <w:t>49.053.656</w:t>
            </w:r>
          </w:p>
        </w:tc>
        <w:tc>
          <w:tcPr>
            <w:tcW w:w="2322" w:type="dxa"/>
          </w:tcPr>
          <w:p w:rsidR="00AC0832" w:rsidRDefault="00AC0832">
            <w:pPr>
              <w:pStyle w:val="CellColumn"/>
            </w:pPr>
            <w:r>
              <w:t>69.043.283</w:t>
            </w:r>
          </w:p>
        </w:tc>
        <w:tc>
          <w:tcPr>
            <w:tcW w:w="2322" w:type="dxa"/>
          </w:tcPr>
          <w:p w:rsidR="00AC0832" w:rsidRDefault="00AC0832">
            <w:pPr>
              <w:pStyle w:val="CellColumn"/>
            </w:pPr>
            <w:r>
              <w:t>140,8</w:t>
            </w:r>
          </w:p>
        </w:tc>
      </w:tr>
      <w:tr w:rsidR="00AC0832" w:rsidTr="00BE20ED">
        <w:trPr>
          <w:jc w:val="center"/>
        </w:trPr>
        <w:tc>
          <w:tcPr>
            <w:tcW w:w="2322" w:type="dxa"/>
          </w:tcPr>
          <w:p w:rsidR="00AC0832" w:rsidRDefault="00AC0832">
            <w:pPr>
              <w:pStyle w:val="CellColumnSmall"/>
            </w:pPr>
            <w:r>
              <w:t>3701-RAZVOJ ODGOJNO OBRAZOVNOG SUSTAVA</w:t>
            </w:r>
          </w:p>
        </w:tc>
        <w:tc>
          <w:tcPr>
            <w:tcW w:w="2322" w:type="dxa"/>
          </w:tcPr>
          <w:p w:rsidR="00AC0832" w:rsidRDefault="00AC0832">
            <w:pPr>
              <w:pStyle w:val="CellColumnSmall"/>
            </w:pPr>
            <w:r>
              <w:t>49.053.656</w:t>
            </w:r>
          </w:p>
        </w:tc>
        <w:tc>
          <w:tcPr>
            <w:tcW w:w="2322" w:type="dxa"/>
          </w:tcPr>
          <w:p w:rsidR="00AC0832" w:rsidRDefault="00AC0832">
            <w:pPr>
              <w:pStyle w:val="CellColumnSmall"/>
            </w:pPr>
            <w:r>
              <w:t>69.043.283</w:t>
            </w:r>
          </w:p>
        </w:tc>
        <w:tc>
          <w:tcPr>
            <w:tcW w:w="2322" w:type="dxa"/>
          </w:tcPr>
          <w:p w:rsidR="00AC0832" w:rsidRDefault="00AC0832">
            <w:pPr>
              <w:pStyle w:val="CellColumnSmall"/>
            </w:pPr>
            <w:r>
              <w:t>140,8</w:t>
            </w:r>
          </w:p>
        </w:tc>
      </w:tr>
    </w:tbl>
    <w:p w:rsidR="00AC0832" w:rsidRDefault="00AC0832">
      <w:pPr>
        <w:jc w:val="left"/>
      </w:pPr>
    </w:p>
    <w:p w:rsidR="00AC0832" w:rsidRDefault="00AC0832">
      <w:pPr>
        <w:pStyle w:val="Heading4"/>
      </w:pPr>
      <w:r>
        <w:t>OBRAZLOŽENJE PROGRAMA</w:t>
      </w:r>
    </w:p>
    <w:p w:rsidR="00AC0832" w:rsidRDefault="00AC0832">
      <w:pPr>
        <w:pStyle w:val="Heading5"/>
      </w:pPr>
      <w:r>
        <w:t>3701 RAZVOJ ODGOJNO OBRAZOVNOG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3701-RAZVOJ ODGOJNO OBRAZOVNOG SUSTAVA</w:t>
            </w:r>
          </w:p>
        </w:tc>
        <w:tc>
          <w:tcPr>
            <w:tcW w:w="2322" w:type="dxa"/>
          </w:tcPr>
          <w:p w:rsidR="00AC0832" w:rsidRDefault="00AC0832">
            <w:pPr>
              <w:pStyle w:val="CellColumn"/>
            </w:pPr>
            <w:r>
              <w:t>49.053.656</w:t>
            </w:r>
          </w:p>
        </w:tc>
        <w:tc>
          <w:tcPr>
            <w:tcW w:w="2322" w:type="dxa"/>
          </w:tcPr>
          <w:p w:rsidR="00AC0832" w:rsidRDefault="00AC0832">
            <w:pPr>
              <w:pStyle w:val="CellColumn"/>
            </w:pPr>
            <w:r>
              <w:t>69.043.283</w:t>
            </w:r>
          </w:p>
        </w:tc>
        <w:tc>
          <w:tcPr>
            <w:tcW w:w="2322" w:type="dxa"/>
          </w:tcPr>
          <w:p w:rsidR="00AC0832" w:rsidRDefault="00AC0832">
            <w:pPr>
              <w:pStyle w:val="CellColumn"/>
            </w:pPr>
            <w:r>
              <w:t>140,8</w:t>
            </w:r>
          </w:p>
        </w:tc>
      </w:tr>
    </w:tbl>
    <w:p w:rsidR="00AC0832" w:rsidRDefault="00AC0832">
      <w:pPr>
        <w:jc w:val="left"/>
      </w:pPr>
    </w:p>
    <w:p w:rsidR="00AC0832" w:rsidRDefault="00AC0832">
      <w:pPr>
        <w:pStyle w:val="Heading6"/>
      </w:pPr>
      <w:r>
        <w:t>Opis programa</w:t>
      </w:r>
    </w:p>
    <w:p w:rsidR="00AC0832" w:rsidRDefault="00AC0832">
      <w:r>
        <w:t xml:space="preserve">Provedba Programa za cjeloživotno učenje Europske unije. </w:t>
      </w:r>
    </w:p>
    <w:p w:rsidR="00AC0832" w:rsidRDefault="00AC0832">
      <w:r>
        <w:t xml:space="preserve">Provedba programa Mladi na djelu Europske unije.  </w:t>
      </w:r>
    </w:p>
    <w:p w:rsidR="00AC0832" w:rsidRDefault="00AC0832">
      <w:r>
        <w:t xml:space="preserve">Provedba Euroguidance inicijative za profesionalno savjetovanje.  </w:t>
      </w:r>
    </w:p>
    <w:p w:rsidR="00AC0832" w:rsidRDefault="00AC0832">
      <w:r>
        <w:t xml:space="preserve">Provedba Eurodesk inicijative za informiranje mladih. Provedba Europass inicijative za poticanje mobilnosti. </w:t>
      </w:r>
    </w:p>
    <w:p w:rsidR="00AC0832" w:rsidRDefault="00AC0832">
      <w:r>
        <w:t xml:space="preserve">Provedba CEEPUS programa visokoškolske mobilnosti u srednjoj Europi.  </w:t>
      </w:r>
    </w:p>
    <w:p w:rsidR="00AC0832" w:rsidRDefault="00AC0832">
      <w:r>
        <w:t xml:space="preserve">Provedba visokoškolske mobilnosti temeljem bilateralnih sporazuma.  </w:t>
      </w:r>
    </w:p>
    <w:p w:rsidR="00AC0832" w:rsidRDefault="00AC0832">
      <w:r>
        <w:t xml:space="preserve">Provedba Euraxess programa za mobilnost istraživača i znanstvenika.  </w:t>
      </w:r>
    </w:p>
    <w:p w:rsidR="00AC0832" w:rsidRDefault="00AC0832">
      <w:r>
        <w:t xml:space="preserve">Nacionalna kontaktna točka za People program (u okviru FP programa EU za znanost i istraživanje).  </w:t>
      </w:r>
    </w:p>
    <w:p w:rsidR="00AC0832" w:rsidRDefault="00AC0832">
      <w:r>
        <w:t xml:space="preserve">Nacionalna kontaktna točka za potprogram FP-a Suradnja – iz područja energije i okoliša.  </w:t>
      </w:r>
    </w:p>
    <w:p w:rsidR="00AC0832" w:rsidRDefault="00AC0832">
      <w:r>
        <w:t xml:space="preserve">Sudjelovanje u projektima EU – Nacionalna skupina bolonjskih stručnjaka i nacionalna skupina ECVET stručnjaka.  </w:t>
      </w:r>
    </w:p>
    <w:p w:rsidR="00AC0832" w:rsidRDefault="00AC0832">
      <w:r>
        <w:t xml:space="preserve">Najavljeno je i sudjelovanje u inicijativi Mediteranskog ureda za mlade – pokretanje visokoškolske mobilnosti mediteranskih zemalja. Prioriteti Programa za cjeloživotno učenje, programa Mladi na djelu, Eurodesk i Europass i Euroguidance inicijative definirani su Odlukama Europskog parlamenta br. 1719/2006/EC i br.1720/2006/EC te uključuju razvoj društva kao naprednog društva znanja, održivog ekonomskog razvoja, s boljim poslovima i većim brojem poslova, potičući društvenu koheziju te zaštitu okoliša. Opći cilj programa u nadležnosti Agencije za mobilnost i programe EU  jest unaprijediti sustav obrazovanja kroz sudjelovanje u aktivnostima međunarodnih razmjena, suradnje i mobilnosti među obrazovnim ustanovama, i organizacijama na tržištu rada, kao i dati podršku mladima. </w:t>
      </w:r>
    </w:p>
    <w:p w:rsidR="00AC0832" w:rsidRDefault="00AC0832">
      <w:r>
        <w:t xml:space="preserve">Specifični ciljevi programa su pridonijeti kvaliteti, privlačnosti te pristupačnosti prilika za cjeloživotno učenje, promovirati kreativnost, konkurentnost, zapošljivost i razvoj poduzetničkog duha, pridonijeti uključivanju svih dobnih skupina u aktivnosti cjeloživotnog učenja, promovirati učenje jezika i jezične raznolikosti, potaknuti međunarodnu mobilnost hrvatskih studenata i znanstvenika te poduprijeti razvoj informatičko-komunikacijske tehnologije i osigurati razmjenu znanja i iskustava, jačati osjećaj multikulturalnosti, tolerancije, i europskog građanstva, pripadnosti europskom kulturnom krugu. </w:t>
      </w:r>
    </w:p>
    <w:p w:rsidR="00AC0832" w:rsidRDefault="00AC0832">
      <w:r>
        <w:t xml:space="preserve">Navedeni programi provode se na sljedeći način: Raspisivanjem javnih natječaja za dodjelu financijske potpore za realizaciju međunarodnih aktivnosti učenja i usavršavanja u okviru Programa za cjeloživotno učenje i programa Mladi na djelu, ugovaranje i financiranje, nadzor, promocija; Raspisivanjem javnih natječaja za dodjelu CEEPUS stipendija, ugovaranje i financiranje, nadzor, promocija; Raspisivanjem javnih natječaja za dodjelu bilateralnih stipendija, ugovaranje i financiranje, nadzor, promocija.Raspisivanjem javnih natječaja građanima RH ponudit će se mogućnost dobivanja financijske potpore EU i državnog proračuna za sudjelovanje u aktivnostima učenja u inozemstvu: studiranje, podučavanje, obavljanje prakse, stažiranje, stručno usavršavanje, volontiranje, razmjene mladih, lokalni i međunarodni projekti i inicijative, partnerstva itd. </w:t>
      </w:r>
    </w:p>
    <w:p w:rsidR="00AC0832" w:rsidRDefault="00AC0832">
      <w:r>
        <w:t xml:space="preserve">Savjetovanjem i informiranjem o mogućnostima korištenja i prijave na natječaje EK za provedbu 7.Okvirnog programa za znanost i istraživanje. Savjetovanjem i potporom hrvatskim i stranim znanstvenicima u ostvarivanju znanstvene mobilnosti. </w:t>
      </w:r>
    </w:p>
    <w:p w:rsidR="00AC0832" w:rsidRDefault="00AC0832">
      <w:r>
        <w:t>Sudjelovanjem u provedbi Akcijskog plana za mobilnost istraživača Vlade RH.</w:t>
      </w:r>
    </w:p>
    <w:p w:rsidR="00AC0832" w:rsidRDefault="00AC0832">
      <w:pPr>
        <w:pStyle w:val="Heading6"/>
      </w:pPr>
      <w:r>
        <w:t>Zakonske i druge pravne osnove</w:t>
      </w:r>
    </w:p>
    <w:p w:rsidR="00AC0832" w:rsidRDefault="00AC0832">
      <w:r>
        <w:t xml:space="preserve">Pregovaračko stajalište za poglavlje 26. Obrazovanje i kultura,  </w:t>
      </w:r>
    </w:p>
    <w:p w:rsidR="00AC0832" w:rsidRDefault="00AC0832">
      <w:r>
        <w:t xml:space="preserve">Zaključak Vlade RH od 28.2.2007. </w:t>
      </w:r>
    </w:p>
    <w:p w:rsidR="00AC0832" w:rsidRDefault="00AC0832">
      <w:r>
        <w:t xml:space="preserve">Zakon o Agenciji za mobilnost i programe EU </w:t>
      </w:r>
    </w:p>
    <w:p w:rsidR="00AC0832" w:rsidRDefault="00AC0832">
      <w:r>
        <w:t xml:space="preserve">Ugovor s Europskom komisijom o provedbi programa  </w:t>
      </w:r>
    </w:p>
    <w:p w:rsidR="00AC0832" w:rsidRDefault="00AC0832">
      <w:r>
        <w:t xml:space="preserve">Memorandum o razumijevanju o punopravnom sudjelovanju u programima EU (Program za cjeloživotno učenje i program Mladi na djelu i popratne inicijative) </w:t>
      </w:r>
    </w:p>
    <w:p w:rsidR="00AC0832" w:rsidRDefault="00AC0832">
      <w:r>
        <w:t xml:space="preserve">Odluke Europskog parlamenta o uspostavljanju Programa za cjeloživotno učenje i programa Mladi na djelu br. 1719/2006/EC i br. 1720/2006/EC  </w:t>
      </w:r>
    </w:p>
    <w:p w:rsidR="00AC0832" w:rsidRDefault="00AC0832">
      <w:r>
        <w:t xml:space="preserve">Odluke MZOSa o imenovanju AMPEU nacionalnim CEEPUS uredom za Hrvatsku i nacionalnom kontakt točkom za Mediteranski ured za mlade, nacionalnom kontakt točkom za Nacionalnu skupinu Bolonjskih stručnjaka te TEMPUS program </w:t>
      </w:r>
    </w:p>
    <w:p w:rsidR="00AC0832" w:rsidRDefault="00AC0832">
      <w:r>
        <w:t xml:space="preserve">Odluka MZOSa o zaduživanju AMPEU za provedbu bilateralnih stipendija </w:t>
      </w:r>
    </w:p>
    <w:p w:rsidR="00AC0832" w:rsidRDefault="00AC0832">
      <w:r>
        <w:t>Odluka MZOSa o imenovanju nacionalnih kontakt osoba za 7. Okvirni program za znanost i istraživanje – Energija i Okoliš.</w:t>
      </w:r>
    </w:p>
    <w:p w:rsidR="00AC0832" w:rsidRDefault="00AC0832">
      <w:pPr>
        <w:pStyle w:val="Heading7"/>
      </w:pPr>
      <w:r>
        <w:t>Cilj 1. Povećati broj sudionika koji sudjeluju u Programu za cjeloživotno učenje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Pokazatelj rezultata</w:t>
            </w:r>
          </w:p>
        </w:tc>
        <w:tc>
          <w:tcPr>
            <w:tcW w:w="1300" w:type="dxa"/>
          </w:tcPr>
          <w:p w:rsidR="00AC0832" w:rsidRDefault="00AC0832">
            <w:pPr>
              <w:pStyle w:val="CellColumn"/>
            </w:pPr>
            <w:r>
              <w:t>Broj sudionika koji sudjeluje u Programu,</w:t>
            </w:r>
          </w:p>
        </w:tc>
        <w:tc>
          <w:tcPr>
            <w:tcW w:w="1300" w:type="dxa"/>
          </w:tcPr>
          <w:p w:rsidR="00AC0832" w:rsidRDefault="00AC0832">
            <w:pPr>
              <w:pStyle w:val="CellColumn"/>
            </w:pPr>
            <w:r>
              <w:t>osoba koja sudjeluje – pojedinačni korisnik</w:t>
            </w:r>
          </w:p>
        </w:tc>
        <w:tc>
          <w:tcPr>
            <w:tcW w:w="1300" w:type="dxa"/>
          </w:tcPr>
          <w:p w:rsidR="00AC0832" w:rsidRDefault="00AC0832">
            <w:pPr>
              <w:pStyle w:val="CellColumn"/>
            </w:pPr>
            <w:r>
              <w:t>2297 (2011.)</w:t>
            </w:r>
          </w:p>
        </w:tc>
        <w:tc>
          <w:tcPr>
            <w:tcW w:w="1300" w:type="dxa"/>
          </w:tcPr>
          <w:p w:rsidR="00AC0832" w:rsidRDefault="00AC0832">
            <w:pPr>
              <w:pStyle w:val="CellColumn"/>
            </w:pPr>
            <w:r>
              <w:t>Završna izvješća korisnika</w:t>
            </w:r>
          </w:p>
        </w:tc>
        <w:tc>
          <w:tcPr>
            <w:tcW w:w="1300" w:type="dxa"/>
          </w:tcPr>
          <w:p w:rsidR="00AC0832" w:rsidRDefault="00AC0832">
            <w:pPr>
              <w:pStyle w:val="CellColumn"/>
            </w:pPr>
            <w:r>
              <w:t>3000</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7"/>
      </w:pPr>
      <w:r>
        <w:t>Cilj 2. Povećati broj sudionika koji sudjeluju u Programu Mladi na djelu</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Pokazatelj rezultata</w:t>
            </w:r>
          </w:p>
        </w:tc>
        <w:tc>
          <w:tcPr>
            <w:tcW w:w="1300" w:type="dxa"/>
          </w:tcPr>
          <w:p w:rsidR="00AC0832" w:rsidRDefault="00AC0832">
            <w:pPr>
              <w:pStyle w:val="CellColumn"/>
            </w:pPr>
            <w:r>
              <w:t>Broj sudionika koji sudjeluje u Programu</w:t>
            </w:r>
          </w:p>
        </w:tc>
        <w:tc>
          <w:tcPr>
            <w:tcW w:w="1300" w:type="dxa"/>
          </w:tcPr>
          <w:p w:rsidR="00AC0832" w:rsidRDefault="00AC0832">
            <w:pPr>
              <w:pStyle w:val="CellColumn"/>
            </w:pPr>
            <w:r>
              <w:t xml:space="preserve">osoba koja sudjeluje – pojedinačni </w:t>
            </w:r>
          </w:p>
          <w:p w:rsidR="00AC0832" w:rsidRDefault="00AC0832">
            <w:pPr>
              <w:pStyle w:val="CellColumn"/>
            </w:pPr>
            <w:r>
              <w:t>korisnik</w:t>
            </w:r>
          </w:p>
        </w:tc>
        <w:tc>
          <w:tcPr>
            <w:tcW w:w="1300" w:type="dxa"/>
          </w:tcPr>
          <w:p w:rsidR="00AC0832" w:rsidRDefault="00AC0832">
            <w:pPr>
              <w:pStyle w:val="CellColumn"/>
            </w:pPr>
            <w:r>
              <w:t>2100 (2011.)</w:t>
            </w:r>
          </w:p>
        </w:tc>
        <w:tc>
          <w:tcPr>
            <w:tcW w:w="1300" w:type="dxa"/>
          </w:tcPr>
          <w:p w:rsidR="00AC0832" w:rsidRDefault="00AC0832">
            <w:pPr>
              <w:pStyle w:val="CellColumn"/>
            </w:pPr>
            <w:r>
              <w:t>Završna izvješća</w:t>
            </w:r>
          </w:p>
        </w:tc>
        <w:tc>
          <w:tcPr>
            <w:tcW w:w="1300" w:type="dxa"/>
          </w:tcPr>
          <w:p w:rsidR="00AC0832" w:rsidRDefault="00AC0832">
            <w:pPr>
              <w:pStyle w:val="CellColumn"/>
            </w:pPr>
            <w:r>
              <w:t>2100</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7"/>
      </w:pPr>
      <w:r>
        <w:t xml:space="preserve">Cilj 3. Povećati mobilnost znanstvenika i broj znanstvenih projekata putem pružanjem usluga Euraxess centra i sudjelovanja u FP programu EU </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Pokazatelj rezultata</w:t>
            </w:r>
          </w:p>
        </w:tc>
        <w:tc>
          <w:tcPr>
            <w:tcW w:w="1300" w:type="dxa"/>
          </w:tcPr>
          <w:p w:rsidR="00AC0832" w:rsidRDefault="00AC0832">
            <w:pPr>
              <w:pStyle w:val="CellColumn"/>
            </w:pPr>
            <w:r>
              <w:t xml:space="preserve">Broj upita korisnika </w:t>
            </w:r>
          </w:p>
          <w:p w:rsidR="00AC0832" w:rsidRDefault="00AC0832">
            <w:pPr>
              <w:pStyle w:val="CellColumn"/>
            </w:pPr>
            <w:r>
              <w:t xml:space="preserve">Broj održanih info dana  </w:t>
            </w:r>
          </w:p>
          <w:p w:rsidR="00AC0832" w:rsidRDefault="00AC0832">
            <w:pPr>
              <w:pStyle w:val="CellColumn"/>
            </w:pPr>
            <w:r>
              <w:t xml:space="preserve"> Broj upita korisnika </w:t>
            </w:r>
          </w:p>
          <w:p w:rsidR="00AC0832" w:rsidRDefault="00AC0832">
            <w:pPr>
              <w:pStyle w:val="CellColumn"/>
            </w:pPr>
            <w:r>
              <w:t>Broj održanih info dana</w:t>
            </w:r>
          </w:p>
        </w:tc>
        <w:tc>
          <w:tcPr>
            <w:tcW w:w="1300" w:type="dxa"/>
          </w:tcPr>
          <w:p w:rsidR="00AC0832" w:rsidRDefault="00AC0832">
            <w:pPr>
              <w:pStyle w:val="CellColumn"/>
            </w:pPr>
            <w:r>
              <w:t xml:space="preserve">Upit, </w:t>
            </w:r>
          </w:p>
          <w:p w:rsidR="00AC0832" w:rsidRDefault="00AC0832">
            <w:pPr>
              <w:pStyle w:val="CellColumn"/>
            </w:pPr>
            <w:r>
              <w:t>Broj info dana</w:t>
            </w:r>
          </w:p>
        </w:tc>
        <w:tc>
          <w:tcPr>
            <w:tcW w:w="1300" w:type="dxa"/>
          </w:tcPr>
          <w:p w:rsidR="00AC0832" w:rsidRDefault="00AC0832">
            <w:pPr>
              <w:pStyle w:val="CellColumn"/>
            </w:pPr>
            <w:r>
              <w:t xml:space="preserve">250 upita (2011) </w:t>
            </w:r>
          </w:p>
          <w:p w:rsidR="00AC0832" w:rsidRDefault="00AC0832">
            <w:pPr>
              <w:pStyle w:val="CellColumn"/>
            </w:pPr>
            <w:r>
              <w:t>5 info dana (2011)</w:t>
            </w:r>
          </w:p>
        </w:tc>
        <w:tc>
          <w:tcPr>
            <w:tcW w:w="1300" w:type="dxa"/>
          </w:tcPr>
          <w:p w:rsidR="00AC0832" w:rsidRDefault="00AC0832">
            <w:pPr>
              <w:pStyle w:val="CellColumn"/>
            </w:pPr>
            <w:r>
              <w:t xml:space="preserve">Statistika upita </w:t>
            </w:r>
          </w:p>
          <w:p w:rsidR="00AC0832" w:rsidRDefault="00AC0832">
            <w:pPr>
              <w:pStyle w:val="CellColumn"/>
            </w:pPr>
            <w:r>
              <w:t>Lista sudionika</w:t>
            </w:r>
          </w:p>
        </w:tc>
        <w:tc>
          <w:tcPr>
            <w:tcW w:w="1300" w:type="dxa"/>
          </w:tcPr>
          <w:p w:rsidR="00AC0832" w:rsidRDefault="00AC0832">
            <w:pPr>
              <w:pStyle w:val="CellColumn"/>
            </w:pPr>
            <w:r>
              <w:t xml:space="preserve">250 upita </w:t>
            </w:r>
          </w:p>
          <w:p w:rsidR="00AC0832" w:rsidRDefault="00AC0832">
            <w:pPr>
              <w:pStyle w:val="CellColumn"/>
            </w:pPr>
            <w:r>
              <w:t>5 info dana</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7"/>
      </w:pPr>
      <w:r>
        <w:t>Cilj 4. Povećati visokoškolsku mobilnost studenata i nastavnog osoblja sudjelovanjem u CEEPUS programu i temeljem bilateralnih mobilnosti</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Pokazatelj rezultata</w:t>
            </w:r>
          </w:p>
        </w:tc>
        <w:tc>
          <w:tcPr>
            <w:tcW w:w="1300" w:type="dxa"/>
          </w:tcPr>
          <w:p w:rsidR="00AC0832" w:rsidRDefault="00AC0832">
            <w:pPr>
              <w:pStyle w:val="CellColumn"/>
            </w:pPr>
            <w:r>
              <w:t>Stipendije</w:t>
            </w:r>
          </w:p>
        </w:tc>
        <w:tc>
          <w:tcPr>
            <w:tcW w:w="1300" w:type="dxa"/>
          </w:tcPr>
          <w:p w:rsidR="00AC0832" w:rsidRDefault="00AC0832">
            <w:pPr>
              <w:pStyle w:val="CellColumn"/>
            </w:pPr>
            <w:r>
              <w:t>Broj dodijeljenih stipendija</w:t>
            </w:r>
          </w:p>
        </w:tc>
        <w:tc>
          <w:tcPr>
            <w:tcW w:w="1300" w:type="dxa"/>
          </w:tcPr>
          <w:p w:rsidR="00AC0832" w:rsidRDefault="00AC0832">
            <w:pPr>
              <w:pStyle w:val="CellColumn"/>
            </w:pPr>
            <w:r>
              <w:t>500 stipendija (2011).</w:t>
            </w:r>
          </w:p>
        </w:tc>
        <w:tc>
          <w:tcPr>
            <w:tcW w:w="1300" w:type="dxa"/>
          </w:tcPr>
          <w:p w:rsidR="00AC0832" w:rsidRDefault="00AC0832">
            <w:pPr>
              <w:pStyle w:val="CellColumn"/>
            </w:pPr>
            <w:r>
              <w:t>Odluka o dodjeli stipendija</w:t>
            </w:r>
          </w:p>
        </w:tc>
        <w:tc>
          <w:tcPr>
            <w:tcW w:w="1300" w:type="dxa"/>
          </w:tcPr>
          <w:p w:rsidR="00AC0832" w:rsidRDefault="00AC0832">
            <w:pPr>
              <w:pStyle w:val="CellColumn"/>
            </w:pPr>
            <w:r>
              <w:t>500</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7"/>
      </w:pPr>
      <w:r>
        <w:t>Cilj 5. Osigurati održivost provedbe popratnih inicijativa Europske komisije – Europass, Euroguidance, Eurodesk, eTwinning, stručne skupine za ECVET i stručne skupine za Bolonjski proces</w:t>
      </w: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17"/>
        <w:gridCol w:w="1350"/>
        <w:gridCol w:w="135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Pokazatelj rezultata</w:t>
            </w:r>
          </w:p>
        </w:tc>
        <w:tc>
          <w:tcPr>
            <w:tcW w:w="1300" w:type="dxa"/>
          </w:tcPr>
          <w:p w:rsidR="00AC0832" w:rsidRDefault="00AC0832">
            <w:pPr>
              <w:pStyle w:val="CellColumn"/>
            </w:pPr>
            <w:r>
              <w:t xml:space="preserve">Posjete na web stranice </w:t>
            </w:r>
          </w:p>
          <w:p w:rsidR="00AC0832" w:rsidRDefault="00AC0832">
            <w:pPr>
              <w:pStyle w:val="CellColumn"/>
            </w:pPr>
            <w:r>
              <w:t xml:space="preserve">Korisnici Europass dokumenata </w:t>
            </w:r>
          </w:p>
          <w:p w:rsidR="00AC0832" w:rsidRDefault="00AC0832">
            <w:pPr>
              <w:pStyle w:val="CellColumn"/>
            </w:pPr>
            <w:r>
              <w:t>Informativne aktivnosti</w:t>
            </w:r>
          </w:p>
        </w:tc>
        <w:tc>
          <w:tcPr>
            <w:tcW w:w="1300" w:type="dxa"/>
          </w:tcPr>
          <w:p w:rsidR="00AC0832" w:rsidRDefault="00AC0832">
            <w:pPr>
              <w:pStyle w:val="CellColumn"/>
            </w:pPr>
            <w:r>
              <w:t xml:space="preserve">Broj posjeta na web stranice </w:t>
            </w:r>
          </w:p>
          <w:p w:rsidR="00AC0832" w:rsidRDefault="00AC0832">
            <w:pPr>
              <w:pStyle w:val="CellColumn"/>
            </w:pPr>
            <w:r>
              <w:t xml:space="preserve">Broj korisnika Europass dokumenata </w:t>
            </w:r>
          </w:p>
          <w:p w:rsidR="00AC0832" w:rsidRDefault="00AC0832">
            <w:pPr>
              <w:pStyle w:val="CellColumn"/>
            </w:pPr>
            <w:r>
              <w:t>Broj informativnih aktivnosti</w:t>
            </w:r>
          </w:p>
        </w:tc>
        <w:tc>
          <w:tcPr>
            <w:tcW w:w="1300" w:type="dxa"/>
          </w:tcPr>
          <w:p w:rsidR="00AC0832" w:rsidRDefault="00AC0832">
            <w:pPr>
              <w:pStyle w:val="CellColumn"/>
            </w:pPr>
            <w:r>
              <w:t xml:space="preserve">500 posjeta mjesečno </w:t>
            </w:r>
          </w:p>
          <w:p w:rsidR="00AC0832" w:rsidRDefault="00AC0832">
            <w:pPr>
              <w:pStyle w:val="CellColumn"/>
            </w:pPr>
            <w:r>
              <w:t xml:space="preserve">500 Europass dokumenata godišnje </w:t>
            </w:r>
          </w:p>
          <w:p w:rsidR="00AC0832" w:rsidRDefault="00AC0832">
            <w:pPr>
              <w:pStyle w:val="CellColumn"/>
            </w:pPr>
            <w:r>
              <w:t xml:space="preserve">10 informativnih aktivnosti godišnje  </w:t>
            </w:r>
          </w:p>
          <w:p w:rsidR="00AC0832" w:rsidRDefault="00AC0832">
            <w:pPr>
              <w:pStyle w:val="CellColumn"/>
            </w:pPr>
            <w:r>
              <w:t>(2011.)</w:t>
            </w:r>
          </w:p>
        </w:tc>
        <w:tc>
          <w:tcPr>
            <w:tcW w:w="1300" w:type="dxa"/>
          </w:tcPr>
          <w:p w:rsidR="00AC0832" w:rsidRDefault="00AC0832">
            <w:pPr>
              <w:pStyle w:val="CellColumn"/>
            </w:pPr>
            <w:r>
              <w:t xml:space="preserve">Web statistike </w:t>
            </w:r>
          </w:p>
          <w:p w:rsidR="00AC0832" w:rsidRDefault="00AC0832">
            <w:pPr>
              <w:pStyle w:val="CellColumn"/>
            </w:pPr>
            <w:r>
              <w:t xml:space="preserve">CEDEFOP statistika </w:t>
            </w:r>
          </w:p>
          <w:p w:rsidR="00AC0832" w:rsidRDefault="00AC0832">
            <w:pPr>
              <w:pStyle w:val="CellColumn"/>
            </w:pPr>
            <w:r>
              <w:t>Potpisne liste sudionika</w:t>
            </w:r>
          </w:p>
        </w:tc>
        <w:tc>
          <w:tcPr>
            <w:tcW w:w="1300" w:type="dxa"/>
          </w:tcPr>
          <w:p w:rsidR="00AC0832" w:rsidRDefault="00AC0832">
            <w:pPr>
              <w:pStyle w:val="CellColumn"/>
            </w:pPr>
            <w:r>
              <w:t xml:space="preserve">500 </w:t>
            </w:r>
          </w:p>
          <w:p w:rsidR="00AC0832" w:rsidRDefault="00AC0832">
            <w:pPr>
              <w:pStyle w:val="CellColumn"/>
            </w:pPr>
            <w:r>
              <w:t xml:space="preserve">500 </w:t>
            </w:r>
          </w:p>
          <w:p w:rsidR="00AC0832" w:rsidRDefault="00AC0832">
            <w:pPr>
              <w:pStyle w:val="CellColumn"/>
            </w:pPr>
            <w:r>
              <w:t>9</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A818004 IPA I 2009 PROVEDBA PROGRAMA MLADI NA DJELU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A818004-IPA I 2009 PROVEDBA PROGRAMA MLADI NA DJELU</w:t>
            </w:r>
          </w:p>
        </w:tc>
        <w:tc>
          <w:tcPr>
            <w:tcW w:w="2322" w:type="dxa"/>
          </w:tcPr>
          <w:p w:rsidR="00AC0832" w:rsidRDefault="00AC0832">
            <w:pPr>
              <w:pStyle w:val="CellColumn"/>
            </w:pPr>
            <w:r>
              <w:t>2.445.398</w:t>
            </w:r>
          </w:p>
        </w:tc>
        <w:tc>
          <w:tcPr>
            <w:tcW w:w="2322" w:type="dxa"/>
          </w:tcPr>
          <w:p w:rsidR="00AC0832" w:rsidRDefault="00AC0832">
            <w:pPr>
              <w:pStyle w:val="CellColumn"/>
            </w:pPr>
            <w:r>
              <w:t>2.217.239</w:t>
            </w:r>
          </w:p>
        </w:tc>
        <w:tc>
          <w:tcPr>
            <w:tcW w:w="2322" w:type="dxa"/>
          </w:tcPr>
          <w:p w:rsidR="00AC0832" w:rsidRDefault="00AC0832">
            <w:pPr>
              <w:pStyle w:val="CellColumn"/>
            </w:pPr>
            <w:r>
              <w:t>90,7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Mladi na djelu je program Europske Komisije namijenjen mladima i organizacijama aktivnim u radu s mladima u području neformalnog obrazovanja. Prioriteti programa su osvješćivanje mladih da su dio Europe te osnaživanje njihovog eruopskog </w:t>
      </w:r>
    </w:p>
    <w:p w:rsidR="00AC0832" w:rsidRDefault="00AC0832">
      <w:pPr>
        <w:pStyle w:val="Normal6"/>
      </w:pPr>
      <w:r>
        <w:t>identiteta, aktivno sudjelovanje mladih u društvu, promicanje kulturne raznolikosti kao i uključivanje mladih koji zbog društvenih, ekonomskih, zdravstvenih, kulturnih ili drugih razloga imaju manje mogućnosti od svojih vršnjaka.</w:t>
      </w:r>
    </w:p>
    <w:p w:rsidR="00AC0832" w:rsidRDefault="00AC0832">
      <w:pPr>
        <w:pStyle w:val="Heading6"/>
      </w:pPr>
      <w:r>
        <w:t>A818005 IPA I 2009 PROVEDBA PROGRAMA ZA CJELOŽIVOTNO UČENJE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A818005-IPA I 2009 PROVEDBA PROGRAMA ZA CJELOŽIVOTNO UČENJE</w:t>
            </w:r>
          </w:p>
        </w:tc>
        <w:tc>
          <w:tcPr>
            <w:tcW w:w="2322" w:type="dxa"/>
          </w:tcPr>
          <w:p w:rsidR="00AC0832" w:rsidRDefault="00AC0832">
            <w:pPr>
              <w:pStyle w:val="CellColumn"/>
            </w:pPr>
            <w:r>
              <w:t>6.616.161</w:t>
            </w:r>
          </w:p>
        </w:tc>
        <w:tc>
          <w:tcPr>
            <w:tcW w:w="2322" w:type="dxa"/>
          </w:tcPr>
          <w:p w:rsidR="00AC0832" w:rsidRDefault="00AC0832">
            <w:pPr>
              <w:pStyle w:val="CellColumn"/>
            </w:pPr>
            <w:r>
              <w:t>7.006.732</w:t>
            </w:r>
          </w:p>
        </w:tc>
        <w:tc>
          <w:tcPr>
            <w:tcW w:w="2322" w:type="dxa"/>
          </w:tcPr>
          <w:p w:rsidR="00AC0832" w:rsidRDefault="00AC0832">
            <w:pPr>
              <w:pStyle w:val="CellColumn"/>
            </w:pPr>
            <w:r>
              <w:t>105,9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Program za cjeloživotno učenje je obrazovni program Europske unije namijenjen svim osobama uključenim u proces obrazovanja na svim razinama od predškolskog odgoja do visokog obrazovanja (učenici, studenti, odgajatelji, nastavnici, profesori, administrativno osoblje u vrtićima, školama i visokoškolskim ustanovama), kao i osobama već prisutnim na tržištu rada, koje su zaposlene u poduzećima, javnim i privatnim ustanovama na lokalnoj, regionalnoj i nacionalnoj razini, a bave se </w:t>
      </w:r>
    </w:p>
    <w:p w:rsidR="00AC0832" w:rsidRDefault="00AC0832">
      <w:pPr>
        <w:pStyle w:val="Normal6"/>
      </w:pPr>
      <w:r>
        <w:t>formalnim, informalnim ili neformalnim obrazovanjem. U Programu se može sudjelovati putem javnog natječaja,predlaganjem projekata koji su rezultat suradnje obrazovnih ustanova, poduzeća i udruga iz Hrvatske s onima u inozemstvu. Ustanove iz Hrvatske se prijavljuju svojim projektnim prijedlozima na raspisani natječaj, a pojedinci sudjeluju u aktivnostima preko svoje ustanove.</w:t>
      </w:r>
    </w:p>
    <w:p w:rsidR="00AC0832" w:rsidRDefault="00AC0832">
      <w:pPr>
        <w:pStyle w:val="Heading3"/>
      </w:pPr>
      <w:r>
        <w:t>46173 Agencija za strukovno obrazovanje i obrazovanje odraslih</w:t>
      </w:r>
    </w:p>
    <w:p w:rsidR="00AC0832" w:rsidRDefault="00AC0832">
      <w:pPr>
        <w:pStyle w:val="Heading4"/>
      </w:pPr>
      <w:r>
        <w:t>Uvod</w:t>
      </w:r>
    </w:p>
    <w:p w:rsidR="00AC0832" w:rsidRDefault="00AC0832">
      <w:pPr>
        <w:pStyle w:val="Normal5"/>
      </w:pPr>
      <w:r>
        <w:t>Agencija za strukovno obrazovanje i obrazovanje odraslih ima zadaću planirati i provoditi sve aktivnosti koje pridonose razvoju osiguranja kvalitete sustava strukovnog obrazovanja i sustava obrazovanja odraslih, usklađivati te sustave s potrebama tržišta rada realizirano kroz izradu novih paketa programa učenja (standarda zanimanja, standarda kvalifikacija i strukovnih kurikuluma) te kao akreditirano tijelo provoditi programe sufinancirane iz EU fondova.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46173-Agencija za strukovno obrazovanje i obrazovanje odraslih</w:t>
            </w:r>
          </w:p>
        </w:tc>
        <w:tc>
          <w:tcPr>
            <w:tcW w:w="2322" w:type="dxa"/>
          </w:tcPr>
          <w:p w:rsidR="00AC0832" w:rsidRDefault="00AC0832">
            <w:pPr>
              <w:pStyle w:val="CellColumn"/>
            </w:pPr>
            <w:r>
              <w:t>86.904.091</w:t>
            </w:r>
          </w:p>
        </w:tc>
        <w:tc>
          <w:tcPr>
            <w:tcW w:w="2322" w:type="dxa"/>
          </w:tcPr>
          <w:p w:rsidR="00AC0832" w:rsidRDefault="00AC0832">
            <w:pPr>
              <w:pStyle w:val="CellColumn"/>
            </w:pPr>
            <w:r>
              <w:t>57.043.204</w:t>
            </w:r>
          </w:p>
        </w:tc>
        <w:tc>
          <w:tcPr>
            <w:tcW w:w="2322" w:type="dxa"/>
          </w:tcPr>
          <w:p w:rsidR="00AC0832" w:rsidRDefault="00AC0832">
            <w:pPr>
              <w:pStyle w:val="CellColumn"/>
            </w:pPr>
            <w:r>
              <w:t>65,6</w:t>
            </w:r>
          </w:p>
        </w:tc>
      </w:tr>
      <w:tr w:rsidR="00AC0832" w:rsidTr="00BE20ED">
        <w:trPr>
          <w:jc w:val="center"/>
        </w:trPr>
        <w:tc>
          <w:tcPr>
            <w:tcW w:w="2322" w:type="dxa"/>
          </w:tcPr>
          <w:p w:rsidR="00AC0832" w:rsidRDefault="00AC0832">
            <w:pPr>
              <w:pStyle w:val="CellColumnSmall"/>
            </w:pPr>
            <w:r>
              <w:t>3701-RAZVOJ ODGOJNO OBRAZOVNOG SUSTAVA</w:t>
            </w:r>
          </w:p>
        </w:tc>
        <w:tc>
          <w:tcPr>
            <w:tcW w:w="2322" w:type="dxa"/>
          </w:tcPr>
          <w:p w:rsidR="00AC0832" w:rsidRDefault="00AC0832">
            <w:pPr>
              <w:pStyle w:val="CellColumnSmall"/>
            </w:pPr>
            <w:r>
              <w:t>86.904.091</w:t>
            </w:r>
          </w:p>
        </w:tc>
        <w:tc>
          <w:tcPr>
            <w:tcW w:w="2322" w:type="dxa"/>
          </w:tcPr>
          <w:p w:rsidR="00AC0832" w:rsidRDefault="00AC0832">
            <w:pPr>
              <w:pStyle w:val="CellColumnSmall"/>
            </w:pPr>
            <w:r>
              <w:t>57.043.204</w:t>
            </w:r>
          </w:p>
        </w:tc>
        <w:tc>
          <w:tcPr>
            <w:tcW w:w="2322" w:type="dxa"/>
          </w:tcPr>
          <w:p w:rsidR="00AC0832" w:rsidRDefault="00AC0832">
            <w:pPr>
              <w:pStyle w:val="CellColumnSmall"/>
            </w:pPr>
            <w:r>
              <w:t>65,6</w:t>
            </w:r>
          </w:p>
        </w:tc>
      </w:tr>
    </w:tbl>
    <w:p w:rsidR="00AC0832" w:rsidRDefault="00AC0832">
      <w:pPr>
        <w:jc w:val="left"/>
      </w:pPr>
    </w:p>
    <w:p w:rsidR="00AC0832" w:rsidRDefault="00AC0832">
      <w:pPr>
        <w:pStyle w:val="Heading4"/>
      </w:pPr>
      <w:r>
        <w:t>OBRAZLOŽENJE PROGRAMA</w:t>
      </w:r>
    </w:p>
    <w:p w:rsidR="00AC0832" w:rsidRDefault="00AC0832">
      <w:pPr>
        <w:pStyle w:val="Heading5"/>
      </w:pPr>
      <w:r>
        <w:t>3701 RAZVOJ ODGOJNO OBRAZOVNOG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3701-RAZVOJ ODGOJNO OBRAZOVNOG SUSTAVA</w:t>
            </w:r>
          </w:p>
        </w:tc>
        <w:tc>
          <w:tcPr>
            <w:tcW w:w="2322" w:type="dxa"/>
          </w:tcPr>
          <w:p w:rsidR="00AC0832" w:rsidRDefault="00AC0832">
            <w:pPr>
              <w:pStyle w:val="CellColumn"/>
            </w:pPr>
            <w:r>
              <w:t>86.904.091</w:t>
            </w:r>
          </w:p>
        </w:tc>
        <w:tc>
          <w:tcPr>
            <w:tcW w:w="2322" w:type="dxa"/>
          </w:tcPr>
          <w:p w:rsidR="00AC0832" w:rsidRDefault="00AC0832">
            <w:pPr>
              <w:pStyle w:val="CellColumn"/>
            </w:pPr>
            <w:r>
              <w:t>57.043.204</w:t>
            </w:r>
          </w:p>
        </w:tc>
        <w:tc>
          <w:tcPr>
            <w:tcW w:w="2322" w:type="dxa"/>
          </w:tcPr>
          <w:p w:rsidR="00AC0832" w:rsidRDefault="00AC0832">
            <w:pPr>
              <w:pStyle w:val="CellColumn"/>
            </w:pPr>
            <w:r>
              <w:t>65,6</w:t>
            </w:r>
          </w:p>
        </w:tc>
      </w:tr>
    </w:tbl>
    <w:p w:rsidR="00AC0832" w:rsidRDefault="00AC0832">
      <w:pPr>
        <w:jc w:val="left"/>
      </w:pPr>
    </w:p>
    <w:p w:rsidR="00AC0832" w:rsidRDefault="00AC0832">
      <w:pPr>
        <w:pStyle w:val="Heading6"/>
      </w:pPr>
      <w:r>
        <w:t>Opis programa</w:t>
      </w:r>
    </w:p>
    <w:p w:rsidR="00AC0832" w:rsidRDefault="00AC0832">
      <w:r>
        <w:t>Promocija učenja i obrazovanja ima za svrhu senzibiliziranje javnosti za cjeloživotno učenje, promicanje kulture učenja te poticanje osobne motivacije za učenjem i obrazovanjem. Na temelju izravnih obraćanja građanima potiče se veće uključivanje u procese obrazovanja i učenja. Namjera je podizanje svijesti o važnosti ulaganja u cjeloživotno učenje, stjecanja kvalifikacija potrebnih tržištu rada (veća zapošljivost) kao i znanja potrebnih za samoostvarenje, povećanje kvalitete življenja i razvoja aktivnog građanstva, što će u konačnici dovesti do poboljšanja obrazovne strukture stanovništva, trajnog osuvremenjivanja sadržaja i metoda obrazovanja na svim razinama obrazovnog sustava. Važno je osvijestiti i spoznaju o stalnoj brizi kod nositelja obrazovnog sustava te svih koji sufinanciraju spomenute aktivnosti. Promocija učenja i obrazovanja u Republici Hrvatskoj povezan je s ciljem 4. Poticanje znanja izvrsnosti i kulture (posebni ciljevi 4.1., 4.2., i 4.3.) Strategije vladinih programa za razdoblje 2011.-2013.</w:t>
      </w:r>
    </w:p>
    <w:p w:rsidR="00AC0832" w:rsidRDefault="00AC0832">
      <w:pPr>
        <w:pStyle w:val="Heading6"/>
      </w:pPr>
      <w:r>
        <w:t>Zakonske i druge pravne osnove</w:t>
      </w:r>
    </w:p>
    <w:p w:rsidR="00AC0832" w:rsidRDefault="00AC0832">
      <w:r>
        <w:t>Strategija obrazovanja odraslih 2004., Zakon o obrazovanju odraslih, 2007., Plan gospodarskog oporavka Vlade RH 2010., Strateški okvir za razvoj 2006.-2013. (poglavlje II), Strategija vladinih programa za razdoblje 2011.-2013</w:t>
      </w:r>
    </w:p>
    <w:p w:rsidR="00AC0832" w:rsidRDefault="00AC0832">
      <w:pPr>
        <w:pStyle w:val="Heading7"/>
      </w:pPr>
      <w:r>
        <w:t>Cilj 1. Povećati postotak građana uključenih u programe cjeloživotnog učenja.</w:t>
      </w:r>
    </w:p>
    <w:p w:rsidR="00AC0832" w:rsidRDefault="00AC0832">
      <w:pPr>
        <w:pStyle w:val="Heading8"/>
        <w:jc w:val="left"/>
      </w:pPr>
      <w:r>
        <w:t>Opis provedbe cilja programa</w:t>
      </w:r>
    </w:p>
    <w:p w:rsidR="00AC0832" w:rsidRDefault="00AC0832">
      <w:pPr>
        <w:pStyle w:val="Normal6"/>
      </w:pPr>
      <w:r>
        <w:t>Promocija učenja i obrazovanja ima za svrhu senzibiliziranje javnosti za cjeloživotno učenje, promicanje kulture učenja te poticanje osobne motivacije za učenjem i obrazovanjem. Na temelju izravnih obraćanja građanima potiče se veće uključivanje u procese obrazovanja i učenja. Namjera je podizanje svijesti o važnosti ulaganja u cjeloživotno učenje, stjecanja kvalifikacija potrebnih tržištu rada (veća zapošljivost) kao i znanja potrebnih za samoostvarenje, povećanje kvalitete življenja i razvoja aktivnog građanstva, što će u konačnici dovesti do poboljšanja obrazovne strukture stanovništva, trajnog osuvremenjivanja sadržaja i metoda obrazovanja na svim razinama obrazovnog sustava. Važno je osvijestiti i spoznaju o stalnoj brizi kod nositelja obrazovnog sustava te svih koji sufinanciraju spomenute aktivnosti. Promocija učenja i obrazovanja u Republici Hrvatskoj povezan je s ciljem 4. Poticanje znanja izvrsnosti i kulture (posebni ciljevi 4.1., 4.2., i 4.3.) Strategije vladinih programa za razdoblje 2011.-2013.</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3"/>
        <w:gridCol w:w="1506"/>
        <w:gridCol w:w="1274"/>
        <w:gridCol w:w="1283"/>
        <w:gridCol w:w="1281"/>
        <w:gridCol w:w="1283"/>
        <w:gridCol w:w="128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 postotak osoba uključen u neki oblik cjeloživotnog učenja.</w:t>
            </w:r>
          </w:p>
        </w:tc>
        <w:tc>
          <w:tcPr>
            <w:tcW w:w="1300" w:type="dxa"/>
          </w:tcPr>
          <w:p w:rsidR="00AC0832" w:rsidRDefault="00AC0832">
            <w:pPr>
              <w:pStyle w:val="CellColumn"/>
            </w:pPr>
            <w:r>
              <w:t>Kontinuiranom promocijom učenja povećava se mogućnost utjecaja na svijest  svakog pojedinca te time i njegovo sudjelovanje u nekom obliku učenja.</w:t>
            </w:r>
          </w:p>
        </w:tc>
        <w:tc>
          <w:tcPr>
            <w:tcW w:w="1300" w:type="dxa"/>
          </w:tcPr>
          <w:p w:rsidR="00AC0832" w:rsidRDefault="00AC0832">
            <w:pPr>
              <w:pStyle w:val="CellColumn"/>
            </w:pPr>
            <w:r>
              <w:t>%</w:t>
            </w:r>
          </w:p>
        </w:tc>
        <w:tc>
          <w:tcPr>
            <w:tcW w:w="1300" w:type="dxa"/>
          </w:tcPr>
          <w:p w:rsidR="00AC0832" w:rsidRDefault="00AC0832">
            <w:pPr>
              <w:pStyle w:val="CellColumn"/>
            </w:pPr>
            <w:r>
              <w:t>2,3</w:t>
            </w:r>
          </w:p>
        </w:tc>
        <w:tc>
          <w:tcPr>
            <w:tcW w:w="1300" w:type="dxa"/>
          </w:tcPr>
          <w:p w:rsidR="00AC0832" w:rsidRDefault="00AC0832">
            <w:pPr>
              <w:pStyle w:val="CellColumn"/>
            </w:pPr>
            <w:r>
              <w:t>Eurostat i Državni zavod za statistiku</w:t>
            </w:r>
          </w:p>
        </w:tc>
        <w:tc>
          <w:tcPr>
            <w:tcW w:w="1300" w:type="dxa"/>
          </w:tcPr>
          <w:p w:rsidR="00AC0832" w:rsidRDefault="00AC0832">
            <w:pPr>
              <w:pStyle w:val="CellColumn"/>
            </w:pPr>
            <w:r>
              <w:t>3,1</w:t>
            </w:r>
          </w:p>
        </w:tc>
        <w:tc>
          <w:tcPr>
            <w:tcW w:w="1300" w:type="dxa"/>
          </w:tcPr>
          <w:p w:rsidR="00AC0832" w:rsidRDefault="00AC0832">
            <w:pPr>
              <w:pStyle w:val="CellColumn"/>
            </w:pPr>
            <w:r>
              <w:t>Službeni podaci još nisu objavljeni za 2012. godinu.</w:t>
            </w:r>
          </w:p>
        </w:tc>
      </w:tr>
    </w:tbl>
    <w:p w:rsidR="00AC0832" w:rsidRDefault="00AC0832">
      <w:pPr>
        <w:jc w:val="left"/>
      </w:pPr>
    </w:p>
    <w:p w:rsidR="00AC0832" w:rsidRDefault="00AC0832">
      <w:pPr>
        <w:pStyle w:val="Heading6"/>
      </w:pPr>
      <w:r>
        <w:t>A848009 PROMICANJE KULTURE UČENJA: TJEDAN CJELOŽIVOTNOG UČENJA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A848009-PROMICANJE KULTURE UČENJA: TJEDAN CJELOŽIVOTNOG UČENJA</w:t>
            </w:r>
          </w:p>
        </w:tc>
        <w:tc>
          <w:tcPr>
            <w:tcW w:w="2322" w:type="dxa"/>
          </w:tcPr>
          <w:p w:rsidR="00AC0832" w:rsidRDefault="00AC0832">
            <w:pPr>
              <w:pStyle w:val="CellColumn"/>
            </w:pPr>
            <w:r>
              <w:t>255.043</w:t>
            </w:r>
          </w:p>
        </w:tc>
        <w:tc>
          <w:tcPr>
            <w:tcW w:w="2322" w:type="dxa"/>
          </w:tcPr>
          <w:p w:rsidR="00AC0832" w:rsidRDefault="00AC0832">
            <w:pPr>
              <w:pStyle w:val="CellColumn"/>
            </w:pPr>
            <w:r>
              <w:t>228.718</w:t>
            </w:r>
          </w:p>
        </w:tc>
        <w:tc>
          <w:tcPr>
            <w:tcW w:w="2322" w:type="dxa"/>
          </w:tcPr>
          <w:p w:rsidR="00AC0832" w:rsidRDefault="00AC0832">
            <w:pPr>
              <w:pStyle w:val="CellColumn"/>
            </w:pPr>
            <w:r>
              <w:t>89,7</w:t>
            </w:r>
          </w:p>
        </w:tc>
      </w:tr>
    </w:tbl>
    <w:p w:rsidR="00AC0832" w:rsidRDefault="00AC0832">
      <w:pPr>
        <w:jc w:val="left"/>
      </w:pPr>
    </w:p>
    <w:p w:rsidR="00AC0832" w:rsidRDefault="00AC0832">
      <w:pPr>
        <w:pStyle w:val="Heading8"/>
        <w:jc w:val="left"/>
      </w:pPr>
      <w:r>
        <w:t>Opis provedbe aktivnosti / projekta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3"/>
        <w:gridCol w:w="1299"/>
        <w:gridCol w:w="1417"/>
        <w:gridCol w:w="1300"/>
        <w:gridCol w:w="1299"/>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institucija uključenih u Tjedan cjeloživotnog učenja i Dan pismenosti</w:t>
            </w:r>
          </w:p>
        </w:tc>
        <w:tc>
          <w:tcPr>
            <w:tcW w:w="1300" w:type="dxa"/>
          </w:tcPr>
          <w:p w:rsidR="00AC0832" w:rsidRDefault="00AC0832">
            <w:pPr>
              <w:pStyle w:val="CellColumn"/>
            </w:pPr>
            <w:r>
              <w:t>Organizirati aktivnosti kojima se promiče cjeloživotno učenje</w:t>
            </w:r>
          </w:p>
        </w:tc>
        <w:tc>
          <w:tcPr>
            <w:tcW w:w="1300" w:type="dxa"/>
          </w:tcPr>
          <w:p w:rsidR="00AC0832" w:rsidRDefault="00AC0832">
            <w:pPr>
              <w:pStyle w:val="CellColumn"/>
            </w:pPr>
            <w:r>
              <w:t>Broj (kumulativno)</w:t>
            </w:r>
          </w:p>
        </w:tc>
        <w:tc>
          <w:tcPr>
            <w:tcW w:w="1300" w:type="dxa"/>
          </w:tcPr>
          <w:p w:rsidR="00AC0832" w:rsidRDefault="00AC0832">
            <w:pPr>
              <w:pStyle w:val="CellColumn"/>
            </w:pPr>
            <w:r>
              <w:t>450</w:t>
            </w:r>
          </w:p>
        </w:tc>
        <w:tc>
          <w:tcPr>
            <w:tcW w:w="1300" w:type="dxa"/>
          </w:tcPr>
          <w:p w:rsidR="00AC0832" w:rsidRDefault="00AC0832">
            <w:pPr>
              <w:pStyle w:val="CellColumn"/>
            </w:pPr>
            <w:r>
              <w:t>ASOO</w:t>
            </w:r>
          </w:p>
        </w:tc>
        <w:tc>
          <w:tcPr>
            <w:tcW w:w="1300" w:type="dxa"/>
          </w:tcPr>
          <w:p w:rsidR="00AC0832" w:rsidRDefault="00AC0832">
            <w:pPr>
              <w:pStyle w:val="CellColumn"/>
            </w:pPr>
            <w:r>
              <w:t>550</w:t>
            </w:r>
          </w:p>
        </w:tc>
        <w:tc>
          <w:tcPr>
            <w:tcW w:w="1300" w:type="dxa"/>
          </w:tcPr>
          <w:p w:rsidR="00AC0832" w:rsidRDefault="00AC0832">
            <w:pPr>
              <w:pStyle w:val="CellColumn"/>
            </w:pPr>
            <w:r>
              <w:t>700</w:t>
            </w:r>
          </w:p>
        </w:tc>
      </w:tr>
    </w:tbl>
    <w:p w:rsidR="00AC0832" w:rsidRDefault="00AC0832">
      <w:pPr>
        <w:jc w:val="left"/>
      </w:pPr>
    </w:p>
    <w:p w:rsidR="00AC0832" w:rsidRDefault="00AC0832">
      <w:pPr>
        <w:pStyle w:val="Heading6"/>
      </w:pPr>
    </w:p>
    <w:p w:rsidR="00AC0832" w:rsidRDefault="00AC0832">
      <w:pPr>
        <w:pStyle w:val="Heading6"/>
      </w:pPr>
    </w:p>
    <w:p w:rsidR="00AC0832" w:rsidRDefault="00AC0832">
      <w:pPr>
        <w:pStyle w:val="Heading6"/>
      </w:pPr>
      <w:r>
        <w:t>A848014 RAZVOJ SUSTAVA STRUKOVNOG OBRAZOVANJA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A848014-RAZVOJ SUSTAVA STRUKOVNOG OBRAZOVANJA</w:t>
            </w:r>
          </w:p>
        </w:tc>
        <w:tc>
          <w:tcPr>
            <w:tcW w:w="2322" w:type="dxa"/>
          </w:tcPr>
          <w:p w:rsidR="00AC0832" w:rsidRDefault="00AC0832">
            <w:pPr>
              <w:pStyle w:val="CellColumn"/>
            </w:pPr>
            <w:r>
              <w:t>1.200.081</w:t>
            </w:r>
          </w:p>
        </w:tc>
        <w:tc>
          <w:tcPr>
            <w:tcW w:w="2322" w:type="dxa"/>
          </w:tcPr>
          <w:p w:rsidR="00AC0832" w:rsidRDefault="00AC0832">
            <w:pPr>
              <w:pStyle w:val="CellColumn"/>
            </w:pPr>
            <w:r>
              <w:t>1.037.768</w:t>
            </w:r>
          </w:p>
        </w:tc>
        <w:tc>
          <w:tcPr>
            <w:tcW w:w="2322" w:type="dxa"/>
          </w:tcPr>
          <w:p w:rsidR="00AC0832" w:rsidRDefault="00AC0832">
            <w:pPr>
              <w:pStyle w:val="CellColumn"/>
            </w:pPr>
            <w:r>
              <w:t>86,5</w:t>
            </w:r>
          </w:p>
        </w:tc>
      </w:tr>
    </w:tbl>
    <w:p w:rsidR="00AC0832" w:rsidRDefault="00AC0832">
      <w:pPr>
        <w:jc w:val="left"/>
      </w:pPr>
    </w:p>
    <w:p w:rsidR="00AC0832" w:rsidRDefault="00AC0832">
      <w:pPr>
        <w:pStyle w:val="Heading8"/>
        <w:jc w:val="left"/>
      </w:pPr>
      <w:r>
        <w:t>Opis provedbe aktivnosti / projekta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50"/>
        <w:gridCol w:w="1417"/>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razvijenih standarda zanimanja i strukovnih kvalifikacija</w:t>
            </w:r>
          </w:p>
        </w:tc>
        <w:tc>
          <w:tcPr>
            <w:tcW w:w="1300" w:type="dxa"/>
          </w:tcPr>
          <w:p w:rsidR="00AC0832" w:rsidRDefault="00AC0832">
            <w:pPr>
              <w:pStyle w:val="CellColumn"/>
            </w:pPr>
            <w:r>
              <w:t>Radom u stručnim timovima i radnim skupinama donositi prijedloge strukovnih kvalifikacija</w:t>
            </w:r>
          </w:p>
        </w:tc>
        <w:tc>
          <w:tcPr>
            <w:tcW w:w="1300" w:type="dxa"/>
          </w:tcPr>
          <w:p w:rsidR="00AC0832" w:rsidRDefault="00AC0832">
            <w:pPr>
              <w:pStyle w:val="CellColumn"/>
            </w:pPr>
            <w:r>
              <w:t>Broj (kumulativno)</w:t>
            </w:r>
          </w:p>
        </w:tc>
        <w:tc>
          <w:tcPr>
            <w:tcW w:w="1300" w:type="dxa"/>
          </w:tcPr>
          <w:p w:rsidR="00AC0832" w:rsidRDefault="00AC0832">
            <w:pPr>
              <w:pStyle w:val="CellColumn"/>
            </w:pPr>
            <w:r>
              <w:t>14</w:t>
            </w:r>
          </w:p>
        </w:tc>
        <w:tc>
          <w:tcPr>
            <w:tcW w:w="1300" w:type="dxa"/>
          </w:tcPr>
          <w:p w:rsidR="00AC0832" w:rsidRDefault="00AC0832">
            <w:pPr>
              <w:pStyle w:val="CellColumn"/>
            </w:pPr>
            <w:r>
              <w:t>ASOO</w:t>
            </w:r>
          </w:p>
        </w:tc>
        <w:tc>
          <w:tcPr>
            <w:tcW w:w="1300" w:type="dxa"/>
          </w:tcPr>
          <w:p w:rsidR="00AC0832" w:rsidRDefault="00AC0832">
            <w:pPr>
              <w:pStyle w:val="CellColumn"/>
            </w:pPr>
            <w:r>
              <w:t>14</w:t>
            </w:r>
          </w:p>
        </w:tc>
        <w:tc>
          <w:tcPr>
            <w:tcW w:w="1300" w:type="dxa"/>
          </w:tcPr>
          <w:p w:rsidR="00AC0832" w:rsidRDefault="00AC0832">
            <w:pPr>
              <w:pStyle w:val="CellColumn"/>
            </w:pPr>
            <w:r>
              <w:t>25</w:t>
            </w:r>
          </w:p>
        </w:tc>
      </w:tr>
      <w:tr w:rsidR="00AC0832" w:rsidTr="00BE20ED">
        <w:trPr>
          <w:jc w:val="center"/>
        </w:trPr>
        <w:tc>
          <w:tcPr>
            <w:tcW w:w="1300" w:type="dxa"/>
          </w:tcPr>
          <w:p w:rsidR="00AC0832" w:rsidRDefault="00AC0832">
            <w:pPr>
              <w:pStyle w:val="CellColumn"/>
            </w:pPr>
            <w:r>
              <w:t>Povećanje broja izrađenih i usvojenih strukovnih kurikuluma</w:t>
            </w:r>
          </w:p>
        </w:tc>
        <w:tc>
          <w:tcPr>
            <w:tcW w:w="1300" w:type="dxa"/>
          </w:tcPr>
          <w:p w:rsidR="00AC0832" w:rsidRDefault="00AC0832">
            <w:pPr>
              <w:pStyle w:val="CellColumn"/>
            </w:pPr>
            <w:r>
              <w:t>Izraditi nove strukovne kurikulume utemeljene na istraživanju potreba tržišta rada te pripadajućim standardima zanimanja i strukovnih kvalifikacija</w:t>
            </w:r>
          </w:p>
        </w:tc>
        <w:tc>
          <w:tcPr>
            <w:tcW w:w="1300" w:type="dxa"/>
          </w:tcPr>
          <w:p w:rsidR="00AC0832" w:rsidRDefault="00AC0832">
            <w:pPr>
              <w:pStyle w:val="CellColumn"/>
            </w:pPr>
            <w:r>
              <w:t>Broj (kumulativno)</w:t>
            </w:r>
          </w:p>
        </w:tc>
        <w:tc>
          <w:tcPr>
            <w:tcW w:w="1300" w:type="dxa"/>
          </w:tcPr>
          <w:p w:rsidR="00AC0832" w:rsidRDefault="00AC0832">
            <w:pPr>
              <w:pStyle w:val="CellColumn"/>
            </w:pPr>
            <w:r>
              <w:t>2</w:t>
            </w:r>
          </w:p>
        </w:tc>
        <w:tc>
          <w:tcPr>
            <w:tcW w:w="1300" w:type="dxa"/>
          </w:tcPr>
          <w:p w:rsidR="00AC0832" w:rsidRDefault="00AC0832">
            <w:pPr>
              <w:pStyle w:val="CellColumn"/>
            </w:pPr>
            <w:r>
              <w:t>ASOO</w:t>
            </w:r>
          </w:p>
        </w:tc>
        <w:tc>
          <w:tcPr>
            <w:tcW w:w="1300" w:type="dxa"/>
          </w:tcPr>
          <w:p w:rsidR="00AC0832" w:rsidRDefault="00AC0832">
            <w:pPr>
              <w:pStyle w:val="CellColumn"/>
            </w:pPr>
            <w:r>
              <w:t>26</w:t>
            </w:r>
          </w:p>
        </w:tc>
        <w:tc>
          <w:tcPr>
            <w:tcW w:w="1300" w:type="dxa"/>
          </w:tcPr>
          <w:p w:rsidR="00AC0832" w:rsidRDefault="00AC0832">
            <w:pPr>
              <w:pStyle w:val="CellColumn"/>
            </w:pPr>
            <w:r>
              <w:t>25</w:t>
            </w:r>
          </w:p>
        </w:tc>
      </w:tr>
    </w:tbl>
    <w:p w:rsidR="00AC0832" w:rsidRDefault="00AC0832">
      <w:pPr>
        <w:jc w:val="left"/>
      </w:pPr>
    </w:p>
    <w:p w:rsidR="00AC0832" w:rsidRDefault="00AC0832">
      <w:pPr>
        <w:pStyle w:val="Heading6"/>
      </w:pPr>
      <w:r>
        <w:t>A848015 IPA IV 2007 PROGRAM ZA RAZVOJ LJUDSKIH POTENCIJALA-PRIORITET 3 UNAPREĐIVANJE LJUDSKOG KAPITALA I ZAPOŠLJAVANJA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A848015-IPA IV 2007 PROGRAM ZA RAZVOJ LJUDSKIH POTENCIJALA-PRIORITET 3 UNAPREĐIVANJE LJUDSKOG KAPITALA I ZAPOŠLJAVANJA</w:t>
            </w:r>
          </w:p>
        </w:tc>
        <w:tc>
          <w:tcPr>
            <w:tcW w:w="2322" w:type="dxa"/>
          </w:tcPr>
          <w:p w:rsidR="00AC0832" w:rsidRDefault="00AC0832">
            <w:pPr>
              <w:pStyle w:val="CellColumn"/>
            </w:pPr>
            <w:r>
              <w:t>65.374.775</w:t>
            </w:r>
          </w:p>
        </w:tc>
        <w:tc>
          <w:tcPr>
            <w:tcW w:w="2322" w:type="dxa"/>
          </w:tcPr>
          <w:p w:rsidR="00AC0832" w:rsidRDefault="00AC0832">
            <w:pPr>
              <w:pStyle w:val="CellColumn"/>
            </w:pPr>
            <w:r>
              <w:t>37.258.994</w:t>
            </w:r>
          </w:p>
        </w:tc>
        <w:tc>
          <w:tcPr>
            <w:tcW w:w="2322" w:type="dxa"/>
          </w:tcPr>
          <w:p w:rsidR="00AC0832" w:rsidRDefault="00AC0832">
            <w:pPr>
              <w:pStyle w:val="CellColumn"/>
            </w:pPr>
            <w:r>
              <w:t>57,0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IPA IV RAZVOJ LJUDSKIH POTENCIJALA – Prioritet 2, mjera 2.2 – Jačanje socijalnog uključivanja i integracije osoba kojima je otežan pristup tržištu rada </w:t>
      </w:r>
    </w:p>
    <w:p w:rsidR="00AC0832" w:rsidRDefault="00AC0832">
      <w:pPr>
        <w:pStyle w:val="Normal6"/>
      </w:pPr>
      <w:r>
        <w:t xml:space="preserve">Kroz aktivnost se promovira jednaka mogućnosti pristupu obrazovanja kroz razvoj i uvođenje inkluzivnih obrazovnih metoda i metoda poučavanja, te kroz promicanje eliminacije segregacije i diskriminacije.  </w:t>
      </w:r>
    </w:p>
    <w:p w:rsidR="00AC0832" w:rsidRDefault="00AC0832">
      <w:pPr>
        <w:pStyle w:val="Normal6"/>
      </w:pPr>
      <w:r>
        <w:t xml:space="preserve">Ovaj program osmišljen je kako bi: </w:t>
      </w:r>
    </w:p>
    <w:p w:rsidR="00AC0832" w:rsidRDefault="00AC0832">
      <w:pPr>
        <w:pStyle w:val="Normal6"/>
      </w:pPr>
      <w:r>
        <w:t xml:space="preserve">-podržavao mjere i poticao integraciju u tržište rada skupina u nepovoljnom položaju  </w:t>
      </w:r>
    </w:p>
    <w:p w:rsidR="00AC0832" w:rsidRDefault="00AC0832">
      <w:pPr>
        <w:pStyle w:val="Normal6"/>
      </w:pPr>
      <w:r>
        <w:t xml:space="preserve">-povećao mogućnosti i kapacitete škola i/ili centara za odgoj i obrazovanje i/ili poslodavaca da sami razviju te primjenjuju inovativne mehanizme i kurikulume na nacionalnoj ili regionalnoj razini, a koji su potrebni za prikladno obrazovanje učenika u nepovoljnom položaju s naglaskom na primjenu individualiziranih obrazovnih programa (kurikuluma) </w:t>
      </w:r>
    </w:p>
    <w:p w:rsidR="00AC0832" w:rsidRDefault="00AC0832">
      <w:pPr>
        <w:pStyle w:val="Normal6"/>
      </w:pPr>
      <w:r>
        <w:t>jačao kapacitete lokalne zajednice za inkluzivno obrazovanje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6"/>
        <w:gridCol w:w="1495"/>
        <w:gridCol w:w="1296"/>
        <w:gridCol w:w="1298"/>
        <w:gridCol w:w="1297"/>
        <w:gridCol w:w="1298"/>
        <w:gridCol w:w="129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visokih učilišta na kojima su financirani projekti reforme studijskih programa, obrazovanja osoblja, pružanja visokog obrazovanja odraslim osobama i razvoju službi za potporu studenata i osoblja.</w:t>
            </w:r>
          </w:p>
        </w:tc>
        <w:tc>
          <w:tcPr>
            <w:tcW w:w="1300" w:type="dxa"/>
          </w:tcPr>
          <w:p w:rsidR="00AC0832" w:rsidRDefault="00AC0832">
            <w:pPr>
              <w:pStyle w:val="CellColumn"/>
            </w:pPr>
            <w:r>
              <w:t>Pripremati nove i provoditi započete projekte potpomognute EU sredstvima kojima se razvijanju kapaciteti sustava srednjeg obrazovanja da odgovore na brze tehnološke, gospodarske i društvene potrebe</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ASOO</w:t>
            </w:r>
          </w:p>
        </w:tc>
        <w:tc>
          <w:tcPr>
            <w:tcW w:w="1300" w:type="dxa"/>
          </w:tcPr>
          <w:p w:rsidR="00AC0832" w:rsidRDefault="00AC0832">
            <w:pPr>
              <w:pStyle w:val="CellColumn"/>
            </w:pPr>
            <w:r>
              <w:t>10</w:t>
            </w:r>
          </w:p>
        </w:tc>
        <w:tc>
          <w:tcPr>
            <w:tcW w:w="1300" w:type="dxa"/>
          </w:tcPr>
          <w:p w:rsidR="00AC0832" w:rsidRDefault="00AC0832">
            <w:pPr>
              <w:pStyle w:val="CellColumn"/>
            </w:pPr>
            <w:r>
              <w:t>0</w:t>
            </w:r>
          </w:p>
        </w:tc>
      </w:tr>
    </w:tbl>
    <w:p w:rsidR="00AC0832" w:rsidRDefault="00AC0832">
      <w:pPr>
        <w:jc w:val="left"/>
      </w:pPr>
    </w:p>
    <w:p w:rsidR="00AC0832" w:rsidRDefault="00AC0832">
      <w:pPr>
        <w:jc w:val="left"/>
      </w:pPr>
    </w:p>
    <w:p w:rsidR="00AC0832" w:rsidRDefault="00AC0832">
      <w:pPr>
        <w:jc w:val="left"/>
      </w:pPr>
    </w:p>
    <w:p w:rsidR="00AC0832" w:rsidRDefault="00AC0832">
      <w:pPr>
        <w:pStyle w:val="Heading6"/>
      </w:pPr>
      <w:r>
        <w:t>A848018 DRŽAVNA NATJECANJA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A848018-DRŽAVNA NATJECANJA</w:t>
            </w:r>
          </w:p>
        </w:tc>
        <w:tc>
          <w:tcPr>
            <w:tcW w:w="2322" w:type="dxa"/>
          </w:tcPr>
          <w:p w:rsidR="00AC0832" w:rsidRDefault="00AC0832">
            <w:pPr>
              <w:pStyle w:val="CellColumn"/>
            </w:pPr>
            <w:r>
              <w:t>2.325.307</w:t>
            </w:r>
          </w:p>
        </w:tc>
        <w:tc>
          <w:tcPr>
            <w:tcW w:w="2322" w:type="dxa"/>
          </w:tcPr>
          <w:p w:rsidR="00AC0832" w:rsidRDefault="00AC0832">
            <w:pPr>
              <w:pStyle w:val="CellColumn"/>
            </w:pPr>
            <w:r>
              <w:t>2.323.769</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2"/>
        <w:gridCol w:w="1300"/>
        <w:gridCol w:w="1417"/>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organiziranih smotri radova i natjecanja učenika strukovnih škola</w:t>
            </w:r>
          </w:p>
        </w:tc>
        <w:tc>
          <w:tcPr>
            <w:tcW w:w="1300" w:type="dxa"/>
          </w:tcPr>
          <w:p w:rsidR="00AC0832" w:rsidRDefault="00AC0832">
            <w:pPr>
              <w:pStyle w:val="CellColumn"/>
            </w:pPr>
            <w:r>
              <w:t>Organizirati smotre radova i natjecanja učenika</w:t>
            </w:r>
          </w:p>
        </w:tc>
        <w:tc>
          <w:tcPr>
            <w:tcW w:w="1300" w:type="dxa"/>
          </w:tcPr>
          <w:p w:rsidR="00AC0832" w:rsidRDefault="00AC0832">
            <w:pPr>
              <w:pStyle w:val="CellColumn"/>
            </w:pPr>
            <w:r>
              <w:t>Broj (kumulativno)</w:t>
            </w:r>
          </w:p>
        </w:tc>
        <w:tc>
          <w:tcPr>
            <w:tcW w:w="1300" w:type="dxa"/>
          </w:tcPr>
          <w:p w:rsidR="00AC0832" w:rsidRDefault="00AC0832">
            <w:pPr>
              <w:pStyle w:val="CellColumn"/>
            </w:pPr>
            <w:r>
              <w:t>1200</w:t>
            </w:r>
          </w:p>
        </w:tc>
        <w:tc>
          <w:tcPr>
            <w:tcW w:w="1300" w:type="dxa"/>
          </w:tcPr>
          <w:p w:rsidR="00AC0832" w:rsidRDefault="00AC0832">
            <w:pPr>
              <w:pStyle w:val="CellColumn"/>
            </w:pPr>
            <w:r>
              <w:t>ASOO</w:t>
            </w:r>
          </w:p>
        </w:tc>
        <w:tc>
          <w:tcPr>
            <w:tcW w:w="1300" w:type="dxa"/>
          </w:tcPr>
          <w:p w:rsidR="00AC0832" w:rsidRDefault="00AC0832">
            <w:pPr>
              <w:pStyle w:val="CellColumn"/>
            </w:pPr>
            <w:r>
              <w:t>2400</w:t>
            </w:r>
          </w:p>
        </w:tc>
        <w:tc>
          <w:tcPr>
            <w:tcW w:w="1300" w:type="dxa"/>
          </w:tcPr>
          <w:p w:rsidR="00AC0832" w:rsidRDefault="00AC0832">
            <w:pPr>
              <w:pStyle w:val="CellColumn"/>
            </w:pPr>
            <w:r>
              <w:t>1194</w:t>
            </w:r>
          </w:p>
        </w:tc>
      </w:tr>
    </w:tbl>
    <w:p w:rsidR="00AC0832" w:rsidRDefault="00AC0832">
      <w:pPr>
        <w:jc w:val="left"/>
      </w:pPr>
    </w:p>
    <w:p w:rsidR="00AC0832" w:rsidRDefault="00AC0832">
      <w:pPr>
        <w:pStyle w:val="Heading6"/>
      </w:pPr>
      <w:r>
        <w:t>A848020 RAZVOJ SUSTAVA OBRAZOVANJA ODRASLIH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A848020-RAZVOJ SUSTAVA OBRAZOVANJA ODRASLIH</w:t>
            </w:r>
          </w:p>
        </w:tc>
        <w:tc>
          <w:tcPr>
            <w:tcW w:w="2322" w:type="dxa"/>
          </w:tcPr>
          <w:p w:rsidR="00AC0832" w:rsidRDefault="00AC0832">
            <w:pPr>
              <w:pStyle w:val="CellColumn"/>
            </w:pPr>
            <w:r>
              <w:t>141.680</w:t>
            </w:r>
          </w:p>
        </w:tc>
        <w:tc>
          <w:tcPr>
            <w:tcW w:w="2322" w:type="dxa"/>
          </w:tcPr>
          <w:p w:rsidR="00AC0832" w:rsidRDefault="00AC0832">
            <w:pPr>
              <w:pStyle w:val="CellColumn"/>
            </w:pPr>
            <w:r>
              <w:t>30.866</w:t>
            </w:r>
          </w:p>
        </w:tc>
        <w:tc>
          <w:tcPr>
            <w:tcW w:w="2322" w:type="dxa"/>
          </w:tcPr>
          <w:p w:rsidR="00AC0832" w:rsidRDefault="00AC0832">
            <w:pPr>
              <w:pStyle w:val="CellColumn"/>
            </w:pPr>
            <w:r>
              <w:t>21,8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Kroz ovu aktivnost financiraju se redovne djelatnosti Agencije u dijelu praćenja i potpore sustavu obrazovanja odraslih kao što su izdavanje stručnih mišljenja na prijedloge programa za obrazovanje odraslih, provedba stručnih usavršavanja ravnatelja, stručnih voditelja te nastavnika u sustavu obrazovanja odraslih, provedba stručnih nadzora rada ustanova i sl.</w:t>
      </w:r>
    </w:p>
    <w:p w:rsidR="00AC0832" w:rsidRDefault="00AC0832">
      <w:pPr>
        <w:pStyle w:val="Heading1"/>
      </w:pPr>
      <w:r>
        <w:t>086 MINISTARSTVO RADA I MIROVINSKOGA SUSTAVA</w:t>
      </w:r>
    </w:p>
    <w:p w:rsidR="00AC0832" w:rsidRDefault="00AC0832">
      <w:pPr>
        <w:pStyle w:val="Heading4"/>
      </w:pPr>
      <w:r>
        <w:t>Uvod</w:t>
      </w:r>
    </w:p>
    <w:p w:rsidR="00AC0832" w:rsidRDefault="00AC0832">
      <w:pPr>
        <w:pStyle w:val="Normal3"/>
      </w:pPr>
      <w:r>
        <w:t xml:space="preserve">Ministarstvo rada i mirovinskoga sustava obavlja upravne i druge poslove koji se odnose na: politiku zapošljavanja, uređivanje radnih odnosa; tržište rada i aktivnu politiku zapošljavanja; programe radnih prekvalifikacija i povećanja zapošljivosti; sustav i politiku mirovinskog osiguranja, evidenciju nezaposlenosti i pomoć pri zapošljavanju; socijalno partnerstvo i odnose sa sindikatima i udrugama poslodavaca u području radnopravnih odnosa, tržišta rada i zapošljavanja; radnopravni status hrvatskih državljana zaposlenih u inozemstvu i poslove vezano uz njihov povratak i zapošljavanje u zemlji; radnopravni status stranih državljana zaposlenih u Republici Hrvatskoj; unapređenje sustava zaštite na radu; međunarodnu suradnju na području rada i zapošljavanja. </w:t>
      </w:r>
    </w:p>
    <w:p w:rsidR="00AC0832" w:rsidRDefault="00AC0832">
      <w:pPr>
        <w:pStyle w:val="Normal3"/>
      </w:pPr>
      <w:r>
        <w:t xml:space="preserve">Sudjeluje u pripremi programa i projekata te provedbi projekata iz programa Europske unije i ostalih oblika međunarodne pomoći. </w:t>
      </w:r>
    </w:p>
    <w:p w:rsidR="00AC0832" w:rsidRDefault="00AC0832">
      <w:pPr>
        <w:pStyle w:val="Normal3"/>
      </w:pPr>
      <w:r>
        <w:t xml:space="preserve">Ministarstvo obavlja poslove koji se odnose na sudjelovanje Republike Hrvatske u radu tijela Europske unije u područjima iz njegove nadležnosti. </w:t>
      </w:r>
    </w:p>
    <w:p w:rsidR="00AC0832" w:rsidRDefault="00AC0832">
      <w:pPr>
        <w:pStyle w:val="Normal3"/>
      </w:pPr>
      <w:r>
        <w:t>Tijela koja obuhvaća Razdjel su: 08605 Ministarstvo rada i mirovinskoga osiguranja, 086H rvatski zavod za mirovinsko osiguranje, 086  Hrvatski zavod za zapošljavanje,  086   REGOS, 086 Fond za zapošljavanje osoba s invaliditetom,  086   Agencija za osiguranje prava radnika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08605-Ministarstvo rada i mirovinskoga sustava</w:t>
            </w:r>
          </w:p>
        </w:tc>
        <w:tc>
          <w:tcPr>
            <w:tcW w:w="2322" w:type="dxa"/>
          </w:tcPr>
          <w:p w:rsidR="00AC0832" w:rsidRDefault="00AC0832">
            <w:pPr>
              <w:pStyle w:val="CellColumn"/>
            </w:pPr>
            <w:r>
              <w:t>52.967.228</w:t>
            </w:r>
          </w:p>
        </w:tc>
        <w:tc>
          <w:tcPr>
            <w:tcW w:w="2322" w:type="dxa"/>
          </w:tcPr>
          <w:p w:rsidR="00AC0832" w:rsidRDefault="00AC0832">
            <w:pPr>
              <w:pStyle w:val="CellColumn"/>
            </w:pPr>
            <w:r>
              <w:t>29.310.477</w:t>
            </w:r>
          </w:p>
        </w:tc>
        <w:tc>
          <w:tcPr>
            <w:tcW w:w="2322" w:type="dxa"/>
          </w:tcPr>
          <w:p w:rsidR="00AC0832" w:rsidRDefault="00AC0832">
            <w:pPr>
              <w:pStyle w:val="CellColumn"/>
            </w:pPr>
            <w:r>
              <w:t>55,3</w:t>
            </w:r>
          </w:p>
        </w:tc>
      </w:tr>
      <w:tr w:rsidR="00AC0832" w:rsidTr="00BE20ED">
        <w:trPr>
          <w:jc w:val="center"/>
        </w:trPr>
        <w:tc>
          <w:tcPr>
            <w:tcW w:w="2322" w:type="dxa"/>
          </w:tcPr>
          <w:p w:rsidR="00AC0832" w:rsidRDefault="00AC0832">
            <w:pPr>
              <w:pStyle w:val="CellColumn"/>
            </w:pPr>
            <w:r>
              <w:t>08620-Hrvatski zavod za mirovinsko osiguranje</w:t>
            </w:r>
          </w:p>
        </w:tc>
        <w:tc>
          <w:tcPr>
            <w:tcW w:w="2322" w:type="dxa"/>
          </w:tcPr>
          <w:p w:rsidR="00AC0832" w:rsidRDefault="00AC0832">
            <w:pPr>
              <w:pStyle w:val="CellColumn"/>
            </w:pPr>
            <w:r>
              <w:t>35.636.880.000</w:t>
            </w:r>
          </w:p>
        </w:tc>
        <w:tc>
          <w:tcPr>
            <w:tcW w:w="2322" w:type="dxa"/>
          </w:tcPr>
          <w:p w:rsidR="00AC0832" w:rsidRDefault="00AC0832">
            <w:pPr>
              <w:pStyle w:val="CellColumn"/>
            </w:pPr>
            <w:r>
              <w:t>35.628.598.775</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
            </w:pPr>
            <w:r>
              <w:t>08625-Hrvatski zavod za zapošljavanje</w:t>
            </w:r>
          </w:p>
        </w:tc>
        <w:tc>
          <w:tcPr>
            <w:tcW w:w="2322" w:type="dxa"/>
          </w:tcPr>
          <w:p w:rsidR="00AC0832" w:rsidRDefault="00AC0832">
            <w:pPr>
              <w:pStyle w:val="CellColumn"/>
            </w:pPr>
            <w:r>
              <w:t>2.168.615.070</w:t>
            </w:r>
          </w:p>
        </w:tc>
        <w:tc>
          <w:tcPr>
            <w:tcW w:w="2322" w:type="dxa"/>
          </w:tcPr>
          <w:p w:rsidR="00AC0832" w:rsidRDefault="00AC0832">
            <w:pPr>
              <w:pStyle w:val="CellColumn"/>
            </w:pPr>
            <w:r>
              <w:t>2.087.698.790</w:t>
            </w:r>
          </w:p>
        </w:tc>
        <w:tc>
          <w:tcPr>
            <w:tcW w:w="2322" w:type="dxa"/>
          </w:tcPr>
          <w:p w:rsidR="00AC0832" w:rsidRDefault="00AC0832">
            <w:pPr>
              <w:pStyle w:val="CellColumn"/>
            </w:pPr>
            <w:r>
              <w:t>96,3</w:t>
            </w:r>
          </w:p>
        </w:tc>
      </w:tr>
      <w:tr w:rsidR="00AC0832" w:rsidTr="00BE20ED">
        <w:trPr>
          <w:jc w:val="center"/>
        </w:trPr>
        <w:tc>
          <w:tcPr>
            <w:tcW w:w="2322" w:type="dxa"/>
          </w:tcPr>
          <w:p w:rsidR="00AC0832" w:rsidRDefault="00AC0832">
            <w:pPr>
              <w:pStyle w:val="CellColumn"/>
            </w:pPr>
            <w:r>
              <w:t>08630-Fond za profesionalnu rehabilitaciju i zapošljavanje osoba s invaliditetom</w:t>
            </w:r>
          </w:p>
        </w:tc>
        <w:tc>
          <w:tcPr>
            <w:tcW w:w="2322" w:type="dxa"/>
          </w:tcPr>
          <w:p w:rsidR="00AC0832" w:rsidRDefault="00AC0832">
            <w:pPr>
              <w:pStyle w:val="CellColumn"/>
            </w:pPr>
            <w:r>
              <w:t>52.575.000</w:t>
            </w:r>
          </w:p>
        </w:tc>
        <w:tc>
          <w:tcPr>
            <w:tcW w:w="2322" w:type="dxa"/>
          </w:tcPr>
          <w:p w:rsidR="00AC0832" w:rsidRDefault="00AC0832">
            <w:pPr>
              <w:pStyle w:val="CellColumn"/>
            </w:pPr>
            <w:r>
              <w:t>47.347.841</w:t>
            </w:r>
          </w:p>
        </w:tc>
        <w:tc>
          <w:tcPr>
            <w:tcW w:w="2322" w:type="dxa"/>
          </w:tcPr>
          <w:p w:rsidR="00AC0832" w:rsidRDefault="00AC0832">
            <w:pPr>
              <w:pStyle w:val="CellColumn"/>
            </w:pPr>
            <w:r>
              <w:t>90,1</w:t>
            </w:r>
          </w:p>
        </w:tc>
      </w:tr>
      <w:tr w:rsidR="00AC0832" w:rsidTr="00BE20ED">
        <w:trPr>
          <w:jc w:val="center"/>
        </w:trPr>
        <w:tc>
          <w:tcPr>
            <w:tcW w:w="2322" w:type="dxa"/>
          </w:tcPr>
          <w:p w:rsidR="00AC0832" w:rsidRDefault="00AC0832">
            <w:pPr>
              <w:pStyle w:val="CellColumn"/>
            </w:pPr>
            <w:r>
              <w:t>08645-Središnji registar osiguranika</w:t>
            </w:r>
          </w:p>
        </w:tc>
        <w:tc>
          <w:tcPr>
            <w:tcW w:w="2322" w:type="dxa"/>
          </w:tcPr>
          <w:p w:rsidR="00AC0832" w:rsidRDefault="00AC0832">
            <w:pPr>
              <w:pStyle w:val="CellColumn"/>
            </w:pPr>
            <w:r>
              <w:t>98.299.288</w:t>
            </w:r>
          </w:p>
        </w:tc>
        <w:tc>
          <w:tcPr>
            <w:tcW w:w="2322" w:type="dxa"/>
          </w:tcPr>
          <w:p w:rsidR="00AC0832" w:rsidRDefault="00AC0832">
            <w:pPr>
              <w:pStyle w:val="CellColumn"/>
            </w:pPr>
            <w:r>
              <w:t>89.278.507</w:t>
            </w:r>
          </w:p>
        </w:tc>
        <w:tc>
          <w:tcPr>
            <w:tcW w:w="2322" w:type="dxa"/>
          </w:tcPr>
          <w:p w:rsidR="00AC0832" w:rsidRDefault="00AC0832">
            <w:pPr>
              <w:pStyle w:val="CellColumn"/>
            </w:pPr>
            <w:r>
              <w:t>90,8</w:t>
            </w:r>
          </w:p>
        </w:tc>
      </w:tr>
      <w:tr w:rsidR="00AC0832" w:rsidTr="00BE20ED">
        <w:trPr>
          <w:jc w:val="center"/>
        </w:trPr>
        <w:tc>
          <w:tcPr>
            <w:tcW w:w="2322" w:type="dxa"/>
          </w:tcPr>
          <w:p w:rsidR="00AC0832" w:rsidRDefault="00AC0832">
            <w:pPr>
              <w:pStyle w:val="CellColumn"/>
            </w:pPr>
            <w:r>
              <w:t>08650-Agencija za osiguranje radničkih potraživanja u slučaju stečaja poslodavca</w:t>
            </w:r>
          </w:p>
        </w:tc>
        <w:tc>
          <w:tcPr>
            <w:tcW w:w="2322" w:type="dxa"/>
          </w:tcPr>
          <w:p w:rsidR="00AC0832" w:rsidRDefault="00AC0832">
            <w:pPr>
              <w:pStyle w:val="CellColumn"/>
            </w:pPr>
            <w:r>
              <w:t>68.663.800</w:t>
            </w:r>
          </w:p>
        </w:tc>
        <w:tc>
          <w:tcPr>
            <w:tcW w:w="2322" w:type="dxa"/>
          </w:tcPr>
          <w:p w:rsidR="00AC0832" w:rsidRDefault="00AC0832">
            <w:pPr>
              <w:pStyle w:val="CellColumn"/>
            </w:pPr>
            <w:r>
              <w:t>68.251.524</w:t>
            </w:r>
          </w:p>
        </w:tc>
        <w:tc>
          <w:tcPr>
            <w:tcW w:w="2322" w:type="dxa"/>
          </w:tcPr>
          <w:p w:rsidR="00AC0832" w:rsidRDefault="00AC0832">
            <w:pPr>
              <w:pStyle w:val="CellColumn"/>
            </w:pPr>
            <w:r>
              <w:t>99,4</w:t>
            </w:r>
          </w:p>
        </w:tc>
      </w:tr>
      <w:tr w:rsidR="00AC0832" w:rsidTr="00BE20ED">
        <w:trPr>
          <w:jc w:val="center"/>
        </w:trPr>
        <w:tc>
          <w:tcPr>
            <w:tcW w:w="2322" w:type="dxa"/>
            <w:shd w:val="clear" w:color="auto" w:fill="B5C0D8"/>
          </w:tcPr>
          <w:p w:rsidR="00AC0832" w:rsidRDefault="00AC0832">
            <w:pPr>
              <w:pStyle w:val="CellColumn"/>
            </w:pPr>
            <w:r>
              <w:t>Ukupno 086-MINISTARSTVO RADA I MIROVINSKOGA SUSTAVA</w:t>
            </w:r>
          </w:p>
        </w:tc>
        <w:tc>
          <w:tcPr>
            <w:tcW w:w="2322" w:type="dxa"/>
            <w:shd w:val="clear" w:color="auto" w:fill="B5C0D8"/>
          </w:tcPr>
          <w:p w:rsidR="00AC0832" w:rsidRDefault="00AC0832">
            <w:pPr>
              <w:pStyle w:val="CellColumn"/>
            </w:pPr>
            <w:r>
              <w:t>38.078.000.386</w:t>
            </w:r>
          </w:p>
        </w:tc>
        <w:tc>
          <w:tcPr>
            <w:tcW w:w="2322" w:type="dxa"/>
            <w:shd w:val="clear" w:color="auto" w:fill="B5C0D8"/>
          </w:tcPr>
          <w:p w:rsidR="00AC0832" w:rsidRDefault="00AC0832">
            <w:pPr>
              <w:pStyle w:val="CellColumn"/>
            </w:pPr>
            <w:r>
              <w:t>37.950.485.915</w:t>
            </w:r>
          </w:p>
        </w:tc>
        <w:tc>
          <w:tcPr>
            <w:tcW w:w="2322" w:type="dxa"/>
            <w:shd w:val="clear" w:color="auto" w:fill="B5C0D8"/>
          </w:tcPr>
          <w:p w:rsidR="00AC0832" w:rsidRDefault="00AC0832">
            <w:pPr>
              <w:pStyle w:val="CellColumn"/>
            </w:pPr>
            <w:r>
              <w:t>99,7</w:t>
            </w:r>
          </w:p>
        </w:tc>
      </w:tr>
    </w:tbl>
    <w:p w:rsidR="00AC0832" w:rsidRDefault="00AC0832">
      <w:pPr>
        <w:jc w:val="left"/>
      </w:pPr>
    </w:p>
    <w:p w:rsidR="00AC0832" w:rsidRDefault="00AC0832">
      <w:pPr>
        <w:pStyle w:val="Heading2"/>
      </w:pPr>
      <w:r>
        <w:t>08605 Ministarstvo rada i mirovinskoga sustava</w:t>
      </w:r>
    </w:p>
    <w:p w:rsidR="00AC0832" w:rsidRDefault="00AC0832">
      <w:pPr>
        <w:pStyle w:val="Heading4"/>
      </w:pPr>
      <w:r>
        <w:t>Uvod</w:t>
      </w:r>
    </w:p>
    <w:p w:rsidR="00AC0832" w:rsidRDefault="00AC0832">
      <w:pPr>
        <w:pStyle w:val="Normal3"/>
      </w:pPr>
      <w:r>
        <w:t xml:space="preserve">Ministarstvo rada i mirovinskoga sustava obavlja upravne i druge poslove koji se odnose na: politiku zapošljavanja, uređivanje radnih odnosa; tržište rada i aktivnu politiku zapošljavanja; programe radnih prekvalifikacija i povećanja zapošljivosti; sustav i politiku mirovinskog osiguranja, evidenciju nezaposlenosti i pomoć pri zapošljavanju; socijalno partnerstvo i odnose sa sindikatima i udrugama poslodavaca u području radnopravnih odnosa, tržišta rada i zapošljavanja; radnopravni status hrvatskih državljana zaposlenih u inozemstvu i poslove vezano uz njihov povratak i zapošljavanje u zemlji; radnopravni status stranih državljana zaposlenih u Republici Hrvatskoj; unapređenje sustava zaštite na radu; međunarodnu suradnju na području rada i zapošljavanja. </w:t>
      </w:r>
    </w:p>
    <w:p w:rsidR="00AC0832" w:rsidRDefault="00AC0832">
      <w:pPr>
        <w:pStyle w:val="Normal3"/>
      </w:pPr>
      <w:r>
        <w:t xml:space="preserve">Sudjeluje u pripremi programa i projekata te provedbi projekata iz programa Europske unije i ostalih oblika međunarodne pomoći. </w:t>
      </w:r>
    </w:p>
    <w:p w:rsidR="00AC0832" w:rsidRDefault="00AC0832">
      <w:pPr>
        <w:pStyle w:val="Normal3"/>
      </w:pPr>
      <w:r>
        <w:t>Ministarstvo obavlja poslove koji se odnose na sudjelovanje Republike Hrvatske u radu tijela Europske unije u područjima iz njegove nadležnosti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08605-Ministarstvo rada i mirovinskoga sustava</w:t>
            </w:r>
          </w:p>
        </w:tc>
        <w:tc>
          <w:tcPr>
            <w:tcW w:w="2322" w:type="dxa"/>
          </w:tcPr>
          <w:p w:rsidR="00AC0832" w:rsidRDefault="00AC0832">
            <w:pPr>
              <w:pStyle w:val="CellColumn"/>
            </w:pPr>
            <w:r>
              <w:t>52.967.228</w:t>
            </w:r>
          </w:p>
        </w:tc>
        <w:tc>
          <w:tcPr>
            <w:tcW w:w="2322" w:type="dxa"/>
          </w:tcPr>
          <w:p w:rsidR="00AC0832" w:rsidRDefault="00AC0832">
            <w:pPr>
              <w:pStyle w:val="CellColumn"/>
            </w:pPr>
            <w:r>
              <w:t>29.310.477</w:t>
            </w:r>
          </w:p>
        </w:tc>
        <w:tc>
          <w:tcPr>
            <w:tcW w:w="2322" w:type="dxa"/>
          </w:tcPr>
          <w:p w:rsidR="00AC0832" w:rsidRDefault="00AC0832">
            <w:pPr>
              <w:pStyle w:val="CellColumn"/>
            </w:pPr>
            <w:r>
              <w:t>55,3</w:t>
            </w:r>
          </w:p>
        </w:tc>
      </w:tr>
      <w:tr w:rsidR="00AC0832" w:rsidTr="00BE20ED">
        <w:trPr>
          <w:jc w:val="center"/>
        </w:trPr>
        <w:tc>
          <w:tcPr>
            <w:tcW w:w="2322" w:type="dxa"/>
          </w:tcPr>
          <w:p w:rsidR="00AC0832" w:rsidRDefault="00AC0832">
            <w:pPr>
              <w:pStyle w:val="CellColumnSmall"/>
            </w:pPr>
            <w:r>
              <w:t>4010-JAČANJE SUSTAVA SOCIJALNE SIGURNOSTI</w:t>
            </w:r>
          </w:p>
        </w:tc>
        <w:tc>
          <w:tcPr>
            <w:tcW w:w="2322" w:type="dxa"/>
          </w:tcPr>
          <w:p w:rsidR="00AC0832" w:rsidRDefault="00AC0832">
            <w:pPr>
              <w:pStyle w:val="CellColumnSmall"/>
            </w:pPr>
            <w:r>
              <w:t>52.967.228</w:t>
            </w:r>
          </w:p>
        </w:tc>
        <w:tc>
          <w:tcPr>
            <w:tcW w:w="2322" w:type="dxa"/>
          </w:tcPr>
          <w:p w:rsidR="00AC0832" w:rsidRDefault="00AC0832">
            <w:pPr>
              <w:pStyle w:val="CellColumnSmall"/>
            </w:pPr>
            <w:r>
              <w:t>29.310.477</w:t>
            </w:r>
          </w:p>
        </w:tc>
        <w:tc>
          <w:tcPr>
            <w:tcW w:w="2322" w:type="dxa"/>
          </w:tcPr>
          <w:p w:rsidR="00AC0832" w:rsidRDefault="00AC0832">
            <w:pPr>
              <w:pStyle w:val="CellColumnSmall"/>
            </w:pPr>
            <w:r>
              <w:t>55,3</w:t>
            </w:r>
          </w:p>
        </w:tc>
      </w:tr>
    </w:tbl>
    <w:p w:rsidR="00AC0832" w:rsidRDefault="00AC0832">
      <w:pPr>
        <w:jc w:val="left"/>
      </w:pPr>
    </w:p>
    <w:p w:rsidR="00AC0832" w:rsidRDefault="00AC0832">
      <w:pPr>
        <w:pStyle w:val="Heading4"/>
      </w:pPr>
      <w:r>
        <w:t>OBRAZLOŽENJE PROGRAMA</w:t>
      </w:r>
    </w:p>
    <w:p w:rsidR="00AC0832" w:rsidRDefault="00AC0832">
      <w:pPr>
        <w:pStyle w:val="Heading5"/>
      </w:pPr>
      <w:r>
        <w:t>4010 JAČANJE SUSTAVA SOCIJALNE SIGURNOSTI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4010-JAČANJE SUSTAVA SOCIJALNE SIGURNOSTI</w:t>
            </w:r>
          </w:p>
        </w:tc>
        <w:tc>
          <w:tcPr>
            <w:tcW w:w="2322" w:type="dxa"/>
          </w:tcPr>
          <w:p w:rsidR="00AC0832" w:rsidRDefault="00AC0832">
            <w:pPr>
              <w:pStyle w:val="CellColumn"/>
            </w:pPr>
            <w:r>
              <w:t>52.967.228</w:t>
            </w:r>
          </w:p>
        </w:tc>
        <w:tc>
          <w:tcPr>
            <w:tcW w:w="2322" w:type="dxa"/>
          </w:tcPr>
          <w:p w:rsidR="00AC0832" w:rsidRDefault="00AC0832">
            <w:pPr>
              <w:pStyle w:val="CellColumn"/>
            </w:pPr>
            <w:r>
              <w:t>29.310.477</w:t>
            </w:r>
          </w:p>
        </w:tc>
        <w:tc>
          <w:tcPr>
            <w:tcW w:w="2322" w:type="dxa"/>
          </w:tcPr>
          <w:p w:rsidR="00AC0832" w:rsidRDefault="00AC0832">
            <w:pPr>
              <w:pStyle w:val="CellColumn"/>
            </w:pPr>
            <w:r>
              <w:t>55,3</w:t>
            </w:r>
          </w:p>
        </w:tc>
      </w:tr>
    </w:tbl>
    <w:p w:rsidR="00AC0832" w:rsidRDefault="00AC0832">
      <w:pPr>
        <w:jc w:val="left"/>
      </w:pPr>
    </w:p>
    <w:p w:rsidR="00AC0832" w:rsidRDefault="00AC0832">
      <w:pPr>
        <w:pStyle w:val="Heading6"/>
      </w:pPr>
      <w:r>
        <w:t>Opis programa</w:t>
      </w:r>
    </w:p>
    <w:p w:rsidR="00AC0832" w:rsidRDefault="00AC0832">
      <w:pPr>
        <w:pStyle w:val="Normal5"/>
      </w:pPr>
      <w:r>
        <w:t xml:space="preserve">Ovim programom se vrši izgradnja administrativne sposobnosti, konsolidacija sustava,procesa i sposobnosti za upravljanje fondovima EU-a, razvijanje institucionalnog kapaciteta za upravljanje i apsorbiranje predpristupnih IPA sredstava iz komponente I - Pomoć u tranziciji i izgradnja institucija. </w:t>
      </w:r>
    </w:p>
    <w:p w:rsidR="00AC0832" w:rsidRDefault="00AC0832">
      <w:pPr>
        <w:pStyle w:val="Normal5"/>
      </w:pPr>
      <w:r>
        <w:t>Ovaj program je nastao iz programa 1819 Međunarodna suradnja na području rada i socijalne sigurnosti iz programske klasifikacije za 2010. godinu</w:t>
      </w:r>
    </w:p>
    <w:p w:rsidR="00AC0832" w:rsidRDefault="00AC0832">
      <w:pPr>
        <w:pStyle w:val="Heading6"/>
      </w:pPr>
      <w:r>
        <w:t>Zakonske i druge pravne osnove</w:t>
      </w:r>
    </w:p>
    <w:p w:rsidR="00AC0832" w:rsidRDefault="00AC0832">
      <w:pPr>
        <w:pStyle w:val="Normal5"/>
      </w:pPr>
      <w:r>
        <w:t xml:space="preserve">Uredba o upravljanju programima CARDS, PHARE, ISPA i SAPARD NN 18/2007 i </w:t>
      </w:r>
    </w:p>
    <w:p w:rsidR="00AC0832" w:rsidRDefault="00AC0832">
      <w:pPr>
        <w:pStyle w:val="Normal5"/>
      </w:pPr>
      <w:r>
        <w:t xml:space="preserve">Pregovaračka stajališta Republike Hrvatske za poglavlje 22. pravne stečevine EU – </w:t>
      </w:r>
    </w:p>
    <w:p w:rsidR="00AC0832" w:rsidRDefault="00AC0832">
      <w:pPr>
        <w:pStyle w:val="Normal5"/>
      </w:pPr>
      <w:r>
        <w:t xml:space="preserve">Regionalna politika i koordinacija strukturnih instrumenata, </w:t>
      </w:r>
    </w:p>
    <w:p w:rsidR="00AC0832" w:rsidRDefault="00AC0832">
      <w:pPr>
        <w:pStyle w:val="Normal5"/>
      </w:pPr>
      <w:r>
        <w:t xml:space="preserve">Financijski sporazum između Vlade RH i Komisije Europske unije o Nacionalnom programu </w:t>
      </w:r>
    </w:p>
    <w:p w:rsidR="00AC0832" w:rsidRDefault="00AC0832">
      <w:pPr>
        <w:pStyle w:val="Normal5"/>
      </w:pPr>
      <w:r>
        <w:t xml:space="preserve">za Hrvatsku u sklopu IPA komponente I – Pomoć u tranziciji i izgradnja institucija od 17.studenoga 2008. </w:t>
      </w:r>
    </w:p>
    <w:p w:rsidR="00AC0832" w:rsidRDefault="00AC0832">
      <w:pPr>
        <w:pStyle w:val="Normal5"/>
      </w:pPr>
      <w:r>
        <w:t xml:space="preserve">Statut Hrvatskog zavoda za mirovinsko osiguranje ("Narodne novine", br. 163/98. i 86/03.) </w:t>
      </w:r>
    </w:p>
    <w:p w:rsidR="00AC0832" w:rsidRDefault="00AC0832">
      <w:pPr>
        <w:pStyle w:val="Normal5"/>
      </w:pPr>
      <w:r>
        <w:t xml:space="preserve">Zakon o posredovanju pri zapošljavanju i pravima za vrijeme nezaposlenosti („Narodne </w:t>
      </w:r>
    </w:p>
    <w:p w:rsidR="00AC0832" w:rsidRDefault="00AC0832">
      <w:pPr>
        <w:pStyle w:val="Normal5"/>
      </w:pPr>
      <w:r>
        <w:t xml:space="preserve">novine“ broj 80/08 i 121/10); </w:t>
      </w:r>
    </w:p>
    <w:p w:rsidR="00AC0832" w:rsidRDefault="00AC0832">
      <w:pPr>
        <w:pStyle w:val="Normal5"/>
      </w:pPr>
      <w:r>
        <w:t xml:space="preserve">Zajednički memorandum o prioritetima politike zapošljavanja (JAP – Joint Assesment Paper); </w:t>
      </w:r>
    </w:p>
    <w:p w:rsidR="00AC0832" w:rsidRDefault="00AC0832">
      <w:pPr>
        <w:pStyle w:val="Normal5"/>
      </w:pPr>
      <w:r>
        <w:t xml:space="preserve">Nacionalni plan za poticanje zapošljavanja za 2011. i 2012. godinu; </w:t>
      </w:r>
    </w:p>
    <w:p w:rsidR="00AC0832" w:rsidRDefault="00AC0832">
      <w:pPr>
        <w:pStyle w:val="Normal5"/>
      </w:pPr>
      <w:r>
        <w:t>Akcijskom planu Desetljeća za uključivanje Roma 2005 – 2015.;</w:t>
      </w:r>
    </w:p>
    <w:p w:rsidR="00AC0832" w:rsidRDefault="00AC0832">
      <w:pPr>
        <w:pStyle w:val="Heading7"/>
      </w:pPr>
      <w:r>
        <w:t>Cilj 1. Povećanje iskorištenosti pretpristupnih fondova EU</w:t>
      </w:r>
    </w:p>
    <w:p w:rsidR="00AC0832" w:rsidRDefault="00AC0832">
      <w:pPr>
        <w:jc w:val="left"/>
      </w:pPr>
    </w:p>
    <w:p w:rsidR="00AC0832" w:rsidRDefault="00AC0832">
      <w:pPr>
        <w:pStyle w:val="Heading6"/>
      </w:pPr>
      <w:r>
        <w:t>A817025 OPERATIVNI PROGRAM ZA RAZVOJ LJUDSKIH POTENCIJALA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A817025-OPERATIVNI PROGRAM ZA RAZVOJ LJUDSKIH POTENCIJALA</w:t>
            </w:r>
          </w:p>
        </w:tc>
        <w:tc>
          <w:tcPr>
            <w:tcW w:w="2322" w:type="dxa"/>
          </w:tcPr>
          <w:p w:rsidR="00AC0832" w:rsidRDefault="00AC0832">
            <w:pPr>
              <w:pStyle w:val="CellColumn"/>
            </w:pPr>
            <w:r>
              <w:t>5.295.271</w:t>
            </w:r>
          </w:p>
        </w:tc>
        <w:tc>
          <w:tcPr>
            <w:tcW w:w="2322" w:type="dxa"/>
          </w:tcPr>
          <w:p w:rsidR="00AC0832" w:rsidRDefault="00AC0832">
            <w:pPr>
              <w:pStyle w:val="CellColumn"/>
            </w:pPr>
            <w:r>
              <w:t>3.656.503</w:t>
            </w:r>
          </w:p>
        </w:tc>
        <w:tc>
          <w:tcPr>
            <w:tcW w:w="2322" w:type="dxa"/>
          </w:tcPr>
          <w:p w:rsidR="00AC0832" w:rsidRDefault="00AC0832">
            <w:pPr>
              <w:pStyle w:val="CellColumn"/>
            </w:pPr>
            <w:r>
              <w:t>69,1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Učinkovito koordiniranje i programiranje OP RLJP, Pravovremena priprema i provedba projekata u okviru OP RLJP, Priprema i održavanje sjednica Sektorskog nadzornog odbora OP RLJP, Usvajanje sektorskih godišnjih izvješća o provedbi OP RLJP-a, Vrednovanje dosadašnjih potpora/projekata u okviru Operativnog programa RLJP-a (ugovor o uslugama-Prioritet IV IPA OP RLJP-a, programsko razdoblje 2012/2013/2), provođenje ex-ante evaluacije ESF OP RLJP-a 2013, izmjena procedura u priručniku o postupanju vezanih za praćenje i vrednovanje, redovito praćenje provedbe plana nabave operacija unutar OP RLJP, redovito obavljanje aktivnosti vezanih za osiguranje povrata sredstava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8"/>
        <w:gridCol w:w="2239"/>
        <w:gridCol w:w="1295"/>
        <w:gridCol w:w="1023"/>
        <w:gridCol w:w="1264"/>
        <w:gridCol w:w="1023"/>
        <w:gridCol w:w="108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Usvajanje revidiranog OP RLJP 2007-2013</w:t>
            </w:r>
          </w:p>
        </w:tc>
        <w:tc>
          <w:tcPr>
            <w:tcW w:w="1300" w:type="dxa"/>
          </w:tcPr>
          <w:p w:rsidR="00AC0832" w:rsidRDefault="00AC0832">
            <w:pPr>
              <w:pStyle w:val="CellColumn"/>
            </w:pPr>
            <w:r>
              <w:t>Obavljanje stručnih poslova koordinacije, pripreme i planiranja godišnjih i višegodišnjih planova i programa rada u području razvoja ljudskih potencijala, posebice OP RLJP, te razvoj sustava upravljanja i provedbe OP RLJP uključivanjem novih tijela u Operativnu strukturu OP RLJP</w:t>
            </w:r>
          </w:p>
        </w:tc>
        <w:tc>
          <w:tcPr>
            <w:tcW w:w="1300" w:type="dxa"/>
          </w:tcPr>
          <w:p w:rsidR="00AC0832" w:rsidRDefault="00AC0832">
            <w:pPr>
              <w:pStyle w:val="CellColumn"/>
            </w:pPr>
            <w:r>
              <w:t>Broj usvojenih dokumenata</w:t>
            </w:r>
          </w:p>
        </w:tc>
        <w:tc>
          <w:tcPr>
            <w:tcW w:w="1300" w:type="dxa"/>
          </w:tcPr>
          <w:p w:rsidR="00AC0832" w:rsidRDefault="00AC0832">
            <w:pPr>
              <w:pStyle w:val="CellColumn"/>
            </w:pPr>
            <w:r>
              <w:t>2</w:t>
            </w:r>
          </w:p>
        </w:tc>
        <w:tc>
          <w:tcPr>
            <w:tcW w:w="1300" w:type="dxa"/>
          </w:tcPr>
          <w:p w:rsidR="00AC0832" w:rsidRDefault="00AC0832">
            <w:pPr>
              <w:pStyle w:val="CellColumn"/>
            </w:pPr>
            <w:r>
              <w:t>MRMS / Operativna struktura / izvješća o napretku / odluke Europske komisije</w:t>
            </w:r>
          </w:p>
        </w:tc>
        <w:tc>
          <w:tcPr>
            <w:tcW w:w="1300" w:type="dxa"/>
          </w:tcPr>
          <w:p w:rsidR="00AC0832" w:rsidRDefault="00AC0832">
            <w:pPr>
              <w:pStyle w:val="CellColumn"/>
            </w:pPr>
            <w:r>
              <w:t>3</w:t>
            </w:r>
          </w:p>
        </w:tc>
        <w:tc>
          <w:tcPr>
            <w:tcW w:w="1300" w:type="dxa"/>
          </w:tcPr>
          <w:p w:rsidR="00AC0832" w:rsidRDefault="00AC0832">
            <w:pPr>
              <w:pStyle w:val="CellColumn"/>
            </w:pPr>
            <w:r>
              <w:t>3</w:t>
            </w:r>
          </w:p>
        </w:tc>
      </w:tr>
      <w:tr w:rsidR="00AC0832" w:rsidTr="00BE20ED">
        <w:trPr>
          <w:jc w:val="center"/>
        </w:trPr>
        <w:tc>
          <w:tcPr>
            <w:tcW w:w="1300" w:type="dxa"/>
          </w:tcPr>
          <w:p w:rsidR="00AC0832" w:rsidRDefault="00AC0832">
            <w:pPr>
              <w:pStyle w:val="CellColumn"/>
            </w:pPr>
            <w:r>
              <w:t>Priprema OP RLJP za ESF</w:t>
            </w:r>
          </w:p>
        </w:tc>
        <w:tc>
          <w:tcPr>
            <w:tcW w:w="1300" w:type="dxa"/>
          </w:tcPr>
          <w:p w:rsidR="00AC0832" w:rsidRDefault="00AC0832">
            <w:pPr>
              <w:pStyle w:val="CellColumn"/>
            </w:pPr>
            <w:r>
              <w:t>Obavljanje stručnih poslova koordinacije, pripreme i planiranja godišnjih i višegodišnjih planova i programa rada u području razvoja ljudskih potencijala, posebice OP RLJP, te razvoj sustava upravljanja i provedbe OP RLJP uključivanjem novih tijela u Operativnu strukturu OP RLJP</w:t>
            </w:r>
          </w:p>
        </w:tc>
        <w:tc>
          <w:tcPr>
            <w:tcW w:w="1300" w:type="dxa"/>
          </w:tcPr>
          <w:p w:rsidR="00AC0832" w:rsidRDefault="00AC0832">
            <w:pPr>
              <w:pStyle w:val="CellColumn"/>
            </w:pPr>
            <w:r>
              <w:t>Broj usvojenih dokumenata</w:t>
            </w:r>
          </w:p>
        </w:tc>
        <w:tc>
          <w:tcPr>
            <w:tcW w:w="1300" w:type="dxa"/>
          </w:tcPr>
          <w:p w:rsidR="00AC0832" w:rsidRDefault="00AC0832">
            <w:pPr>
              <w:pStyle w:val="CellColumn"/>
            </w:pPr>
            <w:r>
              <w:t>0</w:t>
            </w:r>
          </w:p>
        </w:tc>
        <w:tc>
          <w:tcPr>
            <w:tcW w:w="1300" w:type="dxa"/>
          </w:tcPr>
          <w:p w:rsidR="00AC0832" w:rsidRDefault="00AC0832">
            <w:pPr>
              <w:pStyle w:val="CellColumn"/>
            </w:pPr>
            <w:r>
              <w:t>MRMS / Operativna struktura / izvješća o napretku / odluke Europske komisije</w:t>
            </w:r>
          </w:p>
        </w:tc>
        <w:tc>
          <w:tcPr>
            <w:tcW w:w="1300" w:type="dxa"/>
          </w:tcPr>
          <w:p w:rsidR="00AC0832" w:rsidRDefault="00AC0832">
            <w:pPr>
              <w:pStyle w:val="CellColumn"/>
            </w:pPr>
            <w:r>
              <w:t>0</w:t>
            </w:r>
          </w:p>
        </w:tc>
        <w:tc>
          <w:tcPr>
            <w:tcW w:w="1300" w:type="dxa"/>
          </w:tcPr>
          <w:p w:rsidR="00AC0832" w:rsidRDefault="00AC0832">
            <w:pPr>
              <w:pStyle w:val="CellColumn"/>
            </w:pPr>
            <w:r>
              <w:t>1</w:t>
            </w:r>
          </w:p>
        </w:tc>
      </w:tr>
      <w:tr w:rsidR="00AC0832" w:rsidTr="00BE20ED">
        <w:trPr>
          <w:jc w:val="center"/>
        </w:trPr>
        <w:tc>
          <w:tcPr>
            <w:tcW w:w="1300" w:type="dxa"/>
          </w:tcPr>
          <w:p w:rsidR="00AC0832" w:rsidRDefault="00AC0832">
            <w:pPr>
              <w:pStyle w:val="CellColumn"/>
            </w:pPr>
            <w:r>
              <w:t>Sudjelovanje u pripremi strateških dokumenata</w:t>
            </w:r>
          </w:p>
        </w:tc>
        <w:tc>
          <w:tcPr>
            <w:tcW w:w="1300" w:type="dxa"/>
          </w:tcPr>
          <w:p w:rsidR="00AC0832" w:rsidRDefault="00AC0832">
            <w:pPr>
              <w:pStyle w:val="CellColumn"/>
            </w:pPr>
            <w:r>
              <w:t>Obavljanje stručnih poslova koordinacije, pripreme i planiranja godišnjih i višegodišnjih planova i programa rada u području razvoja ljudskih potencijala, posebice OP RLJP, te razvoj sustava upravljanja i provedbe OP RLJP uključivanjem novih tijela u Operativnu strukturu OP RLJP</w:t>
            </w:r>
          </w:p>
        </w:tc>
        <w:tc>
          <w:tcPr>
            <w:tcW w:w="1300" w:type="dxa"/>
          </w:tcPr>
          <w:p w:rsidR="00AC0832" w:rsidRDefault="00AC0832">
            <w:pPr>
              <w:pStyle w:val="CellColumn"/>
            </w:pPr>
            <w:r>
              <w:t>Broj usvojenih dokumenata</w:t>
            </w:r>
          </w:p>
        </w:tc>
        <w:tc>
          <w:tcPr>
            <w:tcW w:w="1300" w:type="dxa"/>
          </w:tcPr>
          <w:p w:rsidR="00AC0832" w:rsidRDefault="00AC0832">
            <w:pPr>
              <w:pStyle w:val="CellColumn"/>
            </w:pPr>
            <w:r>
              <w:t>2</w:t>
            </w:r>
          </w:p>
        </w:tc>
        <w:tc>
          <w:tcPr>
            <w:tcW w:w="1300" w:type="dxa"/>
          </w:tcPr>
          <w:p w:rsidR="00AC0832" w:rsidRDefault="00AC0832">
            <w:pPr>
              <w:pStyle w:val="CellColumn"/>
            </w:pPr>
            <w:r>
              <w:t>MRMS / Operativna struktura / izvješća o napretku / odluke Europske komisije</w:t>
            </w:r>
          </w:p>
        </w:tc>
        <w:tc>
          <w:tcPr>
            <w:tcW w:w="1300" w:type="dxa"/>
          </w:tcPr>
          <w:p w:rsidR="00AC0832" w:rsidRDefault="00AC0832">
            <w:pPr>
              <w:pStyle w:val="CellColumn"/>
            </w:pPr>
            <w:r>
              <w:t>2</w:t>
            </w:r>
          </w:p>
        </w:tc>
        <w:tc>
          <w:tcPr>
            <w:tcW w:w="1300" w:type="dxa"/>
          </w:tcPr>
          <w:p w:rsidR="00AC0832" w:rsidRDefault="00AC0832">
            <w:pPr>
              <w:pStyle w:val="CellColumn"/>
            </w:pPr>
            <w:r>
              <w:t>3</w:t>
            </w:r>
          </w:p>
        </w:tc>
      </w:tr>
      <w:tr w:rsidR="00AC0832" w:rsidTr="00BE20ED">
        <w:trPr>
          <w:jc w:val="center"/>
        </w:trPr>
        <w:tc>
          <w:tcPr>
            <w:tcW w:w="1300" w:type="dxa"/>
          </w:tcPr>
          <w:p w:rsidR="00AC0832" w:rsidRDefault="00AC0832">
            <w:pPr>
              <w:pStyle w:val="CellColumn"/>
            </w:pPr>
            <w:r>
              <w:t>Akreditacija novih tijela u Operativnoj strukturi OP RLJP-a</w:t>
            </w:r>
          </w:p>
        </w:tc>
        <w:tc>
          <w:tcPr>
            <w:tcW w:w="1300" w:type="dxa"/>
          </w:tcPr>
          <w:p w:rsidR="00AC0832" w:rsidRDefault="00AC0832">
            <w:pPr>
              <w:pStyle w:val="CellColumn"/>
            </w:pPr>
            <w:r>
              <w:t>Obavljanje stručnih poslova koordinacije, pripreme i planiranja godišnjih i višegodišnjih planova i programa rada u području razvoja ljudskih potencijala, posebice OP RLJP, te razvoj sustava upravljanja i provedbe OP RLJP uključivanjem novih tijela u Operativnu strukturu OP RLJP</w:t>
            </w:r>
          </w:p>
        </w:tc>
        <w:tc>
          <w:tcPr>
            <w:tcW w:w="1300" w:type="dxa"/>
          </w:tcPr>
          <w:p w:rsidR="00AC0832" w:rsidRDefault="00AC0832">
            <w:pPr>
              <w:pStyle w:val="CellColumn"/>
            </w:pPr>
            <w:r>
              <w:t>Broj tijela unutar Operativne strukture</w:t>
            </w:r>
          </w:p>
        </w:tc>
        <w:tc>
          <w:tcPr>
            <w:tcW w:w="1300" w:type="dxa"/>
          </w:tcPr>
          <w:p w:rsidR="00AC0832" w:rsidRDefault="00AC0832">
            <w:pPr>
              <w:pStyle w:val="CellColumn"/>
            </w:pPr>
            <w:r>
              <w:t>5</w:t>
            </w:r>
          </w:p>
        </w:tc>
        <w:tc>
          <w:tcPr>
            <w:tcW w:w="1300" w:type="dxa"/>
          </w:tcPr>
          <w:p w:rsidR="00AC0832" w:rsidRDefault="00AC0832">
            <w:pPr>
              <w:pStyle w:val="CellColumn"/>
            </w:pPr>
            <w:r>
              <w:t>MRMS / Operativna struktura / izvješća o napretku / odluke Europske komisije</w:t>
            </w:r>
          </w:p>
        </w:tc>
        <w:tc>
          <w:tcPr>
            <w:tcW w:w="1300" w:type="dxa"/>
          </w:tcPr>
          <w:p w:rsidR="00AC0832" w:rsidRDefault="00AC0832">
            <w:pPr>
              <w:pStyle w:val="CellColumn"/>
            </w:pPr>
            <w:r>
              <w:t>7</w:t>
            </w:r>
          </w:p>
        </w:tc>
        <w:tc>
          <w:tcPr>
            <w:tcW w:w="1300" w:type="dxa"/>
          </w:tcPr>
          <w:p w:rsidR="00AC0832" w:rsidRDefault="00AC0832">
            <w:pPr>
              <w:pStyle w:val="CellColumn"/>
            </w:pPr>
            <w:r>
              <w:t>7</w:t>
            </w:r>
          </w:p>
        </w:tc>
      </w:tr>
      <w:tr w:rsidR="00AC0832" w:rsidTr="00BE20ED">
        <w:trPr>
          <w:jc w:val="center"/>
        </w:trPr>
        <w:tc>
          <w:tcPr>
            <w:tcW w:w="1300" w:type="dxa"/>
          </w:tcPr>
          <w:p w:rsidR="00AC0832" w:rsidRDefault="00AC0832">
            <w:pPr>
              <w:pStyle w:val="CellColumn"/>
            </w:pPr>
            <w:r>
              <w:t>Koordinacija pripreme i provedbe operacija OP RLJP-a na razini Operativne strukture u okviru prioriteta vezanih za zapošljavanje i tržište rada, socijalni dijalog i tehničku pomoć</w:t>
            </w:r>
          </w:p>
        </w:tc>
        <w:tc>
          <w:tcPr>
            <w:tcW w:w="1300" w:type="dxa"/>
          </w:tcPr>
          <w:p w:rsidR="00AC0832" w:rsidRDefault="00AC0832">
            <w:pPr>
              <w:pStyle w:val="CellColumn"/>
            </w:pPr>
            <w:r>
              <w:t>Koordinacija pripreme i provedbe operacija / projekata u suradnji s drugim ministarstvima i institucijama nadležnim za provedbu pojedinih prioriteta i mjera unutar OP RLJP socijalnim partnerima, civilnim društvom te ostalim sudionicima koji sudjeluju u provedbi OP RLJP</w:t>
            </w:r>
          </w:p>
        </w:tc>
        <w:tc>
          <w:tcPr>
            <w:tcW w:w="1300" w:type="dxa"/>
          </w:tcPr>
          <w:p w:rsidR="00AC0832" w:rsidRDefault="00AC0832">
            <w:pPr>
              <w:pStyle w:val="CellColumn"/>
            </w:pPr>
            <w:r>
              <w:t>Broj pripremljenih operacija</w:t>
            </w:r>
          </w:p>
        </w:tc>
        <w:tc>
          <w:tcPr>
            <w:tcW w:w="1300" w:type="dxa"/>
          </w:tcPr>
          <w:p w:rsidR="00AC0832" w:rsidRDefault="00AC0832">
            <w:pPr>
              <w:pStyle w:val="CellColumn"/>
            </w:pPr>
            <w:r>
              <w:t>48/19</w:t>
            </w:r>
          </w:p>
        </w:tc>
        <w:tc>
          <w:tcPr>
            <w:tcW w:w="1300" w:type="dxa"/>
          </w:tcPr>
          <w:p w:rsidR="00AC0832" w:rsidRDefault="00AC0832">
            <w:pPr>
              <w:pStyle w:val="CellColumn"/>
            </w:pPr>
            <w:r>
              <w:t>MRMS / Bilješke</w:t>
            </w:r>
          </w:p>
        </w:tc>
        <w:tc>
          <w:tcPr>
            <w:tcW w:w="1300" w:type="dxa"/>
          </w:tcPr>
          <w:p w:rsidR="00AC0832" w:rsidRDefault="00AC0832">
            <w:pPr>
              <w:pStyle w:val="CellColumn"/>
            </w:pPr>
            <w:r>
              <w:t>72/30</w:t>
            </w:r>
          </w:p>
        </w:tc>
        <w:tc>
          <w:tcPr>
            <w:tcW w:w="1300" w:type="dxa"/>
          </w:tcPr>
          <w:p w:rsidR="00AC0832" w:rsidRDefault="00AC0832">
            <w:pPr>
              <w:pStyle w:val="CellColumn"/>
            </w:pPr>
            <w:r>
              <w:t>80/34</w:t>
            </w:r>
          </w:p>
        </w:tc>
      </w:tr>
      <w:tr w:rsidR="00AC0832" w:rsidTr="00BE20ED">
        <w:trPr>
          <w:jc w:val="center"/>
        </w:trPr>
        <w:tc>
          <w:tcPr>
            <w:tcW w:w="1300" w:type="dxa"/>
          </w:tcPr>
          <w:p w:rsidR="00AC0832" w:rsidRDefault="00AC0832">
            <w:pPr>
              <w:pStyle w:val="CellColumn"/>
            </w:pPr>
            <w:r>
              <w:t>Održane Sjednice SNO-a 2x godišnje</w:t>
            </w:r>
          </w:p>
        </w:tc>
        <w:tc>
          <w:tcPr>
            <w:tcW w:w="1300" w:type="dxa"/>
          </w:tcPr>
          <w:p w:rsidR="00AC0832" w:rsidRDefault="00AC0832">
            <w:pPr>
              <w:pStyle w:val="CellColumn"/>
            </w:pPr>
            <w:r>
              <w:t>Organizacijsko postupanje u skladu s Pravilnikom SNO, priprema i pravovremena dostava relevantne dokumentacije članovima kako bi se osigurala konstruktivna rasprava članova vezane uz dostavljene dokumente u cilju osiguranja sveobuhvatnog praćenja provedbe prema prioritetima, imajući u vidu dostizanje ciljeva OP-a i osiguranje održivosti projekata</w:t>
            </w:r>
          </w:p>
        </w:tc>
        <w:tc>
          <w:tcPr>
            <w:tcW w:w="1300" w:type="dxa"/>
          </w:tcPr>
          <w:p w:rsidR="00AC0832" w:rsidRDefault="00AC0832">
            <w:pPr>
              <w:pStyle w:val="CellColumn"/>
            </w:pPr>
            <w:r>
              <w:t>Broj</w:t>
            </w:r>
          </w:p>
        </w:tc>
        <w:tc>
          <w:tcPr>
            <w:tcW w:w="1300" w:type="dxa"/>
          </w:tcPr>
          <w:p w:rsidR="00AC0832" w:rsidRDefault="00AC0832">
            <w:pPr>
              <w:pStyle w:val="CellColumn"/>
            </w:pPr>
            <w:r>
              <w:t>9 (1. sjednica u "sjeni")</w:t>
            </w:r>
          </w:p>
        </w:tc>
        <w:tc>
          <w:tcPr>
            <w:tcW w:w="1300" w:type="dxa"/>
          </w:tcPr>
          <w:p w:rsidR="00AC0832" w:rsidRDefault="00AC0832">
            <w:pPr>
              <w:pStyle w:val="CellColumn"/>
            </w:pPr>
            <w:r>
              <w:t>Zapisnik sa sjednice SNO-a usuglašen od strane članova</w:t>
            </w:r>
          </w:p>
        </w:tc>
        <w:tc>
          <w:tcPr>
            <w:tcW w:w="1300" w:type="dxa"/>
          </w:tcPr>
          <w:p w:rsidR="00AC0832" w:rsidRDefault="00AC0832">
            <w:pPr>
              <w:pStyle w:val="CellColumn"/>
            </w:pPr>
            <w:r>
              <w:t>11</w:t>
            </w:r>
          </w:p>
        </w:tc>
        <w:tc>
          <w:tcPr>
            <w:tcW w:w="1300" w:type="dxa"/>
          </w:tcPr>
          <w:p w:rsidR="00AC0832" w:rsidRDefault="00AC0832">
            <w:pPr>
              <w:pStyle w:val="CellColumn"/>
            </w:pPr>
            <w:r>
              <w:t>13</w:t>
            </w:r>
          </w:p>
        </w:tc>
      </w:tr>
      <w:tr w:rsidR="00AC0832" w:rsidTr="00BE20ED">
        <w:trPr>
          <w:jc w:val="center"/>
        </w:trPr>
        <w:tc>
          <w:tcPr>
            <w:tcW w:w="1300" w:type="dxa"/>
          </w:tcPr>
          <w:p w:rsidR="00AC0832" w:rsidRDefault="00AC0832">
            <w:pPr>
              <w:pStyle w:val="CellColumn"/>
            </w:pPr>
            <w:r>
              <w:t>Izrađena i usuglašena sektorska godišnja izvješća o provedbi (AIR) sukladno rokovima</w:t>
            </w:r>
          </w:p>
        </w:tc>
        <w:tc>
          <w:tcPr>
            <w:tcW w:w="1300" w:type="dxa"/>
          </w:tcPr>
          <w:p w:rsidR="00AC0832" w:rsidRDefault="00AC0832">
            <w:pPr>
              <w:pStyle w:val="CellColumn"/>
            </w:pPr>
            <w:r>
              <w:t>Priprema sektorskih godišnjih izvješća, koji sadrže kvalitativne i kvantitativne podatke relevantne za praćenje OP-a, njihovo usuglašavanje od strane članova SNO, dostavljanje Nacionalnom IPA koordinatoru i Nacionalnom dužnosniku za ovjeravanje do 30.6. naredne godine za prethodnu godinu te u konačnici Europskoj komisiji</w:t>
            </w:r>
          </w:p>
        </w:tc>
        <w:tc>
          <w:tcPr>
            <w:tcW w:w="1300" w:type="dxa"/>
          </w:tcPr>
          <w:p w:rsidR="00AC0832" w:rsidRDefault="00AC0832">
            <w:pPr>
              <w:pStyle w:val="CellColumn"/>
            </w:pPr>
            <w:r>
              <w:t>Broj</w:t>
            </w:r>
          </w:p>
        </w:tc>
        <w:tc>
          <w:tcPr>
            <w:tcW w:w="1300" w:type="dxa"/>
          </w:tcPr>
          <w:p w:rsidR="00AC0832" w:rsidRDefault="00AC0832">
            <w:pPr>
              <w:pStyle w:val="CellColumn"/>
            </w:pPr>
            <w:r>
              <w:t>3 (2008, 2009, 2010)</w:t>
            </w:r>
          </w:p>
        </w:tc>
        <w:tc>
          <w:tcPr>
            <w:tcW w:w="1300" w:type="dxa"/>
          </w:tcPr>
          <w:p w:rsidR="00AC0832" w:rsidRDefault="00AC0832">
            <w:pPr>
              <w:pStyle w:val="CellColumn"/>
            </w:pPr>
            <w:r>
              <w:t>Službeni dopis Europske komisije o suglasnosti na Sektorsko godišnje izvješće o provedbi, prethodno usuglašeno s članovima SNO-a</w:t>
            </w:r>
          </w:p>
        </w:tc>
        <w:tc>
          <w:tcPr>
            <w:tcW w:w="1300" w:type="dxa"/>
          </w:tcPr>
          <w:p w:rsidR="00AC0832" w:rsidRDefault="00AC0832">
            <w:pPr>
              <w:pStyle w:val="CellColumn"/>
            </w:pPr>
            <w:r>
              <w:t>4</w:t>
            </w:r>
          </w:p>
        </w:tc>
        <w:tc>
          <w:tcPr>
            <w:tcW w:w="1300" w:type="dxa"/>
          </w:tcPr>
          <w:p w:rsidR="00AC0832" w:rsidRDefault="00AC0832">
            <w:pPr>
              <w:pStyle w:val="CellColumn"/>
            </w:pPr>
            <w:r>
              <w:t>5</w:t>
            </w:r>
          </w:p>
        </w:tc>
      </w:tr>
      <w:tr w:rsidR="00AC0832" w:rsidTr="00BE20ED">
        <w:trPr>
          <w:jc w:val="center"/>
        </w:trPr>
        <w:tc>
          <w:tcPr>
            <w:tcW w:w="1300" w:type="dxa"/>
          </w:tcPr>
          <w:p w:rsidR="00AC0832" w:rsidRDefault="00AC0832">
            <w:pPr>
              <w:pStyle w:val="CellColumn"/>
            </w:pPr>
            <w:r>
              <w:t>Izrađeno i odobreno završno Evaluacijsko izvješće</w:t>
            </w:r>
          </w:p>
        </w:tc>
        <w:tc>
          <w:tcPr>
            <w:tcW w:w="1300" w:type="dxa"/>
          </w:tcPr>
          <w:p w:rsidR="00AC0832" w:rsidRDefault="00AC0832">
            <w:pPr>
              <w:pStyle w:val="CellColumn"/>
            </w:pPr>
            <w:r>
              <w:t>Priprema dokumentacje za ugovaranje, koordinacija i praćenje provedbe postupka vrednovanja dosada provedenih projekata u području zapošljavanja, socijalne uključenosti i obrazovanja unutar OP RLJP 2007-2011 koju provode vanjski evaluatori</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Evaluacijska izvješća</w:t>
            </w:r>
          </w:p>
        </w:tc>
        <w:tc>
          <w:tcPr>
            <w:tcW w:w="1300" w:type="dxa"/>
          </w:tcPr>
          <w:p w:rsidR="00AC0832" w:rsidRDefault="00AC0832">
            <w:pPr>
              <w:pStyle w:val="CellColumn"/>
            </w:pPr>
            <w:r>
              <w:t>0</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Izrađeno i odobreno završno Evaluacijsko izvješće</w:t>
            </w:r>
          </w:p>
        </w:tc>
        <w:tc>
          <w:tcPr>
            <w:tcW w:w="1300" w:type="dxa"/>
          </w:tcPr>
          <w:p w:rsidR="00AC0832" w:rsidRDefault="00AC0832">
            <w:pPr>
              <w:pStyle w:val="CellColumn"/>
            </w:pPr>
            <w:r>
              <w:t>Koordinacija provedbe, pružanje informacija i praćenje provedbe ex-ante evaluacije ESF OP RLJP 2013 koju provode vanjski evaluatori</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Evaluacijska izvješća</w:t>
            </w:r>
          </w:p>
        </w:tc>
        <w:tc>
          <w:tcPr>
            <w:tcW w:w="1300" w:type="dxa"/>
          </w:tcPr>
          <w:p w:rsidR="00AC0832" w:rsidRDefault="00AC0832">
            <w:pPr>
              <w:pStyle w:val="CellColumn"/>
            </w:pPr>
            <w:r>
              <w:t>0</w:t>
            </w:r>
          </w:p>
        </w:tc>
        <w:tc>
          <w:tcPr>
            <w:tcW w:w="1300" w:type="dxa"/>
          </w:tcPr>
          <w:p w:rsidR="00AC0832" w:rsidRDefault="00AC0832">
            <w:pPr>
              <w:pStyle w:val="CellColumn"/>
            </w:pPr>
            <w:r>
              <w:t>1</w:t>
            </w:r>
          </w:p>
        </w:tc>
      </w:tr>
      <w:tr w:rsidR="00AC0832" w:rsidTr="00BE20ED">
        <w:trPr>
          <w:jc w:val="center"/>
        </w:trPr>
        <w:tc>
          <w:tcPr>
            <w:tcW w:w="1300" w:type="dxa"/>
          </w:tcPr>
          <w:p w:rsidR="00AC0832" w:rsidRDefault="00AC0832">
            <w:pPr>
              <w:pStyle w:val="CellColumn"/>
            </w:pPr>
            <w:r>
              <w:t>Odobrena nova verzija Priručnika o postupanju, 5.0</w:t>
            </w:r>
          </w:p>
        </w:tc>
        <w:tc>
          <w:tcPr>
            <w:tcW w:w="1300" w:type="dxa"/>
          </w:tcPr>
          <w:p w:rsidR="00AC0832" w:rsidRDefault="00AC0832">
            <w:pPr>
              <w:pStyle w:val="CellColumn"/>
            </w:pPr>
            <w:r>
              <w:t>Koordinacija, provođenje konzultacija i konačno usvajanje izmjena priručnika o postupanju i identificiranih u komunikaciji i razmjeni dokumenata između tijela Operativne strukture</w:t>
            </w:r>
          </w:p>
        </w:tc>
        <w:tc>
          <w:tcPr>
            <w:tcW w:w="1300" w:type="dxa"/>
          </w:tcPr>
          <w:p w:rsidR="00AC0832" w:rsidRDefault="00AC0832">
            <w:pPr>
              <w:pStyle w:val="CellColumn"/>
            </w:pPr>
            <w:r>
              <w:t>Broj izmjena priručnika</w:t>
            </w:r>
          </w:p>
        </w:tc>
        <w:tc>
          <w:tcPr>
            <w:tcW w:w="1300" w:type="dxa"/>
          </w:tcPr>
          <w:p w:rsidR="00AC0832" w:rsidRDefault="00AC0832">
            <w:pPr>
              <w:pStyle w:val="CellColumn"/>
            </w:pPr>
            <w:r>
              <w:t>5                    (1.0, 2.0, 3.0, 4.0, 4.1)</w:t>
            </w:r>
          </w:p>
        </w:tc>
        <w:tc>
          <w:tcPr>
            <w:tcW w:w="1300" w:type="dxa"/>
          </w:tcPr>
          <w:p w:rsidR="00AC0832" w:rsidRDefault="00AC0832">
            <w:pPr>
              <w:pStyle w:val="CellColumn"/>
            </w:pPr>
            <w:r>
              <w:t>Službeno očitovanje Nacionalnog dužnosnika za ovjeravanje kojim se daje odobrenje za korištenje izmijenjenog Priručnika o postupanju (prethodno odobrenog od čelnika Operativne strukture)</w:t>
            </w:r>
          </w:p>
        </w:tc>
        <w:tc>
          <w:tcPr>
            <w:tcW w:w="1300" w:type="dxa"/>
          </w:tcPr>
          <w:p w:rsidR="00AC0832" w:rsidRDefault="00AC0832">
            <w:pPr>
              <w:pStyle w:val="CellColumn"/>
            </w:pPr>
            <w:r>
              <w:t>6</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Izrađen plan nabave koji sadrži ažurirane tablice sa usaglašenim sadržajem od svih tijela OS-a</w:t>
            </w:r>
          </w:p>
        </w:tc>
        <w:tc>
          <w:tcPr>
            <w:tcW w:w="1300" w:type="dxa"/>
          </w:tcPr>
          <w:p w:rsidR="00AC0832" w:rsidRDefault="00AC0832">
            <w:pPr>
              <w:pStyle w:val="CellColumn"/>
            </w:pPr>
            <w:r>
              <w:t>Sve aktivnosti vezane za administrativno/tehničko praćenje plana provedbe operacija prioriteta vezanih za rad, obrazovanje, socijalnu sigurnost, kao i tehničku pomoć</w:t>
            </w:r>
          </w:p>
        </w:tc>
        <w:tc>
          <w:tcPr>
            <w:tcW w:w="1300" w:type="dxa"/>
          </w:tcPr>
          <w:p w:rsidR="00AC0832" w:rsidRDefault="00AC0832">
            <w:pPr>
              <w:pStyle w:val="CellColumn"/>
            </w:pPr>
            <w:r>
              <w:t>Broj mjesečnih sastanaka</w:t>
            </w:r>
          </w:p>
        </w:tc>
        <w:tc>
          <w:tcPr>
            <w:tcW w:w="1300" w:type="dxa"/>
          </w:tcPr>
          <w:p w:rsidR="00AC0832" w:rsidRDefault="00AC0832">
            <w:pPr>
              <w:pStyle w:val="CellColumn"/>
            </w:pPr>
            <w:r>
              <w:t>12</w:t>
            </w:r>
          </w:p>
        </w:tc>
        <w:tc>
          <w:tcPr>
            <w:tcW w:w="1300" w:type="dxa"/>
          </w:tcPr>
          <w:p w:rsidR="00AC0832" w:rsidRDefault="00AC0832">
            <w:pPr>
              <w:pStyle w:val="CellColumn"/>
            </w:pPr>
            <w:r>
              <w:t>Plan nabave</w:t>
            </w:r>
          </w:p>
        </w:tc>
        <w:tc>
          <w:tcPr>
            <w:tcW w:w="1300" w:type="dxa"/>
          </w:tcPr>
          <w:p w:rsidR="00AC0832" w:rsidRDefault="00AC0832">
            <w:pPr>
              <w:pStyle w:val="CellColumn"/>
            </w:pPr>
            <w:r>
              <w:t>12</w:t>
            </w:r>
          </w:p>
        </w:tc>
        <w:tc>
          <w:tcPr>
            <w:tcW w:w="1300" w:type="dxa"/>
          </w:tcPr>
          <w:p w:rsidR="00AC0832" w:rsidRDefault="00AC0832">
            <w:pPr>
              <w:pStyle w:val="CellColumn"/>
            </w:pPr>
            <w:r>
              <w:t>12,00</w:t>
            </w:r>
          </w:p>
        </w:tc>
      </w:tr>
    </w:tbl>
    <w:p w:rsidR="00AC0832" w:rsidRDefault="00AC0832">
      <w:pPr>
        <w:jc w:val="left"/>
      </w:pPr>
    </w:p>
    <w:p w:rsidR="00AC0832" w:rsidRDefault="00AC0832">
      <w:pPr>
        <w:pStyle w:val="Heading6"/>
      </w:pPr>
      <w:r>
        <w:t>A822013 IPA I 2011 - PROGRAM ZAJEDNICE ZA ZAPOŠLJAVANJE I SOCIJALNU SOLIDARNOST - PROGRESS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A822013-IPA I 2011 - PROGRAM ZAJEDNICE ZA ZAPOŠLJAVANJE I SOCIJALNU SOLIDARNOST - PROGRESS</w:t>
            </w:r>
          </w:p>
        </w:tc>
        <w:tc>
          <w:tcPr>
            <w:tcW w:w="2322" w:type="dxa"/>
          </w:tcPr>
          <w:p w:rsidR="00AC0832" w:rsidRDefault="00AC0832">
            <w:pPr>
              <w:pStyle w:val="CellColumn"/>
            </w:pPr>
            <w:r>
              <w:t>2.280.000</w:t>
            </w:r>
          </w:p>
        </w:tc>
        <w:tc>
          <w:tcPr>
            <w:tcW w:w="2322" w:type="dxa"/>
          </w:tcPr>
          <w:p w:rsidR="00AC0832" w:rsidRDefault="00AC0832">
            <w:pPr>
              <w:pStyle w:val="CellColumn"/>
            </w:pPr>
            <w:r>
              <w:t>2.265.533</w:t>
            </w:r>
          </w:p>
        </w:tc>
        <w:tc>
          <w:tcPr>
            <w:tcW w:w="2322" w:type="dxa"/>
          </w:tcPr>
          <w:p w:rsidR="00AC0832" w:rsidRDefault="00AC0832">
            <w:pPr>
              <w:pStyle w:val="CellColumn"/>
            </w:pPr>
            <w:r>
              <w:t>99,4</w:t>
            </w:r>
          </w:p>
        </w:tc>
      </w:tr>
    </w:tbl>
    <w:p w:rsidR="00AC0832" w:rsidRDefault="00AC0832">
      <w:pPr>
        <w:jc w:val="left"/>
      </w:pPr>
    </w:p>
    <w:p w:rsidR="00AC0832" w:rsidRDefault="00AC0832">
      <w:pPr>
        <w:pStyle w:val="Heading8"/>
        <w:jc w:val="left"/>
      </w:pPr>
      <w:r>
        <w:t>Opis provedbe aktivnosti / projekta</w:t>
      </w:r>
    </w:p>
    <w:p w:rsidR="00AC0832" w:rsidRDefault="00AC0832">
      <w:pPr>
        <w:pStyle w:val="Heading6"/>
      </w:pPr>
      <w:r>
        <w:t>A822023 IPA I 2009 - JAČANJE ADMINISTRATIVNE SPOSOBNOSTI NADLEŽNIH INSTITUCIJA I PROVEDBENIH AGENCIJA ZA KOORDINACIJU SUSTAVA SOCIJALNE SIGURNOSTI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A822023-IPA I 2009 - JAČANJE ADMINISTRATIVNE SPOSOBNOSTI NADLEŽNIH INSTITUCIJA I PROVEDBENIH AGENCIJA ZA KOORDINACIJU SUSTAVA SOCIJALNE SIGURNOSTI</w:t>
            </w:r>
          </w:p>
        </w:tc>
        <w:tc>
          <w:tcPr>
            <w:tcW w:w="2322" w:type="dxa"/>
          </w:tcPr>
          <w:p w:rsidR="00AC0832" w:rsidRDefault="00AC0832">
            <w:pPr>
              <w:pStyle w:val="CellColumn"/>
            </w:pPr>
            <w:r>
              <w:t>4.083.300</w:t>
            </w:r>
          </w:p>
        </w:tc>
        <w:tc>
          <w:tcPr>
            <w:tcW w:w="2322" w:type="dxa"/>
          </w:tcPr>
          <w:p w:rsidR="00AC0832" w:rsidRDefault="00AC0832">
            <w:pPr>
              <w:pStyle w:val="CellColumn"/>
            </w:pPr>
            <w:r>
              <w:t>1.951.785</w:t>
            </w:r>
          </w:p>
        </w:tc>
        <w:tc>
          <w:tcPr>
            <w:tcW w:w="2322" w:type="dxa"/>
          </w:tcPr>
          <w:p w:rsidR="00AC0832" w:rsidRDefault="00AC0832">
            <w:pPr>
              <w:pStyle w:val="CellColumn"/>
            </w:pPr>
            <w:r>
              <w:t>47,8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okviru redovitih poslova Uprave za mirovinski sustav obavljaju se i poslovi vezani za sudjelovanje u izradi međudržavnih ugovora o socijalom osiguranju, te pregovorima o sklapanju tih ugovora, izradi prijedloga zakona o potvrđivanju zaključenih ugovora, te praćenje provedbe istih, kao i korespondencije s nadležnim tijelima država s kojima se primjenjuju ti ugovori. U tom smislu potrebno je osigurati nesmetano provođenje tih procesa. Obzirom na poslove vezane za obveze iz pregovaračkih poglavlja u dijelu koji se odnosi na koordinaciju sustava socijalne sigurnosti, izrađuju se strateški dokumenti i izvješća sukladno zahtjevima pridruživanja i zadaćama koje predstoje ulaskom u Europsku uniju. Na području koordinacije sustava socijalne sigurnosti uspostavljena je Stalna međuresorna radna skupina za koordinaciju koju čine tri ministarstva kao nadležna tijela i četiri institucije kao implementacijske agencije koje će sudjelovati u provedbi Europskih uredbi o koordinaciji. Intenzivnom suradnjom unutar međuresorne skupine, izrađivat će se smjernice za postupanje tijela koja sudjeluju u koordinaciji, te će se vršiti i nadzor nad radom samih institucija koje primjenjuju pravila koordinacije. Obzirom da je odobren projekt u okviru IPA 2009 Jačanje administrativnih sposobnosti nadležnih institucija i provedbenih agencija za koordinaciju sustava socijalne sigurnosti, očekuju se pojačane aktivnosti Uprave na provedbi ovog projekta koji je započeo u listopadu  2011. godine u cilju edukacije službenika za primjenu uredbi o koordinaciji koji se danom ulaska Republike Hrvatske u Europsku uniju izravno primjenjuju.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9"/>
        <w:gridCol w:w="1667"/>
        <w:gridCol w:w="1723"/>
        <w:gridCol w:w="1069"/>
        <w:gridCol w:w="1036"/>
        <w:gridCol w:w="1069"/>
        <w:gridCol w:w="113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Izrada, praćenje i usklađivanje međunarodnih ugovora o socijalnoj sigurnosti, te provođenje poslova vezanih za proces pridruživanja EU</w:t>
            </w:r>
          </w:p>
        </w:tc>
        <w:tc>
          <w:tcPr>
            <w:tcW w:w="1300" w:type="dxa"/>
          </w:tcPr>
          <w:p w:rsidR="00AC0832" w:rsidRDefault="00AC0832">
            <w:pPr>
              <w:pStyle w:val="CellColumn"/>
            </w:pPr>
            <w:r>
              <w:t>Sudjelovanje u izradi, praćenju i usklađivanju bilateralnih ugovora o socijalnom osiguranju, te korespondencija sa nadležnim tijelima država s kojima se primjenjuju ti ugovori. Izrada strateških dokumenata i izvješća sukladno zahtjevima pridruživanja i zadaćama koje predstoje pristupanjem u EU</w:t>
            </w:r>
          </w:p>
        </w:tc>
        <w:tc>
          <w:tcPr>
            <w:tcW w:w="1300" w:type="dxa"/>
          </w:tcPr>
          <w:p w:rsidR="00AC0832" w:rsidRDefault="00AC0832">
            <w:pPr>
              <w:pStyle w:val="CellColumn"/>
            </w:pPr>
            <w:r>
              <w:t>broj ugovora, korespondencije, izvješća, strateških dokumenata</w:t>
            </w:r>
          </w:p>
        </w:tc>
        <w:tc>
          <w:tcPr>
            <w:tcW w:w="1300" w:type="dxa"/>
          </w:tcPr>
          <w:p w:rsidR="00AC0832" w:rsidRDefault="00AC0832">
            <w:pPr>
              <w:pStyle w:val="CellColumn"/>
            </w:pPr>
            <w:r>
              <w:t>2</w:t>
            </w:r>
          </w:p>
        </w:tc>
        <w:tc>
          <w:tcPr>
            <w:tcW w:w="1300" w:type="dxa"/>
          </w:tcPr>
          <w:p w:rsidR="00AC0832" w:rsidRDefault="00AC0832">
            <w:pPr>
              <w:pStyle w:val="CellColumn"/>
            </w:pPr>
            <w:r>
              <w:t>MRMS</w:t>
            </w:r>
          </w:p>
        </w:tc>
        <w:tc>
          <w:tcPr>
            <w:tcW w:w="1300" w:type="dxa"/>
          </w:tcPr>
          <w:p w:rsidR="00AC0832" w:rsidRDefault="00AC0832">
            <w:pPr>
              <w:pStyle w:val="CellColumn"/>
            </w:pPr>
            <w:r>
              <w:t>3</w:t>
            </w:r>
          </w:p>
        </w:tc>
        <w:tc>
          <w:tcPr>
            <w:tcW w:w="1300" w:type="dxa"/>
          </w:tcPr>
          <w:p w:rsidR="00AC0832" w:rsidRDefault="00AC0832">
            <w:pPr>
              <w:pStyle w:val="CellColumn"/>
            </w:pPr>
            <w:r>
              <w:t>3</w:t>
            </w:r>
          </w:p>
        </w:tc>
      </w:tr>
      <w:tr w:rsidR="00AC0832" w:rsidTr="00BE20ED">
        <w:trPr>
          <w:jc w:val="center"/>
        </w:trPr>
        <w:tc>
          <w:tcPr>
            <w:tcW w:w="1300" w:type="dxa"/>
          </w:tcPr>
          <w:p w:rsidR="00AC0832" w:rsidRDefault="00AC0832">
            <w:pPr>
              <w:pStyle w:val="CellColumn"/>
            </w:pPr>
            <w:r>
              <w:t>Sudjelovanje u pripremi programa i projekata, te provedbi projekata iz programa pomoći EU</w:t>
            </w:r>
          </w:p>
        </w:tc>
        <w:tc>
          <w:tcPr>
            <w:tcW w:w="1300" w:type="dxa"/>
          </w:tcPr>
          <w:p w:rsidR="00AC0832" w:rsidRDefault="00AC0832">
            <w:pPr>
              <w:pStyle w:val="CellColumn"/>
            </w:pPr>
            <w:r>
              <w:t>Provedba projekta IPA 2009 Jačanje administrativnih sposobnosti nadležnih institucija i provedbenih agencija na području socijalne sigurnosti</w:t>
            </w:r>
          </w:p>
        </w:tc>
        <w:tc>
          <w:tcPr>
            <w:tcW w:w="1300" w:type="dxa"/>
          </w:tcPr>
          <w:p w:rsidR="00AC0832" w:rsidRDefault="00AC0832">
            <w:pPr>
              <w:pStyle w:val="CellColumn"/>
            </w:pPr>
            <w:r>
              <w:t>broj sastanaka</w:t>
            </w:r>
          </w:p>
        </w:tc>
        <w:tc>
          <w:tcPr>
            <w:tcW w:w="1300" w:type="dxa"/>
          </w:tcPr>
          <w:p w:rsidR="00AC0832" w:rsidRDefault="00AC0832">
            <w:pPr>
              <w:pStyle w:val="CellColumn"/>
            </w:pPr>
            <w:r>
              <w:t>6</w:t>
            </w:r>
          </w:p>
        </w:tc>
        <w:tc>
          <w:tcPr>
            <w:tcW w:w="1300" w:type="dxa"/>
          </w:tcPr>
          <w:p w:rsidR="00AC0832" w:rsidRDefault="00AC0832">
            <w:pPr>
              <w:pStyle w:val="CellColumn"/>
            </w:pPr>
            <w:r>
              <w:t>MRMS</w:t>
            </w:r>
          </w:p>
        </w:tc>
        <w:tc>
          <w:tcPr>
            <w:tcW w:w="1300" w:type="dxa"/>
          </w:tcPr>
          <w:p w:rsidR="00AC0832" w:rsidRDefault="00AC0832">
            <w:pPr>
              <w:pStyle w:val="CellColumn"/>
            </w:pPr>
            <w:r>
              <w:t>5</w:t>
            </w:r>
          </w:p>
        </w:tc>
        <w:tc>
          <w:tcPr>
            <w:tcW w:w="1300" w:type="dxa"/>
          </w:tcPr>
          <w:p w:rsidR="00AC0832" w:rsidRDefault="00AC0832">
            <w:pPr>
              <w:pStyle w:val="CellColumn"/>
            </w:pPr>
            <w:r>
              <w:t>5</w:t>
            </w:r>
          </w:p>
        </w:tc>
      </w:tr>
      <w:tr w:rsidR="00AC0832" w:rsidTr="00BE20ED">
        <w:trPr>
          <w:jc w:val="center"/>
        </w:trPr>
        <w:tc>
          <w:tcPr>
            <w:tcW w:w="1300" w:type="dxa"/>
          </w:tcPr>
          <w:p w:rsidR="00AC0832" w:rsidRDefault="00AC0832">
            <w:pPr>
              <w:pStyle w:val="CellColumn"/>
            </w:pPr>
            <w:r>
              <w:t>Stupanj osposobljenosti postojećih službenika za izravnu primjenu EU uredbi za koordinaciju socijalne sigurnosti</w:t>
            </w:r>
          </w:p>
        </w:tc>
        <w:tc>
          <w:tcPr>
            <w:tcW w:w="1300" w:type="dxa"/>
          </w:tcPr>
          <w:p w:rsidR="00AC0832" w:rsidRDefault="00AC0832">
            <w:pPr>
              <w:pStyle w:val="CellColumn"/>
            </w:pPr>
            <w:r>
              <w:t>Seminari i radionice koje će unaprijediti znanje službenika na području koordinacije</w:t>
            </w:r>
          </w:p>
        </w:tc>
        <w:tc>
          <w:tcPr>
            <w:tcW w:w="1300" w:type="dxa"/>
          </w:tcPr>
          <w:p w:rsidR="00AC0832" w:rsidRDefault="00AC0832">
            <w:pPr>
              <w:pStyle w:val="CellColumn"/>
            </w:pPr>
            <w:r>
              <w:t>broj seminara, radionica</w:t>
            </w:r>
          </w:p>
        </w:tc>
        <w:tc>
          <w:tcPr>
            <w:tcW w:w="1300" w:type="dxa"/>
          </w:tcPr>
          <w:p w:rsidR="00AC0832" w:rsidRDefault="00AC0832">
            <w:pPr>
              <w:pStyle w:val="CellColumn"/>
            </w:pPr>
            <w:r>
              <w:t>5</w:t>
            </w:r>
          </w:p>
        </w:tc>
        <w:tc>
          <w:tcPr>
            <w:tcW w:w="1300" w:type="dxa"/>
          </w:tcPr>
          <w:p w:rsidR="00AC0832" w:rsidRDefault="00AC0832">
            <w:pPr>
              <w:pStyle w:val="CellColumn"/>
            </w:pPr>
            <w:r>
              <w:t>MRMS</w:t>
            </w:r>
          </w:p>
        </w:tc>
        <w:tc>
          <w:tcPr>
            <w:tcW w:w="1300" w:type="dxa"/>
          </w:tcPr>
          <w:p w:rsidR="00AC0832" w:rsidRDefault="00AC0832">
            <w:pPr>
              <w:pStyle w:val="CellColumn"/>
            </w:pPr>
            <w:r>
              <w:t>3</w:t>
            </w:r>
          </w:p>
        </w:tc>
        <w:tc>
          <w:tcPr>
            <w:tcW w:w="1300" w:type="dxa"/>
          </w:tcPr>
          <w:p w:rsidR="00AC0832" w:rsidRDefault="00AC0832">
            <w:pPr>
              <w:pStyle w:val="CellColumn"/>
            </w:pPr>
            <w:r>
              <w:t>3</w:t>
            </w:r>
          </w:p>
        </w:tc>
      </w:tr>
    </w:tbl>
    <w:p w:rsidR="00AC0832" w:rsidRDefault="00AC0832">
      <w:pPr>
        <w:jc w:val="left"/>
      </w:pPr>
    </w:p>
    <w:p w:rsidR="00AC0832" w:rsidRDefault="00AC0832">
      <w:pPr>
        <w:pStyle w:val="Heading6"/>
      </w:pPr>
      <w:r>
        <w:t>A854006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A854006-ADMINISTRACIJA I UPRAVLJANJE</w:t>
            </w:r>
          </w:p>
        </w:tc>
        <w:tc>
          <w:tcPr>
            <w:tcW w:w="2322" w:type="dxa"/>
          </w:tcPr>
          <w:p w:rsidR="00AC0832" w:rsidRDefault="00AC0832">
            <w:pPr>
              <w:pStyle w:val="CellColumn"/>
            </w:pPr>
            <w:r>
              <w:t>29.721.000</w:t>
            </w:r>
          </w:p>
        </w:tc>
        <w:tc>
          <w:tcPr>
            <w:tcW w:w="2322" w:type="dxa"/>
          </w:tcPr>
          <w:p w:rsidR="00AC0832" w:rsidRDefault="00AC0832">
            <w:pPr>
              <w:pStyle w:val="CellColumn"/>
            </w:pPr>
            <w:r>
              <w:t>17.161.866</w:t>
            </w:r>
          </w:p>
        </w:tc>
        <w:tc>
          <w:tcPr>
            <w:tcW w:w="2322" w:type="dxa"/>
          </w:tcPr>
          <w:p w:rsidR="00AC0832" w:rsidRDefault="00AC0832">
            <w:pPr>
              <w:pStyle w:val="CellColumn"/>
            </w:pPr>
            <w:r>
              <w:t>57,7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Ovaj program ima za cilj stvaranje uvjeta državnim službenicima i namještenicima Ministarstva za obavljanje poslova koji su im dani u nadležnosti djelokrug. Nadalje, program je namijenjen za podizanje tehničke opremljenosti s iformatičkom opremom na višu razinu i svrsishodnu implementaciju nove opreme, baze podataka i softvera s ciljem učinkovitijeg korištenja istih.</w:t>
      </w:r>
    </w:p>
    <w:p w:rsidR="00AC0832" w:rsidRDefault="00AC0832">
      <w:pPr>
        <w:pStyle w:val="Heading6"/>
      </w:pPr>
      <w:r>
        <w:t>K817013 IPA I 2007 ZDRAVLJE I SIGURNOST NA RADU - JAČANJE ADMINISTRATIVNIH KAPACITETA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K817013-IPA I 2007 ZDRAVLJE I SIGURNOST NA RADU - JAČANJE ADMINISTRATIVNIH KAPACITETA</w:t>
            </w:r>
          </w:p>
        </w:tc>
        <w:tc>
          <w:tcPr>
            <w:tcW w:w="2322" w:type="dxa"/>
          </w:tcPr>
          <w:p w:rsidR="00AC0832" w:rsidRDefault="00AC0832">
            <w:pPr>
              <w:pStyle w:val="CellColumn"/>
            </w:pPr>
            <w:r>
              <w:t>9.127.657</w:t>
            </w:r>
          </w:p>
        </w:tc>
        <w:tc>
          <w:tcPr>
            <w:tcW w:w="2322" w:type="dxa"/>
          </w:tcPr>
          <w:p w:rsidR="00AC0832" w:rsidRDefault="00AC0832">
            <w:pPr>
              <w:pStyle w:val="CellColumn"/>
            </w:pPr>
            <w:r>
              <w:t>3.437.665</w:t>
            </w:r>
          </w:p>
        </w:tc>
        <w:tc>
          <w:tcPr>
            <w:tcW w:w="2322" w:type="dxa"/>
          </w:tcPr>
          <w:p w:rsidR="00AC0832" w:rsidRDefault="00AC0832">
            <w:pPr>
              <w:pStyle w:val="CellColumn"/>
            </w:pPr>
            <w:r>
              <w:t>37,7</w:t>
            </w:r>
          </w:p>
        </w:tc>
      </w:tr>
    </w:tbl>
    <w:p w:rsidR="00AC0832" w:rsidRDefault="00AC0832">
      <w:pPr>
        <w:pStyle w:val="Heading2"/>
      </w:pPr>
      <w:r>
        <w:t>08620 Hrvatski zavod za mirovinsko osiguranje</w:t>
      </w:r>
    </w:p>
    <w:p w:rsidR="00AC0832" w:rsidRDefault="00AC0832">
      <w:pPr>
        <w:pStyle w:val="Heading4"/>
      </w:pPr>
      <w:r>
        <w:t>Uvod</w:t>
      </w:r>
    </w:p>
    <w:p w:rsidR="00AC0832" w:rsidRDefault="00AC0832">
      <w:pPr>
        <w:pStyle w:val="Normal3"/>
      </w:pPr>
      <w:r>
        <w:t xml:space="preserve">Hrvatski zavod za mirovinsko osiguranje javna je ustanova osnovana Zakonom o mirovinskom osiguranju radi provedbe obveznoga mirovinskog osiguranja na temelju generacijske solidarnosti. U Zavodu prava iz mirovinskog osiguranja ostvaruju radnici, poljoprivrednici, obrtnici i druge osigurane osobe utvrđene Zakonom o mirovinskom osiguranju i drugim propisima. U Zavodu se ostvaruju prava na mirovinu,  profesionalnu rehabilitaciju, novčanu naknadu zbog tjelesnog oštećenja i naknadu putnih troškova u vezi s ostvarivanjem osiguranih prava. Zavod  provodi i postupke ostvarivanja prava na doplatak za djecu. </w:t>
      </w:r>
    </w:p>
    <w:p w:rsidR="00AC0832" w:rsidRDefault="00AC0832">
      <w:pPr>
        <w:pStyle w:val="Normal3"/>
      </w:pPr>
      <w:r>
        <w:t xml:space="preserve">Vizija poslovanja Zavoda  je da kao moderna javna ustanova na najvišoj europskoj razini, poštujući najviše standarde ažurnosti i kvalitete te koristeći suvremenu tehnologiju i informatizaciju, pruža osiguranicima cjelovite i kvalitetne usluge u optimalnim rokovima, uz smanjenje ukupnih troškova poslovanja.  </w:t>
      </w:r>
    </w:p>
    <w:p w:rsidR="00AC0832" w:rsidRDefault="00AC0832">
      <w:pPr>
        <w:pStyle w:val="Normal3"/>
      </w:pPr>
      <w:r>
        <w:t>Ukupni rashodi Hrvatskog zavoda za mirovinsko osiguranje za 2012. godinu planirani su u svoti od 35.636.880.000 kn, a izvršeni u svoti od 35.628.598.775 kn, što iznosi 99,98% planiranih rashoda.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08620-Hrvatski zavod za mirovinsko osiguranje</w:t>
            </w:r>
          </w:p>
        </w:tc>
        <w:tc>
          <w:tcPr>
            <w:tcW w:w="2322" w:type="dxa"/>
          </w:tcPr>
          <w:p w:rsidR="00AC0832" w:rsidRDefault="00AC0832">
            <w:pPr>
              <w:pStyle w:val="CellColumn"/>
            </w:pPr>
            <w:r>
              <w:t>35.636.880.000</w:t>
            </w:r>
          </w:p>
        </w:tc>
        <w:tc>
          <w:tcPr>
            <w:tcW w:w="2322" w:type="dxa"/>
          </w:tcPr>
          <w:p w:rsidR="00AC0832" w:rsidRDefault="00AC0832">
            <w:pPr>
              <w:pStyle w:val="CellColumn"/>
            </w:pPr>
            <w:r>
              <w:t>35.628.598.775</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Small"/>
            </w:pPr>
            <w:r>
              <w:t>4101-PODRŠKA SUSTAVU MIROVINSKOG OSIGURANJA</w:t>
            </w:r>
          </w:p>
        </w:tc>
        <w:tc>
          <w:tcPr>
            <w:tcW w:w="2322" w:type="dxa"/>
          </w:tcPr>
          <w:p w:rsidR="00AC0832" w:rsidRDefault="00AC0832">
            <w:pPr>
              <w:pStyle w:val="CellColumnSmall"/>
            </w:pPr>
            <w:r>
              <w:t>436.550.000</w:t>
            </w:r>
          </w:p>
        </w:tc>
        <w:tc>
          <w:tcPr>
            <w:tcW w:w="2322" w:type="dxa"/>
          </w:tcPr>
          <w:p w:rsidR="00AC0832" w:rsidRDefault="00AC0832">
            <w:pPr>
              <w:pStyle w:val="CellColumnSmall"/>
            </w:pPr>
            <w:r>
              <w:t>431.519.908</w:t>
            </w:r>
          </w:p>
        </w:tc>
        <w:tc>
          <w:tcPr>
            <w:tcW w:w="2322" w:type="dxa"/>
          </w:tcPr>
          <w:p w:rsidR="00AC0832" w:rsidRDefault="00AC0832">
            <w:pPr>
              <w:pStyle w:val="CellColumnSmall"/>
            </w:pPr>
            <w:r>
              <w:t>98,8</w:t>
            </w:r>
          </w:p>
        </w:tc>
      </w:tr>
      <w:tr w:rsidR="00AC0832" w:rsidTr="00BE20ED">
        <w:trPr>
          <w:jc w:val="center"/>
        </w:trPr>
        <w:tc>
          <w:tcPr>
            <w:tcW w:w="2322" w:type="dxa"/>
          </w:tcPr>
          <w:p w:rsidR="00AC0832" w:rsidRDefault="00AC0832">
            <w:pPr>
              <w:pStyle w:val="CellColumnSmall"/>
            </w:pPr>
            <w:r>
              <w:t>4102-MIROVINE I MIROVINSKA PRIMANJA</w:t>
            </w:r>
          </w:p>
        </w:tc>
        <w:tc>
          <w:tcPr>
            <w:tcW w:w="2322" w:type="dxa"/>
          </w:tcPr>
          <w:p w:rsidR="00AC0832" w:rsidRDefault="00AC0832">
            <w:pPr>
              <w:pStyle w:val="CellColumnSmall"/>
            </w:pPr>
            <w:r>
              <w:t>35.200.330.000</w:t>
            </w:r>
          </w:p>
        </w:tc>
        <w:tc>
          <w:tcPr>
            <w:tcW w:w="2322" w:type="dxa"/>
          </w:tcPr>
          <w:p w:rsidR="00AC0832" w:rsidRDefault="00AC0832">
            <w:pPr>
              <w:pStyle w:val="CellColumnSmall"/>
            </w:pPr>
            <w:r>
              <w:t>35.197.078.867</w:t>
            </w:r>
          </w:p>
        </w:tc>
        <w:tc>
          <w:tcPr>
            <w:tcW w:w="2322" w:type="dxa"/>
          </w:tcPr>
          <w:p w:rsidR="00AC0832" w:rsidRDefault="00AC0832">
            <w:pPr>
              <w:pStyle w:val="CellColumnSmall"/>
            </w:pPr>
            <w:r>
              <w:t>100,0</w:t>
            </w:r>
          </w:p>
        </w:tc>
      </w:tr>
    </w:tbl>
    <w:p w:rsidR="00AC0832" w:rsidRDefault="00AC0832">
      <w:pPr>
        <w:jc w:val="left"/>
      </w:pPr>
    </w:p>
    <w:p w:rsidR="00AC0832" w:rsidRDefault="00AC0832">
      <w:pPr>
        <w:pStyle w:val="Heading4"/>
      </w:pPr>
      <w:r>
        <w:t>OBRAZLOŽENJE PROGRAMA</w:t>
      </w:r>
    </w:p>
    <w:p w:rsidR="00AC0832" w:rsidRDefault="00AC0832">
      <w:pPr>
        <w:pStyle w:val="Heading5"/>
      </w:pPr>
      <w:r>
        <w:t>4101 PODRŠKA SUSTAVU MIROVINSKOG OSIGURANJA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4101-PODRŠKA SUSTAVU MIROVINSKOG OSIGURANJA</w:t>
            </w:r>
          </w:p>
        </w:tc>
        <w:tc>
          <w:tcPr>
            <w:tcW w:w="2322" w:type="dxa"/>
          </w:tcPr>
          <w:p w:rsidR="00AC0832" w:rsidRDefault="00AC0832">
            <w:pPr>
              <w:pStyle w:val="CellColumn"/>
            </w:pPr>
            <w:r>
              <w:t>436.550.000</w:t>
            </w:r>
          </w:p>
        </w:tc>
        <w:tc>
          <w:tcPr>
            <w:tcW w:w="2322" w:type="dxa"/>
          </w:tcPr>
          <w:p w:rsidR="00AC0832" w:rsidRDefault="00AC0832">
            <w:pPr>
              <w:pStyle w:val="CellColumn"/>
            </w:pPr>
            <w:r>
              <w:t>431.519.908</w:t>
            </w:r>
          </w:p>
        </w:tc>
        <w:tc>
          <w:tcPr>
            <w:tcW w:w="2322" w:type="dxa"/>
          </w:tcPr>
          <w:p w:rsidR="00AC0832" w:rsidRDefault="00AC0832">
            <w:pPr>
              <w:pStyle w:val="CellColumn"/>
            </w:pPr>
            <w:r>
              <w:t>98,8</w:t>
            </w:r>
          </w:p>
        </w:tc>
      </w:tr>
    </w:tbl>
    <w:p w:rsidR="00AC0832" w:rsidRDefault="00AC0832">
      <w:pPr>
        <w:jc w:val="left"/>
      </w:pPr>
    </w:p>
    <w:p w:rsidR="00AC0832" w:rsidRDefault="00AC0832">
      <w:pPr>
        <w:pStyle w:val="Heading6"/>
      </w:pPr>
      <w:r>
        <w:t>Opis programa</w:t>
      </w:r>
    </w:p>
    <w:p w:rsidR="00AC0832" w:rsidRDefault="00AC0832">
      <w:pPr>
        <w:pStyle w:val="Normal5"/>
      </w:pPr>
      <w:r>
        <w:t xml:space="preserve">Obavljanje svih stručnih i administrativnih poslova u cilju nesmetanog, racionalnog i uspješnog obavljanja djelatnosti Zavoda i dostupnosti ostvarivanja prava iz mirovinskog osiguranja svim osiguranim osobama.  </w:t>
      </w:r>
    </w:p>
    <w:p w:rsidR="00AC0832" w:rsidRDefault="00AC0832">
      <w:pPr>
        <w:pStyle w:val="Normal5"/>
      </w:pPr>
      <w:r>
        <w:t xml:space="preserve">Najznačajniji poslovi koje Zavod obavlja su : </w:t>
      </w:r>
    </w:p>
    <w:p w:rsidR="00AC0832" w:rsidRDefault="00AC0832">
      <w:pPr>
        <w:pStyle w:val="Normal5"/>
      </w:pPr>
      <w:r>
        <w:t xml:space="preserve">- donošenje općih akata za provedbu mirovinskog osiguranja i drugih općih akata (Statut,  pravilnici, poslovnici i odluke, kojima se na opći način uređuje pojedina pitanja u vezi s djelatnošću Zavoda) </w:t>
      </w:r>
    </w:p>
    <w:p w:rsidR="00AC0832" w:rsidRDefault="00AC0832">
      <w:pPr>
        <w:pStyle w:val="Normal5"/>
      </w:pPr>
      <w:r>
        <w:t xml:space="preserve">- osiguranje zakonitosti ostvarivanja prava i pružanja stručne pomoći osiguranim osobama pri ostvarivanju prava  </w:t>
      </w:r>
    </w:p>
    <w:p w:rsidR="00AC0832" w:rsidRDefault="00AC0832">
      <w:pPr>
        <w:pStyle w:val="Normal5"/>
      </w:pPr>
      <w:r>
        <w:t xml:space="preserve">- obavljanje poslova u vezi s ostvarivanjem prava zaposlenika, poljoprivrednika, obrtnika i drugih osoba iz mirovinskog osiguranja </w:t>
      </w:r>
    </w:p>
    <w:p w:rsidR="00AC0832" w:rsidRDefault="00AC0832">
      <w:pPr>
        <w:pStyle w:val="Normal5"/>
      </w:pPr>
      <w:r>
        <w:t xml:space="preserve">- vođenje upravnog postupka u ostvarivanju prava i obveza iz mirovinskog osiguranja i doplatka za djecu </w:t>
      </w:r>
    </w:p>
    <w:p w:rsidR="00AC0832" w:rsidRDefault="00AC0832">
      <w:pPr>
        <w:pStyle w:val="Normal5"/>
      </w:pPr>
      <w:r>
        <w:t xml:space="preserve">- provedba međunarodnih ugovora o socijalnom osiguranju i pravnih propisa EU o koordinaciji sustava socijalne sigurnosti </w:t>
      </w:r>
    </w:p>
    <w:p w:rsidR="00AC0832" w:rsidRDefault="00AC0832">
      <w:pPr>
        <w:pStyle w:val="Normal5"/>
      </w:pPr>
      <w:r>
        <w:t xml:space="preserve">- upravljanje i poslovanje sredstvima za namjene utvrđene Zakonom </w:t>
      </w:r>
    </w:p>
    <w:p w:rsidR="00AC0832" w:rsidRDefault="00AC0832">
      <w:pPr>
        <w:pStyle w:val="Normal5"/>
      </w:pPr>
      <w:r>
        <w:t xml:space="preserve">- vođenje evidencija o osiguranim osobama, obveznicima uplate doprinosa i drugih davanja i pravima iz mirovinskog osiguranja </w:t>
      </w:r>
    </w:p>
    <w:p w:rsidR="00AC0832" w:rsidRDefault="00AC0832">
      <w:pPr>
        <w:pStyle w:val="Normal5"/>
      </w:pPr>
      <w:r>
        <w:t xml:space="preserve">- obavljanje poslova statističkih istraživanja u skladu sa zakonom </w:t>
      </w:r>
    </w:p>
    <w:p w:rsidR="00AC0832" w:rsidRDefault="00AC0832">
      <w:pPr>
        <w:pStyle w:val="Normal5"/>
      </w:pPr>
      <w:r>
        <w:t xml:space="preserve">- provedba politike razvoja i unapređenja mirovinskog osiguranja </w:t>
      </w:r>
    </w:p>
    <w:p w:rsidR="00AC0832" w:rsidRDefault="00AC0832">
      <w:pPr>
        <w:pStyle w:val="Normal5"/>
      </w:pPr>
      <w:r>
        <w:t xml:space="preserve">- izdavanje stručno-informativnih publikacija o djelatnosti Zavoda </w:t>
      </w:r>
    </w:p>
    <w:p w:rsidR="00AC0832" w:rsidRDefault="00AC0832">
      <w:pPr>
        <w:pStyle w:val="Normal5"/>
      </w:pPr>
      <w:r>
        <w:t xml:space="preserve">- obavljanje drugih poslova u vezi s provedbom mirovinskog osiguranja </w:t>
      </w:r>
    </w:p>
    <w:p w:rsidR="00AC0832" w:rsidRDefault="00AC0832">
      <w:pPr>
        <w:pStyle w:val="Normal5"/>
      </w:pPr>
      <w:r>
        <w:t>Program se odnosi na rashode poslovanja (rashode za zaposlene i materijalne rashode) i rashode za nabavu nefinancijske imovine. Rashodi za ovaj program ostvareni su u svoti od 431.519.909 kn i u odnosu na rashode za 2011. godinu, kada su iznosili 481.041.764 kn, smanjeni su za 49.521.855 kn ili za 10,29%.</w:t>
      </w:r>
    </w:p>
    <w:p w:rsidR="00AC0832" w:rsidRDefault="00AC0832">
      <w:pPr>
        <w:pStyle w:val="Heading6"/>
      </w:pPr>
      <w:r>
        <w:t>Zakonske i druge pravne osnove</w:t>
      </w:r>
    </w:p>
    <w:p w:rsidR="00AC0832" w:rsidRDefault="00AC0832">
      <w:pPr>
        <w:pStyle w:val="Normal5"/>
      </w:pPr>
      <w:r>
        <w:t>Statut Hrvatskog zavoda za mirovinsko osiguranje ("Narodne novine", broj 163/98., 86/03. ,146/11. i 117/12.).</w:t>
      </w:r>
    </w:p>
    <w:p w:rsidR="00AC0832" w:rsidRDefault="00AC0832">
      <w:pPr>
        <w:pStyle w:val="Heading7"/>
      </w:pPr>
      <w:r>
        <w:t>Cilj 1. Unaprjeđenje provedbe mirovinskog osiguranja generacijske solidarnosti kroz povećanje ažurnosti poslovanja i unaprjeđenje administrativno-tehničke podrške sustavu</w:t>
      </w:r>
    </w:p>
    <w:p w:rsidR="00AC0832" w:rsidRDefault="00AC0832">
      <w:pPr>
        <w:pStyle w:val="Heading8"/>
        <w:jc w:val="left"/>
      </w:pPr>
      <w:r>
        <w:t>Opis provedbe cilja programa</w:t>
      </w:r>
    </w:p>
    <w:p w:rsidR="00AC0832" w:rsidRDefault="00AC0832">
      <w:pPr>
        <w:pStyle w:val="Normal6"/>
      </w:pPr>
      <w:r>
        <w:t>Strategija Zavoda je da daljnjom modernizacijom nastavi podizati kvalitetu usluga korisnicima povećanjem ažurnosti i učinkovitosti poslovanja, otvaranje i približavanje Zavoda osiguranicima, korisnicima i javnosti osiguranjem prava pristupa relevantnim informacijama i podacima, postizanje optimalne ažurnosti, potpunosti i točnosti podataka u evidencijama Zavoda, smanjenje troškova poslovanja, unapređenje poslovanja primjenom suvremenih informatičkih rješenja i redizajniranjem poslovnih procesa, upravljanje i razvoj ljudskih potencijala te osiguranje pravilnog, učinkovitog i ekonomičnog raspolaganja proračunskim i drugim sredstvima.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postotka  predmeta iz mirovinskog osiguranja okončanih u zakonskom roku</w:t>
            </w:r>
          </w:p>
        </w:tc>
        <w:tc>
          <w:tcPr>
            <w:tcW w:w="1300" w:type="dxa"/>
          </w:tcPr>
          <w:p w:rsidR="00AC0832" w:rsidRDefault="00AC0832">
            <w:pPr>
              <w:pStyle w:val="CellColumn"/>
            </w:pPr>
            <w:r>
              <w:t>Rješavanje predmeta u zakonskim rokovima preduvjet je i pokazatelj učinkovitog pružanja usluga, odnosno sa stanovišta osiguranika, ostvarivanja prava.</w:t>
            </w:r>
          </w:p>
        </w:tc>
        <w:tc>
          <w:tcPr>
            <w:tcW w:w="1300" w:type="dxa"/>
          </w:tcPr>
          <w:p w:rsidR="00AC0832" w:rsidRDefault="00AC0832">
            <w:pPr>
              <w:pStyle w:val="CellColumn"/>
            </w:pPr>
            <w:r>
              <w:t>%</w:t>
            </w:r>
          </w:p>
        </w:tc>
        <w:tc>
          <w:tcPr>
            <w:tcW w:w="1300" w:type="dxa"/>
          </w:tcPr>
          <w:p w:rsidR="00AC0832" w:rsidRDefault="00AC0832">
            <w:pPr>
              <w:pStyle w:val="CellColumn"/>
            </w:pPr>
            <w:r>
              <w:t>67%</w:t>
            </w:r>
          </w:p>
        </w:tc>
        <w:tc>
          <w:tcPr>
            <w:tcW w:w="1300" w:type="dxa"/>
          </w:tcPr>
          <w:p w:rsidR="00AC0832" w:rsidRDefault="00AC0832">
            <w:pPr>
              <w:pStyle w:val="CellColumn"/>
            </w:pPr>
            <w:r>
              <w:t>HZMO</w:t>
            </w:r>
          </w:p>
        </w:tc>
        <w:tc>
          <w:tcPr>
            <w:tcW w:w="1300" w:type="dxa"/>
          </w:tcPr>
          <w:p w:rsidR="00AC0832" w:rsidRDefault="00AC0832">
            <w:pPr>
              <w:pStyle w:val="CellColumn"/>
            </w:pPr>
            <w:r>
              <w:t>69%</w:t>
            </w:r>
          </w:p>
        </w:tc>
        <w:tc>
          <w:tcPr>
            <w:tcW w:w="1300" w:type="dxa"/>
          </w:tcPr>
          <w:p w:rsidR="00AC0832" w:rsidRDefault="00AC0832">
            <w:pPr>
              <w:pStyle w:val="CellColumn"/>
            </w:pPr>
            <w:r>
              <w:t>67%</w:t>
            </w:r>
          </w:p>
        </w:tc>
      </w:tr>
    </w:tbl>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pStyle w:val="Heading6"/>
      </w:pPr>
      <w:r>
        <w:t>A688026 ADMINISTRACIJA I UPRAVLJANJE HRVATSKOG ZAVODA ZA MIROVINSKO OSIGURANJE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A688026-ADMINISTRACIJA I UPRAVLJANJE HRVATSKOG ZAVODA ZA MIROVINSKO OSIGURANJE</w:t>
            </w:r>
          </w:p>
        </w:tc>
        <w:tc>
          <w:tcPr>
            <w:tcW w:w="2322" w:type="dxa"/>
          </w:tcPr>
          <w:p w:rsidR="00AC0832" w:rsidRDefault="00AC0832">
            <w:pPr>
              <w:pStyle w:val="CellColumn"/>
            </w:pPr>
            <w:r>
              <w:t>404.930.000</w:t>
            </w:r>
          </w:p>
        </w:tc>
        <w:tc>
          <w:tcPr>
            <w:tcW w:w="2322" w:type="dxa"/>
          </w:tcPr>
          <w:p w:rsidR="00AC0832" w:rsidRDefault="00AC0832">
            <w:pPr>
              <w:pStyle w:val="CellColumn"/>
            </w:pPr>
            <w:r>
              <w:t>401.497.184</w:t>
            </w:r>
          </w:p>
        </w:tc>
        <w:tc>
          <w:tcPr>
            <w:tcW w:w="2322" w:type="dxa"/>
          </w:tcPr>
          <w:p w:rsidR="00AC0832" w:rsidRDefault="00AC0832">
            <w:pPr>
              <w:pStyle w:val="CellColumn"/>
            </w:pPr>
            <w:r>
              <w:t>99,2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okviru programa 4101 Podrška sustavu mirovinskog osiguranja najznačajnija aktivnost je A688026 Administracija i upravljanje Hrvatskog zavoda za mirovinsko osiguranje.  </w:t>
      </w:r>
    </w:p>
    <w:p w:rsidR="00AC0832" w:rsidRDefault="00AC0832">
      <w:pPr>
        <w:pStyle w:val="Normal6"/>
      </w:pPr>
      <w:r>
        <w:t xml:space="preserve">U 2012. godini nastavio se rad na poslovima i projektima čija je realizacija omogućila poboljšanje ažurnosti, daljnju automatizaciju i ubrzanje postupka, te skraćivanje rokova za rješavanje o pravima iz mirovinskog osiguranja i pravu na doplatak za djecu te o pravu na mirovinu iz hrvatskog mirovinskog osiguranja primjenom međunarodnih ugovora o socijalnom osiguranju.  </w:t>
      </w:r>
    </w:p>
    <w:p w:rsidR="00AC0832" w:rsidRDefault="00AC0832">
      <w:pPr>
        <w:pStyle w:val="Normal6"/>
      </w:pPr>
      <w:r>
        <w:t xml:space="preserve">S obzirom na pristupanje RH u EU, nastavile su se poduzimati aktivnosti u cilju osposobljavanja administrativne strukture za koordinaciju sustava socijalne sigurnosti unutar EU. Jačanje administrativnih kapaciteta i edukacija administrativnog osoblja za provedbu propisa EU na području koordinacije mirovinskog osiguranja i doplatka za djecu, uz odgovarajuću izmjenu poslovnih procesa Zavoda, omogućit će potpuno uključivanje Zavoda u moderni sustav koordinacije socijalne sigurnosti država članica EU. </w:t>
      </w:r>
    </w:p>
    <w:p w:rsidR="00AC0832" w:rsidRDefault="00AC0832">
      <w:pPr>
        <w:pStyle w:val="Normal6"/>
      </w:pPr>
      <w:r>
        <w:t xml:space="preserve">Za 2012. godinu na ovoj aktivnosti planirana su sredstva u svoti od 404.930.000 kn, a izvršena u svoti od 401.497.184 kn što je u okviru planiranih sredstava. Aktivnost se sastoji od rashoda za zaposlene, materijalnih rashoda, financijskih rashoda, rashoda za stipendije i školarine, te dijela nefinancijske imovine. Rashodi za zaposlene sadrže plaće, ostale rashode za zaposlene i doprinose na plaće. </w:t>
      </w:r>
    </w:p>
    <w:p w:rsidR="00AC0832" w:rsidRDefault="00AC0832">
      <w:pPr>
        <w:pStyle w:val="Normal6"/>
      </w:pPr>
      <w:r>
        <w:t>Materijalni rashodi sadrže naknade troškova zaposlenima, rashode za materijal i energiju, rashode za usluge i ostale nespomenute rashode poslovanja. Nefinancijska imovina unutar ove aktivnosti odnosi se na nematerijalnu imovinu, građevinske objekte i postrojenja i opremu. Svi navedeni rashodi izvršeni su u okviru planiranih, a u odnosu na 2011. godinu smanjeni su za 34.320.486 kn ili 7,87%.</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3"/>
        <w:gridCol w:w="1673"/>
        <w:gridCol w:w="1287"/>
        <w:gridCol w:w="1187"/>
        <w:gridCol w:w="1171"/>
        <w:gridCol w:w="1187"/>
        <w:gridCol w:w="122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udjela automatskih rješenja u ukupnom broju riješenih predmeta</w:t>
            </w:r>
          </w:p>
        </w:tc>
        <w:tc>
          <w:tcPr>
            <w:tcW w:w="1300" w:type="dxa"/>
          </w:tcPr>
          <w:p w:rsidR="00AC0832" w:rsidRDefault="00AC0832">
            <w:pPr>
              <w:pStyle w:val="CellColumn"/>
            </w:pPr>
            <w:r>
              <w:t>Povećanje udjela rješenja koja se donose automatikom ubrzat će donošenje rješenja o pravima iz mirovinskog osiguranja.</w:t>
            </w:r>
          </w:p>
        </w:tc>
        <w:tc>
          <w:tcPr>
            <w:tcW w:w="1300" w:type="dxa"/>
          </w:tcPr>
          <w:p w:rsidR="00AC0832" w:rsidRDefault="00AC0832">
            <w:pPr>
              <w:pStyle w:val="CellColumn"/>
            </w:pPr>
            <w:r>
              <w:t>%</w:t>
            </w:r>
          </w:p>
        </w:tc>
        <w:tc>
          <w:tcPr>
            <w:tcW w:w="1300" w:type="dxa"/>
          </w:tcPr>
          <w:p w:rsidR="00AC0832" w:rsidRDefault="00AC0832">
            <w:pPr>
              <w:pStyle w:val="CellColumn"/>
            </w:pPr>
            <w:r>
              <w:t>37%</w:t>
            </w:r>
          </w:p>
        </w:tc>
        <w:tc>
          <w:tcPr>
            <w:tcW w:w="1300" w:type="dxa"/>
          </w:tcPr>
          <w:p w:rsidR="00AC0832" w:rsidRDefault="00AC0832">
            <w:pPr>
              <w:pStyle w:val="CellColumn"/>
            </w:pPr>
            <w:r>
              <w:t>HZMO</w:t>
            </w:r>
          </w:p>
        </w:tc>
        <w:tc>
          <w:tcPr>
            <w:tcW w:w="1300" w:type="dxa"/>
          </w:tcPr>
          <w:p w:rsidR="00AC0832" w:rsidRDefault="00AC0832">
            <w:pPr>
              <w:pStyle w:val="CellColumn"/>
            </w:pPr>
            <w:r>
              <w:t>38%</w:t>
            </w:r>
          </w:p>
        </w:tc>
        <w:tc>
          <w:tcPr>
            <w:tcW w:w="1300" w:type="dxa"/>
          </w:tcPr>
          <w:p w:rsidR="00AC0832" w:rsidRDefault="00AC0832">
            <w:pPr>
              <w:pStyle w:val="CellColumn"/>
            </w:pPr>
            <w:r>
              <w:t>38%</w:t>
            </w:r>
          </w:p>
        </w:tc>
      </w:tr>
      <w:tr w:rsidR="00AC0832" w:rsidTr="00BE20ED">
        <w:trPr>
          <w:jc w:val="center"/>
        </w:trPr>
        <w:tc>
          <w:tcPr>
            <w:tcW w:w="1300" w:type="dxa"/>
          </w:tcPr>
          <w:p w:rsidR="00AC0832" w:rsidRDefault="00AC0832">
            <w:pPr>
              <w:pStyle w:val="CellColumn"/>
            </w:pPr>
            <w:r>
              <w:t>Uspostavljena administrativna struktura za sudjelovanje u koordinaciji sustava socijalne sigurnosti s državama članicama EU</w:t>
            </w:r>
          </w:p>
        </w:tc>
        <w:tc>
          <w:tcPr>
            <w:tcW w:w="1300" w:type="dxa"/>
          </w:tcPr>
          <w:p w:rsidR="00AC0832" w:rsidRDefault="00AC0832">
            <w:pPr>
              <w:pStyle w:val="CellColumn"/>
            </w:pPr>
            <w:r>
              <w:t>Jačanje administrativnih kapaciteta i edukacija administrativnog osoblja za provedbu propisa EU, uz odgovarajuću izmjenu poslovnih procesa,  omogućit će potpuno uključivanje u sustav koordinacije socijalne sigurnosti na razini EU.</w:t>
            </w:r>
          </w:p>
        </w:tc>
        <w:tc>
          <w:tcPr>
            <w:tcW w:w="1300" w:type="dxa"/>
          </w:tcPr>
          <w:p w:rsidR="00AC0832" w:rsidRDefault="00AC0832">
            <w:pPr>
              <w:pStyle w:val="CellColumn"/>
            </w:pPr>
            <w:r>
              <w:t>broj zaposlenika koji su prošli obuku</w:t>
            </w:r>
          </w:p>
        </w:tc>
        <w:tc>
          <w:tcPr>
            <w:tcW w:w="1300" w:type="dxa"/>
          </w:tcPr>
          <w:p w:rsidR="00AC0832" w:rsidRDefault="00AC0832">
            <w:pPr>
              <w:pStyle w:val="CellColumn"/>
            </w:pPr>
            <w:r>
              <w:t>180</w:t>
            </w:r>
          </w:p>
        </w:tc>
        <w:tc>
          <w:tcPr>
            <w:tcW w:w="1300" w:type="dxa"/>
          </w:tcPr>
          <w:p w:rsidR="00AC0832" w:rsidRDefault="00AC0832">
            <w:pPr>
              <w:pStyle w:val="CellColumn"/>
            </w:pPr>
            <w:r>
              <w:t>HZMO</w:t>
            </w:r>
          </w:p>
        </w:tc>
        <w:tc>
          <w:tcPr>
            <w:tcW w:w="1300" w:type="dxa"/>
          </w:tcPr>
          <w:p w:rsidR="00AC0832" w:rsidRDefault="00AC0832">
            <w:pPr>
              <w:pStyle w:val="CellColumn"/>
            </w:pPr>
            <w:r>
              <w:t>190</w:t>
            </w:r>
          </w:p>
        </w:tc>
        <w:tc>
          <w:tcPr>
            <w:tcW w:w="1300" w:type="dxa"/>
          </w:tcPr>
          <w:p w:rsidR="00AC0832" w:rsidRDefault="00AC0832">
            <w:pPr>
              <w:pStyle w:val="CellColumn"/>
            </w:pPr>
            <w:r>
              <w:t>209</w:t>
            </w:r>
          </w:p>
        </w:tc>
      </w:tr>
    </w:tbl>
    <w:p w:rsidR="00AC0832" w:rsidRDefault="00AC0832">
      <w:pPr>
        <w:jc w:val="left"/>
      </w:pPr>
    </w:p>
    <w:p w:rsidR="00AC0832" w:rsidRDefault="00AC0832">
      <w:pPr>
        <w:pStyle w:val="Heading6"/>
      </w:pPr>
      <w:r>
        <w:t>K688056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K688056-INFORMATIZACIJA</w:t>
            </w:r>
          </w:p>
        </w:tc>
        <w:tc>
          <w:tcPr>
            <w:tcW w:w="2322" w:type="dxa"/>
          </w:tcPr>
          <w:p w:rsidR="00AC0832" w:rsidRDefault="00AC0832">
            <w:pPr>
              <w:pStyle w:val="CellColumn"/>
            </w:pPr>
            <w:r>
              <w:t>29.270.000</w:t>
            </w:r>
          </w:p>
        </w:tc>
        <w:tc>
          <w:tcPr>
            <w:tcW w:w="2322" w:type="dxa"/>
          </w:tcPr>
          <w:p w:rsidR="00AC0832" w:rsidRDefault="00AC0832">
            <w:pPr>
              <w:pStyle w:val="CellColumn"/>
            </w:pPr>
            <w:r>
              <w:t>28.344.158</w:t>
            </w:r>
          </w:p>
        </w:tc>
        <w:tc>
          <w:tcPr>
            <w:tcW w:w="2322" w:type="dxa"/>
          </w:tcPr>
          <w:p w:rsidR="00AC0832" w:rsidRDefault="00AC0832">
            <w:pPr>
              <w:pStyle w:val="CellColumn"/>
            </w:pPr>
            <w:r>
              <w:t>96,8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vođenju i razmjeni podataka i priznavanju prava iz mirovinskog osiguranja koristi se suvremena informatička tehnologija i aplikativna informatička rješenja, koja kontinuirano smanjuju vrijeme donošenja rješenja i omogućuju vođenje i korištenje velikog broja podataka. </w:t>
      </w:r>
    </w:p>
    <w:p w:rsidR="00AC0832" w:rsidRDefault="00AC0832">
      <w:pPr>
        <w:pStyle w:val="Normal6"/>
      </w:pPr>
      <w:r>
        <w:t xml:space="preserve">U svrhu unapređenja poslovanja Zavoda provodile su se aktivnosti daljnje izgradnje infrastrukture, koja će omogućiti primjenu strategije E-uprave RH te se nastavila primjena modernih informatičkih rješenja (poslovanje putem Interneta, elektronička razmjena podataka i dr.). </w:t>
      </w:r>
    </w:p>
    <w:p w:rsidR="00AC0832" w:rsidRDefault="00AC0832">
      <w:pPr>
        <w:pStyle w:val="Normal6"/>
      </w:pPr>
      <w:r>
        <w:t xml:space="preserve">Zavod je nositelj Projekta zamjene radne knjižice i koordinator svih aktivnosti u postupku uvođenja elektroničkog oblika vođenja podataka sadržanih u radnoj knjižici, kojim će se osigurati evidencija i izdavanje potvrda o statusu osiguranika te razmjena podataka između institucija.  </w:t>
      </w:r>
    </w:p>
    <w:p w:rsidR="00AC0832" w:rsidRDefault="00AC0832">
      <w:pPr>
        <w:pStyle w:val="Normal6"/>
      </w:pPr>
      <w:r>
        <w:t xml:space="preserve">Mogućnost razmjene podataka s nadležnim ustanovama EU je uvjet za primjenu pravnih propisa EU za koordinaciju sustava socijalne sigurnosti, zbog čega se kontinuirano standardiziraju i ažuriraju baze podataka, koje će se elektronički razmjenjivati te se utvrđuju postupci i učinkovit nadzor razmjene podataka. Za elektroničku razmjenu podataka unutar intraneta EU (EESSI sustav) Zavod će se osposobiti do ulaska RH u EU. </w:t>
      </w:r>
    </w:p>
    <w:p w:rsidR="00AC0832" w:rsidRDefault="00AC0832">
      <w:pPr>
        <w:pStyle w:val="Normal6"/>
      </w:pPr>
      <w:r>
        <w:t xml:space="preserve">Razvoj aplikacije e-mirovinsko omogućio je poslodavcima jednostavniju prijavu i odjavu zaposlenika, jednostavnije poslovanje i uštedu vremena. </w:t>
      </w:r>
    </w:p>
    <w:p w:rsidR="00AC0832" w:rsidRDefault="00AC0832">
      <w:pPr>
        <w:pStyle w:val="Normal6"/>
      </w:pPr>
      <w:r>
        <w:t>Kapitalni projekt Informatizacija sastoji se od usluga tekućeg i investicijskog održavanja, informatičke opreme i softvera, licenci i najma softvera, računala i računalne opreme te ulaganja u nove računalne programe. Za 2012. godinu planirana sredstva iznosila su 29.270.000 kn a izvršena su u svoti od 28.344.158 kn što je za 3,16% manje od planiranih sredstava.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4"/>
        <w:gridCol w:w="1440"/>
        <w:gridCol w:w="1248"/>
        <w:gridCol w:w="1255"/>
        <w:gridCol w:w="1248"/>
        <w:gridCol w:w="1255"/>
        <w:gridCol w:w="126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udjela  prijava putem usluge e-mirovinsko u ukupnom broju zaprimljenih prijava</w:t>
            </w:r>
          </w:p>
        </w:tc>
        <w:tc>
          <w:tcPr>
            <w:tcW w:w="1300" w:type="dxa"/>
          </w:tcPr>
          <w:p w:rsidR="00AC0832" w:rsidRDefault="00AC0832">
            <w:pPr>
              <w:pStyle w:val="CellColumn"/>
            </w:pPr>
            <w:r>
              <w:t>Razvoj aplikacije e-mirovinsko omogućuje poslodavcima jednostavnije poslovanje, uštedu vremena i jednostavniju prijavu i odjavu zaposlenika, što će uzrokovati povećanje broja zaprimljenih prijava putem usluge e-mirovinsko.</w:t>
            </w:r>
          </w:p>
        </w:tc>
        <w:tc>
          <w:tcPr>
            <w:tcW w:w="1300" w:type="dxa"/>
          </w:tcPr>
          <w:p w:rsidR="00AC0832" w:rsidRDefault="00AC0832">
            <w:pPr>
              <w:pStyle w:val="CellColumn"/>
            </w:pPr>
            <w:r>
              <w:t>%</w:t>
            </w:r>
          </w:p>
        </w:tc>
        <w:tc>
          <w:tcPr>
            <w:tcW w:w="1300" w:type="dxa"/>
          </w:tcPr>
          <w:p w:rsidR="00AC0832" w:rsidRDefault="00AC0832">
            <w:pPr>
              <w:pStyle w:val="CellColumn"/>
            </w:pPr>
            <w:r>
              <w:t>6,8%</w:t>
            </w:r>
          </w:p>
        </w:tc>
        <w:tc>
          <w:tcPr>
            <w:tcW w:w="1300" w:type="dxa"/>
          </w:tcPr>
          <w:p w:rsidR="00AC0832" w:rsidRDefault="00AC0832">
            <w:pPr>
              <w:pStyle w:val="CellColumn"/>
            </w:pPr>
            <w:r>
              <w:t>HZMO</w:t>
            </w:r>
          </w:p>
        </w:tc>
        <w:tc>
          <w:tcPr>
            <w:tcW w:w="1300" w:type="dxa"/>
          </w:tcPr>
          <w:p w:rsidR="00AC0832" w:rsidRDefault="00AC0832">
            <w:pPr>
              <w:pStyle w:val="CellColumn"/>
            </w:pPr>
            <w:r>
              <w:t>7,8%</w:t>
            </w:r>
          </w:p>
        </w:tc>
        <w:tc>
          <w:tcPr>
            <w:tcW w:w="1300" w:type="dxa"/>
          </w:tcPr>
          <w:p w:rsidR="00AC0832" w:rsidRDefault="00AC0832">
            <w:pPr>
              <w:pStyle w:val="CellColumn"/>
            </w:pPr>
            <w:r>
              <w:t>8,7%</w:t>
            </w:r>
          </w:p>
        </w:tc>
      </w:tr>
      <w:tr w:rsidR="00AC0832" w:rsidTr="00BE20ED">
        <w:trPr>
          <w:jc w:val="center"/>
        </w:trPr>
        <w:tc>
          <w:tcPr>
            <w:tcW w:w="1300" w:type="dxa"/>
          </w:tcPr>
          <w:p w:rsidR="00AC0832" w:rsidRDefault="00AC0832">
            <w:pPr>
              <w:pStyle w:val="CellColumn"/>
            </w:pPr>
            <w:r>
              <w:t>Izgradnja informatičko komunikacijske infrastrukture za primjenu strategije e-Uprave RH</w:t>
            </w:r>
          </w:p>
        </w:tc>
        <w:tc>
          <w:tcPr>
            <w:tcW w:w="1300" w:type="dxa"/>
          </w:tcPr>
          <w:p w:rsidR="00AC0832" w:rsidRDefault="00AC0832">
            <w:pPr>
              <w:pStyle w:val="CellColumn"/>
            </w:pPr>
            <w:r>
              <w:t>Potrebno  je izgraditi informatičku infrastrukturu za primjenu strategije e-Uprava RH, povezivanje Zavoda s tijelima državne i javne uprave i institucijama te uključivanja Zavoda u sustav koordinacije socijalne sigurnosti EU (Twinning projekt), te provesti projekt zamjene radne knjižice.</w:t>
            </w:r>
          </w:p>
        </w:tc>
        <w:tc>
          <w:tcPr>
            <w:tcW w:w="1300" w:type="dxa"/>
          </w:tcPr>
          <w:p w:rsidR="00AC0832" w:rsidRDefault="00AC0832">
            <w:pPr>
              <w:pStyle w:val="CellColumn"/>
            </w:pPr>
            <w:r>
              <w:t>% gotovosti</w:t>
            </w:r>
          </w:p>
        </w:tc>
        <w:tc>
          <w:tcPr>
            <w:tcW w:w="1300" w:type="dxa"/>
          </w:tcPr>
          <w:p w:rsidR="00AC0832" w:rsidRDefault="00AC0832">
            <w:pPr>
              <w:pStyle w:val="CellColumn"/>
            </w:pPr>
            <w:r>
              <w:t>80%</w:t>
            </w:r>
          </w:p>
        </w:tc>
        <w:tc>
          <w:tcPr>
            <w:tcW w:w="1300" w:type="dxa"/>
          </w:tcPr>
          <w:p w:rsidR="00AC0832" w:rsidRDefault="00AC0832">
            <w:pPr>
              <w:pStyle w:val="CellColumn"/>
            </w:pPr>
            <w:r>
              <w:t>HZMO</w:t>
            </w:r>
          </w:p>
        </w:tc>
        <w:tc>
          <w:tcPr>
            <w:tcW w:w="1300" w:type="dxa"/>
          </w:tcPr>
          <w:p w:rsidR="00AC0832" w:rsidRDefault="00AC0832">
            <w:pPr>
              <w:pStyle w:val="CellColumn"/>
            </w:pPr>
            <w:r>
              <w:t>90%</w:t>
            </w:r>
          </w:p>
        </w:tc>
        <w:tc>
          <w:tcPr>
            <w:tcW w:w="1300" w:type="dxa"/>
          </w:tcPr>
          <w:p w:rsidR="00AC0832" w:rsidRDefault="00AC0832">
            <w:pPr>
              <w:pStyle w:val="CellColumn"/>
            </w:pPr>
            <w:r>
              <w:t>90%</w:t>
            </w:r>
          </w:p>
        </w:tc>
      </w:tr>
      <w:tr w:rsidR="00AC0832" w:rsidTr="00BE20ED">
        <w:trPr>
          <w:jc w:val="center"/>
        </w:trPr>
        <w:tc>
          <w:tcPr>
            <w:tcW w:w="1300" w:type="dxa"/>
          </w:tcPr>
          <w:p w:rsidR="00AC0832" w:rsidRDefault="00AC0832">
            <w:pPr>
              <w:pStyle w:val="CellColumn"/>
            </w:pPr>
            <w:r>
              <w:t>Povećanje broja institucija s kojima HZMO razmjenjuje podatke elektroničkim putem</w:t>
            </w:r>
          </w:p>
        </w:tc>
        <w:tc>
          <w:tcPr>
            <w:tcW w:w="1300" w:type="dxa"/>
          </w:tcPr>
          <w:p w:rsidR="00AC0832" w:rsidRDefault="00AC0832">
            <w:pPr>
              <w:pStyle w:val="CellColumn"/>
            </w:pPr>
            <w:r>
              <w:t>Provedba projekata koji će omogućiti elektroničko vođenje i razmjenu podataka osigurava jednostavniju, ažurniju i točniju razmjenu podataka, što će povećati broj institucija s kojima se razmjenjuju podaci elektroničkim putem.</w:t>
            </w:r>
          </w:p>
        </w:tc>
        <w:tc>
          <w:tcPr>
            <w:tcW w:w="1300" w:type="dxa"/>
          </w:tcPr>
          <w:p w:rsidR="00AC0832" w:rsidRDefault="00AC0832">
            <w:pPr>
              <w:pStyle w:val="CellColumn"/>
            </w:pPr>
            <w:r>
              <w:t>broj institucija</w:t>
            </w:r>
          </w:p>
        </w:tc>
        <w:tc>
          <w:tcPr>
            <w:tcW w:w="1300" w:type="dxa"/>
          </w:tcPr>
          <w:p w:rsidR="00AC0832" w:rsidRDefault="00AC0832">
            <w:pPr>
              <w:pStyle w:val="CellColumn"/>
            </w:pPr>
            <w:r>
              <w:t>7</w:t>
            </w:r>
          </w:p>
        </w:tc>
        <w:tc>
          <w:tcPr>
            <w:tcW w:w="1300" w:type="dxa"/>
          </w:tcPr>
          <w:p w:rsidR="00AC0832" w:rsidRDefault="00AC0832">
            <w:pPr>
              <w:pStyle w:val="CellColumn"/>
            </w:pPr>
            <w:r>
              <w:t>HZMO</w:t>
            </w:r>
          </w:p>
        </w:tc>
        <w:tc>
          <w:tcPr>
            <w:tcW w:w="1300" w:type="dxa"/>
          </w:tcPr>
          <w:p w:rsidR="00AC0832" w:rsidRDefault="00AC0832">
            <w:pPr>
              <w:pStyle w:val="CellColumn"/>
            </w:pPr>
            <w:r>
              <w:t>12</w:t>
            </w:r>
          </w:p>
        </w:tc>
        <w:tc>
          <w:tcPr>
            <w:tcW w:w="1300" w:type="dxa"/>
          </w:tcPr>
          <w:p w:rsidR="00AC0832" w:rsidRDefault="00AC0832">
            <w:pPr>
              <w:pStyle w:val="CellColumn"/>
            </w:pPr>
            <w:r>
              <w:t>10</w:t>
            </w:r>
          </w:p>
        </w:tc>
      </w:tr>
    </w:tbl>
    <w:p w:rsidR="00AC0832" w:rsidRDefault="00AC0832">
      <w:pPr>
        <w:jc w:val="left"/>
      </w:pPr>
    </w:p>
    <w:p w:rsidR="00AC0832" w:rsidRDefault="00AC0832">
      <w:pPr>
        <w:pStyle w:val="Heading5"/>
      </w:pPr>
      <w:r>
        <w:t>4102 MIROVINE I MIROVINSKA PRIMANJA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4102-MIROVINE I MIROVINSKA PRIMANJA</w:t>
            </w:r>
          </w:p>
        </w:tc>
        <w:tc>
          <w:tcPr>
            <w:tcW w:w="2322" w:type="dxa"/>
          </w:tcPr>
          <w:p w:rsidR="00AC0832" w:rsidRDefault="00AC0832">
            <w:pPr>
              <w:pStyle w:val="CellColumn"/>
            </w:pPr>
            <w:r>
              <w:t>35.200.330.000</w:t>
            </w:r>
          </w:p>
        </w:tc>
        <w:tc>
          <w:tcPr>
            <w:tcW w:w="2322" w:type="dxa"/>
          </w:tcPr>
          <w:p w:rsidR="00AC0832" w:rsidRDefault="00AC0832">
            <w:pPr>
              <w:pStyle w:val="CellColumn"/>
            </w:pPr>
            <w:r>
              <w:t>35.197.078.867</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 uključuje ukupne rashode za mirovine i mirovinska primanja na osnovu osiguranja, rashode za mirovine stečene  pod povoljnijim uvjetima i prema posebnim propisima, rashode za jednokratno primanje korisnicima mirovinskih primanja, s uključenim naknadama za isplatu mirovina i osiguranje sredstava za doprinose za mirovinsko osiguranje na temelju individualne kapitalizirane štednje za pojedine kategorije osiguranika. </w:t>
      </w:r>
    </w:p>
    <w:p w:rsidR="00AC0832" w:rsidRDefault="00AC0832">
      <w:pPr>
        <w:pStyle w:val="Normal5"/>
      </w:pPr>
      <w:r>
        <w:t xml:space="preserve">Program Mirovine i mirovinska primanja izvršen je u svoti od 35.197.078.866 kn, a sastoji se od rashoda za mirovine i mirovinska primanja koji su izvršeni u svoti od 35.126.726.685 kn, naknada za isplatu mirovina u svoti od 59.652.675 kn i osiguranje sredstava za doprinose na temelju individualne kapitalizirane štednje u svoti od 10.699.506 kn.  </w:t>
      </w:r>
    </w:p>
    <w:p w:rsidR="00AC0832" w:rsidRDefault="00AC0832">
      <w:pPr>
        <w:pStyle w:val="Normal5"/>
      </w:pPr>
      <w:r>
        <w:t xml:space="preserve">U 2012. redovitim usklađivanjem mirovine i mirovinska primanja povećana su za 2,05% i to: </w:t>
      </w:r>
    </w:p>
    <w:p w:rsidR="00AC0832" w:rsidRDefault="00AC0832">
      <w:pPr>
        <w:pStyle w:val="Normal5"/>
      </w:pPr>
      <w:r>
        <w:t xml:space="preserve">-  0,85% za ožujak, mirovine isplaćene u travnju (usklađene od 1.siječnja 2012.) </w:t>
      </w:r>
    </w:p>
    <w:p w:rsidR="00AC0832" w:rsidRDefault="00AC0832">
      <w:pPr>
        <w:pStyle w:val="Normal5"/>
      </w:pPr>
      <w:r>
        <w:t xml:space="preserve">-  1,20% za kolovoz, mirovine isplaćene u rujnu (usklađene od 1. srpnja 2012.).  </w:t>
      </w:r>
    </w:p>
    <w:p w:rsidR="00AC0832" w:rsidRDefault="00AC0832">
      <w:pPr>
        <w:pStyle w:val="Normal5"/>
      </w:pPr>
      <w:r>
        <w:t>Rashodi programa mirovine i mirovinska primanja veći su za 0,6% u odnosu na 2011. Udio ukupnih rashoda za mirovinsko osiguranje za 2012. godinu u BDP-u iznosio je 10,48%, a udio rashoda za mirovine u BDP–u iznosio je 10,33%.</w:t>
      </w:r>
    </w:p>
    <w:p w:rsidR="00AC0832" w:rsidRDefault="00AC0832">
      <w:pPr>
        <w:pStyle w:val="Heading6"/>
      </w:pPr>
      <w:r>
        <w:t>Zakonske i druge pravne osnove</w:t>
      </w:r>
    </w:p>
    <w:p w:rsidR="00AC0832" w:rsidRDefault="00AC0832">
      <w:pPr>
        <w:pStyle w:val="Normal5"/>
      </w:pPr>
      <w:r>
        <w:t>Zakon o mirovinskom osiguranju ("Narodne novine", br. 102/98., 127/00., 59/01., 109/01., 147/02., 117/03., 30/04., 177/04., 92/05., 79/07., 35/08., 40/10., 121/10., 130/10. - pročišćeni tekst., i 61/11., 114/11. i 76/12.), Zakon o povećanju mirovina radi otklanjanja razlika u razini mirovina ostvarenih u različitim razdobljima ("Narodne novine", broj 127/00.), Zakon o dodatku na mirovine ostvarene prema Zakonu o mirovinskom osiguranju ("Narodne novine", broj 79/07. i 114/11.) i drugi posebni propisi prema kojima se prava iz mirovinskog osiguranja ostvaruju pod povoljnijim uvjetima i to :  Zakon o pravima bivših političkih zatvorenika ("Narodne novine", br. 34/95., 164/98. i 109/01.), Zakon o pravima iz mirovinskog osiguranja djelatnih vojnih osoba, policijskih službenika i ovlaštenih službenih osoba ("Narodne novine", br. 128/99., 16/01., 16/01., 22/02., 41/08. i 118/12.), Zakon o pravima i dužnostima zastupnika u Hrvatskom  državnom saboru ("Narodne novine", br. 55/00., 107/01., 86/09., 91/10., 49/11. i 12/12.), Zakon o pravima hrvatskih branitelja iz Domovinskog rata i članova njihovih obitelji ("Narodne novine", br. 174/04., 92/05., 107/07., 65/09., 137/09., 146/10. i 55/11.), Zakon o Hrvatskoj akademiji znanosti i umjetnosti ("Narodne novine", br. 34/91., 43/96. i  150/02.), Zakon o uvjetima za stjecanje prava na starosnu mirovinu radnika profesionalno izloženih azbestu ("Narodne novine", broj 79/07. i 149/09.) te međunarodni ugovori o socijalnom osiguranju koje je R. Hrvatska sklopila s drugim državama ili preuzela, npr. Ugovor između Republike Hrvatske i Bosne i Hercegovine o suradnji na području prava stradalnika rata u Bosni i Hercegovini koji su bili pripadnici hrvatskog vijeća obrane i članova njihovih obitelji (HVO) i dr.</w:t>
      </w:r>
    </w:p>
    <w:p w:rsidR="00AC0832" w:rsidRDefault="00AC0832">
      <w:pPr>
        <w:pStyle w:val="Heading7"/>
      </w:pPr>
      <w:r>
        <w:t>Cilj 1. Redovita i ažurna isplata mirovina i mirovinskih primanja</w:t>
      </w:r>
    </w:p>
    <w:p w:rsidR="00AC0832" w:rsidRDefault="00AC0832">
      <w:pPr>
        <w:pStyle w:val="Heading8"/>
        <w:jc w:val="left"/>
      </w:pPr>
      <w:r>
        <w:t>Opis provedbe cilja programa</w:t>
      </w:r>
    </w:p>
    <w:p w:rsidR="00AC0832" w:rsidRDefault="00AC0832">
      <w:pPr>
        <w:pStyle w:val="Normal6"/>
      </w:pPr>
      <w:r>
        <w:t>Ciljevi Hrvatskog zavoda za mirovinsko osiguranje su osiguravanje redovite isplate mirovina i mirovinskih primanja u zakonskim rokovima te provedba svih administrativno - tehničkih poslova vezanih za organizaciju i koordinaciju obračuna i isplate mirovina i mirovinskih primanja.</w:t>
      </w:r>
    </w:p>
    <w:p w:rsidR="00AC0832" w:rsidRDefault="00AC0832">
      <w:pPr>
        <w:pStyle w:val="Heading6"/>
      </w:pPr>
      <w:r>
        <w:t>A688046 MIROVINE NA TEMELJU OSIGURANJA - STAROSNE MIROVINE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A688046-MIROVINE NA TEMELJU OSIGURANJA - STAROSNE MIROVINE</w:t>
            </w:r>
          </w:p>
        </w:tc>
        <w:tc>
          <w:tcPr>
            <w:tcW w:w="2322" w:type="dxa"/>
          </w:tcPr>
          <w:p w:rsidR="00AC0832" w:rsidRDefault="00AC0832">
            <w:pPr>
              <w:pStyle w:val="CellColumn"/>
            </w:pPr>
            <w:r>
              <w:t>17.731.450.000</w:t>
            </w:r>
          </w:p>
        </w:tc>
        <w:tc>
          <w:tcPr>
            <w:tcW w:w="2322" w:type="dxa"/>
          </w:tcPr>
          <w:p w:rsidR="00AC0832" w:rsidRDefault="00AC0832">
            <w:pPr>
              <w:pStyle w:val="CellColumn"/>
            </w:pPr>
            <w:r>
              <w:t>17.731.009.385</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programu 4102 Mirovine i mirovinska primanja najznačajnija je aktivnost A688046 Mirovine na temelju osiguranja – starosne mirovine i čini 50,48% ukupnih rashoda za mirovine i mirovinska primanja.</w:t>
      </w:r>
    </w:p>
    <w:p w:rsidR="00AC0832" w:rsidRDefault="00AC0832">
      <w:pPr>
        <w:pStyle w:val="Heading6"/>
      </w:pPr>
      <w:r>
        <w:t>A688047 MIROVINE NA TEMELJU OSIGURANJA - INVALIDSKE MIROVINE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A688047-MIROVINE NA TEMELJU OSIGURANJA - INVALIDSKE MIROVINE</w:t>
            </w:r>
          </w:p>
        </w:tc>
        <w:tc>
          <w:tcPr>
            <w:tcW w:w="2322" w:type="dxa"/>
          </w:tcPr>
          <w:p w:rsidR="00AC0832" w:rsidRDefault="00AC0832">
            <w:pPr>
              <w:pStyle w:val="CellColumn"/>
            </w:pPr>
            <w:r>
              <w:t>5.762.600.000</w:t>
            </w:r>
          </w:p>
        </w:tc>
        <w:tc>
          <w:tcPr>
            <w:tcW w:w="2322" w:type="dxa"/>
          </w:tcPr>
          <w:p w:rsidR="00AC0832" w:rsidRDefault="00AC0832">
            <w:pPr>
              <w:pStyle w:val="CellColumn"/>
            </w:pPr>
            <w:r>
              <w:t>5.762.011.115</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programu 4102 Mirovine i mirovinska primanja značajna je aktivnost A688047 Mirovine na temelju osiguranja – invalidske mirovine i čini 16,40% ukupnih rashoda za mirovine i mirovinska primanja.</w:t>
      </w:r>
    </w:p>
    <w:p w:rsidR="00AC0832" w:rsidRDefault="00AC0832">
      <w:pPr>
        <w:pStyle w:val="Heading6"/>
      </w:pPr>
      <w:r>
        <w:t>A688048 MIROVINE NA TEMELJU OSIGURANJA - OBITELJSKE MIROVINE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A688048-MIROVINE NA TEMELJU OSIGURANJA - OBITELJSKE MIROVINE</w:t>
            </w:r>
          </w:p>
        </w:tc>
        <w:tc>
          <w:tcPr>
            <w:tcW w:w="2322" w:type="dxa"/>
          </w:tcPr>
          <w:p w:rsidR="00AC0832" w:rsidRDefault="00AC0832">
            <w:pPr>
              <w:pStyle w:val="CellColumn"/>
            </w:pPr>
            <w:r>
              <w:t>4.813.800.000</w:t>
            </w:r>
          </w:p>
        </w:tc>
        <w:tc>
          <w:tcPr>
            <w:tcW w:w="2322" w:type="dxa"/>
          </w:tcPr>
          <w:p w:rsidR="00AC0832" w:rsidRDefault="00AC0832">
            <w:pPr>
              <w:pStyle w:val="CellColumn"/>
            </w:pPr>
            <w:r>
              <w:t>4.813.068.954</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Aktivnost A688048 Mirovine na temelju osiguranja – obiteljske mirovine čini 13,70% ukupnih rashoda za mirovine i mirovinska primanja.</w:t>
      </w:r>
    </w:p>
    <w:p w:rsidR="00AC0832" w:rsidRDefault="00AC0832">
      <w:pPr>
        <w:pStyle w:val="Heading6"/>
      </w:pPr>
      <w:r>
        <w:t>A753010 MIROVINE HRVATSKIH BRANITELJA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A753010-MIROVINE HRVATSKIH BRANITELJA</w:t>
            </w:r>
          </w:p>
        </w:tc>
        <w:tc>
          <w:tcPr>
            <w:tcW w:w="2322" w:type="dxa"/>
          </w:tcPr>
          <w:p w:rsidR="00AC0832" w:rsidRDefault="00AC0832">
            <w:pPr>
              <w:pStyle w:val="CellColumn"/>
            </w:pPr>
            <w:r>
              <w:t>4.825.100.000</w:t>
            </w:r>
          </w:p>
        </w:tc>
        <w:tc>
          <w:tcPr>
            <w:tcW w:w="2322" w:type="dxa"/>
          </w:tcPr>
          <w:p w:rsidR="00AC0832" w:rsidRDefault="00AC0832">
            <w:pPr>
              <w:pStyle w:val="CellColumn"/>
            </w:pPr>
            <w:r>
              <w:t>4.824.976.515</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programu 4102 Mirovine i mirovinska primanja na aktivnosti A753010 Mirovine hrvatskih branitelja planirana su sredstva u svoti od 4.825.100.000 kn, a izvršena u svoti od 4.824.976.515 kn i čine 13,74% ukupnih rashoda za mirovine i mirovinska primanja.</w:t>
      </w:r>
    </w:p>
    <w:p w:rsidR="00AC0832" w:rsidRDefault="00AC0832">
      <w:pPr>
        <w:pStyle w:val="Heading2"/>
      </w:pPr>
      <w:r>
        <w:t>08625 Hrvatski zavod za zapošljavanje</w:t>
      </w:r>
    </w:p>
    <w:p w:rsidR="00AC0832" w:rsidRDefault="00AC0832">
      <w:pPr>
        <w:pStyle w:val="Heading4"/>
      </w:pPr>
      <w:r>
        <w:t>Uvod</w:t>
      </w:r>
    </w:p>
    <w:p w:rsidR="00AC0832" w:rsidRDefault="00AC0832">
      <w:pPr>
        <w:pStyle w:val="Normal3"/>
      </w:pPr>
      <w:r>
        <w:t xml:space="preserve">Hrvatski zavod za zapošljavanje je javna ustanova osnovana Zakonom o posredovanju pri zapošljavanju i pravima za vrijeme nezaposlenosti. U okviru svoje djelatnosti Zavod obavlja poslove praćenja, analiziranja i istraživanja gospodarskih, socijalnih i drugih kretanja, zaposlenosti, zapošljavanja i nezaposlenosti, te njihove međusobne utjecaje na temelju čega predlaže mjere za unapređenje zapošljavanja; vodi evidencije o nezaposlenim osobama, posreduje pri zapošljavanju između poslodavaca i osoba koje traže zaposlenje, prati potrebe za radnicima, njihovo zapošljavanje te u tom smislu surađuje s poslodavcima; u suradnji s poslodavcima, obrazovnim ustanovama i drugim pravnim osobama organizira i provodi programe profesionalnog usmjeravanja, obrazovanja te druge oblike aktivne politike zapošljavanja; rješava o pravima po osnovi nezaposlenosti i obavlja mnoge druge poslove. </w:t>
      </w:r>
    </w:p>
    <w:p w:rsidR="00AC0832" w:rsidRDefault="00AC0832">
      <w:pPr>
        <w:pStyle w:val="Normal3"/>
      </w:pPr>
      <w:r>
        <w:t xml:space="preserve">Temeljem svog analitičko-statističkog i istraživačkog rada, te praćenja kretanja na tržištu rada Zavod daje podloge za donošenje strateških odluka u području rada i zapošljavanja. U skladu s tim temeljna usmjerenja Zavoda su praćenje i povezivanje svih zainteresiranih strana na tržištu rada; orijentiranost na klijente: na prvom mjestu poslodavce i nezaposlene osobe, te ostale tražitelje zaposlenja; orijentiranost na politiku zapošljavanja, a ne samo osiguranje socijalnih – materijalnih i nematerijalnih prava; praćenje svjetskih i europskih trendova modernog tržišta rada uz aktivnu ulogu svakog pojedinaca; otvorenost ka učenju, unaprjeđenju postojećih i usvajanju novih znanja iz područja tržišta rada. </w:t>
      </w:r>
    </w:p>
    <w:p w:rsidR="00AC0832" w:rsidRDefault="00AC0832">
      <w:pPr>
        <w:pStyle w:val="Normal3"/>
      </w:pPr>
      <w:r>
        <w:t xml:space="preserve"> </w:t>
      </w:r>
    </w:p>
    <w:p w:rsidR="00AC0832" w:rsidRDefault="00AC0832">
      <w:pPr>
        <w:pStyle w:val="Normal3"/>
      </w:pPr>
      <w:r>
        <w:t xml:space="preserve">U uvjetima gospodarske i financijske krize koju prati i porast nezaposlenosti, na aktivnosti Hrvatskoga zavoda za zapošljavanje u 2012. godini i na utrošena financijska sredstva za njihovo provođenje značajno je utjecao broj nezaposlenih osoba prijavljenih u evidenciju Zavoda.  </w:t>
      </w:r>
    </w:p>
    <w:p w:rsidR="00AC0832" w:rsidRDefault="00AC0832">
      <w:pPr>
        <w:pStyle w:val="Normal3"/>
      </w:pPr>
      <w:r>
        <w:t xml:space="preserve">Utrošenim financijskim sredstvima osiguravala se isplata novčanih naknada i drugih prava nezaposlenih osoba radi osiguranja njihove socijalne sigurnosti; provodile mjere aktivne politike zapošljavanja s ciljem poticanja zapošljavanja, skraćivanja vremena nezaposlenosti, očuvanja radnih mjesta te podizanja konkurentnosti radne snage i  smanjenja nerazmjera ponude i potražnje na tržištu rada. </w:t>
      </w:r>
    </w:p>
    <w:p w:rsidR="00AC0832" w:rsidRDefault="00AC0832">
      <w:pPr>
        <w:pStyle w:val="Normal3"/>
      </w:pPr>
      <w:r>
        <w:t xml:space="preserve"> </w:t>
      </w:r>
    </w:p>
    <w:p w:rsidR="00AC0832" w:rsidRDefault="00AC0832">
      <w:pPr>
        <w:pStyle w:val="Normal3"/>
      </w:pPr>
      <w:r>
        <w:t>Na poziciji Hrvatskoga zavoda za zapošljavanje u 2012. godini iskazan je i utrošak sredstava za provedbu IV komponente IPA programa „Razvoj ljudskih potencijala“, obzirom da je Odjel za financiranje i ugovaranje projekata EU unutar Zavoda provedbeno tijelo za ovu komponentu. Operativni program „Razvoj ljudskih potencijala“ predstavlja programski okvir za korištenje sredstava u sektoru zapošljavanja, obrazovanja i socijalne uključenosti.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08625-Hrvatski zavod za zapošljavanje</w:t>
            </w:r>
          </w:p>
        </w:tc>
        <w:tc>
          <w:tcPr>
            <w:tcW w:w="2322" w:type="dxa"/>
          </w:tcPr>
          <w:p w:rsidR="00AC0832" w:rsidRDefault="00AC0832">
            <w:pPr>
              <w:pStyle w:val="CellColumn"/>
            </w:pPr>
            <w:r>
              <w:t>2.168.615.070</w:t>
            </w:r>
          </w:p>
        </w:tc>
        <w:tc>
          <w:tcPr>
            <w:tcW w:w="2322" w:type="dxa"/>
          </w:tcPr>
          <w:p w:rsidR="00AC0832" w:rsidRDefault="00AC0832">
            <w:pPr>
              <w:pStyle w:val="CellColumn"/>
            </w:pPr>
            <w:r>
              <w:t>2.087.698.790</w:t>
            </w:r>
          </w:p>
        </w:tc>
        <w:tc>
          <w:tcPr>
            <w:tcW w:w="2322" w:type="dxa"/>
          </w:tcPr>
          <w:p w:rsidR="00AC0832" w:rsidRDefault="00AC0832">
            <w:pPr>
              <w:pStyle w:val="CellColumn"/>
            </w:pPr>
            <w:r>
              <w:t>96,3</w:t>
            </w:r>
          </w:p>
        </w:tc>
      </w:tr>
      <w:tr w:rsidR="00AC0832" w:rsidTr="00BE20ED">
        <w:trPr>
          <w:jc w:val="center"/>
        </w:trPr>
        <w:tc>
          <w:tcPr>
            <w:tcW w:w="2322" w:type="dxa"/>
          </w:tcPr>
          <w:p w:rsidR="00AC0832" w:rsidRDefault="00AC0832">
            <w:pPr>
              <w:pStyle w:val="CellColumnSmall"/>
            </w:pPr>
            <w:r>
              <w:t>3301-AKTIVNA POLITIKA TRŽIŠTA RADA</w:t>
            </w:r>
          </w:p>
        </w:tc>
        <w:tc>
          <w:tcPr>
            <w:tcW w:w="2322" w:type="dxa"/>
          </w:tcPr>
          <w:p w:rsidR="00AC0832" w:rsidRDefault="00AC0832">
            <w:pPr>
              <w:pStyle w:val="CellColumnSmall"/>
            </w:pPr>
            <w:r>
              <w:t>679.543.070</w:t>
            </w:r>
          </w:p>
        </w:tc>
        <w:tc>
          <w:tcPr>
            <w:tcW w:w="2322" w:type="dxa"/>
          </w:tcPr>
          <w:p w:rsidR="00AC0832" w:rsidRDefault="00AC0832">
            <w:pPr>
              <w:pStyle w:val="CellColumnSmall"/>
            </w:pPr>
            <w:r>
              <w:t>603.845.293</w:t>
            </w:r>
          </w:p>
        </w:tc>
        <w:tc>
          <w:tcPr>
            <w:tcW w:w="2322" w:type="dxa"/>
          </w:tcPr>
          <w:p w:rsidR="00AC0832" w:rsidRDefault="00AC0832">
            <w:pPr>
              <w:pStyle w:val="CellColumnSmall"/>
            </w:pPr>
            <w:r>
              <w:t>88,9</w:t>
            </w:r>
          </w:p>
        </w:tc>
      </w:tr>
      <w:tr w:rsidR="00AC0832" w:rsidTr="00BE20ED">
        <w:trPr>
          <w:jc w:val="center"/>
        </w:trPr>
        <w:tc>
          <w:tcPr>
            <w:tcW w:w="2322" w:type="dxa"/>
          </w:tcPr>
          <w:p w:rsidR="00AC0832" w:rsidRDefault="00AC0832">
            <w:pPr>
              <w:pStyle w:val="CellColumnSmall"/>
            </w:pPr>
            <w:r>
              <w:t>4011-MATERIJALNO PRAVNA ZAŠTITA</w:t>
            </w:r>
          </w:p>
        </w:tc>
        <w:tc>
          <w:tcPr>
            <w:tcW w:w="2322" w:type="dxa"/>
          </w:tcPr>
          <w:p w:rsidR="00AC0832" w:rsidRDefault="00AC0832">
            <w:pPr>
              <w:pStyle w:val="CellColumnSmall"/>
            </w:pPr>
            <w:r>
              <w:t>1.489.072.000</w:t>
            </w:r>
          </w:p>
        </w:tc>
        <w:tc>
          <w:tcPr>
            <w:tcW w:w="2322" w:type="dxa"/>
          </w:tcPr>
          <w:p w:rsidR="00AC0832" w:rsidRDefault="00AC0832">
            <w:pPr>
              <w:pStyle w:val="CellColumnSmall"/>
            </w:pPr>
            <w:r>
              <w:t>1.483.853.497</w:t>
            </w:r>
          </w:p>
        </w:tc>
        <w:tc>
          <w:tcPr>
            <w:tcW w:w="2322" w:type="dxa"/>
          </w:tcPr>
          <w:p w:rsidR="00AC0832" w:rsidRDefault="00AC0832">
            <w:pPr>
              <w:pStyle w:val="CellColumnSmall"/>
            </w:pPr>
            <w:r>
              <w:t>99,6</w:t>
            </w:r>
          </w:p>
        </w:tc>
      </w:tr>
    </w:tbl>
    <w:p w:rsidR="00AC0832" w:rsidRDefault="00AC0832">
      <w:pPr>
        <w:jc w:val="left"/>
      </w:pPr>
    </w:p>
    <w:p w:rsidR="00AC0832" w:rsidRDefault="00AC0832">
      <w:pPr>
        <w:pStyle w:val="Heading4"/>
      </w:pPr>
      <w:r>
        <w:t>OBRAZLOŽENJE PROGRAMA</w:t>
      </w:r>
    </w:p>
    <w:p w:rsidR="00AC0832" w:rsidRDefault="00AC0832">
      <w:pPr>
        <w:pStyle w:val="Heading5"/>
      </w:pPr>
      <w:r>
        <w:t>3301 AKTIVNA POLITIKA TRŽIŠTA RADA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3301-AKTIVNA POLITIKA TRŽIŠTA RADA</w:t>
            </w:r>
          </w:p>
        </w:tc>
        <w:tc>
          <w:tcPr>
            <w:tcW w:w="2322" w:type="dxa"/>
          </w:tcPr>
          <w:p w:rsidR="00AC0832" w:rsidRDefault="00AC0832">
            <w:pPr>
              <w:pStyle w:val="CellColumn"/>
            </w:pPr>
            <w:r>
              <w:t>679.543.070</w:t>
            </w:r>
          </w:p>
        </w:tc>
        <w:tc>
          <w:tcPr>
            <w:tcW w:w="2322" w:type="dxa"/>
          </w:tcPr>
          <w:p w:rsidR="00AC0832" w:rsidRDefault="00AC0832">
            <w:pPr>
              <w:pStyle w:val="CellColumn"/>
            </w:pPr>
            <w:r>
              <w:t>603.845.293</w:t>
            </w:r>
          </w:p>
        </w:tc>
        <w:tc>
          <w:tcPr>
            <w:tcW w:w="2322" w:type="dxa"/>
          </w:tcPr>
          <w:p w:rsidR="00AC0832" w:rsidRDefault="00AC0832">
            <w:pPr>
              <w:pStyle w:val="CellColumn"/>
            </w:pPr>
            <w:r>
              <w:t>88,9</w:t>
            </w:r>
          </w:p>
        </w:tc>
      </w:tr>
    </w:tbl>
    <w:p w:rsidR="00AC0832" w:rsidRDefault="00AC0832">
      <w:pPr>
        <w:jc w:val="left"/>
      </w:pPr>
    </w:p>
    <w:p w:rsidR="00AC0832" w:rsidRDefault="00AC0832">
      <w:pPr>
        <w:pStyle w:val="Heading6"/>
      </w:pPr>
      <w:r>
        <w:t>Opis programa</w:t>
      </w:r>
    </w:p>
    <w:p w:rsidR="00AC0832" w:rsidRDefault="00AC0832">
      <w:pPr>
        <w:pStyle w:val="Normal5"/>
      </w:pPr>
      <w:r>
        <w:t xml:space="preserve">Hrvatski zavod za zapošljavanje, uz druge nadležne pravne osobe, provodi politike zapošljavanja kojima snažno utječe na konkurentnost gospodarstva zemlje. Borba protiv nezaposlenosti i nastavak reformi tržišta rada zahtijeva fokusiranje na poticanje zaposlenosti i aktivnosti koje su usmjerene na skraćivanje razdoblja nezaposlenosti te na kontinuirano podizanje konkurentnosti i zapošljivosti radne snage. </w:t>
      </w:r>
    </w:p>
    <w:p w:rsidR="00AC0832" w:rsidRDefault="00AC0832">
      <w:pPr>
        <w:pStyle w:val="Normal5"/>
      </w:pPr>
      <w:r>
        <w:t xml:space="preserve">Mjerama aktivne politike zapošljavanja nastoji se pomoći nezaposlenima da se ponovno zaposle, da uđu u svijet obrazovanja radi stjecanja znanja i vještina potrebnih za tržište rada kako bi se podigla razina njihove zapošljivosti, a zaposlenima da zadrže svoj posao.  </w:t>
      </w:r>
    </w:p>
    <w:p w:rsidR="00AC0832" w:rsidRDefault="00AC0832">
      <w:pPr>
        <w:pStyle w:val="Normal5"/>
      </w:pPr>
      <w:r>
        <w:t xml:space="preserve">Aktivnostima profesionalnog usmjeravanja, pruža se pomoć djeci, mladeži, nezaposlenim, zaposlenim i drugim osobama pri izboru zvanja i zanimanja. Profesionalno usmjeravanje ostvaruje se informiranjem, savjetovanje, i praćenjem profesionalnog razvoja navedenih osoba, a aktivnosti koje Zavod provodi u tu svrhu odnose se na izradu različitog informativnog materijala, te upotrebu različitog psihodijagnostičkog instrumentarija. </w:t>
      </w:r>
    </w:p>
    <w:p w:rsidR="00AC0832" w:rsidRDefault="00AC0832">
      <w:pPr>
        <w:pStyle w:val="Normal5"/>
      </w:pPr>
      <w:r>
        <w:t xml:space="preserve">Obzirom na stalnu opredijeljenost unaprjeđenju usluga koje Zavod pruža svojim korisnicima, prvenstveno nezaposlenim osobama i poslodavcima, ali i drugim institucijama u okruženju, Zavod ulaže u tehnološki razvoj te organizaciju i dizajn poslovnih procesa, u kontinuirano obrazovanje svojih zaposlenika u cilju razvoja i unapređenja njihovih kompetencija, stoga su u okviru ovog programa financirani i rashodi za zaposlene, materijalni i financijski rashodi te rashodi za nabavu nefinancijske imovine potrebni za redovno obavljanje djelatnosti. </w:t>
      </w:r>
    </w:p>
    <w:p w:rsidR="00AC0832" w:rsidRDefault="00AC0832">
      <w:pPr>
        <w:pStyle w:val="Normal5"/>
      </w:pPr>
      <w:r>
        <w:t xml:space="preserve"> </w:t>
      </w:r>
    </w:p>
    <w:p w:rsidR="00AC0832" w:rsidRDefault="00AC0832">
      <w:pPr>
        <w:pStyle w:val="Normal5"/>
      </w:pPr>
      <w:r>
        <w:t>U okviru ovog programa iskazuju se i rashodi za provedbu IV. komponente IPA programa „Razvoj ljudskih potencijala“, koji predstavlja programski okvir za korištenje sredstava u sektoru zapošljavanja, obrazovanja i socijalne uključenosti, te rashodi svih projekata  u kojima je Zavod bio korisnik sredstava pretpristupne pomoći EU.</w:t>
      </w:r>
    </w:p>
    <w:p w:rsidR="00AC0832" w:rsidRDefault="00AC0832">
      <w:pPr>
        <w:pStyle w:val="Heading6"/>
      </w:pPr>
      <w:r>
        <w:t>Zakonske i druge pravne osnove</w:t>
      </w:r>
    </w:p>
    <w:p w:rsidR="00AC0832" w:rsidRDefault="00AC0832">
      <w:pPr>
        <w:pStyle w:val="Normal5"/>
      </w:pPr>
      <w:r>
        <w:t xml:space="preserve">• Zakon o posredovanju pri zapošljavanju i pravima za vrijeme nezaposlenosti („Narodne novine“ broj 80/08,  121/10, 25/12, 118/12, 12/); </w:t>
      </w:r>
    </w:p>
    <w:p w:rsidR="00AC0832" w:rsidRDefault="00AC0832">
      <w:pPr>
        <w:pStyle w:val="Normal5"/>
      </w:pPr>
      <w:r>
        <w:t xml:space="preserve">• Zajednički memorandum o prioritetima politike zapošljavanja (JAP – Joint Assesment Paper); </w:t>
      </w:r>
    </w:p>
    <w:p w:rsidR="00AC0832" w:rsidRDefault="00AC0832">
      <w:pPr>
        <w:pStyle w:val="Normal5"/>
      </w:pPr>
      <w:r>
        <w:t xml:space="preserve">• Nacionalni plan za poticanje  zapošljavanja za 2011. i 2012. godinu; </w:t>
      </w:r>
    </w:p>
    <w:p w:rsidR="00AC0832" w:rsidRDefault="00AC0832">
      <w:pPr>
        <w:pStyle w:val="Normal5"/>
      </w:pPr>
      <w:r>
        <w:t>• Akcijskom planu Desetljeća za uključivanje Roma 2005. – 2015.</w:t>
      </w:r>
    </w:p>
    <w:p w:rsidR="00AC0832" w:rsidRDefault="00AC0832">
      <w:pPr>
        <w:pStyle w:val="Heading7"/>
      </w:pPr>
      <w:r>
        <w:t>Cilj 1. Osigurati pokretljivu i konkurentnu radnu snagu</w:t>
      </w:r>
    </w:p>
    <w:p w:rsidR="00AC0832" w:rsidRDefault="00AC0832">
      <w:pPr>
        <w:pStyle w:val="Heading8"/>
        <w:jc w:val="left"/>
      </w:pPr>
      <w:r>
        <w:t>Opis provedbe cilja programa</w:t>
      </w:r>
    </w:p>
    <w:p w:rsidR="00AC0832" w:rsidRDefault="00AC0832">
      <w:pPr>
        <w:pStyle w:val="Normal6"/>
      </w:pPr>
      <w:r>
        <w:t xml:space="preserve">Konkurentno tržište rada moguće je ostvariti povećanjem sudjelovanja na tržištu rada nezaposlenih, neaktivnih ili osoba koje su dugo izvan svijeta rada, jačanjem njihovih kompetencija te stručnih znanja i vještina potrebnih gospodarstvu. Zapošljavanje kroz javne radove kao i zapošljavanje uz potpore za zapošljavanje omogućuje teže zapošljivim osobama stjecanje radnih vještina kod poslodavca, te omogućuje ostanak u zaposlenosti i nakon perioda sufinanciranja. Stručnim osposobljavanjem za rad bez zasnivanja radnog odnosa omogućuje se mladim osobama stjecanje potrebnog radnog iskustva za zapošljavanje. Obrazovanjem nezaposlenih osoba povećavaju se stručna znanja i vještine, usklađuje ponuda sa potražnjom na lokalnim tržištima rada, a ujedno se osobe pripremaju za razdoblje nakon izlaska iz gospodarske krize. </w:t>
      </w:r>
    </w:p>
    <w:p w:rsidR="00AC0832" w:rsidRDefault="00AC0832">
      <w:pPr>
        <w:pStyle w:val="Normal6"/>
      </w:pPr>
      <w:r>
        <w:t xml:space="preserve"> </w:t>
      </w:r>
    </w:p>
    <w:p w:rsidR="00AC0832" w:rsidRDefault="00AC0832">
      <w:pPr>
        <w:pStyle w:val="Normal6"/>
      </w:pPr>
      <w:r>
        <w:t>Važno je također nastaviti provoditi godišnja istraživanja o budućim potrebama na tržištu rada, razvijati institucije na tržištu rada te lokalna partnerstva kao ključne dionike generiranja mjera politike tržišta rada krojenih prema potrebama lokalnog gospodarstva. Posebno je važno jačati institucije i dionike na tržištu rada kako bi aktivnosti u provedbi mjera politika tržišta rada projektno koncipirati i za to koristili sredstva Europske unije. Ključnu ulogu u jačanju institucije ima trening radnika Zavoda organizirane od strane internih trenera ili vanjskih predavača, razvoj informacijsko komunikacijskog sustava, uvođenje novih procedura rada, ali i suradnja s ostalim dionicima kroz održavanje konferencija, okruglih stolova, seminara te kreiranje zajedničkih projekata.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8"/>
        <w:gridCol w:w="1428"/>
        <w:gridCol w:w="1281"/>
        <w:gridCol w:w="1287"/>
        <w:gridCol w:w="1286"/>
        <w:gridCol w:w="1287"/>
        <w:gridCol w:w="1291"/>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povećanja zapošljavanja osoba uključenih u mjere tržišta rada 12 mjeseci nakon intervencije</w:t>
            </w:r>
          </w:p>
        </w:tc>
        <w:tc>
          <w:tcPr>
            <w:tcW w:w="1300" w:type="dxa"/>
          </w:tcPr>
          <w:p w:rsidR="00AC0832" w:rsidRDefault="00AC0832">
            <w:pPr>
              <w:pStyle w:val="CellColumn"/>
            </w:pPr>
            <w:r>
              <w:t>Zadržati broj osoba koje su ostale u zapošljavanju nakon razdoblja sufinanci-ranja te povećati broj osoba koje se zapošljavaju nakon obrazovanja</w:t>
            </w:r>
          </w:p>
        </w:tc>
        <w:tc>
          <w:tcPr>
            <w:tcW w:w="1300" w:type="dxa"/>
          </w:tcPr>
          <w:p w:rsidR="00AC0832" w:rsidRDefault="00AC0832">
            <w:pPr>
              <w:pStyle w:val="CellColumn"/>
            </w:pPr>
            <w:r>
              <w:t>%</w:t>
            </w:r>
          </w:p>
        </w:tc>
        <w:tc>
          <w:tcPr>
            <w:tcW w:w="1300" w:type="dxa"/>
          </w:tcPr>
          <w:p w:rsidR="00AC0832" w:rsidRDefault="00AC0832">
            <w:pPr>
              <w:pStyle w:val="CellColumn"/>
            </w:pPr>
            <w:r>
              <w:t>30% osoba se zaposli 12 mje-seci nakon obra-zovanja</w:t>
            </w:r>
          </w:p>
        </w:tc>
        <w:tc>
          <w:tcPr>
            <w:tcW w:w="1300" w:type="dxa"/>
          </w:tcPr>
          <w:p w:rsidR="00AC0832" w:rsidRDefault="00AC0832">
            <w:pPr>
              <w:pStyle w:val="CellColumn"/>
            </w:pPr>
            <w:r>
              <w:t>HZZ</w:t>
            </w:r>
          </w:p>
        </w:tc>
        <w:tc>
          <w:tcPr>
            <w:tcW w:w="1300" w:type="dxa"/>
          </w:tcPr>
          <w:p w:rsidR="00AC0832" w:rsidRDefault="00AC0832">
            <w:pPr>
              <w:pStyle w:val="CellColumn"/>
            </w:pPr>
            <w:r>
              <w:t>40</w:t>
            </w:r>
          </w:p>
        </w:tc>
        <w:tc>
          <w:tcPr>
            <w:tcW w:w="1300" w:type="dxa"/>
          </w:tcPr>
          <w:p w:rsidR="00AC0832" w:rsidRDefault="00AC0832">
            <w:pPr>
              <w:pStyle w:val="CellColumn"/>
            </w:pPr>
            <w:r>
              <w:t>28</w:t>
            </w:r>
          </w:p>
        </w:tc>
      </w:tr>
    </w:tbl>
    <w:p w:rsidR="00AC0832" w:rsidRDefault="00AC0832">
      <w:pPr>
        <w:jc w:val="left"/>
      </w:pPr>
    </w:p>
    <w:p w:rsidR="00AC0832" w:rsidRDefault="00AC0832">
      <w:pPr>
        <w:pStyle w:val="Heading6"/>
      </w:pPr>
      <w:r>
        <w:t>A689023 AKTIVNA POLITIKA ZAPOŠLJAVANJA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A689023-AKTIVNA POLITIKA ZAPOŠLJAVANJA</w:t>
            </w:r>
          </w:p>
        </w:tc>
        <w:tc>
          <w:tcPr>
            <w:tcW w:w="2322" w:type="dxa"/>
          </w:tcPr>
          <w:p w:rsidR="00AC0832" w:rsidRDefault="00AC0832">
            <w:pPr>
              <w:pStyle w:val="CellColumn"/>
            </w:pPr>
            <w:r>
              <w:t>359.821.532</w:t>
            </w:r>
          </w:p>
        </w:tc>
        <w:tc>
          <w:tcPr>
            <w:tcW w:w="2322" w:type="dxa"/>
          </w:tcPr>
          <w:p w:rsidR="00AC0832" w:rsidRDefault="00AC0832">
            <w:pPr>
              <w:pStyle w:val="CellColumn"/>
            </w:pPr>
            <w:r>
              <w:t>359.391.838</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Hrvatski zavod za zapošljavanje jedan je od nositelja programa Nacionalnog akcijskog plana zapošljavanja za razdoblje 2011. – 2012. godine.  </w:t>
      </w:r>
    </w:p>
    <w:p w:rsidR="00AC0832" w:rsidRDefault="00AC0832">
      <w:pPr>
        <w:pStyle w:val="Normal6"/>
      </w:pPr>
      <w:r>
        <w:t xml:space="preserve">Mjere aktivne politike zapošljavanja bile su usmjerene na poticanje zapošljavanja, samozapošljavanja, sufinanciranje i financiranje obrazovanja, financiranje stručnog osposobljavanja za rad bez zasnivanja radnog odnosa te sufinanciranje i financiranje zapošljavanja u programima javnih radova. </w:t>
      </w:r>
    </w:p>
    <w:p w:rsidR="00AC0832" w:rsidRDefault="00AC0832">
      <w:pPr>
        <w:pStyle w:val="Normal6"/>
      </w:pPr>
      <w:r>
        <w:t xml:space="preserve">U 2012. godini, mjerama iz Nacionalnog plana za poticanje zapošljavanja ukupno je obuhvaćeno 28.085 osoba iz evidencije nezaposlenih, što je smanjenje od 17,33% u odnosu na 2011. godinu. 3.746 osoba zaposleno je uz potporu za zapošljavanje, 938 obuhvaćene je potporom za samozapošljavanje, 121 osoba obuhvaćena je potporom za usavršavanje, 2.334 osoba obrazovanjem prema potrebama tržišta rada, 5.456 osoba stručnim osposobljavanjem za rad, 15.320 osoba zaposleno je u programima javnih radova, dok je potporom za očuvanje radnih mjesta obuhvaćeno 170 osoba. Od ukupnog broja osoba obuhvaćenih mjerama u 2012. godini bilo je 15.073 žena (ili 53,7 %).  </w:t>
      </w:r>
    </w:p>
    <w:p w:rsidR="00AC0832" w:rsidRDefault="00AC0832">
      <w:pPr>
        <w:pStyle w:val="Normal6"/>
      </w:pPr>
      <w:r>
        <w:t xml:space="preserve">Jedan od prioriteta aktivne politike zapošljavanja u 2012. godini bio je stručno osposobljavanje za rad bez zasnivanja radnog odnosa koja ima cilj omogućiti mladim osobama koje su završile školovanje po programima srednjoškolskog i visokoškolskog obrazovanja, stjecanje uvjeta za polaganje stručnog ispita ili radnog iskustva za zapošljavanje </w:t>
      </w:r>
    </w:p>
    <w:p w:rsidR="00AC0832" w:rsidRDefault="00AC0832">
      <w:pPr>
        <w:pStyle w:val="Normal6"/>
      </w:pPr>
      <w:r>
        <w:t xml:space="preserve">U suradnji s lokalnom zajednicom organizirani su programi javnih radova s ciljem aktiviranja i radnog angažiranja najteže zapošljivih skupina na tržištu rada, dok se uključivanjem osoba u obrazovne programe, a u svrhu podizanja razine njihove zapošljivosti kao i smanjenja nesrazmjera ponude i potražnje na tržištu rada. Također, provodili su se programi  obrazovanja zaposlenih osoba, a u svrhu zadržavanje radnog mjesta.  </w:t>
      </w:r>
    </w:p>
    <w:p w:rsidR="00AC0832" w:rsidRDefault="00AC0832">
      <w:pPr>
        <w:pStyle w:val="Normal6"/>
      </w:pPr>
      <w:r>
        <w:t>Povećanje broja korisnika mjera najznačajnije je u mjerama stručno osposobljavanje za rad bez zasnivanja radnog odnosa (221,85%) te u potporama za zapošljavanje što je pozitivan trend s obzirom na to da je riječ o dugotrajnijim intervencijama s povećanim šansama za stalnim zaposlenjem i to uglavnom u privatnom sektoru.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1"/>
        <w:gridCol w:w="1651"/>
        <w:gridCol w:w="1153"/>
        <w:gridCol w:w="1204"/>
        <w:gridCol w:w="1191"/>
        <w:gridCol w:w="1205"/>
        <w:gridCol w:w="123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osoba zaposlenih ili obrazovanih uz potpore za zapošljavanje i usavršavanje</w:t>
            </w:r>
          </w:p>
        </w:tc>
        <w:tc>
          <w:tcPr>
            <w:tcW w:w="1300" w:type="dxa"/>
          </w:tcPr>
          <w:p w:rsidR="00AC0832" w:rsidRDefault="00AC0832">
            <w:pPr>
              <w:pStyle w:val="CellColumn"/>
            </w:pPr>
            <w:r>
              <w:t>zadržat će se isti broj teško zapošljivih osoba za čije zapošljavanje će biti isplaćena državna potpora za zapošljavanje i usavršavanje</w:t>
            </w:r>
          </w:p>
        </w:tc>
        <w:tc>
          <w:tcPr>
            <w:tcW w:w="1300" w:type="dxa"/>
          </w:tcPr>
          <w:p w:rsidR="00AC0832" w:rsidRDefault="00AC0832">
            <w:pPr>
              <w:pStyle w:val="CellColumn"/>
            </w:pPr>
            <w:r>
              <w:t>broj</w:t>
            </w:r>
          </w:p>
        </w:tc>
        <w:tc>
          <w:tcPr>
            <w:tcW w:w="1300" w:type="dxa"/>
          </w:tcPr>
          <w:p w:rsidR="00AC0832" w:rsidRDefault="00AC0832">
            <w:pPr>
              <w:pStyle w:val="CellColumn"/>
            </w:pPr>
            <w:r>
              <w:t>4.111</w:t>
            </w:r>
          </w:p>
        </w:tc>
        <w:tc>
          <w:tcPr>
            <w:tcW w:w="1300" w:type="dxa"/>
          </w:tcPr>
          <w:p w:rsidR="00AC0832" w:rsidRDefault="00AC0832">
            <w:pPr>
              <w:pStyle w:val="CellColumn"/>
            </w:pPr>
            <w:r>
              <w:t>HZZ</w:t>
            </w:r>
          </w:p>
        </w:tc>
        <w:tc>
          <w:tcPr>
            <w:tcW w:w="1300" w:type="dxa"/>
          </w:tcPr>
          <w:p w:rsidR="00AC0832" w:rsidRDefault="00AC0832">
            <w:pPr>
              <w:pStyle w:val="CellColumn"/>
            </w:pPr>
            <w:r>
              <w:t>4.000</w:t>
            </w:r>
          </w:p>
        </w:tc>
        <w:tc>
          <w:tcPr>
            <w:tcW w:w="1300" w:type="dxa"/>
          </w:tcPr>
          <w:p w:rsidR="00AC0832" w:rsidRDefault="00AC0832">
            <w:pPr>
              <w:pStyle w:val="CellColumn"/>
            </w:pPr>
            <w:r>
              <w:t>4.975</w:t>
            </w:r>
          </w:p>
        </w:tc>
      </w:tr>
      <w:tr w:rsidR="00AC0832" w:rsidTr="00BE20ED">
        <w:trPr>
          <w:jc w:val="center"/>
        </w:trPr>
        <w:tc>
          <w:tcPr>
            <w:tcW w:w="1300" w:type="dxa"/>
          </w:tcPr>
          <w:p w:rsidR="00AC0832" w:rsidRDefault="00AC0832">
            <w:pPr>
              <w:pStyle w:val="CellColumn"/>
            </w:pPr>
            <w:r>
              <w:t>broj osoba uključenih u obrazovanje</w:t>
            </w:r>
          </w:p>
        </w:tc>
        <w:tc>
          <w:tcPr>
            <w:tcW w:w="1300" w:type="dxa"/>
          </w:tcPr>
          <w:p w:rsidR="00AC0832" w:rsidRDefault="00AC0832">
            <w:pPr>
              <w:pStyle w:val="CellColumn"/>
            </w:pPr>
            <w:r>
              <w:t>povećat će se broj osoba koje će putem obrazovanja dobiti nove vještine za potrebe tržišta rada</w:t>
            </w:r>
          </w:p>
        </w:tc>
        <w:tc>
          <w:tcPr>
            <w:tcW w:w="1300" w:type="dxa"/>
          </w:tcPr>
          <w:p w:rsidR="00AC0832" w:rsidRDefault="00AC0832">
            <w:pPr>
              <w:pStyle w:val="CellColumn"/>
            </w:pPr>
            <w:r>
              <w:t>broj</w:t>
            </w:r>
          </w:p>
        </w:tc>
        <w:tc>
          <w:tcPr>
            <w:tcW w:w="1300" w:type="dxa"/>
          </w:tcPr>
          <w:p w:rsidR="00AC0832" w:rsidRDefault="00AC0832">
            <w:pPr>
              <w:pStyle w:val="CellColumn"/>
            </w:pPr>
            <w:r>
              <w:t>13.788</w:t>
            </w:r>
          </w:p>
        </w:tc>
        <w:tc>
          <w:tcPr>
            <w:tcW w:w="1300" w:type="dxa"/>
          </w:tcPr>
          <w:p w:rsidR="00AC0832" w:rsidRDefault="00AC0832">
            <w:pPr>
              <w:pStyle w:val="CellColumn"/>
            </w:pPr>
            <w:r>
              <w:t>HZZ</w:t>
            </w:r>
          </w:p>
        </w:tc>
        <w:tc>
          <w:tcPr>
            <w:tcW w:w="1300" w:type="dxa"/>
          </w:tcPr>
          <w:p w:rsidR="00AC0832" w:rsidRDefault="00AC0832">
            <w:pPr>
              <w:pStyle w:val="CellColumn"/>
            </w:pPr>
            <w:r>
              <w:t>14.000</w:t>
            </w:r>
          </w:p>
        </w:tc>
        <w:tc>
          <w:tcPr>
            <w:tcW w:w="1300" w:type="dxa"/>
          </w:tcPr>
          <w:p w:rsidR="00AC0832" w:rsidRDefault="00AC0832">
            <w:pPr>
              <w:pStyle w:val="CellColumn"/>
            </w:pPr>
            <w:r>
              <w:t>2.334</w:t>
            </w:r>
          </w:p>
        </w:tc>
      </w:tr>
      <w:tr w:rsidR="00AC0832" w:rsidTr="00BE20ED">
        <w:trPr>
          <w:jc w:val="center"/>
        </w:trPr>
        <w:tc>
          <w:tcPr>
            <w:tcW w:w="1300" w:type="dxa"/>
          </w:tcPr>
          <w:p w:rsidR="00AC0832" w:rsidRDefault="00AC0832">
            <w:pPr>
              <w:pStyle w:val="CellColumn"/>
            </w:pPr>
            <w:r>
              <w:t>broj osoba zaposlenih kroz društveno koristan rad</w:t>
            </w:r>
          </w:p>
        </w:tc>
        <w:tc>
          <w:tcPr>
            <w:tcW w:w="1300" w:type="dxa"/>
          </w:tcPr>
          <w:p w:rsidR="00AC0832" w:rsidRDefault="00AC0832">
            <w:pPr>
              <w:pStyle w:val="CellColumn"/>
            </w:pPr>
            <w:r>
              <w:t>povećat će se broj osoba koje će putem javnih radova steći radne vještine</w:t>
            </w:r>
          </w:p>
        </w:tc>
        <w:tc>
          <w:tcPr>
            <w:tcW w:w="1300" w:type="dxa"/>
          </w:tcPr>
          <w:p w:rsidR="00AC0832" w:rsidRDefault="00AC0832">
            <w:pPr>
              <w:pStyle w:val="CellColumn"/>
            </w:pPr>
            <w:r>
              <w:t>broj</w:t>
            </w:r>
          </w:p>
        </w:tc>
        <w:tc>
          <w:tcPr>
            <w:tcW w:w="1300" w:type="dxa"/>
          </w:tcPr>
          <w:p w:rsidR="00AC0832" w:rsidRDefault="00AC0832">
            <w:pPr>
              <w:pStyle w:val="CellColumn"/>
            </w:pPr>
            <w:r>
              <w:t>10.780</w:t>
            </w:r>
          </w:p>
        </w:tc>
        <w:tc>
          <w:tcPr>
            <w:tcW w:w="1300" w:type="dxa"/>
          </w:tcPr>
          <w:p w:rsidR="00AC0832" w:rsidRDefault="00AC0832">
            <w:pPr>
              <w:pStyle w:val="CellColumn"/>
            </w:pPr>
            <w:r>
              <w:t>HZZ</w:t>
            </w:r>
          </w:p>
        </w:tc>
        <w:tc>
          <w:tcPr>
            <w:tcW w:w="1300" w:type="dxa"/>
          </w:tcPr>
          <w:p w:rsidR="00AC0832" w:rsidRDefault="00AC0832">
            <w:pPr>
              <w:pStyle w:val="CellColumn"/>
            </w:pPr>
            <w:r>
              <w:t>13.000</w:t>
            </w:r>
          </w:p>
        </w:tc>
        <w:tc>
          <w:tcPr>
            <w:tcW w:w="1300" w:type="dxa"/>
          </w:tcPr>
          <w:p w:rsidR="00AC0832" w:rsidRDefault="00AC0832">
            <w:pPr>
              <w:pStyle w:val="CellColumn"/>
            </w:pPr>
            <w:r>
              <w:t>15.320</w:t>
            </w:r>
          </w:p>
        </w:tc>
      </w:tr>
      <w:tr w:rsidR="00AC0832" w:rsidTr="00BE20ED">
        <w:trPr>
          <w:jc w:val="center"/>
        </w:trPr>
        <w:tc>
          <w:tcPr>
            <w:tcW w:w="1300" w:type="dxa"/>
          </w:tcPr>
          <w:p w:rsidR="00AC0832" w:rsidRDefault="00AC0832">
            <w:pPr>
              <w:pStyle w:val="CellColumn"/>
            </w:pPr>
            <w:r>
              <w:t>broj osoba uključenih u stručno osposobljavanje za rad bez zasnivanja radnog odnosa</w:t>
            </w:r>
          </w:p>
        </w:tc>
        <w:tc>
          <w:tcPr>
            <w:tcW w:w="1300" w:type="dxa"/>
          </w:tcPr>
          <w:p w:rsidR="00AC0832" w:rsidRDefault="00AC0832">
            <w:pPr>
              <w:pStyle w:val="CellColumn"/>
            </w:pPr>
            <w:r>
              <w:t>povećat će se broj osoba uključenih u struč-no osposobljavanje bez zasnivanja radnog odnosa</w:t>
            </w:r>
          </w:p>
        </w:tc>
        <w:tc>
          <w:tcPr>
            <w:tcW w:w="1300" w:type="dxa"/>
          </w:tcPr>
          <w:p w:rsidR="00AC0832" w:rsidRDefault="00AC0832">
            <w:pPr>
              <w:pStyle w:val="CellColumn"/>
            </w:pPr>
            <w:r>
              <w:t>broj</w:t>
            </w:r>
          </w:p>
        </w:tc>
        <w:tc>
          <w:tcPr>
            <w:tcW w:w="1300" w:type="dxa"/>
          </w:tcPr>
          <w:p w:rsidR="00AC0832" w:rsidRDefault="00AC0832">
            <w:pPr>
              <w:pStyle w:val="CellColumn"/>
            </w:pPr>
            <w:r>
              <w:t>4.760</w:t>
            </w:r>
          </w:p>
        </w:tc>
        <w:tc>
          <w:tcPr>
            <w:tcW w:w="1300" w:type="dxa"/>
          </w:tcPr>
          <w:p w:rsidR="00AC0832" w:rsidRDefault="00AC0832">
            <w:pPr>
              <w:pStyle w:val="CellColumn"/>
            </w:pPr>
            <w:r>
              <w:t>HZZ</w:t>
            </w:r>
          </w:p>
        </w:tc>
        <w:tc>
          <w:tcPr>
            <w:tcW w:w="1300" w:type="dxa"/>
          </w:tcPr>
          <w:p w:rsidR="00AC0832" w:rsidRDefault="00AC0832">
            <w:pPr>
              <w:pStyle w:val="CellColumn"/>
            </w:pPr>
            <w:r>
              <w:t>5.000</w:t>
            </w:r>
          </w:p>
        </w:tc>
        <w:tc>
          <w:tcPr>
            <w:tcW w:w="1300" w:type="dxa"/>
          </w:tcPr>
          <w:p w:rsidR="00AC0832" w:rsidRDefault="00AC0832">
            <w:pPr>
              <w:pStyle w:val="CellColumn"/>
            </w:pPr>
            <w:r>
              <w:t>5.456</w:t>
            </w:r>
          </w:p>
        </w:tc>
      </w:tr>
    </w:tbl>
    <w:p w:rsidR="00AC0832" w:rsidRDefault="00AC0832">
      <w:pPr>
        <w:jc w:val="left"/>
      </w:pPr>
    </w:p>
    <w:p w:rsidR="00AC0832" w:rsidRDefault="00AC0832">
      <w:pPr>
        <w:pStyle w:val="Heading5"/>
      </w:pPr>
      <w:r>
        <w:t>4011 MATERIJALNO PRAVNA ZAŠTITA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4011-MATERIJALNO PRAVNA ZAŠTITA</w:t>
            </w:r>
          </w:p>
        </w:tc>
        <w:tc>
          <w:tcPr>
            <w:tcW w:w="2322" w:type="dxa"/>
          </w:tcPr>
          <w:p w:rsidR="00AC0832" w:rsidRDefault="00AC0832">
            <w:pPr>
              <w:pStyle w:val="CellColumn"/>
            </w:pPr>
            <w:r>
              <w:t>1.489.072.000</w:t>
            </w:r>
          </w:p>
        </w:tc>
        <w:tc>
          <w:tcPr>
            <w:tcW w:w="2322" w:type="dxa"/>
          </w:tcPr>
          <w:p w:rsidR="00AC0832" w:rsidRDefault="00AC0832">
            <w:pPr>
              <w:pStyle w:val="CellColumn"/>
            </w:pPr>
            <w:r>
              <w:t>1.483.853.497</w:t>
            </w:r>
          </w:p>
        </w:tc>
        <w:tc>
          <w:tcPr>
            <w:tcW w:w="2322" w:type="dxa"/>
          </w:tcPr>
          <w:p w:rsidR="00AC0832" w:rsidRDefault="00AC0832">
            <w:pPr>
              <w:pStyle w:val="CellColumn"/>
            </w:pPr>
            <w:r>
              <w:t>99,6</w:t>
            </w:r>
          </w:p>
        </w:tc>
      </w:tr>
    </w:tbl>
    <w:p w:rsidR="00AC0832" w:rsidRDefault="00AC0832">
      <w:pPr>
        <w:jc w:val="left"/>
      </w:pPr>
    </w:p>
    <w:p w:rsidR="00AC0832" w:rsidRDefault="00AC0832">
      <w:pPr>
        <w:pStyle w:val="Heading6"/>
      </w:pPr>
      <w:r>
        <w:t>Opis programa</w:t>
      </w:r>
    </w:p>
    <w:p w:rsidR="00AC0832" w:rsidRDefault="00AC0832">
      <w:pPr>
        <w:pStyle w:val="Normal5"/>
      </w:pPr>
      <w:r>
        <w:t xml:space="preserve">Nezaposlene osobe ostvaruju prava za vrijeme nezaposlenosti i to: novčanu naknadu, mirovinsko osiguranje, novčanu pomoć i naknadu troškova tijekom obrazovanja te jednokratnu novčanu pomoć i naknadu putnih i selidbenih troškova, obzirom na ispunjenje uvjeta iz Zakona o posredovanju pri zapošljavanju i pravima za vrijeme nezaposlenosti. </w:t>
      </w:r>
    </w:p>
    <w:p w:rsidR="00AC0832" w:rsidRDefault="00AC0832">
      <w:pPr>
        <w:pStyle w:val="Normal5"/>
      </w:pPr>
      <w:r>
        <w:t xml:space="preserve">Osiguranjem ovih prava pridonosi se učinkovitom funkcioniranju tržišta rada i stvaranju neophodnih zakonskih temelja za osiguranje dostojnog rada i socijalne sigurnosti.  </w:t>
      </w:r>
    </w:p>
    <w:p w:rsidR="00AC0832" w:rsidRDefault="00AC0832">
      <w:pPr>
        <w:pStyle w:val="Normal5"/>
      </w:pPr>
      <w:r>
        <w:t xml:space="preserve">Pravo na novčanu naknadu stječe nezaposlena osoba pod uvjetom da je u toku prestanka radnog odnosa imala 9 mjeseci rada u posljednja 24 mjeseca, te da joj radni odnos nije prestao njezinom krivnjom ili sporazumom. </w:t>
      </w:r>
    </w:p>
    <w:p w:rsidR="00AC0832" w:rsidRDefault="00AC0832">
      <w:pPr>
        <w:pStyle w:val="Normal5"/>
      </w:pPr>
      <w:r>
        <w:t xml:space="preserve">Pravo na mirovinsko osiguranje ima nezaposlena osoba koja je ostvarila novčanu naknadu i koje ispunjava uvjet godina života za stjecanje prava na starosnu mirovinu, ali joj nedostaje najviše 5 godina mirovinskog staža do ispunjenja uvjeta za istu mirovinu, kao i nezaposlena žena koja je u trenutku prestanka radnog odnosa imala dijete koje nije navršilo godinu dana života. </w:t>
      </w:r>
    </w:p>
    <w:p w:rsidR="00AC0832" w:rsidRDefault="00AC0832">
      <w:pPr>
        <w:pStyle w:val="Normal5"/>
      </w:pPr>
      <w:r>
        <w:t xml:space="preserve">Nezaposlena osoba koju je Zavod uputio na obrazovanje ima pravo na novčanu pomoć za vrijeme obrazovanja i pravo na troškove prijevoza, udžbenika, zaštitne odjeće i sl. </w:t>
      </w:r>
    </w:p>
    <w:p w:rsidR="00AC0832" w:rsidRDefault="00AC0832">
      <w:pPr>
        <w:pStyle w:val="Normal5"/>
      </w:pPr>
      <w:r>
        <w:t>Ukoliko Zavod nije bio u mogućnosti nezaposlenoj osobi osigurati zaposlenje u mjestu prebivališta, a koja je sama ili posredovanjem Zavoda našla zaposlenje izvan mjesta prebivališta, ostvaruje pravo na jednokratnu novčanu pomoć, te na naknadu putnih i selidbenih troškova.</w:t>
      </w:r>
    </w:p>
    <w:p w:rsidR="00AC0832" w:rsidRDefault="00AC0832">
      <w:pPr>
        <w:pStyle w:val="Heading6"/>
      </w:pPr>
      <w:r>
        <w:t>Zakonske i druge pravne osnove</w:t>
      </w:r>
    </w:p>
    <w:p w:rsidR="00AC0832" w:rsidRDefault="00AC0832">
      <w:pPr>
        <w:pStyle w:val="Normal5"/>
      </w:pPr>
      <w:r>
        <w:t xml:space="preserve">• Zakon o posredovanju pri zapošljavanju i pravima za vrijeme nezaposlenosti („Narodne novine“ broj 80/08, 121/10, 25/12, 118/12, 12/13 – pročišćeni tekst); </w:t>
      </w:r>
    </w:p>
    <w:p w:rsidR="00AC0832" w:rsidRDefault="00AC0832">
      <w:pPr>
        <w:pStyle w:val="Normal5"/>
      </w:pPr>
      <w:r>
        <w:t xml:space="preserve">• Odluka o isplati novčane naknade  u jednokratnom iznosu („Narodne novine“ broj 32/09, 123/12); </w:t>
      </w:r>
    </w:p>
    <w:p w:rsidR="00AC0832" w:rsidRDefault="00AC0832">
      <w:pPr>
        <w:pStyle w:val="Normal5"/>
      </w:pPr>
      <w:r>
        <w:t xml:space="preserve">• Odluka o jednokratnoj novčanoj pomoći i naknadi putnih i selidbenih troškova („Narodne novine“ broj 74/09); </w:t>
      </w:r>
    </w:p>
    <w:p w:rsidR="00AC0832" w:rsidRDefault="00AC0832">
      <w:pPr>
        <w:pStyle w:val="Normal5"/>
      </w:pPr>
      <w:r>
        <w:t>• Zakon o doprinosima („Narodne novine“ broj 84/08, 152/08, 94/09, 18/11, 22/12, 144/12).</w:t>
      </w:r>
    </w:p>
    <w:p w:rsidR="00AC0832" w:rsidRDefault="00AC0832">
      <w:pPr>
        <w:pStyle w:val="Heading7"/>
      </w:pPr>
      <w:r>
        <w:t>Cilj 1. Jačati sustav socijalne sigurnosti nezaposlenih osoba</w:t>
      </w:r>
    </w:p>
    <w:p w:rsidR="00AC0832" w:rsidRDefault="00AC0832">
      <w:pPr>
        <w:pStyle w:val="Heading8"/>
        <w:jc w:val="left"/>
      </w:pPr>
      <w:r>
        <w:t>Opis provedbe cilja programa</w:t>
      </w:r>
    </w:p>
    <w:p w:rsidR="00AC0832" w:rsidRDefault="00AC0832">
      <w:pPr>
        <w:pStyle w:val="Normal6"/>
      </w:pPr>
      <w:r>
        <w:t xml:space="preserve">Prava nezaposlenih osoba uređena su Zakonom o posredovanju pri zapošljavanju i pravima za vrijeme nezaposlenosti koji se naslanja na tzv. radno zakonodavstvo čija je svrha pridonositi učinkovitom funkcioniranju tržišta rada i stvaranju neophodnih zakonskih temelja za osiguranje odgovarajućeg stupnja socijalne sigurnosti nezaposlenih osoba. </w:t>
      </w:r>
    </w:p>
    <w:p w:rsidR="00AC0832" w:rsidRDefault="00AC0832">
      <w:pPr>
        <w:pStyle w:val="Normal6"/>
      </w:pPr>
      <w:r>
        <w:t>U 2012. godini, Hrvatski zavod za zapošljavanje provodio je aktivnosti vezane uz utvrđivanje prava nezaposlenih osoba na novčanu naknadu, novčanu pomoć za vrijeme obrazovanja i stručnog osposobljavanja za rad, te novčanu pomoć i naknadu putnih i selidbenih troškova osobama kojima je osigurano zaposlenje izvan mjesta prebivališta. Svi zahtjevi za osiguranje ovih prava riješeni su u zakonskom roku te su osigurane i redovne mjesečne isplate sredstava.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6"/>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Prosječan iznos novčane naknade i novčane pomoći</w:t>
            </w:r>
          </w:p>
        </w:tc>
        <w:tc>
          <w:tcPr>
            <w:tcW w:w="1300" w:type="dxa"/>
          </w:tcPr>
          <w:p w:rsidR="00AC0832" w:rsidRDefault="00AC0832">
            <w:pPr>
              <w:pStyle w:val="CellColumn"/>
            </w:pPr>
            <w:r>
              <w:t>Osigurati pokriće minimalnih troškova za aktivno traženje posla osobama koje su došle iz radnog odnosa ili su upućeni na obrazovanje</w:t>
            </w:r>
          </w:p>
        </w:tc>
        <w:tc>
          <w:tcPr>
            <w:tcW w:w="1300" w:type="dxa"/>
          </w:tcPr>
          <w:p w:rsidR="00AC0832" w:rsidRDefault="00AC0832">
            <w:pPr>
              <w:pStyle w:val="CellColumn"/>
            </w:pPr>
            <w:r>
              <w:t>kn</w:t>
            </w:r>
          </w:p>
        </w:tc>
        <w:tc>
          <w:tcPr>
            <w:tcW w:w="1300" w:type="dxa"/>
          </w:tcPr>
          <w:p w:rsidR="00AC0832" w:rsidRDefault="00AC0832">
            <w:pPr>
              <w:pStyle w:val="CellColumn"/>
            </w:pPr>
            <w:r>
              <w:t>1.565</w:t>
            </w:r>
          </w:p>
        </w:tc>
        <w:tc>
          <w:tcPr>
            <w:tcW w:w="1300" w:type="dxa"/>
          </w:tcPr>
          <w:p w:rsidR="00AC0832" w:rsidRDefault="00AC0832">
            <w:pPr>
              <w:pStyle w:val="CellColumn"/>
            </w:pPr>
            <w:r>
              <w:t>HZZ</w:t>
            </w:r>
          </w:p>
        </w:tc>
        <w:tc>
          <w:tcPr>
            <w:tcW w:w="1300" w:type="dxa"/>
          </w:tcPr>
          <w:p w:rsidR="00AC0832" w:rsidRDefault="00AC0832">
            <w:pPr>
              <w:pStyle w:val="CellColumn"/>
            </w:pPr>
            <w:r>
              <w:t>1.500</w:t>
            </w:r>
          </w:p>
        </w:tc>
        <w:tc>
          <w:tcPr>
            <w:tcW w:w="1300" w:type="dxa"/>
          </w:tcPr>
          <w:p w:rsidR="00AC0832" w:rsidRDefault="00AC0832">
            <w:pPr>
              <w:pStyle w:val="CellColumn"/>
            </w:pPr>
            <w:r>
              <w:t>1.617,21</w:t>
            </w:r>
          </w:p>
        </w:tc>
      </w:tr>
    </w:tbl>
    <w:p w:rsidR="00AC0832" w:rsidRDefault="00AC0832">
      <w:pPr>
        <w:jc w:val="left"/>
      </w:pPr>
    </w:p>
    <w:p w:rsidR="00AC0832" w:rsidRDefault="00AC0832">
      <w:pPr>
        <w:pStyle w:val="Heading6"/>
      </w:pPr>
      <w:r>
        <w:t>A689014 NAKNADE NEZAPOSLENIMA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A689014-NAKNADE NEZAPOSLENIMA</w:t>
            </w:r>
          </w:p>
        </w:tc>
        <w:tc>
          <w:tcPr>
            <w:tcW w:w="2322" w:type="dxa"/>
          </w:tcPr>
          <w:p w:rsidR="00AC0832" w:rsidRDefault="00AC0832">
            <w:pPr>
              <w:pStyle w:val="CellColumn"/>
            </w:pPr>
            <w:r>
              <w:t>1.489.072.000</w:t>
            </w:r>
          </w:p>
        </w:tc>
        <w:tc>
          <w:tcPr>
            <w:tcW w:w="2322" w:type="dxa"/>
          </w:tcPr>
          <w:p w:rsidR="00AC0832" w:rsidRDefault="00AC0832">
            <w:pPr>
              <w:pStyle w:val="CellColumn"/>
            </w:pPr>
            <w:r>
              <w:t>1.483.853.497</w:t>
            </w:r>
          </w:p>
        </w:tc>
        <w:tc>
          <w:tcPr>
            <w:tcW w:w="2322" w:type="dxa"/>
          </w:tcPr>
          <w:p w:rsidR="00AC0832" w:rsidRDefault="00AC0832">
            <w:pPr>
              <w:pStyle w:val="CellColumn"/>
            </w:pPr>
            <w:r>
              <w:t>99,6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Kako bi se umanjile posljedice nezaposlenosti, prvenstveno uslijed gubitka posla nužno je osigurati novčanu naknadu za nezaposlene. Kao što navedeno, visina novčanih naknada vezana je uz prethodno ostvarene plaće, a smanjuje se s dužinom razdoblja njenog korištenja. </w:t>
      </w:r>
    </w:p>
    <w:p w:rsidR="00AC0832" w:rsidRDefault="00AC0832">
      <w:pPr>
        <w:pStyle w:val="Normal6"/>
      </w:pPr>
      <w:r>
        <w:t xml:space="preserve">Tijekom 2012. godine u Zavodu je evidentirano prosječno mjesečno 74.171 korisnik novčane naknade, tj. 22,9 % od ukupnog broja nezaposlenih osoba. </w:t>
      </w:r>
    </w:p>
    <w:p w:rsidR="00AC0832" w:rsidRDefault="00AC0832">
      <w:pPr>
        <w:pStyle w:val="Normal6"/>
      </w:pPr>
      <w:r>
        <w:t xml:space="preserve"> </w:t>
      </w:r>
    </w:p>
    <w:p w:rsidR="00AC0832" w:rsidRDefault="00AC0832">
      <w:pPr>
        <w:pStyle w:val="Normal6"/>
      </w:pPr>
      <w:r>
        <w:t>Pored navedenog, u okviru ove aktivnosti osiguravaju se sredstva za novčane pomoći i putne troškove za nezaposlene osobe koje Zavod upućuje na obrazovanje. Za vrijeme obrazovanja korisnicima novčanih naknada obustavlja se to pravo, ali se istovremeno osigurava novčana pomoć kako bi se prevladalo razdoblje nezaposlenosti. Pravo na novčanu pomoć za vrijeme obrazovanja i stručnog osposobljavanja za rad bez zasnivanja radnog odnosa u 2012. godini koristila je 7.131 osoba. Također, nezaposlenim osobama kojima Zavod nije u mogućnosti osigurati zaposlenje u mjestu prebivališta osigurava se isplata jednokratne novčane pomoći te naknadu putnih i selidbenih troškova do mjesta zaposlenja. U 2012. godini 8.157 osoba je koristilo pravo na naknadu putnih i selidbenih troškova, dok je pravo na novčanu pomoć s ovog osnova ostvarilo 12 osoba.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1651"/>
        <w:gridCol w:w="1218"/>
        <w:gridCol w:w="1214"/>
        <w:gridCol w:w="1201"/>
        <w:gridCol w:w="1214"/>
        <w:gridCol w:w="123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prosječan mjesečni broj osoba koje koriste pravo na novčanu naknadu za vrijeme nezaposlenosti</w:t>
            </w:r>
          </w:p>
        </w:tc>
        <w:tc>
          <w:tcPr>
            <w:tcW w:w="1300" w:type="dxa"/>
          </w:tcPr>
          <w:p w:rsidR="00AC0832" w:rsidRDefault="00AC0832">
            <w:pPr>
              <w:pStyle w:val="CellColumn"/>
            </w:pPr>
            <w:r>
              <w:t>smanjenje broja korisnika novčane naknade za vrijeme nezaposlenosti zbog njihovog ponovnog ulaska na tržište rada</w:t>
            </w:r>
          </w:p>
        </w:tc>
        <w:tc>
          <w:tcPr>
            <w:tcW w:w="1300" w:type="dxa"/>
          </w:tcPr>
          <w:p w:rsidR="00AC0832" w:rsidRDefault="00AC0832">
            <w:pPr>
              <w:pStyle w:val="CellColumn"/>
            </w:pPr>
            <w:r>
              <w:t>prosječan mjesečni broj korisnika</w:t>
            </w:r>
          </w:p>
        </w:tc>
        <w:tc>
          <w:tcPr>
            <w:tcW w:w="1300" w:type="dxa"/>
          </w:tcPr>
          <w:p w:rsidR="00AC0832" w:rsidRDefault="00AC0832">
            <w:pPr>
              <w:pStyle w:val="CellColumn"/>
            </w:pPr>
            <w:r>
              <w:t>74.501</w:t>
            </w:r>
          </w:p>
        </w:tc>
        <w:tc>
          <w:tcPr>
            <w:tcW w:w="1300" w:type="dxa"/>
          </w:tcPr>
          <w:p w:rsidR="00AC0832" w:rsidRDefault="00AC0832">
            <w:pPr>
              <w:pStyle w:val="CellColumn"/>
            </w:pPr>
            <w:r>
              <w:t>HZZ</w:t>
            </w:r>
          </w:p>
        </w:tc>
        <w:tc>
          <w:tcPr>
            <w:tcW w:w="1300" w:type="dxa"/>
          </w:tcPr>
          <w:p w:rsidR="00AC0832" w:rsidRDefault="00AC0832">
            <w:pPr>
              <w:pStyle w:val="CellColumn"/>
            </w:pPr>
            <w:r>
              <w:t>82.000</w:t>
            </w:r>
          </w:p>
        </w:tc>
        <w:tc>
          <w:tcPr>
            <w:tcW w:w="1300" w:type="dxa"/>
          </w:tcPr>
          <w:p w:rsidR="00AC0832" w:rsidRDefault="00AC0832">
            <w:pPr>
              <w:pStyle w:val="CellColumn"/>
            </w:pPr>
            <w:r>
              <w:t>74.171</w:t>
            </w:r>
          </w:p>
        </w:tc>
      </w:tr>
      <w:tr w:rsidR="00AC0832" w:rsidTr="00BE20ED">
        <w:trPr>
          <w:jc w:val="center"/>
        </w:trPr>
        <w:tc>
          <w:tcPr>
            <w:tcW w:w="1300" w:type="dxa"/>
          </w:tcPr>
          <w:p w:rsidR="00AC0832" w:rsidRDefault="00AC0832">
            <w:pPr>
              <w:pStyle w:val="CellColumn"/>
            </w:pPr>
            <w:r>
              <w:t>broj korisnika prava na novčanu pomoć za vri-jeme obrazovanja na koje ih je uputio HZZ</w:t>
            </w:r>
          </w:p>
        </w:tc>
        <w:tc>
          <w:tcPr>
            <w:tcW w:w="1300" w:type="dxa"/>
          </w:tcPr>
          <w:p w:rsidR="00AC0832" w:rsidRDefault="00AC0832">
            <w:pPr>
              <w:pStyle w:val="CellColumn"/>
            </w:pPr>
            <w:r>
              <w:t>povećati broj osoba koje ostvaruju novčanu pomoć za vrijeme obrazo-vanja i stručnog osposobljavanja za rad jer time stječu vještine potrebne tržištu rada</w:t>
            </w:r>
          </w:p>
        </w:tc>
        <w:tc>
          <w:tcPr>
            <w:tcW w:w="1300" w:type="dxa"/>
          </w:tcPr>
          <w:p w:rsidR="00AC0832" w:rsidRDefault="00AC0832">
            <w:pPr>
              <w:pStyle w:val="CellColumn"/>
            </w:pPr>
            <w:r>
              <w:t>broj</w:t>
            </w:r>
          </w:p>
        </w:tc>
        <w:tc>
          <w:tcPr>
            <w:tcW w:w="1300" w:type="dxa"/>
          </w:tcPr>
          <w:p w:rsidR="00AC0832" w:rsidRDefault="00AC0832">
            <w:pPr>
              <w:pStyle w:val="CellColumn"/>
            </w:pPr>
            <w:r>
              <w:t>18.548</w:t>
            </w:r>
          </w:p>
        </w:tc>
        <w:tc>
          <w:tcPr>
            <w:tcW w:w="1300" w:type="dxa"/>
          </w:tcPr>
          <w:p w:rsidR="00AC0832" w:rsidRDefault="00AC0832">
            <w:pPr>
              <w:pStyle w:val="CellColumn"/>
            </w:pPr>
            <w:r>
              <w:t>HZZ</w:t>
            </w:r>
          </w:p>
        </w:tc>
        <w:tc>
          <w:tcPr>
            <w:tcW w:w="1300" w:type="dxa"/>
          </w:tcPr>
          <w:p w:rsidR="00AC0832" w:rsidRDefault="00AC0832">
            <w:pPr>
              <w:pStyle w:val="CellColumn"/>
            </w:pPr>
            <w:r>
              <w:t>19.000</w:t>
            </w:r>
          </w:p>
        </w:tc>
        <w:tc>
          <w:tcPr>
            <w:tcW w:w="1300" w:type="dxa"/>
          </w:tcPr>
          <w:p w:rsidR="00AC0832" w:rsidRDefault="00AC0832">
            <w:pPr>
              <w:pStyle w:val="CellColumn"/>
            </w:pPr>
            <w:r>
              <w:t>7.131</w:t>
            </w:r>
          </w:p>
        </w:tc>
      </w:tr>
    </w:tbl>
    <w:p w:rsidR="00AC0832" w:rsidRDefault="00AC0832">
      <w:pPr>
        <w:jc w:val="left"/>
      </w:pPr>
    </w:p>
    <w:p w:rsidR="00AC0832" w:rsidRDefault="00AC0832">
      <w:pPr>
        <w:pStyle w:val="Heading2"/>
      </w:pPr>
      <w:r>
        <w:t>08630 Fond za profesionalnu rehabilitaciju i zapošljavanje osoba s invaliditetom</w:t>
      </w:r>
    </w:p>
    <w:p w:rsidR="00AC0832" w:rsidRDefault="00AC0832">
      <w:pPr>
        <w:pStyle w:val="Heading4"/>
      </w:pPr>
      <w:r>
        <w:t>Uvod</w:t>
      </w:r>
    </w:p>
    <w:p w:rsidR="00AC0832" w:rsidRDefault="00AC0832">
      <w:pPr>
        <w:pStyle w:val="Normal3"/>
      </w:pPr>
      <w:r>
        <w:t xml:space="preserve">U nastupajućem razdoblju temeljni cilj Fonda za profesionalnu rehabilitaciju i zapošljavanje osoba s invaliditetom je provođenje aktivne politike zapošljavanja i profesionalne rehabilitacije osoba s invaliditetom (u daljnjem tekstu: OSI). Temeljni cilj je u skladu s Nacionalnom strategijom izjednačavanja mogućnosti za osobe s invaliditetom od 2007. do 2015. godine koju je donijela Vlada Republike Hrvatske („Narodne novine“63/07) kojom su utvrđeni osnovni zadaci : </w:t>
      </w:r>
    </w:p>
    <w:p w:rsidR="00AC0832" w:rsidRDefault="00AC0832">
      <w:pPr>
        <w:pStyle w:val="Normal3"/>
      </w:pPr>
      <w:r>
        <w:t xml:space="preserve">-provedba  primjene postojeće zakonske regulative i aktivne politike u području rehabilitacije i zapošljavanja osoba s invaliditetom, </w:t>
      </w:r>
    </w:p>
    <w:p w:rsidR="00AC0832" w:rsidRDefault="00AC0832">
      <w:pPr>
        <w:pStyle w:val="Normal3"/>
      </w:pPr>
      <w:r>
        <w:t xml:space="preserve">-osnivanje regionalnih centara za profesionalnu rehabilitaciju i radnih centara i virtualnih radionica, </w:t>
      </w:r>
    </w:p>
    <w:p w:rsidR="00AC0832" w:rsidRDefault="00AC0832">
      <w:pPr>
        <w:pStyle w:val="Normal3"/>
      </w:pPr>
      <w:r>
        <w:t xml:space="preserve">-senzibiliziranje poslodavaca te  poticanje na zapošljavanje osoba s invaliditetom, </w:t>
      </w:r>
    </w:p>
    <w:p w:rsidR="00AC0832" w:rsidRDefault="00AC0832">
      <w:pPr>
        <w:pStyle w:val="Normal3"/>
      </w:pPr>
      <w:r>
        <w:t xml:space="preserve">-osiguravanje učinkovitih mjera za poticanje samozapošljavanja i odgovarajućih oblika zapošljavanja, </w:t>
      </w:r>
    </w:p>
    <w:p w:rsidR="00AC0832" w:rsidRDefault="00AC0832">
      <w:pPr>
        <w:pStyle w:val="Normal3"/>
      </w:pPr>
      <w:r>
        <w:t>-utvrđivanje modela pri zapošljavanju osoba s invaliditetom koje se ne mogu zaposliti na otvorenom tržištu rada bez podrške i osiguravanje mjera provođenja podrške pri zapošljavanju.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08630-Fond za profesionalnu rehabilitaciju i zapošljavanje osoba s invaliditetom</w:t>
            </w:r>
          </w:p>
        </w:tc>
        <w:tc>
          <w:tcPr>
            <w:tcW w:w="2322" w:type="dxa"/>
          </w:tcPr>
          <w:p w:rsidR="00AC0832" w:rsidRDefault="00AC0832">
            <w:pPr>
              <w:pStyle w:val="CellColumn"/>
            </w:pPr>
            <w:r>
              <w:t>52.575.000</w:t>
            </w:r>
          </w:p>
        </w:tc>
        <w:tc>
          <w:tcPr>
            <w:tcW w:w="2322" w:type="dxa"/>
          </w:tcPr>
          <w:p w:rsidR="00AC0832" w:rsidRDefault="00AC0832">
            <w:pPr>
              <w:pStyle w:val="CellColumn"/>
            </w:pPr>
            <w:r>
              <w:t>47.347.841</w:t>
            </w:r>
          </w:p>
        </w:tc>
        <w:tc>
          <w:tcPr>
            <w:tcW w:w="2322" w:type="dxa"/>
          </w:tcPr>
          <w:p w:rsidR="00AC0832" w:rsidRDefault="00AC0832">
            <w:pPr>
              <w:pStyle w:val="CellColumn"/>
            </w:pPr>
            <w:r>
              <w:t>90,1</w:t>
            </w:r>
          </w:p>
        </w:tc>
      </w:tr>
      <w:tr w:rsidR="00AC0832" w:rsidTr="00BE20ED">
        <w:trPr>
          <w:jc w:val="center"/>
        </w:trPr>
        <w:tc>
          <w:tcPr>
            <w:tcW w:w="2322" w:type="dxa"/>
          </w:tcPr>
          <w:p w:rsidR="00AC0832" w:rsidRDefault="00AC0832">
            <w:pPr>
              <w:pStyle w:val="CellColumnSmall"/>
            </w:pPr>
            <w:r>
              <w:t>3301-AKTIVNA POLITIKA TRŽIŠTA RADA</w:t>
            </w:r>
          </w:p>
        </w:tc>
        <w:tc>
          <w:tcPr>
            <w:tcW w:w="2322" w:type="dxa"/>
          </w:tcPr>
          <w:p w:rsidR="00AC0832" w:rsidRDefault="00AC0832">
            <w:pPr>
              <w:pStyle w:val="CellColumnSmall"/>
            </w:pPr>
            <w:r>
              <w:t>52.575.000</w:t>
            </w:r>
          </w:p>
        </w:tc>
        <w:tc>
          <w:tcPr>
            <w:tcW w:w="2322" w:type="dxa"/>
          </w:tcPr>
          <w:p w:rsidR="00AC0832" w:rsidRDefault="00AC0832">
            <w:pPr>
              <w:pStyle w:val="CellColumnSmall"/>
            </w:pPr>
            <w:r>
              <w:t>47.347.841</w:t>
            </w:r>
          </w:p>
        </w:tc>
        <w:tc>
          <w:tcPr>
            <w:tcW w:w="2322" w:type="dxa"/>
          </w:tcPr>
          <w:p w:rsidR="00AC0832" w:rsidRDefault="00AC0832">
            <w:pPr>
              <w:pStyle w:val="CellColumnSmall"/>
            </w:pPr>
            <w:r>
              <w:t>90,1</w:t>
            </w:r>
          </w:p>
        </w:tc>
      </w:tr>
    </w:tbl>
    <w:p w:rsidR="00AC0832" w:rsidRDefault="00AC0832">
      <w:pPr>
        <w:jc w:val="left"/>
      </w:pPr>
    </w:p>
    <w:p w:rsidR="00AC0832" w:rsidRDefault="00AC0832">
      <w:pPr>
        <w:pStyle w:val="Heading4"/>
      </w:pPr>
      <w:r>
        <w:t>OBRAZLOŽENJE PROGRAMA</w:t>
      </w:r>
    </w:p>
    <w:p w:rsidR="00AC0832" w:rsidRDefault="00AC0832">
      <w:pPr>
        <w:pStyle w:val="Heading5"/>
      </w:pPr>
      <w:r>
        <w:t>3301 AKTIVNA POLITIKA TRŽIŠTA RADA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3301-AKTIVNA POLITIKA TRŽIŠTA RADA</w:t>
            </w:r>
          </w:p>
        </w:tc>
        <w:tc>
          <w:tcPr>
            <w:tcW w:w="2322" w:type="dxa"/>
          </w:tcPr>
          <w:p w:rsidR="00AC0832" w:rsidRDefault="00AC0832">
            <w:pPr>
              <w:pStyle w:val="CellColumn"/>
            </w:pPr>
            <w:r>
              <w:t>52.575.000</w:t>
            </w:r>
          </w:p>
        </w:tc>
        <w:tc>
          <w:tcPr>
            <w:tcW w:w="2322" w:type="dxa"/>
          </w:tcPr>
          <w:p w:rsidR="00AC0832" w:rsidRDefault="00AC0832">
            <w:pPr>
              <w:pStyle w:val="CellColumn"/>
            </w:pPr>
            <w:r>
              <w:t>47.347.841</w:t>
            </w:r>
          </w:p>
        </w:tc>
        <w:tc>
          <w:tcPr>
            <w:tcW w:w="2322" w:type="dxa"/>
          </w:tcPr>
          <w:p w:rsidR="00AC0832" w:rsidRDefault="00AC0832">
            <w:pPr>
              <w:pStyle w:val="CellColumn"/>
            </w:pPr>
            <w:r>
              <w:t>90,1</w:t>
            </w:r>
          </w:p>
        </w:tc>
      </w:tr>
    </w:tbl>
    <w:p w:rsidR="00AC0832" w:rsidRDefault="00AC0832">
      <w:pPr>
        <w:jc w:val="left"/>
      </w:pPr>
    </w:p>
    <w:p w:rsidR="00AC0832" w:rsidRDefault="00AC0832">
      <w:pPr>
        <w:pStyle w:val="Heading6"/>
      </w:pPr>
      <w:r>
        <w:t>Opis programa</w:t>
      </w:r>
    </w:p>
    <w:p w:rsidR="00AC0832" w:rsidRDefault="00AC0832">
      <w:pPr>
        <w:pStyle w:val="Normal5"/>
      </w:pPr>
      <w:r>
        <w:t>Ispunjavanje zadaća iz Zakona o profesionalnoj rehabilitaciji i zapošljavanju osoba s invaliditetom, ispunjavanje ciljeva Nacionalne strategije izjednačavanja mogućnosti za osobe s invaliditetom, putem aktivnog sudjelovanja u razvoju učinkovitog sustava profesionalne rehabilitacije i održivog uključivanja osoba s invaliditetom na otvoreno tržište rada, prilagođenom tržištu rada i potrebama osoba s invaliditetom.</w:t>
      </w:r>
    </w:p>
    <w:p w:rsidR="00AC0832" w:rsidRDefault="00AC0832">
      <w:pPr>
        <w:pStyle w:val="Heading6"/>
      </w:pPr>
      <w:r>
        <w:t>Zakonske i druge pravne osnove</w:t>
      </w:r>
    </w:p>
    <w:p w:rsidR="00AC0832" w:rsidRDefault="00AC0832">
      <w:pPr>
        <w:pStyle w:val="Normal5"/>
      </w:pPr>
      <w:r>
        <w:t>Zakon o profesionalnoj rehabilitaciji i zapošljavanju osoba s invaliditetom ( NN 143/02, NN 33/05 ).</w:t>
      </w:r>
    </w:p>
    <w:p w:rsidR="00AC0832" w:rsidRDefault="00AC0832">
      <w:pPr>
        <w:pStyle w:val="Heading7"/>
      </w:pPr>
      <w:r>
        <w:t>Cilj 1. Opći cilj1. Uključivanje osoba s invaliditetom na tržište rada</w:t>
      </w:r>
    </w:p>
    <w:p w:rsidR="00AC0832" w:rsidRDefault="00AC0832">
      <w:pPr>
        <w:pStyle w:val="Heading8"/>
        <w:jc w:val="left"/>
      </w:pPr>
      <w:r>
        <w:t>Opis provedbe cilja programa</w:t>
      </w:r>
    </w:p>
    <w:p w:rsidR="00AC0832" w:rsidRDefault="00AC0832">
      <w:pPr>
        <w:pStyle w:val="Normal6"/>
      </w:pPr>
      <w:r>
        <w:t xml:space="preserve">Fond je kroz svoje aktivnosti kontinuirano radio na omogućavanju i poboljšavanju uvjeta za aktivno uključivanje osoba s invaliditetom na otvoreno tržište rada.  </w:t>
      </w:r>
    </w:p>
    <w:p w:rsidR="00AC0832" w:rsidRDefault="00AC0832">
      <w:pPr>
        <w:pStyle w:val="Normal6"/>
      </w:pPr>
      <w:r>
        <w:t xml:space="preserve">Sukladno Zakonu o profesionalnoj rehabilitaciji i zapošljavanju osoba s invaliditetom,  Nacionalnoj strategiji izjednačavanja mogućnosti za osobe s invaliditetom za razdoblje 2007-2015., Mjerama nacionalnog plana za poticanje zapošljavanja za razdoblje 2011-2012. i Provedbenog plana za socijalno uključivanje za razdoblje 2011-2012., Fond je u 2012. godini s ciljem održavanja zapošljivosti i poticanja novog zapošljavanja isplatio novčane poticaje za 378 poslodavaca koji su ostvarili poticaje za 1297 osoba s invaliditetom, što znači da je povećan i broj poslodavaca i broj osoba s invaliditetom u odnosu na 2011. godinu kada je bilo 352 poslodavca koji su ostvarili poticaje za 1267 osoba s invaliditetom.  </w:t>
      </w:r>
    </w:p>
    <w:p w:rsidR="00AC0832" w:rsidRDefault="00AC0832">
      <w:pPr>
        <w:pStyle w:val="Normal6"/>
      </w:pPr>
      <w:r>
        <w:t xml:space="preserve">U ukupnom broju osoba s invaliditetom u 2012. je bilo 116 novozaposlenih osoba s invaliditetom za koje su poslodavci ostvarili poticaje. </w:t>
      </w:r>
    </w:p>
    <w:p w:rsidR="00AC0832" w:rsidRDefault="00AC0832">
      <w:pPr>
        <w:pStyle w:val="Normal6"/>
      </w:pPr>
      <w:r>
        <w:t xml:space="preserve">Napomena:  </w:t>
      </w:r>
    </w:p>
    <w:p w:rsidR="00AC0832" w:rsidRDefault="00AC0832">
      <w:pPr>
        <w:pStyle w:val="Normal6"/>
      </w:pPr>
      <w:r>
        <w:t>U tablici Pokazatelji učinka na pozicijama Polazana vrijednost i Ciljana vrijednost, evidentirani su podaci iz 2010. godine. Kako je zbog učinka sve veće gospodarske krize, Fond 2009. i 2010. godine doni dopune i izmjene Odluke o načinu ostvarivanja poticaja pri zapošljavanju osoba s invaliditetom, po kojoj su iz prava na ostvarenje poticaja Fonda izuzeti poslodavci obveznici kvotnog zapošljavanja i veliki poslodavci, došlo je do smanjenja broja korisnika prava na poticaje u 2011. godini, te postupnog povećanja u 2012. godini.</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2"/>
        <w:gridCol w:w="1286"/>
        <w:gridCol w:w="1283"/>
        <w:gridCol w:w="1289"/>
        <w:gridCol w:w="1287"/>
        <w:gridCol w:w="1289"/>
        <w:gridCol w:w="129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1.1.Provođenje aktivne politike zapošljavanja OSI na tržištu rada</w:t>
            </w:r>
          </w:p>
        </w:tc>
        <w:tc>
          <w:tcPr>
            <w:tcW w:w="1300" w:type="dxa"/>
          </w:tcPr>
          <w:p w:rsidR="00AC0832" w:rsidRDefault="00AC0832">
            <w:pPr>
              <w:pStyle w:val="CellColumn"/>
            </w:pPr>
            <w:r>
              <w:t>Broj OSI za koje su se koristili poticaji</w:t>
            </w:r>
          </w:p>
        </w:tc>
        <w:tc>
          <w:tcPr>
            <w:tcW w:w="1300" w:type="dxa"/>
          </w:tcPr>
          <w:p w:rsidR="00AC0832" w:rsidRDefault="00AC0832">
            <w:pPr>
              <w:pStyle w:val="CellColumn"/>
            </w:pPr>
            <w:r>
              <w:t>Broj</w:t>
            </w:r>
          </w:p>
        </w:tc>
        <w:tc>
          <w:tcPr>
            <w:tcW w:w="1300" w:type="dxa"/>
          </w:tcPr>
          <w:p w:rsidR="00AC0832" w:rsidRDefault="00AC0832">
            <w:pPr>
              <w:pStyle w:val="CellColumn"/>
            </w:pPr>
            <w:r>
              <w:t>2450</w:t>
            </w:r>
          </w:p>
        </w:tc>
        <w:tc>
          <w:tcPr>
            <w:tcW w:w="1300" w:type="dxa"/>
          </w:tcPr>
          <w:p w:rsidR="00AC0832" w:rsidRDefault="00AC0832">
            <w:pPr>
              <w:pStyle w:val="CellColumn"/>
            </w:pPr>
            <w:r>
              <w:t>Fond</w:t>
            </w:r>
          </w:p>
        </w:tc>
        <w:tc>
          <w:tcPr>
            <w:tcW w:w="1300" w:type="dxa"/>
          </w:tcPr>
          <w:p w:rsidR="00AC0832" w:rsidRDefault="00AC0832">
            <w:pPr>
              <w:pStyle w:val="CellColumn"/>
            </w:pPr>
            <w:r>
              <w:t>2550</w:t>
            </w:r>
          </w:p>
        </w:tc>
        <w:tc>
          <w:tcPr>
            <w:tcW w:w="1300" w:type="dxa"/>
          </w:tcPr>
          <w:p w:rsidR="00AC0832" w:rsidRDefault="00AC0832">
            <w:pPr>
              <w:pStyle w:val="CellColumn"/>
            </w:pPr>
            <w:r>
              <w:t>1297</w:t>
            </w:r>
          </w:p>
        </w:tc>
      </w:tr>
    </w:tbl>
    <w:p w:rsidR="00AC0832" w:rsidRDefault="00AC0832">
      <w:pPr>
        <w:jc w:val="left"/>
      </w:pPr>
    </w:p>
    <w:p w:rsidR="00AC0832" w:rsidRDefault="00AC0832">
      <w:pPr>
        <w:pStyle w:val="Heading7"/>
      </w:pPr>
      <w:r>
        <w:t>Cilj 2. Posebni cilj 1.1. Provođenje aktivne politike zapošljavanja osoba s invaliditetom na tržište rada</w:t>
      </w:r>
    </w:p>
    <w:p w:rsidR="00AC0832" w:rsidRDefault="00AC0832">
      <w:pPr>
        <w:pStyle w:val="Heading8"/>
        <w:jc w:val="left"/>
      </w:pPr>
      <w:r>
        <w:t>Opis provedbe cilja programa</w:t>
      </w:r>
    </w:p>
    <w:p w:rsidR="00AC0832" w:rsidRDefault="00AC0832">
      <w:pPr>
        <w:pStyle w:val="Normal6"/>
      </w:pPr>
      <w:r>
        <w:t xml:space="preserve">Temeljem Odluke o načinu ostvarivanja poticaja pri zapošljavanju osoba s invaliditetom, Fond je u 2012. godini isplatio poticaje za 378 poslodavaca koji zapošljavaju 1297 osoba s invaliditetom.  </w:t>
      </w:r>
    </w:p>
    <w:p w:rsidR="00AC0832" w:rsidRDefault="00AC0832">
      <w:pPr>
        <w:pStyle w:val="Normal6"/>
      </w:pPr>
      <w:r>
        <w:t xml:space="preserve">Osim isplate poticaja, Fond je kontinuirano, provođenjem aktivne politike zapošljavanja osoba s invaliditetom na tržištu rada, sudjelovao na 12 TV i radio emisija, te 15 skupova koji su se bavili promicanjem zapošljavanja osoba s invaliditetom i senzibilizacijom poslodavca da zapošljavaju osobe s invaliditetom.  </w:t>
      </w:r>
    </w:p>
    <w:p w:rsidR="00AC0832" w:rsidRDefault="00AC0832">
      <w:pPr>
        <w:pStyle w:val="Normal6"/>
      </w:pPr>
      <w:r>
        <w:t>U tu svrhu je Fond tiskao 1000 komada promotivnog materijala (informativnih letaka o poticajima Fonda).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2"/>
        <w:gridCol w:w="1506"/>
        <w:gridCol w:w="1202"/>
        <w:gridCol w:w="1227"/>
        <w:gridCol w:w="1216"/>
        <w:gridCol w:w="1227"/>
        <w:gridCol w:w="124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1.1.1.1.Broj poslodavaca korisnika državnih poticaja</w:t>
            </w:r>
          </w:p>
        </w:tc>
        <w:tc>
          <w:tcPr>
            <w:tcW w:w="1300" w:type="dxa"/>
          </w:tcPr>
          <w:p w:rsidR="00AC0832" w:rsidRDefault="00AC0832">
            <w:pPr>
              <w:pStyle w:val="CellColumn"/>
            </w:pPr>
            <w:r>
              <w:t>Veći broj poslodavaca povećati će mogućnosti zapošljavanja osoba s invaliditetom</w:t>
            </w:r>
          </w:p>
        </w:tc>
        <w:tc>
          <w:tcPr>
            <w:tcW w:w="1300" w:type="dxa"/>
          </w:tcPr>
          <w:p w:rsidR="00AC0832" w:rsidRDefault="00AC0832">
            <w:pPr>
              <w:pStyle w:val="CellColumn"/>
            </w:pPr>
            <w:r>
              <w:t>Broj</w:t>
            </w:r>
          </w:p>
        </w:tc>
        <w:tc>
          <w:tcPr>
            <w:tcW w:w="1300" w:type="dxa"/>
          </w:tcPr>
          <w:p w:rsidR="00AC0832" w:rsidRDefault="00AC0832">
            <w:pPr>
              <w:pStyle w:val="CellColumn"/>
            </w:pPr>
            <w:r>
              <w:t>391</w:t>
            </w:r>
          </w:p>
        </w:tc>
        <w:tc>
          <w:tcPr>
            <w:tcW w:w="1300" w:type="dxa"/>
          </w:tcPr>
          <w:p w:rsidR="00AC0832" w:rsidRDefault="00AC0832">
            <w:pPr>
              <w:pStyle w:val="CellColumn"/>
            </w:pPr>
            <w:r>
              <w:t>Fond</w:t>
            </w:r>
          </w:p>
        </w:tc>
        <w:tc>
          <w:tcPr>
            <w:tcW w:w="1300" w:type="dxa"/>
          </w:tcPr>
          <w:p w:rsidR="00AC0832" w:rsidRDefault="00AC0832">
            <w:pPr>
              <w:pStyle w:val="CellColumn"/>
            </w:pPr>
            <w:r>
              <w:t>420</w:t>
            </w:r>
          </w:p>
        </w:tc>
        <w:tc>
          <w:tcPr>
            <w:tcW w:w="1300" w:type="dxa"/>
          </w:tcPr>
          <w:p w:rsidR="00AC0832" w:rsidRDefault="00AC0832">
            <w:pPr>
              <w:pStyle w:val="CellColumn"/>
            </w:pPr>
            <w:r>
              <w:t>378</w:t>
            </w:r>
          </w:p>
        </w:tc>
      </w:tr>
      <w:tr w:rsidR="00AC0832" w:rsidTr="00BE20ED">
        <w:trPr>
          <w:jc w:val="center"/>
        </w:trPr>
        <w:tc>
          <w:tcPr>
            <w:tcW w:w="1300" w:type="dxa"/>
          </w:tcPr>
          <w:p w:rsidR="00AC0832" w:rsidRDefault="00AC0832">
            <w:pPr>
              <w:pStyle w:val="CellColumn"/>
            </w:pPr>
            <w:r>
              <w:t>1.1.1.2.Broj zaposlenih osoba s invaliditetom za koje poslodavci koriste poticaje</w:t>
            </w:r>
          </w:p>
        </w:tc>
        <w:tc>
          <w:tcPr>
            <w:tcW w:w="1300" w:type="dxa"/>
          </w:tcPr>
          <w:p w:rsidR="00AC0832" w:rsidRDefault="00AC0832">
            <w:pPr>
              <w:pStyle w:val="CellColumn"/>
            </w:pPr>
            <w:r>
              <w:t>Veći broj zaposlenih osoba s invaliditetom smanjuje nezaposlenost</w:t>
            </w:r>
          </w:p>
        </w:tc>
        <w:tc>
          <w:tcPr>
            <w:tcW w:w="1300" w:type="dxa"/>
          </w:tcPr>
          <w:p w:rsidR="00AC0832" w:rsidRDefault="00AC0832">
            <w:pPr>
              <w:pStyle w:val="CellColumn"/>
            </w:pPr>
            <w:r>
              <w:t>Broj</w:t>
            </w:r>
          </w:p>
        </w:tc>
        <w:tc>
          <w:tcPr>
            <w:tcW w:w="1300" w:type="dxa"/>
          </w:tcPr>
          <w:p w:rsidR="00AC0832" w:rsidRDefault="00AC0832">
            <w:pPr>
              <w:pStyle w:val="CellColumn"/>
            </w:pPr>
            <w:r>
              <w:t>2450</w:t>
            </w:r>
          </w:p>
        </w:tc>
        <w:tc>
          <w:tcPr>
            <w:tcW w:w="1300" w:type="dxa"/>
          </w:tcPr>
          <w:p w:rsidR="00AC0832" w:rsidRDefault="00AC0832">
            <w:pPr>
              <w:pStyle w:val="CellColumn"/>
            </w:pPr>
            <w:r>
              <w:t>Fond</w:t>
            </w:r>
          </w:p>
        </w:tc>
        <w:tc>
          <w:tcPr>
            <w:tcW w:w="1300" w:type="dxa"/>
          </w:tcPr>
          <w:p w:rsidR="00AC0832" w:rsidRDefault="00AC0832">
            <w:pPr>
              <w:pStyle w:val="CellColumn"/>
            </w:pPr>
            <w:r>
              <w:t>2550</w:t>
            </w:r>
          </w:p>
        </w:tc>
        <w:tc>
          <w:tcPr>
            <w:tcW w:w="1300" w:type="dxa"/>
          </w:tcPr>
          <w:p w:rsidR="00AC0832" w:rsidRDefault="00AC0832">
            <w:pPr>
              <w:pStyle w:val="CellColumn"/>
            </w:pPr>
            <w:r>
              <w:t>1297</w:t>
            </w:r>
          </w:p>
        </w:tc>
      </w:tr>
      <w:tr w:rsidR="00AC0832" w:rsidTr="00BE20ED">
        <w:trPr>
          <w:jc w:val="center"/>
        </w:trPr>
        <w:tc>
          <w:tcPr>
            <w:tcW w:w="1300" w:type="dxa"/>
          </w:tcPr>
          <w:p w:rsidR="00AC0832" w:rsidRDefault="00AC0832">
            <w:pPr>
              <w:pStyle w:val="CellColumn"/>
            </w:pPr>
            <w:r>
              <w:t>1.1.2.1.Broj tiskanih materijala za poslodavce</w:t>
            </w:r>
          </w:p>
        </w:tc>
        <w:tc>
          <w:tcPr>
            <w:tcW w:w="1300" w:type="dxa"/>
          </w:tcPr>
          <w:p w:rsidR="00AC0832" w:rsidRDefault="00AC0832">
            <w:pPr>
              <w:pStyle w:val="CellColumn"/>
            </w:pPr>
            <w:r>
              <w:t>Tiskanim materijalima se poslodavcima prikazuju vrste poticaja</w:t>
            </w:r>
          </w:p>
        </w:tc>
        <w:tc>
          <w:tcPr>
            <w:tcW w:w="1300" w:type="dxa"/>
          </w:tcPr>
          <w:p w:rsidR="00AC0832" w:rsidRDefault="00AC0832">
            <w:pPr>
              <w:pStyle w:val="CellColumn"/>
            </w:pPr>
            <w:r>
              <w:t>Broj</w:t>
            </w:r>
          </w:p>
        </w:tc>
        <w:tc>
          <w:tcPr>
            <w:tcW w:w="1300" w:type="dxa"/>
          </w:tcPr>
          <w:p w:rsidR="00AC0832" w:rsidRDefault="00AC0832">
            <w:pPr>
              <w:pStyle w:val="CellColumn"/>
            </w:pPr>
            <w:r>
              <w:t>500</w:t>
            </w:r>
          </w:p>
        </w:tc>
        <w:tc>
          <w:tcPr>
            <w:tcW w:w="1300" w:type="dxa"/>
          </w:tcPr>
          <w:p w:rsidR="00AC0832" w:rsidRDefault="00AC0832">
            <w:pPr>
              <w:pStyle w:val="CellColumn"/>
            </w:pPr>
            <w:r>
              <w:t>Fond</w:t>
            </w:r>
          </w:p>
        </w:tc>
        <w:tc>
          <w:tcPr>
            <w:tcW w:w="1300" w:type="dxa"/>
          </w:tcPr>
          <w:p w:rsidR="00AC0832" w:rsidRDefault="00AC0832">
            <w:pPr>
              <w:pStyle w:val="CellColumn"/>
            </w:pPr>
            <w:r>
              <w:t>1000</w:t>
            </w:r>
          </w:p>
        </w:tc>
        <w:tc>
          <w:tcPr>
            <w:tcW w:w="1300" w:type="dxa"/>
          </w:tcPr>
          <w:p w:rsidR="00AC0832" w:rsidRDefault="00AC0832">
            <w:pPr>
              <w:pStyle w:val="CellColumn"/>
            </w:pPr>
            <w:r>
              <w:t>1000</w:t>
            </w:r>
          </w:p>
        </w:tc>
      </w:tr>
      <w:tr w:rsidR="00AC0832" w:rsidTr="00BE20ED">
        <w:trPr>
          <w:jc w:val="center"/>
        </w:trPr>
        <w:tc>
          <w:tcPr>
            <w:tcW w:w="1300" w:type="dxa"/>
          </w:tcPr>
          <w:p w:rsidR="00AC0832" w:rsidRDefault="00AC0832">
            <w:pPr>
              <w:pStyle w:val="CellColumn"/>
            </w:pPr>
            <w:r>
              <w:t>1.1.2.2.Broj TV i radio emisija</w:t>
            </w:r>
          </w:p>
        </w:tc>
        <w:tc>
          <w:tcPr>
            <w:tcW w:w="1300" w:type="dxa"/>
          </w:tcPr>
          <w:p w:rsidR="00AC0832" w:rsidRDefault="00AC0832">
            <w:pPr>
              <w:pStyle w:val="CellColumn"/>
            </w:pPr>
            <w:r>
              <w:t>Radio i TV su mediji koji uz internet najlakše prenose informacije</w:t>
            </w:r>
          </w:p>
        </w:tc>
        <w:tc>
          <w:tcPr>
            <w:tcW w:w="1300" w:type="dxa"/>
          </w:tcPr>
          <w:p w:rsidR="00AC0832" w:rsidRDefault="00AC0832">
            <w:pPr>
              <w:pStyle w:val="CellColumn"/>
            </w:pPr>
            <w:r>
              <w:t>Broj</w:t>
            </w:r>
          </w:p>
        </w:tc>
        <w:tc>
          <w:tcPr>
            <w:tcW w:w="1300" w:type="dxa"/>
          </w:tcPr>
          <w:p w:rsidR="00AC0832" w:rsidRDefault="00AC0832">
            <w:pPr>
              <w:pStyle w:val="CellColumn"/>
            </w:pPr>
            <w:r>
              <w:t>10</w:t>
            </w:r>
          </w:p>
        </w:tc>
        <w:tc>
          <w:tcPr>
            <w:tcW w:w="1300" w:type="dxa"/>
          </w:tcPr>
          <w:p w:rsidR="00AC0832" w:rsidRDefault="00AC0832">
            <w:pPr>
              <w:pStyle w:val="CellColumn"/>
            </w:pPr>
            <w:r>
              <w:t>Fond</w:t>
            </w:r>
          </w:p>
        </w:tc>
        <w:tc>
          <w:tcPr>
            <w:tcW w:w="1300" w:type="dxa"/>
          </w:tcPr>
          <w:p w:rsidR="00AC0832" w:rsidRDefault="00AC0832">
            <w:pPr>
              <w:pStyle w:val="CellColumn"/>
            </w:pPr>
            <w:r>
              <w:t>12</w:t>
            </w:r>
          </w:p>
        </w:tc>
        <w:tc>
          <w:tcPr>
            <w:tcW w:w="1300" w:type="dxa"/>
          </w:tcPr>
          <w:p w:rsidR="00AC0832" w:rsidRDefault="00AC0832">
            <w:pPr>
              <w:pStyle w:val="CellColumn"/>
            </w:pPr>
            <w:r>
              <w:t>12</w:t>
            </w:r>
          </w:p>
        </w:tc>
      </w:tr>
      <w:tr w:rsidR="00AC0832" w:rsidTr="00BE20ED">
        <w:trPr>
          <w:jc w:val="center"/>
        </w:trPr>
        <w:tc>
          <w:tcPr>
            <w:tcW w:w="1300" w:type="dxa"/>
          </w:tcPr>
          <w:p w:rsidR="00AC0832" w:rsidRDefault="00AC0832">
            <w:pPr>
              <w:pStyle w:val="CellColumn"/>
            </w:pPr>
            <w:r>
              <w:t>1.1.2.3.Broj sudjelovanja na stručnim skupovima</w:t>
            </w:r>
          </w:p>
        </w:tc>
        <w:tc>
          <w:tcPr>
            <w:tcW w:w="1300" w:type="dxa"/>
          </w:tcPr>
          <w:p w:rsidR="00AC0832" w:rsidRDefault="00AC0832">
            <w:pPr>
              <w:pStyle w:val="CellColumn"/>
            </w:pPr>
            <w:r>
              <w:t>Sudjelovanje na stručnim skupovima zajedno s poslodavcima razvijaju se potrebe za osobe s invaliditetom na tržištu rada</w:t>
            </w:r>
          </w:p>
        </w:tc>
        <w:tc>
          <w:tcPr>
            <w:tcW w:w="1300" w:type="dxa"/>
          </w:tcPr>
          <w:p w:rsidR="00AC0832" w:rsidRDefault="00AC0832">
            <w:pPr>
              <w:pStyle w:val="CellColumn"/>
            </w:pPr>
            <w:r>
              <w:t>Broj</w:t>
            </w:r>
          </w:p>
        </w:tc>
        <w:tc>
          <w:tcPr>
            <w:tcW w:w="1300" w:type="dxa"/>
          </w:tcPr>
          <w:p w:rsidR="00AC0832" w:rsidRDefault="00AC0832">
            <w:pPr>
              <w:pStyle w:val="CellColumn"/>
            </w:pPr>
            <w:r>
              <w:t>9</w:t>
            </w:r>
          </w:p>
        </w:tc>
        <w:tc>
          <w:tcPr>
            <w:tcW w:w="1300" w:type="dxa"/>
          </w:tcPr>
          <w:p w:rsidR="00AC0832" w:rsidRDefault="00AC0832">
            <w:pPr>
              <w:pStyle w:val="CellColumn"/>
            </w:pPr>
            <w:r>
              <w:t>Fond</w:t>
            </w:r>
          </w:p>
        </w:tc>
        <w:tc>
          <w:tcPr>
            <w:tcW w:w="1300" w:type="dxa"/>
          </w:tcPr>
          <w:p w:rsidR="00AC0832" w:rsidRDefault="00AC0832">
            <w:pPr>
              <w:pStyle w:val="CellColumn"/>
            </w:pPr>
            <w:r>
              <w:t>11</w:t>
            </w:r>
          </w:p>
        </w:tc>
        <w:tc>
          <w:tcPr>
            <w:tcW w:w="1300" w:type="dxa"/>
          </w:tcPr>
          <w:p w:rsidR="00AC0832" w:rsidRDefault="00AC0832">
            <w:pPr>
              <w:pStyle w:val="CellColumn"/>
            </w:pPr>
            <w:r>
              <w:t>15</w:t>
            </w:r>
          </w:p>
        </w:tc>
      </w:tr>
      <w:tr w:rsidR="00AC0832" w:rsidTr="00BE20ED">
        <w:trPr>
          <w:jc w:val="center"/>
        </w:trPr>
        <w:tc>
          <w:tcPr>
            <w:tcW w:w="1300" w:type="dxa"/>
          </w:tcPr>
          <w:p w:rsidR="00AC0832" w:rsidRDefault="00AC0832">
            <w:pPr>
              <w:pStyle w:val="CellColumn"/>
            </w:pPr>
            <w:r>
              <w:t>1.1.3.1.Postotak izvršenih kontrola s obzirom na pristigle zahtjeve</w:t>
            </w:r>
          </w:p>
        </w:tc>
        <w:tc>
          <w:tcPr>
            <w:tcW w:w="1300" w:type="dxa"/>
          </w:tcPr>
          <w:p w:rsidR="00AC0832" w:rsidRDefault="00AC0832">
            <w:pPr>
              <w:pStyle w:val="CellColumn"/>
            </w:pPr>
            <w:r>
              <w:t>Kontrolom poslodavaca se vrši uvid u opravdanost dodjeljenih poticaja</w:t>
            </w:r>
          </w:p>
        </w:tc>
        <w:tc>
          <w:tcPr>
            <w:tcW w:w="1300" w:type="dxa"/>
          </w:tcPr>
          <w:p w:rsidR="00AC0832" w:rsidRDefault="00AC0832">
            <w:pPr>
              <w:pStyle w:val="CellColumn"/>
            </w:pPr>
            <w:r>
              <w:t>Postotak</w:t>
            </w:r>
          </w:p>
        </w:tc>
        <w:tc>
          <w:tcPr>
            <w:tcW w:w="1300" w:type="dxa"/>
          </w:tcPr>
          <w:p w:rsidR="00AC0832" w:rsidRDefault="00AC0832">
            <w:pPr>
              <w:pStyle w:val="CellColumn"/>
            </w:pPr>
            <w:r>
              <w:t>100</w:t>
            </w:r>
          </w:p>
        </w:tc>
        <w:tc>
          <w:tcPr>
            <w:tcW w:w="1300" w:type="dxa"/>
          </w:tcPr>
          <w:p w:rsidR="00AC0832" w:rsidRDefault="00AC0832">
            <w:pPr>
              <w:pStyle w:val="CellColumn"/>
            </w:pPr>
            <w:r>
              <w:t>Fond</w:t>
            </w:r>
          </w:p>
        </w:tc>
        <w:tc>
          <w:tcPr>
            <w:tcW w:w="1300" w:type="dxa"/>
          </w:tcPr>
          <w:p w:rsidR="00AC0832" w:rsidRDefault="00AC0832">
            <w:pPr>
              <w:pStyle w:val="CellColumn"/>
            </w:pPr>
            <w:r>
              <w:t>100</w:t>
            </w:r>
          </w:p>
        </w:tc>
        <w:tc>
          <w:tcPr>
            <w:tcW w:w="1300" w:type="dxa"/>
          </w:tcPr>
          <w:p w:rsidR="00AC0832" w:rsidRDefault="00AC0832">
            <w:pPr>
              <w:pStyle w:val="CellColumn"/>
            </w:pPr>
            <w:r>
              <w:t>100</w:t>
            </w:r>
          </w:p>
        </w:tc>
      </w:tr>
    </w:tbl>
    <w:p w:rsidR="00AC0832" w:rsidRDefault="00AC0832">
      <w:pPr>
        <w:jc w:val="left"/>
      </w:pPr>
    </w:p>
    <w:p w:rsidR="00AC0832" w:rsidRDefault="00AC0832">
      <w:pPr>
        <w:pStyle w:val="Heading7"/>
      </w:pPr>
      <w:r>
        <w:t>Cilj 3. Posebni cilj 1.2. Unapređenje mjera profesionalne rehabilitacije</w:t>
      </w:r>
    </w:p>
    <w:p w:rsidR="00AC0832" w:rsidRDefault="00AC0832">
      <w:pPr>
        <w:pStyle w:val="Heading8"/>
        <w:jc w:val="left"/>
      </w:pPr>
      <w:r>
        <w:t>Opis provedbe cilja programa</w:t>
      </w:r>
    </w:p>
    <w:p w:rsidR="00AC0832" w:rsidRDefault="00AC0832">
      <w:pPr>
        <w:pStyle w:val="Normal6"/>
      </w:pPr>
      <w:r>
        <w:t xml:space="preserve">Unaprjeđivanjem sustava profesionalne rehabilitacije, poticaji bi se usmjeravali na najteže zapošljive skupine osoba s invaliditetom. Kako bi se to postiglo, potrebno je unaprijediti sustav profesionalne rehabilitacije, na način da se osigura dobra procjena radnih sposobnosti osoba s invaliditetom, te kvalitetno obrazovanje, prekvalifikacija i osposobljavanje usklađeno sa potrebama tržišta rada, te bržu prilagodljivost potrebama tržišta rada. Potrebno je koristiti znanja i iskustva EU kako bi, između ostalog, pridonijeli približavanju procesima pridruživanja Hrvatske EU.  </w:t>
      </w:r>
    </w:p>
    <w:p w:rsidR="00AC0832" w:rsidRDefault="00AC0832">
      <w:pPr>
        <w:pStyle w:val="Normal6"/>
      </w:pPr>
      <w:r>
        <w:t xml:space="preserve">U svrhu gore navedenoga Fond je u 2012. godini nastavio provoditi projekt "Izrada standarda i usluga profesionalne rehabilitacije", u sklopu kojega je izvršena provedba osposobljavanja 8 stručnjaka koji vladaju reha tehnologijom i 17 stručnjaka za primjenu modela profesionalne rehabilitacije, a nastavak edukacije se planira provesti i u 2013. godini.  </w:t>
      </w:r>
    </w:p>
    <w:p w:rsidR="00AC0832" w:rsidRDefault="00AC0832">
      <w:pPr>
        <w:pStyle w:val="Normal6"/>
      </w:pPr>
      <w:r>
        <w:t xml:space="preserve">U 2012. godini je  nastavljeno utvrđivanje kriterija i modela za sufinanciranje radnog centra, u koje su uključene dvije korisničke institucije, a čija provedba za cilj ima utvrđivanje jedinstvenog modela profesionalne rehabilitacije u Republici Hrvatskoj.  </w:t>
      </w:r>
    </w:p>
    <w:p w:rsidR="00AC0832" w:rsidRDefault="00AC0832">
      <w:pPr>
        <w:pStyle w:val="Normal6"/>
      </w:pPr>
      <w:r>
        <w:t xml:space="preserve">Također je nastavljeno i sufinanciranje modela jedne virtualne radionice (vježbeničke tvrtke) za dugo nezaposlene osobe s invaliditetom, kao jedne od usluga u okviru zakonskih propisanih mjera i aktivnosti unutar budućih radnih centara.  </w:t>
      </w:r>
    </w:p>
    <w:p w:rsidR="00AC0832" w:rsidRDefault="00AC0832">
      <w:pPr>
        <w:pStyle w:val="Normal6"/>
      </w:pPr>
      <w:r>
        <w:t>Tijekom 2012. godine formirana je radna skupina za izradu prijedloga novog Zakona o profesionalnoj rehabilitaciji i zapošljavanju osoba s invaliditetom, u čijem radu aktivno sudjeluju i predstavnici Fonda.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51"/>
        <w:gridCol w:w="1706"/>
        <w:gridCol w:w="1024"/>
        <w:gridCol w:w="1094"/>
        <w:gridCol w:w="1064"/>
        <w:gridCol w:w="1094"/>
        <w:gridCol w:w="115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1.2.1.1. Uspoređivanje i analiziranje zakonske odredbe u profesionalnoj rehabilitaciji</w:t>
            </w:r>
          </w:p>
        </w:tc>
        <w:tc>
          <w:tcPr>
            <w:tcW w:w="1300" w:type="dxa"/>
          </w:tcPr>
          <w:p w:rsidR="00AC0832" w:rsidRDefault="00AC0832">
            <w:pPr>
              <w:pStyle w:val="CellColumn"/>
            </w:pPr>
            <w:r>
              <w:t>Analizom i izjednačavanjem razlika između sustava koji se bave problematikom OSI dobiti će se jedinstveni sustav</w:t>
            </w:r>
          </w:p>
        </w:tc>
        <w:tc>
          <w:tcPr>
            <w:tcW w:w="1300" w:type="dxa"/>
          </w:tcPr>
          <w:p w:rsidR="00AC0832" w:rsidRDefault="00AC0832">
            <w:pPr>
              <w:pStyle w:val="CellColumn"/>
            </w:pPr>
            <w:r>
              <w:t>Postotak</w:t>
            </w:r>
          </w:p>
        </w:tc>
        <w:tc>
          <w:tcPr>
            <w:tcW w:w="1300" w:type="dxa"/>
          </w:tcPr>
          <w:p w:rsidR="00AC0832" w:rsidRDefault="00AC0832">
            <w:pPr>
              <w:pStyle w:val="CellColumn"/>
            </w:pPr>
            <w:r>
              <w:t>10</w:t>
            </w:r>
          </w:p>
        </w:tc>
        <w:tc>
          <w:tcPr>
            <w:tcW w:w="1300" w:type="dxa"/>
          </w:tcPr>
          <w:p w:rsidR="00AC0832" w:rsidRDefault="00AC0832">
            <w:pPr>
              <w:pStyle w:val="CellColumn"/>
            </w:pPr>
            <w:r>
              <w:t>Fond</w:t>
            </w:r>
          </w:p>
        </w:tc>
        <w:tc>
          <w:tcPr>
            <w:tcW w:w="1300" w:type="dxa"/>
          </w:tcPr>
          <w:p w:rsidR="00AC0832" w:rsidRDefault="00AC0832">
            <w:pPr>
              <w:pStyle w:val="CellColumn"/>
            </w:pPr>
            <w:r>
              <w:t>30</w:t>
            </w:r>
          </w:p>
        </w:tc>
        <w:tc>
          <w:tcPr>
            <w:tcW w:w="1300" w:type="dxa"/>
          </w:tcPr>
          <w:p w:rsidR="00AC0832" w:rsidRDefault="00AC0832">
            <w:pPr>
              <w:pStyle w:val="CellColumn"/>
            </w:pPr>
            <w:r>
              <w:t>30</w:t>
            </w:r>
          </w:p>
        </w:tc>
      </w:tr>
      <w:tr w:rsidR="00AC0832" w:rsidTr="00BE20ED">
        <w:trPr>
          <w:jc w:val="center"/>
        </w:trPr>
        <w:tc>
          <w:tcPr>
            <w:tcW w:w="1300" w:type="dxa"/>
          </w:tcPr>
          <w:p w:rsidR="00AC0832" w:rsidRDefault="00AC0832">
            <w:pPr>
              <w:pStyle w:val="CellColumn"/>
            </w:pPr>
            <w:r>
              <w:t>1.2.2.1.Sufinanciranje radnih centara</w:t>
            </w:r>
          </w:p>
        </w:tc>
        <w:tc>
          <w:tcPr>
            <w:tcW w:w="1300" w:type="dxa"/>
          </w:tcPr>
          <w:p w:rsidR="00AC0832" w:rsidRDefault="00AC0832">
            <w:pPr>
              <w:pStyle w:val="CellColumn"/>
            </w:pPr>
            <w:r>
              <w:t>Utvrđenim modelom sufinanciranja radnih centara odredit će se u kojoj mjeri Fond sudjeluje u sufinanciranju</w:t>
            </w:r>
          </w:p>
        </w:tc>
        <w:tc>
          <w:tcPr>
            <w:tcW w:w="1300" w:type="dxa"/>
          </w:tcPr>
          <w:p w:rsidR="00AC0832" w:rsidRDefault="00AC0832">
            <w:pPr>
              <w:pStyle w:val="CellColumn"/>
            </w:pPr>
            <w:r>
              <w:t>Broj</w:t>
            </w:r>
          </w:p>
        </w:tc>
        <w:tc>
          <w:tcPr>
            <w:tcW w:w="1300" w:type="dxa"/>
          </w:tcPr>
          <w:p w:rsidR="00AC0832" w:rsidRDefault="00AC0832">
            <w:pPr>
              <w:pStyle w:val="CellColumn"/>
            </w:pPr>
            <w:r>
              <w:t>2</w:t>
            </w:r>
          </w:p>
        </w:tc>
        <w:tc>
          <w:tcPr>
            <w:tcW w:w="1300" w:type="dxa"/>
          </w:tcPr>
          <w:p w:rsidR="00AC0832" w:rsidRDefault="00AC0832">
            <w:pPr>
              <w:pStyle w:val="CellColumn"/>
            </w:pPr>
            <w:r>
              <w:t>Fond</w:t>
            </w:r>
          </w:p>
        </w:tc>
        <w:tc>
          <w:tcPr>
            <w:tcW w:w="1300" w:type="dxa"/>
          </w:tcPr>
          <w:p w:rsidR="00AC0832" w:rsidRDefault="00AC0832">
            <w:pPr>
              <w:pStyle w:val="CellColumn"/>
            </w:pPr>
            <w:r>
              <w:t>2</w:t>
            </w:r>
          </w:p>
        </w:tc>
        <w:tc>
          <w:tcPr>
            <w:tcW w:w="1300" w:type="dxa"/>
          </w:tcPr>
          <w:p w:rsidR="00AC0832" w:rsidRDefault="00AC0832">
            <w:pPr>
              <w:pStyle w:val="CellColumn"/>
            </w:pPr>
            <w:r>
              <w:t>2</w:t>
            </w:r>
          </w:p>
        </w:tc>
      </w:tr>
      <w:tr w:rsidR="00AC0832" w:rsidTr="00BE20ED">
        <w:trPr>
          <w:jc w:val="center"/>
        </w:trPr>
        <w:tc>
          <w:tcPr>
            <w:tcW w:w="1300" w:type="dxa"/>
          </w:tcPr>
          <w:p w:rsidR="00AC0832" w:rsidRDefault="00AC0832">
            <w:pPr>
              <w:pStyle w:val="CellColumn"/>
            </w:pPr>
            <w:r>
              <w:t>1.2.3.1.Sufinaciranje virtualnih radionica</w:t>
            </w:r>
          </w:p>
        </w:tc>
        <w:tc>
          <w:tcPr>
            <w:tcW w:w="1300" w:type="dxa"/>
          </w:tcPr>
          <w:p w:rsidR="00AC0832" w:rsidRDefault="00AC0832">
            <w:pPr>
              <w:pStyle w:val="CellColumn"/>
            </w:pPr>
            <w:r>
              <w:t>Model virtualne radionice za dugotrajno nezaposlene osobe s invaliditetom će ospsobljavati korisnike za tri vrste administrativnih zanimanja, što će biti jedna od usluga profesionalne rehabilitacije a koja će se provoditi u centrima za profesionalnu rehabilitaciju</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Fond</w:t>
            </w:r>
          </w:p>
        </w:tc>
        <w:tc>
          <w:tcPr>
            <w:tcW w:w="1300" w:type="dxa"/>
          </w:tcPr>
          <w:p w:rsidR="00AC0832" w:rsidRDefault="00AC0832">
            <w:pPr>
              <w:pStyle w:val="CellColumn"/>
            </w:pPr>
            <w:r>
              <w:t>1</w:t>
            </w:r>
          </w:p>
        </w:tc>
        <w:tc>
          <w:tcPr>
            <w:tcW w:w="1300" w:type="dxa"/>
          </w:tcPr>
          <w:p w:rsidR="00AC0832" w:rsidRDefault="00AC0832">
            <w:pPr>
              <w:pStyle w:val="CellColumn"/>
            </w:pPr>
            <w:r>
              <w:t>1</w:t>
            </w:r>
          </w:p>
        </w:tc>
      </w:tr>
      <w:tr w:rsidR="00AC0832" w:rsidTr="00BE20ED">
        <w:trPr>
          <w:jc w:val="center"/>
        </w:trPr>
        <w:tc>
          <w:tcPr>
            <w:tcW w:w="1300" w:type="dxa"/>
          </w:tcPr>
          <w:p w:rsidR="00AC0832" w:rsidRDefault="00AC0832">
            <w:pPr>
              <w:pStyle w:val="CellColumn"/>
            </w:pPr>
            <w:r>
              <w:t>1.2.4.1.Izrada standarda i usluga profesionalne rehabilitacije</w:t>
            </w:r>
          </w:p>
        </w:tc>
        <w:tc>
          <w:tcPr>
            <w:tcW w:w="1300" w:type="dxa"/>
          </w:tcPr>
          <w:p w:rsidR="00AC0832" w:rsidRDefault="00AC0832">
            <w:pPr>
              <w:pStyle w:val="CellColumn"/>
            </w:pPr>
            <w:r>
              <w:t xml:space="preserve">Izrada standarda i usluga temeljnog dokumenta koji će osigurati  </w:t>
            </w:r>
          </w:p>
          <w:p w:rsidR="00AC0832" w:rsidRDefault="00AC0832">
            <w:pPr>
              <w:pStyle w:val="CellColumn"/>
            </w:pPr>
            <w:r>
              <w:t>jednstvenu  i transparentnu pimjenu rehabilitacijskih postupaka u crntrima za profesionalnu rehabilitaciju</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Fond</w:t>
            </w:r>
          </w:p>
        </w:tc>
        <w:tc>
          <w:tcPr>
            <w:tcW w:w="1300" w:type="dxa"/>
          </w:tcPr>
          <w:p w:rsidR="00AC0832" w:rsidRDefault="00AC0832">
            <w:pPr>
              <w:pStyle w:val="CellColumn"/>
            </w:pPr>
            <w:r>
              <w:t>1</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1.2.5.1.Primjena reha tehnologija</w:t>
            </w:r>
          </w:p>
        </w:tc>
        <w:tc>
          <w:tcPr>
            <w:tcW w:w="1300" w:type="dxa"/>
          </w:tcPr>
          <w:p w:rsidR="00AC0832" w:rsidRDefault="00AC0832">
            <w:pPr>
              <w:pStyle w:val="CellColumn"/>
            </w:pPr>
            <w:r>
              <w:t>Reha edukacijom očekuje se  dobiti osposobljene stručnjake koji vladaju reha tehnologijom a koju će primjenjivati u centrima za profesionalnu rehabilitaciju a i bila bi jedna od usluga profesionalne rehabilitacije</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Fond</w:t>
            </w:r>
          </w:p>
        </w:tc>
        <w:tc>
          <w:tcPr>
            <w:tcW w:w="1300" w:type="dxa"/>
          </w:tcPr>
          <w:p w:rsidR="00AC0832" w:rsidRDefault="00AC0832">
            <w:pPr>
              <w:pStyle w:val="CellColumn"/>
            </w:pPr>
            <w:r>
              <w:t>15</w:t>
            </w:r>
          </w:p>
        </w:tc>
        <w:tc>
          <w:tcPr>
            <w:tcW w:w="1300" w:type="dxa"/>
          </w:tcPr>
          <w:p w:rsidR="00AC0832" w:rsidRDefault="00AC0832">
            <w:pPr>
              <w:pStyle w:val="CellColumn"/>
            </w:pPr>
            <w:r>
              <w:t>8</w:t>
            </w:r>
          </w:p>
        </w:tc>
      </w:tr>
      <w:tr w:rsidR="00AC0832" w:rsidTr="00BE20ED">
        <w:trPr>
          <w:jc w:val="center"/>
        </w:trPr>
        <w:tc>
          <w:tcPr>
            <w:tcW w:w="1300" w:type="dxa"/>
          </w:tcPr>
          <w:p w:rsidR="00AC0832" w:rsidRDefault="00AC0832">
            <w:pPr>
              <w:pStyle w:val="CellColumn"/>
            </w:pPr>
            <w:r>
              <w:t>1.2.6.1.Edukacija stručnjaka za primjenu modela profesionalne rehabilitacije</w:t>
            </w:r>
          </w:p>
        </w:tc>
        <w:tc>
          <w:tcPr>
            <w:tcW w:w="1300" w:type="dxa"/>
          </w:tcPr>
          <w:p w:rsidR="00AC0832" w:rsidRDefault="00AC0832">
            <w:pPr>
              <w:pStyle w:val="CellColumn"/>
            </w:pPr>
            <w:r>
              <w:t>Za primjenu modela za profesionalnu rehabilitaciju potrebna su specifična znanja iz određenih područja gdje se očekuje podizanje kompetencija stručnjacima koji će provoditi rehabilitacijske postupke u centrima profesionalne rehabilitacije</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Fond</w:t>
            </w:r>
          </w:p>
        </w:tc>
        <w:tc>
          <w:tcPr>
            <w:tcW w:w="1300" w:type="dxa"/>
          </w:tcPr>
          <w:p w:rsidR="00AC0832" w:rsidRDefault="00AC0832">
            <w:pPr>
              <w:pStyle w:val="CellColumn"/>
            </w:pPr>
            <w:r>
              <w:t>10</w:t>
            </w:r>
          </w:p>
        </w:tc>
        <w:tc>
          <w:tcPr>
            <w:tcW w:w="1300" w:type="dxa"/>
          </w:tcPr>
          <w:p w:rsidR="00AC0832" w:rsidRDefault="00AC0832">
            <w:pPr>
              <w:pStyle w:val="CellColumn"/>
            </w:pPr>
            <w:r>
              <w:t>17</w:t>
            </w:r>
          </w:p>
        </w:tc>
      </w:tr>
    </w:tbl>
    <w:p w:rsidR="00AC0832" w:rsidRDefault="00AC0832">
      <w:pPr>
        <w:jc w:val="left"/>
      </w:pPr>
    </w:p>
    <w:p w:rsidR="00AC0832" w:rsidRDefault="00AC0832">
      <w:pPr>
        <w:pStyle w:val="Heading7"/>
      </w:pPr>
      <w:r>
        <w:t>Cilj 4. Posebni cilj 1.3. Jačanje kapaciteta Fonda</w:t>
      </w:r>
    </w:p>
    <w:p w:rsidR="00AC0832" w:rsidRDefault="00AC0832">
      <w:pPr>
        <w:pStyle w:val="Heading8"/>
        <w:jc w:val="left"/>
      </w:pPr>
      <w:r>
        <w:t>Opis provedbe cilja programa</w:t>
      </w:r>
    </w:p>
    <w:p w:rsidR="00AC0832" w:rsidRDefault="00AC0832">
      <w:pPr>
        <w:pStyle w:val="Normal6"/>
      </w:pPr>
      <w:r>
        <w:t xml:space="preserve">Ukoliko želimo ostvariti sve posebne ciljeve, koji prethode ostvarenju općeg cilj , a to je uključivanje osoba s invaliditetom na tržište rada, nužno je kontinuirano provoditi jačanje kapaciteta u Fondu, što će rezultirati učinkovitijim poslovnim procesom, koji će omogućiti brže i kvalitetnije pružanje usluga krajnjim korisnicima. Također, se kroz ovaj cilj stvaraju uvjeti za kontrolu učinka tzv. kvotnog sustava zapošljavanja, te otvaranja mogućnosti zapošljavanja osoba s invaliditetom kod obveznika tzv. kvotnog sustava zapošljavanja koji tu obvezu ne izvršavaju.  </w:t>
      </w:r>
    </w:p>
    <w:p w:rsidR="00AC0832" w:rsidRDefault="00AC0832">
      <w:pPr>
        <w:pStyle w:val="Normal6"/>
      </w:pPr>
      <w:r>
        <w:t>Zbog mjera štednje u 2012. godini na nivo države, Fond nije bio u mogućnosti ispuniti provedbu ovog posebnog cilja.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2"/>
        <w:gridCol w:w="1663"/>
        <w:gridCol w:w="1257"/>
        <w:gridCol w:w="1268"/>
        <w:gridCol w:w="1263"/>
        <w:gridCol w:w="1268"/>
        <w:gridCol w:w="127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1.3.Jačanje kapaciteta Fonda</w:t>
            </w:r>
          </w:p>
        </w:tc>
        <w:tc>
          <w:tcPr>
            <w:tcW w:w="1300" w:type="dxa"/>
          </w:tcPr>
          <w:p w:rsidR="00AC0832" w:rsidRDefault="00AC0832">
            <w:pPr>
              <w:pStyle w:val="CellColumn"/>
            </w:pPr>
            <w:r>
              <w:t>Izgradnjom jake institucije Fonda omogućava se učinkovitije bavljenje nezaposlenošću OSI</w:t>
            </w:r>
          </w:p>
        </w:tc>
        <w:tc>
          <w:tcPr>
            <w:tcW w:w="1300" w:type="dxa"/>
          </w:tcPr>
          <w:p w:rsidR="00AC0832" w:rsidRDefault="00AC0832">
            <w:pPr>
              <w:pStyle w:val="CellColumn"/>
            </w:pPr>
            <w:r>
              <w:t>Postotak</w:t>
            </w:r>
          </w:p>
        </w:tc>
        <w:tc>
          <w:tcPr>
            <w:tcW w:w="1300" w:type="dxa"/>
          </w:tcPr>
          <w:p w:rsidR="00AC0832" w:rsidRDefault="00AC0832">
            <w:pPr>
              <w:pStyle w:val="CellColumn"/>
            </w:pPr>
            <w:r>
              <w:t>50</w:t>
            </w:r>
          </w:p>
        </w:tc>
        <w:tc>
          <w:tcPr>
            <w:tcW w:w="1300" w:type="dxa"/>
          </w:tcPr>
          <w:p w:rsidR="00AC0832" w:rsidRDefault="00AC0832">
            <w:pPr>
              <w:pStyle w:val="CellColumn"/>
            </w:pPr>
            <w:r>
              <w:t>Fond</w:t>
            </w:r>
          </w:p>
        </w:tc>
        <w:tc>
          <w:tcPr>
            <w:tcW w:w="1300" w:type="dxa"/>
          </w:tcPr>
          <w:p w:rsidR="00AC0832" w:rsidRDefault="00AC0832">
            <w:pPr>
              <w:pStyle w:val="CellColumn"/>
            </w:pPr>
            <w:r>
              <w:t>75</w:t>
            </w:r>
          </w:p>
        </w:tc>
        <w:tc>
          <w:tcPr>
            <w:tcW w:w="1300" w:type="dxa"/>
          </w:tcPr>
          <w:p w:rsidR="00AC0832" w:rsidRDefault="00AC0832">
            <w:pPr>
              <w:pStyle w:val="CellColumn"/>
            </w:pPr>
            <w:r>
              <w:t>50</w:t>
            </w:r>
          </w:p>
        </w:tc>
      </w:tr>
    </w:tbl>
    <w:p w:rsidR="00AC0832" w:rsidRDefault="00AC0832">
      <w:pPr>
        <w:jc w:val="left"/>
      </w:pPr>
    </w:p>
    <w:p w:rsidR="00AC0832" w:rsidRDefault="00AC0832">
      <w:pPr>
        <w:pStyle w:val="Heading6"/>
      </w:pPr>
      <w:r>
        <w:t>A741003 ADMINISTRACIJA I UPRAVLJANJE FONDA ZA PROFESIONALNU REHABILITACIJU I ZAPOŠLJAVANJE OSOBA S INVALIDITETOM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A741003-ADMINISTRACIJA I UPRAVLJANJE FONDA ZA PROFESIONALNU REHABILITACIJU I ZAPOŠLJAVANJE OSOBA S INVALIDITETOM</w:t>
            </w:r>
          </w:p>
        </w:tc>
        <w:tc>
          <w:tcPr>
            <w:tcW w:w="2322" w:type="dxa"/>
          </w:tcPr>
          <w:p w:rsidR="00AC0832" w:rsidRDefault="00AC0832">
            <w:pPr>
              <w:pStyle w:val="CellColumn"/>
            </w:pPr>
            <w:r>
              <w:t>3.809.866</w:t>
            </w:r>
          </w:p>
        </w:tc>
        <w:tc>
          <w:tcPr>
            <w:tcW w:w="2322" w:type="dxa"/>
          </w:tcPr>
          <w:p w:rsidR="00AC0832" w:rsidRDefault="00AC0832">
            <w:pPr>
              <w:pStyle w:val="CellColumn"/>
            </w:pPr>
            <w:r>
              <w:t>3.134.042</w:t>
            </w:r>
          </w:p>
        </w:tc>
        <w:tc>
          <w:tcPr>
            <w:tcW w:w="2322" w:type="dxa"/>
          </w:tcPr>
          <w:p w:rsidR="00AC0832" w:rsidRDefault="00AC0832">
            <w:pPr>
              <w:pStyle w:val="CellColumn"/>
            </w:pPr>
            <w:r>
              <w:t>82,3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Rashodi za zaposlene izvršeni su u iznosu 1.688.935,14 kuna odnosno 97,25% u odnosu na plan, te  u ukupno izvršenom proračunu udio rashoda za zaposlene iznosi 3,57 %.   </w:t>
      </w:r>
    </w:p>
    <w:p w:rsidR="00AC0832" w:rsidRDefault="00AC0832">
      <w:pPr>
        <w:pStyle w:val="Normal6"/>
      </w:pPr>
      <w:r>
        <w:t xml:space="preserve">Od ukupno izvršenih rashoda za zaposlene, na rashode za plaće za redovan rad (zajedno s doprinosima) odnosi se 1.635.487,06 kuna, te na ostale rashode za zaposlene  iznos od  53.448,08 kuna.  </w:t>
      </w:r>
    </w:p>
    <w:p w:rsidR="00AC0832" w:rsidRDefault="00AC0832">
      <w:pPr>
        <w:pStyle w:val="Normal6"/>
      </w:pPr>
      <w:r>
        <w:t xml:space="preserve">Za usporedbu u 2011. godini ukupno izvršeni rashodi za zaposlene iznosili su 1.857.448 kuna i bili su 1,74% manji od planiranih sredstava.  </w:t>
      </w:r>
    </w:p>
    <w:p w:rsidR="00AC0832" w:rsidRDefault="00AC0832">
      <w:pPr>
        <w:pStyle w:val="Normal6"/>
      </w:pPr>
      <w:r>
        <w:t xml:space="preserve">Materijalni rashodi izvršeni su u iznosu 1.437.414,92 kune odnosno 69,92% u odnosu na plan, te u ukupno izvršenom proračunu udio materijalnih rashoda iznosi 3,04%. Materijalni rashodi izvršeni su za 30,08% manje od planiranih zbog poduzetih mjera racionalizacije i štednje.  </w:t>
      </w:r>
    </w:p>
    <w:p w:rsidR="00AC0832" w:rsidRDefault="00AC0832">
      <w:pPr>
        <w:pStyle w:val="Normal6"/>
      </w:pPr>
      <w:r>
        <w:t xml:space="preserve">Sredstva su utrošena na način da je: 67.505,16 kuna utrošeno za prijevoz zaposlenika na rad i s rada, 96.588,48 kn na ime energije, 70.526,13 kn za plaćanje usluga telefona, pošte i prijevoza, 20.115,97 kn  za nabavu sitnog inventara i auto guma, 46.790,76 kn  za kupnju uredskog materijala i ostalih materijalnih rashoda. Za stručna usavršavanja zaposlenih ukupno je u 2012. godini utrošeno 17.090,00 kn, za službena putovanja 35.602,04 kn, za materijal i dijelove za tekuće i investicijsko održavanje utrošeno je 2.200,00 kn, za usluge promidžbe i informiranje 71.660,79 kn, za zakupnine i najamnine 19.936,61 kn, za zdravstvene i veterinarske usluge 11.400,00 kn, dok je za usluge tekućeg investicijskog održavanja isplaćeno ukupno 221.460,21 kn. Među najvećim troškovima u ovoj grupi rashoda su sredstva namijenjena za intelektualne i osobne usluge koja su iznosila 321.467,17 kn, i najvećim dijelom su korištena za pokriće troškova stručnog skupa u Zadru,  te dio za sufinanciranje aktivnosti udruga za osobe s invaliditetom i dio za odvjetničke usluge. Za plaćanje komunalnih usluga kao što su opskrba vodom, iznošenje i odvoz smeća, pričuva i ostale komunalne usluge utrošeno je 99.205,07 kn, a za reprezentaciju 17.284,50 kuna.  </w:t>
      </w:r>
    </w:p>
    <w:p w:rsidR="00AC0832" w:rsidRDefault="00AC0832">
      <w:pPr>
        <w:pStyle w:val="Normal6"/>
      </w:pPr>
      <w:r>
        <w:t xml:space="preserve">Iznos od 280,00 kuna potrošen je za članarine, a 7.274,02 kuna za premije osiguranja  vozila na lizing, dok je za usluge promidžbe i informiranja, odnosno za kupnju  dnevnog tiska utrošeno 52.571 kuna.  </w:t>
      </w:r>
    </w:p>
    <w:p w:rsidR="00AC0832" w:rsidRDefault="00AC0832">
      <w:pPr>
        <w:pStyle w:val="Normal6"/>
      </w:pPr>
      <w:r>
        <w:t xml:space="preserve">Iznos od 129.395,42 kuna utrošen je za ostale usluge i to najvećim dijelom za grafičke usluge, usluge čišćenja, pranja i slično, cestarinu i usluge čuvanja imovine i osoba (arhiviranje dokumentacija). Za naknade članovima Upravnog vijeća Fonda u 2012. godini utrošeno je 182.632,59 kuna.  </w:t>
      </w:r>
    </w:p>
    <w:p w:rsidR="00AC0832" w:rsidRDefault="00AC0832">
      <w:pPr>
        <w:pStyle w:val="Normal6"/>
      </w:pPr>
      <w:r>
        <w:t xml:space="preserve">Za usporedbu u 2011. godini ukupno izvršeni materijalni rashodi iznosili su 2.911.474 kuna, i bili su za 16,46% manji od planiranih.   </w:t>
      </w:r>
    </w:p>
    <w:p w:rsidR="00AC0832" w:rsidRDefault="00AC0832">
      <w:pPr>
        <w:pStyle w:val="Normal6"/>
      </w:pPr>
      <w:r>
        <w:t xml:space="preserve">Financijski rashodi izvršeni su u iznosu 7.691,54 kune odnosno 43,95% u odnosu na plan, te u ukupno izvršenom proračunu udio financijskih rashoda iznosi 0,016%.  </w:t>
      </w:r>
    </w:p>
    <w:p w:rsidR="00AC0832" w:rsidRDefault="00AC0832">
      <w:pPr>
        <w:pStyle w:val="Normal6"/>
      </w:pPr>
      <w:r>
        <w:t>Kod ovih rashoda za bankarske usluge i usluge platnog prometa utrošeno je 1.885,22 kuna, dok je za zatezne kamate utrošeno 5,806,32 kuna.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1.3.1.Rashodi za zaposlene i materijalni rashodi</w:t>
            </w:r>
          </w:p>
        </w:tc>
        <w:tc>
          <w:tcPr>
            <w:tcW w:w="1300" w:type="dxa"/>
          </w:tcPr>
          <w:p w:rsidR="00AC0832" w:rsidRDefault="00AC0832">
            <w:pPr>
              <w:pStyle w:val="CellColumn"/>
            </w:pPr>
            <w:r>
              <w:t>Stručnom edukacijom i potrebnim sredstvima za rad  zaposlenici će efikasnije obavljati svoje poslove</w:t>
            </w:r>
          </w:p>
        </w:tc>
        <w:tc>
          <w:tcPr>
            <w:tcW w:w="1300" w:type="dxa"/>
          </w:tcPr>
          <w:p w:rsidR="00AC0832" w:rsidRDefault="00AC0832">
            <w:pPr>
              <w:pStyle w:val="CellColumn"/>
            </w:pPr>
            <w:r>
              <w:t>Postotak</w:t>
            </w:r>
          </w:p>
        </w:tc>
        <w:tc>
          <w:tcPr>
            <w:tcW w:w="1300" w:type="dxa"/>
          </w:tcPr>
          <w:p w:rsidR="00AC0832" w:rsidRDefault="00AC0832">
            <w:pPr>
              <w:pStyle w:val="CellColumn"/>
            </w:pPr>
            <w:r>
              <w:t>100</w:t>
            </w:r>
          </w:p>
        </w:tc>
        <w:tc>
          <w:tcPr>
            <w:tcW w:w="1300" w:type="dxa"/>
          </w:tcPr>
          <w:p w:rsidR="00AC0832" w:rsidRDefault="00AC0832">
            <w:pPr>
              <w:pStyle w:val="CellColumn"/>
            </w:pPr>
            <w:r>
              <w:t>Fond</w:t>
            </w:r>
          </w:p>
        </w:tc>
        <w:tc>
          <w:tcPr>
            <w:tcW w:w="1300" w:type="dxa"/>
          </w:tcPr>
          <w:p w:rsidR="00AC0832" w:rsidRDefault="00AC0832">
            <w:pPr>
              <w:pStyle w:val="CellColumn"/>
            </w:pPr>
            <w:r>
              <w:t>100</w:t>
            </w:r>
          </w:p>
        </w:tc>
        <w:tc>
          <w:tcPr>
            <w:tcW w:w="1300" w:type="dxa"/>
          </w:tcPr>
          <w:p w:rsidR="00AC0832" w:rsidRDefault="00AC0832">
            <w:pPr>
              <w:pStyle w:val="CellColumn"/>
            </w:pPr>
            <w:r>
              <w:t>100</w:t>
            </w:r>
          </w:p>
        </w:tc>
      </w:tr>
    </w:tbl>
    <w:p w:rsidR="00AC0832" w:rsidRDefault="00AC0832">
      <w:pPr>
        <w:jc w:val="left"/>
      </w:pPr>
    </w:p>
    <w:p w:rsidR="00AC0832" w:rsidRDefault="00AC0832">
      <w:pPr>
        <w:pStyle w:val="Heading6"/>
      </w:pPr>
      <w:r>
        <w:t>A741005 FINANCIRANJE I SUFINANCIRANJE PROGRAMA PROFESIONALNE REHABILITACIJE I ZAPOŠLJAVANJE OSOBA S INVALIDITETOM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8"/>
        <w:gridCol w:w="1116"/>
        <w:gridCol w:w="2322"/>
        <w:gridCol w:w="2322"/>
      </w:tblGrid>
      <w:tr w:rsidR="00AC0832" w:rsidTr="00300B80">
        <w:trPr>
          <w:jc w:val="center"/>
        </w:trPr>
        <w:tc>
          <w:tcPr>
            <w:tcW w:w="3528" w:type="dxa"/>
            <w:shd w:val="clear" w:color="auto" w:fill="B5C0D8"/>
          </w:tcPr>
          <w:p w:rsidR="00AC0832" w:rsidRDefault="00AC0832">
            <w:pPr>
              <w:pStyle w:val="CellHeader"/>
            </w:pPr>
            <w:r>
              <w:t>Naziv aktivnosti</w:t>
            </w:r>
          </w:p>
        </w:tc>
        <w:tc>
          <w:tcPr>
            <w:tcW w:w="1116"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300B80">
        <w:trPr>
          <w:jc w:val="center"/>
        </w:trPr>
        <w:tc>
          <w:tcPr>
            <w:tcW w:w="3528" w:type="dxa"/>
          </w:tcPr>
          <w:p w:rsidR="00AC0832" w:rsidRDefault="00AC0832">
            <w:pPr>
              <w:pStyle w:val="CellColumn"/>
            </w:pPr>
            <w:r>
              <w:t>A741005-FINANCIRANJE I SUFINANCIRANJE PROGRAMA PROFESIONALNE REHABILITACIJE I ZAPOŠLJAVANJE OSOBA S INVALIDITETOM</w:t>
            </w:r>
          </w:p>
        </w:tc>
        <w:tc>
          <w:tcPr>
            <w:tcW w:w="1116" w:type="dxa"/>
          </w:tcPr>
          <w:p w:rsidR="00AC0832" w:rsidRDefault="00AC0832">
            <w:pPr>
              <w:pStyle w:val="CellColumn"/>
            </w:pPr>
            <w:r>
              <w:t>1.621.300</w:t>
            </w:r>
          </w:p>
        </w:tc>
        <w:tc>
          <w:tcPr>
            <w:tcW w:w="2322" w:type="dxa"/>
          </w:tcPr>
          <w:p w:rsidR="00AC0832" w:rsidRDefault="00AC0832">
            <w:pPr>
              <w:pStyle w:val="CellColumn"/>
            </w:pPr>
            <w:r>
              <w:t>1.392.785</w:t>
            </w:r>
          </w:p>
        </w:tc>
        <w:tc>
          <w:tcPr>
            <w:tcW w:w="2322" w:type="dxa"/>
          </w:tcPr>
          <w:p w:rsidR="00AC0832" w:rsidRDefault="00AC0832">
            <w:pPr>
              <w:pStyle w:val="CellColumn"/>
            </w:pPr>
            <w:r>
              <w:t>85,9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Za provedbu ove aktivnosti bila su planirana sredstva u iznosu od 1.621.300,00  kuna, a utrošeno je 1.392.785,22 kune, odnosno 85,91% od planiranog. Sredstva su korištena za sufinanciranje dva radna centra i jedne virtualne radionice, u kojima su se testirali kriteriji za financiranje budućih radnih centara koji se planiraju otvoriti u narednom razdoblju, te za izradu studije troškova i isplativosti profesionalne rehabilitacije u Hrvatskoj.  </w:t>
      </w:r>
    </w:p>
    <w:p w:rsidR="00AC0832" w:rsidRDefault="00AC0832">
      <w:pPr>
        <w:pStyle w:val="Normal6"/>
      </w:pPr>
      <w:r>
        <w:t xml:space="preserve">Za usporedbu u 2011. godini Fond je za ovu namjenu utrošio 940.213 kuna.  </w:t>
      </w:r>
    </w:p>
    <w:p w:rsidR="00AC0832" w:rsidRDefault="00AC0832">
      <w:pPr>
        <w:pStyle w:val="Normal6"/>
      </w:pPr>
      <w:r>
        <w:t>Cilj ove aktivnosti je stvoriti kriterije za financiranje budućih  radnih centara, u kojima  bi se profesionalno rehabilitirale i osposobljavale osobe s invaliditetom, za rad na otvorenom tržištu rada ili zaštitnim uvjetima. Kako bi se to postiglo, potrebno je unaprijediti sustav profesionalne rehabilitacije, na način da se osigura dobra procjena radnih sposobnosti osoba s invaliditetom, te kvalitetno obrazovanje, prekvalifikacija i osposobljavanje usklađeno sa potrebama tržišta rada, te bržu prilagodljivost potrebama tržišta rada.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4"/>
        <w:gridCol w:w="1606"/>
        <w:gridCol w:w="1214"/>
        <w:gridCol w:w="1244"/>
        <w:gridCol w:w="1236"/>
        <w:gridCol w:w="1244"/>
        <w:gridCol w:w="126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Sufinanciranje rada radnih centara</w:t>
            </w:r>
          </w:p>
        </w:tc>
        <w:tc>
          <w:tcPr>
            <w:tcW w:w="1300" w:type="dxa"/>
          </w:tcPr>
          <w:p w:rsidR="00AC0832" w:rsidRDefault="00AC0832">
            <w:pPr>
              <w:pStyle w:val="CellColumn"/>
            </w:pPr>
            <w:r>
              <w:t>Utvrđenim modelom sufinanciranja radnih centara odredit će se u kojoj mjeri Fond sudjeluje u sufinanciranju</w:t>
            </w:r>
          </w:p>
        </w:tc>
        <w:tc>
          <w:tcPr>
            <w:tcW w:w="1300" w:type="dxa"/>
          </w:tcPr>
          <w:p w:rsidR="00AC0832" w:rsidRDefault="00AC0832">
            <w:pPr>
              <w:pStyle w:val="CellColumn"/>
            </w:pPr>
            <w:r>
              <w:t>Broj</w:t>
            </w:r>
          </w:p>
        </w:tc>
        <w:tc>
          <w:tcPr>
            <w:tcW w:w="1300" w:type="dxa"/>
          </w:tcPr>
          <w:p w:rsidR="00AC0832" w:rsidRDefault="00AC0832">
            <w:pPr>
              <w:pStyle w:val="CellColumn"/>
            </w:pPr>
            <w:r>
              <w:t>2</w:t>
            </w:r>
          </w:p>
        </w:tc>
        <w:tc>
          <w:tcPr>
            <w:tcW w:w="1300" w:type="dxa"/>
          </w:tcPr>
          <w:p w:rsidR="00AC0832" w:rsidRDefault="00AC0832">
            <w:pPr>
              <w:pStyle w:val="CellColumn"/>
            </w:pPr>
            <w:r>
              <w:t>Fond</w:t>
            </w:r>
          </w:p>
        </w:tc>
        <w:tc>
          <w:tcPr>
            <w:tcW w:w="1300" w:type="dxa"/>
          </w:tcPr>
          <w:p w:rsidR="00AC0832" w:rsidRDefault="00AC0832">
            <w:pPr>
              <w:pStyle w:val="CellColumn"/>
            </w:pPr>
            <w:r>
              <w:t>2</w:t>
            </w:r>
          </w:p>
        </w:tc>
        <w:tc>
          <w:tcPr>
            <w:tcW w:w="1300" w:type="dxa"/>
          </w:tcPr>
          <w:p w:rsidR="00AC0832" w:rsidRDefault="00AC0832">
            <w:pPr>
              <w:pStyle w:val="CellColumn"/>
            </w:pPr>
            <w:r>
              <w:t>2</w:t>
            </w:r>
          </w:p>
        </w:tc>
      </w:tr>
      <w:tr w:rsidR="00AC0832" w:rsidTr="00BE20ED">
        <w:trPr>
          <w:jc w:val="center"/>
        </w:trPr>
        <w:tc>
          <w:tcPr>
            <w:tcW w:w="1300" w:type="dxa"/>
          </w:tcPr>
          <w:p w:rsidR="00AC0832" w:rsidRDefault="00AC0832">
            <w:pPr>
              <w:pStyle w:val="CellColumn"/>
            </w:pPr>
            <w:r>
              <w:t>Sufinanciranje virtualnih radionica</w:t>
            </w:r>
          </w:p>
        </w:tc>
        <w:tc>
          <w:tcPr>
            <w:tcW w:w="1300" w:type="dxa"/>
          </w:tcPr>
          <w:p w:rsidR="00AC0832" w:rsidRDefault="00AC0832">
            <w:pPr>
              <w:pStyle w:val="CellColumn"/>
            </w:pPr>
            <w:r>
              <w:t>Model virtualne radionice za dugotrajno nezaposlene osobe s invaliditetom će ospsobljavati korisnike za tri vrste administrativnih zanimanja, što će biti jedna od usluga profesionalne rehabilitacije a koja će se provoditi u centrima za profesionalnu rehabilitaciju</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Fond</w:t>
            </w:r>
          </w:p>
        </w:tc>
        <w:tc>
          <w:tcPr>
            <w:tcW w:w="1300" w:type="dxa"/>
          </w:tcPr>
          <w:p w:rsidR="00AC0832" w:rsidRDefault="00AC0832">
            <w:pPr>
              <w:pStyle w:val="CellColumn"/>
            </w:pPr>
            <w:r>
              <w:t>1</w:t>
            </w:r>
          </w:p>
        </w:tc>
        <w:tc>
          <w:tcPr>
            <w:tcW w:w="1300" w:type="dxa"/>
          </w:tcPr>
          <w:p w:rsidR="00AC0832" w:rsidRDefault="00AC0832">
            <w:pPr>
              <w:pStyle w:val="CellColumn"/>
            </w:pPr>
            <w:r>
              <w:t>1</w:t>
            </w:r>
          </w:p>
        </w:tc>
      </w:tr>
      <w:tr w:rsidR="00AC0832" w:rsidTr="00BE20ED">
        <w:trPr>
          <w:jc w:val="center"/>
        </w:trPr>
        <w:tc>
          <w:tcPr>
            <w:tcW w:w="1300" w:type="dxa"/>
          </w:tcPr>
          <w:p w:rsidR="00AC0832" w:rsidRDefault="00AC0832">
            <w:pPr>
              <w:pStyle w:val="CellColumn"/>
            </w:pPr>
            <w:r>
              <w:t>Izrada standarda i usluga profesionalne rehabilitacije</w:t>
            </w:r>
          </w:p>
        </w:tc>
        <w:tc>
          <w:tcPr>
            <w:tcW w:w="1300" w:type="dxa"/>
          </w:tcPr>
          <w:p w:rsidR="00AC0832" w:rsidRDefault="00AC0832">
            <w:pPr>
              <w:pStyle w:val="CellColumn"/>
            </w:pPr>
            <w:r>
              <w:t xml:space="preserve">Izrada standarda i usluga temeljnog dokumenta koji će osigurati  </w:t>
            </w:r>
          </w:p>
          <w:p w:rsidR="00AC0832" w:rsidRDefault="00AC0832">
            <w:pPr>
              <w:pStyle w:val="CellColumn"/>
            </w:pPr>
            <w:r>
              <w:t>jednstvenu  i transparentnu pimjenu rehabilitacijskih postupaka u crntrima za profesionalnu rehabilitaciju</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Fond</w:t>
            </w:r>
          </w:p>
        </w:tc>
        <w:tc>
          <w:tcPr>
            <w:tcW w:w="1300" w:type="dxa"/>
          </w:tcPr>
          <w:p w:rsidR="00AC0832" w:rsidRDefault="00AC0832">
            <w:pPr>
              <w:pStyle w:val="CellColumn"/>
            </w:pPr>
            <w:r>
              <w:t>1</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Edukacija edukatora za reha tehnologije i stručnjaka za primjenu modela profesionalne rehabilitacije</w:t>
            </w:r>
          </w:p>
        </w:tc>
        <w:tc>
          <w:tcPr>
            <w:tcW w:w="1300" w:type="dxa"/>
          </w:tcPr>
          <w:p w:rsidR="00AC0832" w:rsidRDefault="00AC0832">
            <w:pPr>
              <w:pStyle w:val="CellColumn"/>
            </w:pPr>
            <w:r>
              <w:t>Za primjenu modela za profesionalnu rehabilitaciju potrebna su specifična znanja iz određenih područja gdje se očekuje podizanje kompetencija stručnjacima koji će provoditi rehabilitacijske postupke u centrima profesionalne rehabilitacije</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Fond</w:t>
            </w:r>
          </w:p>
        </w:tc>
        <w:tc>
          <w:tcPr>
            <w:tcW w:w="1300" w:type="dxa"/>
          </w:tcPr>
          <w:p w:rsidR="00AC0832" w:rsidRDefault="00AC0832">
            <w:pPr>
              <w:pStyle w:val="CellColumn"/>
            </w:pPr>
            <w:r>
              <w:t>25</w:t>
            </w:r>
          </w:p>
        </w:tc>
        <w:tc>
          <w:tcPr>
            <w:tcW w:w="1300" w:type="dxa"/>
          </w:tcPr>
          <w:p w:rsidR="00AC0832" w:rsidRDefault="00AC0832">
            <w:pPr>
              <w:pStyle w:val="CellColumn"/>
            </w:pPr>
            <w:r>
              <w:t>25</w:t>
            </w:r>
          </w:p>
        </w:tc>
      </w:tr>
    </w:tbl>
    <w:p w:rsidR="00AC0832" w:rsidRDefault="00AC0832">
      <w:pPr>
        <w:jc w:val="left"/>
      </w:pPr>
    </w:p>
    <w:p w:rsidR="00AC0832" w:rsidRDefault="00AC0832">
      <w:pPr>
        <w:pStyle w:val="Heading6"/>
      </w:pPr>
      <w:r>
        <w:t>A741006 OLAKŠICE I POTICAJI PRI ZAPOŠLJAVANJU OSOBA S INVALIDITETOM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A741006-OLAKŠICE I POTICAJI PRI ZAPOŠLJAVANJU OSOBA S INVALIDITETOM</w:t>
            </w:r>
          </w:p>
        </w:tc>
        <w:tc>
          <w:tcPr>
            <w:tcW w:w="2322" w:type="dxa"/>
          </w:tcPr>
          <w:p w:rsidR="00AC0832" w:rsidRDefault="00AC0832">
            <w:pPr>
              <w:pStyle w:val="CellColumn"/>
            </w:pPr>
            <w:r>
              <w:t>30.146.834</w:t>
            </w:r>
          </w:p>
        </w:tc>
        <w:tc>
          <w:tcPr>
            <w:tcW w:w="2322" w:type="dxa"/>
          </w:tcPr>
          <w:p w:rsidR="00AC0832" w:rsidRDefault="00AC0832">
            <w:pPr>
              <w:pStyle w:val="CellColumn"/>
            </w:pPr>
            <w:r>
              <w:t>26.035.035</w:t>
            </w:r>
          </w:p>
        </w:tc>
        <w:tc>
          <w:tcPr>
            <w:tcW w:w="2322" w:type="dxa"/>
          </w:tcPr>
          <w:p w:rsidR="00AC0832" w:rsidRDefault="00AC0832">
            <w:pPr>
              <w:pStyle w:val="CellColumn"/>
            </w:pPr>
            <w:r>
              <w:t>86,4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37-Naknade građanima i kućanstvima u novcu </w:t>
      </w:r>
    </w:p>
    <w:p w:rsidR="00AC0832" w:rsidRDefault="00AC0832">
      <w:pPr>
        <w:pStyle w:val="Normal6"/>
      </w:pPr>
      <w:r>
        <w:t xml:space="preserve">Poslodavci koji su zapošljavali osobu s invaliditetom ali i osobe koje  se samozapošljavaju imaju pravo na poticaje shodno odredbama Odluke o načinu ostvarivanja poticaja pri zapošljavanju osoba s invaliditetom (NN 8/08, 20/09, 96/09, 44/10). Za navedene namijene u 2012. godini Fond je isplatio  26.035.034,95 kn, u kojem iznosu je sadržan i dio prenijetih obveza iz 2011. godine u iznosu od 129.779,66 kn. Izvršeni rashodi od 26.035.034,95 kuna su 86,36% od planiranih sredstava i plod su određene štednje koju je Fond provodio tijekom 2012. godine, a koja obzirom na svoj obuhvat nije utjecala na realno smanjenje poticaja poslodavcima koji zapošljavaju osobe s invaliditetom.  </w:t>
      </w:r>
    </w:p>
    <w:p w:rsidR="00AC0832" w:rsidRDefault="00AC0832">
      <w:pPr>
        <w:pStyle w:val="Normal6"/>
      </w:pPr>
      <w:r>
        <w:t xml:space="preserve">Isplaćeni poticaji u 2012. godini po pojedinim namjenama bili su: </w:t>
      </w:r>
    </w:p>
    <w:p w:rsidR="00AC0832" w:rsidRDefault="00AC0832">
      <w:pPr>
        <w:pStyle w:val="Normal6"/>
      </w:pPr>
      <w:r>
        <w:t>1.</w:t>
      </w:r>
      <w:r>
        <w:tab/>
        <w:t xml:space="preserve">9.981.482,10 kn (udio:38,34%) za povrat doprinosa za osnovno zdravstveno osiguranje i doprinosa za zapošljavanje poslodavcima (378 poslodavaca kod kojih je bilo zaposleno  1.297  osoba s invaliditetom), </w:t>
      </w:r>
    </w:p>
    <w:p w:rsidR="00AC0832" w:rsidRDefault="00AC0832">
      <w:pPr>
        <w:pStyle w:val="Normal6"/>
      </w:pPr>
      <w:r>
        <w:t>2.</w:t>
      </w:r>
      <w:r>
        <w:tab/>
        <w:t xml:space="preserve">7.239.954,45 kn (udio:27,81%) za naknadu razlike radi smanjenog radnog učinaka, </w:t>
      </w:r>
    </w:p>
    <w:p w:rsidR="00AC0832" w:rsidRDefault="00AC0832">
      <w:pPr>
        <w:pStyle w:val="Normal6"/>
      </w:pPr>
      <w:r>
        <w:t>3.</w:t>
      </w:r>
      <w:r>
        <w:tab/>
        <w:t xml:space="preserve">7.473.170,66 kn (udio:28,70%) za sufinanciranje troškova osobnog asistenta, </w:t>
      </w:r>
    </w:p>
    <w:p w:rsidR="00AC0832" w:rsidRDefault="00AC0832">
      <w:pPr>
        <w:pStyle w:val="Normal6"/>
      </w:pPr>
      <w:r>
        <w:t>4.</w:t>
      </w:r>
      <w:r>
        <w:tab/>
        <w:t xml:space="preserve">24.975,90 kn (udio:0,096%) za obrazovanje zaposlenih i nezaposlenih osoba s invaliditetom, </w:t>
      </w:r>
    </w:p>
    <w:p w:rsidR="00AC0832" w:rsidRDefault="00AC0832">
      <w:pPr>
        <w:pStyle w:val="Normal6"/>
      </w:pPr>
      <w:r>
        <w:t>5.</w:t>
      </w:r>
      <w:r>
        <w:tab/>
        <w:t xml:space="preserve">267.741,13 kn (udio:1,028%) za prilagodbu ranih mjesta – arhitektonska prilagodba, </w:t>
      </w:r>
    </w:p>
    <w:p w:rsidR="00AC0832" w:rsidRDefault="00AC0832">
      <w:pPr>
        <w:pStyle w:val="Normal6"/>
      </w:pPr>
      <w:r>
        <w:t>6.</w:t>
      </w:r>
      <w:r>
        <w:tab/>
        <w:t xml:space="preserve">661.536,12 kn (udio:2,541%) za prilagodbu uvjeta rada – tehnička prilagodba, </w:t>
      </w:r>
    </w:p>
    <w:p w:rsidR="00AC0832" w:rsidRDefault="00AC0832">
      <w:pPr>
        <w:pStyle w:val="Normal6"/>
      </w:pPr>
      <w:r>
        <w:t>7.</w:t>
      </w:r>
      <w:r>
        <w:tab/>
        <w:t xml:space="preserve">44.428,04 kn (udio:0,171)% za subvencioniranje kamata za kreditna sredstva namijenjena kupnji opreme, alata i pribora potrebnog za samozapošljavanje, odnosno zapošljavanje osobe s invaliditetom,  </w:t>
      </w:r>
    </w:p>
    <w:p w:rsidR="00AC0832" w:rsidRDefault="00AC0832">
      <w:pPr>
        <w:pStyle w:val="Normal6"/>
      </w:pPr>
      <w:r>
        <w:t>8.</w:t>
      </w:r>
      <w:r>
        <w:tab/>
        <w:t xml:space="preserve">341.746,55 kn (udio:1,312%) za sufinanciranje troškova radnog terapeuta. </w:t>
      </w:r>
    </w:p>
    <w:p w:rsidR="00AC0832" w:rsidRDefault="00AC0832">
      <w:pPr>
        <w:pStyle w:val="Normal6"/>
      </w:pPr>
      <w:r>
        <w:t xml:space="preserve"> </w:t>
      </w:r>
    </w:p>
    <w:p w:rsidR="00AC0832" w:rsidRDefault="00AC0832">
      <w:pPr>
        <w:pStyle w:val="Normal6"/>
      </w:pPr>
      <w:r>
        <w:t xml:space="preserve">U ukupno izvršenom proračunu Fonda udio ovih rashoda iznosi 54,98%.  </w:t>
      </w:r>
    </w:p>
    <w:p w:rsidR="00AC0832" w:rsidRDefault="00AC0832">
      <w:pPr>
        <w:pStyle w:val="Normal6"/>
      </w:pPr>
      <w:r>
        <w:t xml:space="preserve">Fond za ove namjene u 2013. godinu prenosi obveze u ukupnom iznosu od 118.508,30 kuna.  </w:t>
      </w:r>
    </w:p>
    <w:p w:rsidR="00AC0832" w:rsidRDefault="00AC0832">
      <w:pPr>
        <w:pStyle w:val="Normal6"/>
      </w:pPr>
      <w:r>
        <w:t xml:space="preserve">Za usporedbu u prethodnoj 2011. godini Fond je isplatio 34.319.335 kuna poticaja poslodavcima koji zapošljavaju osobe s invaliditetom u kojem iznosu je bilo i 462.123,66 kuna prenijetih obveza iz 2010. godine.  </w:t>
      </w:r>
    </w:p>
    <w:p w:rsidR="00AC0832" w:rsidRDefault="00AC0832">
      <w:pPr>
        <w:pStyle w:val="Normal6"/>
      </w:pPr>
      <w:r>
        <w:t xml:space="preserve">Isplata novčanih poticaja poslodavcima koji zapošljavaju osobe s invaliditetom jedna je od aktivnosti Fonda, a koristi se za novo zapošljavanje i održavanje zaposlenosti.  </w:t>
      </w:r>
    </w:p>
    <w:p w:rsidR="00AC0832" w:rsidRDefault="00AC0832">
      <w:pPr>
        <w:pStyle w:val="Normal6"/>
      </w:pPr>
      <w:r>
        <w:t xml:space="preserve">Dosadašnja iskustva su pokazala da se svake godine sve veći broj poslodavaca uključuje u ovu vrstu poticaja, te time pomaže očuvanju zaposlenosti osoba s invaliditetom i novom zapošljavanju, a jedina je iznimka bila prilikom izmjene i dopune Odluke krajem 2010. godine kada su od prava na poticaje bili izuzeti veliki poslodavci.  </w:t>
      </w:r>
    </w:p>
    <w:p w:rsidR="00AC0832" w:rsidRDefault="00AC0832">
      <w:pPr>
        <w:pStyle w:val="Normal6"/>
      </w:pPr>
      <w:r>
        <w:t>Cilj ove aktivnosti dio je aktivne politike zapošljavanja osoba s invaliditetom na tržištu rada.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317"/>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zaposlenih osoba s invaliditetom za koje poslodavci koriste poticaje</w:t>
            </w:r>
          </w:p>
        </w:tc>
        <w:tc>
          <w:tcPr>
            <w:tcW w:w="1300" w:type="dxa"/>
          </w:tcPr>
          <w:p w:rsidR="00AC0832" w:rsidRDefault="00AC0832">
            <w:pPr>
              <w:pStyle w:val="CellColumn"/>
            </w:pPr>
            <w:r>
              <w:t>Povećanjem korisnika poticaja smanjuje se i održava zaposlenost OSI</w:t>
            </w:r>
          </w:p>
        </w:tc>
        <w:tc>
          <w:tcPr>
            <w:tcW w:w="1300" w:type="dxa"/>
          </w:tcPr>
          <w:p w:rsidR="00AC0832" w:rsidRDefault="00AC0832">
            <w:pPr>
              <w:pStyle w:val="CellColumn"/>
            </w:pPr>
            <w:r>
              <w:t>Broj</w:t>
            </w:r>
          </w:p>
        </w:tc>
        <w:tc>
          <w:tcPr>
            <w:tcW w:w="1300" w:type="dxa"/>
          </w:tcPr>
          <w:p w:rsidR="00AC0832" w:rsidRDefault="00AC0832">
            <w:pPr>
              <w:pStyle w:val="CellColumn"/>
            </w:pPr>
            <w:r>
              <w:t>2450</w:t>
            </w:r>
          </w:p>
        </w:tc>
        <w:tc>
          <w:tcPr>
            <w:tcW w:w="1300" w:type="dxa"/>
          </w:tcPr>
          <w:p w:rsidR="00AC0832" w:rsidRDefault="00AC0832">
            <w:pPr>
              <w:pStyle w:val="CellColumn"/>
            </w:pPr>
            <w:r>
              <w:t>Fond</w:t>
            </w:r>
          </w:p>
        </w:tc>
        <w:tc>
          <w:tcPr>
            <w:tcW w:w="1300" w:type="dxa"/>
          </w:tcPr>
          <w:p w:rsidR="00AC0832" w:rsidRDefault="00AC0832">
            <w:pPr>
              <w:pStyle w:val="CellColumn"/>
            </w:pPr>
            <w:r>
              <w:t>2550</w:t>
            </w:r>
          </w:p>
        </w:tc>
        <w:tc>
          <w:tcPr>
            <w:tcW w:w="1300" w:type="dxa"/>
          </w:tcPr>
          <w:p w:rsidR="00AC0832" w:rsidRDefault="00AC0832">
            <w:pPr>
              <w:pStyle w:val="CellColumn"/>
            </w:pPr>
            <w:r>
              <w:t>1297</w:t>
            </w:r>
          </w:p>
        </w:tc>
      </w:tr>
    </w:tbl>
    <w:p w:rsidR="00AC0832" w:rsidRDefault="00AC0832">
      <w:pPr>
        <w:jc w:val="left"/>
      </w:pPr>
    </w:p>
    <w:p w:rsidR="00AC0832" w:rsidRDefault="00AC0832">
      <w:pPr>
        <w:jc w:val="left"/>
      </w:pPr>
    </w:p>
    <w:p w:rsidR="00AC0832" w:rsidRDefault="00AC0832">
      <w:pPr>
        <w:jc w:val="left"/>
      </w:pPr>
    </w:p>
    <w:p w:rsidR="00AC0832" w:rsidRDefault="00AC0832">
      <w:pPr>
        <w:pStyle w:val="Heading6"/>
      </w:pPr>
      <w:r>
        <w:t>A741007 OSPOSOBLJAVANJE ZA SAMOSTALAN ŽIVOT I RAD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A741007-OSPOSOBLJAVANJE ZA SAMOSTALAN ŽIVOT I RAD</w:t>
            </w:r>
          </w:p>
        </w:tc>
        <w:tc>
          <w:tcPr>
            <w:tcW w:w="2322" w:type="dxa"/>
          </w:tcPr>
          <w:p w:rsidR="00AC0832" w:rsidRDefault="00AC0832">
            <w:pPr>
              <w:pStyle w:val="CellColumn"/>
            </w:pPr>
            <w:r>
              <w:t>16.760.000</w:t>
            </w:r>
          </w:p>
        </w:tc>
        <w:tc>
          <w:tcPr>
            <w:tcW w:w="2322" w:type="dxa"/>
          </w:tcPr>
          <w:p w:rsidR="00AC0832" w:rsidRDefault="00AC0832">
            <w:pPr>
              <w:pStyle w:val="CellColumn"/>
            </w:pPr>
            <w:r>
              <w:t>16.598.839</w:t>
            </w:r>
          </w:p>
        </w:tc>
        <w:tc>
          <w:tcPr>
            <w:tcW w:w="2322" w:type="dxa"/>
          </w:tcPr>
          <w:p w:rsidR="00AC0832" w:rsidRDefault="00AC0832">
            <w:pPr>
              <w:pStyle w:val="CellColumn"/>
            </w:pPr>
            <w:r>
              <w:t>99,0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Fond je u 2012. godini imao izvršene rashode na ovoj aktivnosti, koji su u funkciji isplate naknada do zaposlenja, u iznosu od 15.838.839,22 kune  ili  99,01% od planiranih sredstava. Naknadu je shodno rješenjima centara za socijalnu skrb prosječno mjesečno koristilo 3.608 korisnika.  </w:t>
      </w:r>
    </w:p>
    <w:p w:rsidR="00AC0832" w:rsidRDefault="00AC0832">
      <w:pPr>
        <w:pStyle w:val="Normal6"/>
      </w:pPr>
      <w:r>
        <w:t xml:space="preserve">U ukupno izvršenom proračunu Fonda za 2011. godinu udio ovih sredstava bio je 33,46%.  </w:t>
      </w:r>
    </w:p>
    <w:p w:rsidR="00AC0832" w:rsidRDefault="00AC0832">
      <w:pPr>
        <w:pStyle w:val="Normal6"/>
      </w:pPr>
      <w:r>
        <w:t xml:space="preserve">Za isplatu ove naknade Fond je u 2012. godini imao značajne troškove za poštarinu, obzirom da se naknada isplaćuje putem Hrvatske pošte (naslijeđeno od Ministarstva zdravstva i socijalne skrbi), i to u iznosu od 760.000,00 kuna. U ukupno izvršenom proračunu Fonda udio ovih rashoda u 2012. godini bio je 1,61%.  </w:t>
      </w:r>
    </w:p>
    <w:p w:rsidR="00AC0832" w:rsidRDefault="00AC0832">
      <w:pPr>
        <w:pStyle w:val="Normal6"/>
      </w:pPr>
      <w:r>
        <w:t xml:space="preserve">Za usporedbu u 2011. godini za ovu namjenu od strane Fonda utrošeno je 15.741.816 kuna, uz napomenu da su se naknade počele iz Fonda isplaćivati od listopada 2007. godine. Do tada su se naknade isplaćivale iz sredstava Ministarstva zdravstva i socijalne skrbi.  </w:t>
      </w:r>
    </w:p>
    <w:p w:rsidR="00AC0832" w:rsidRDefault="00AC0832">
      <w:pPr>
        <w:pStyle w:val="Normal6"/>
      </w:pPr>
      <w:r>
        <w:t>Cilj ove aktivnosti je redovito i pravovremeno isplaćivanje naknade nezaposlenim osobama s invaliditetom, kojima je u čestom broju slučajeva ovo jedini prihod. Temeljem rješenja centra za socijalnu skrb Fond isplaćuje mjesečnu naknadu koja iznosi 350,00 kn po korisniku.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5"/>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nezaposlenih osoba s invaliditetom</w:t>
            </w:r>
          </w:p>
        </w:tc>
        <w:tc>
          <w:tcPr>
            <w:tcW w:w="1300" w:type="dxa"/>
          </w:tcPr>
          <w:p w:rsidR="00AC0832" w:rsidRDefault="00AC0832">
            <w:pPr>
              <w:pStyle w:val="CellColumn"/>
            </w:pPr>
            <w:r>
              <w:t>Fond vrši isplatu naknade do zaposlenja za OSI</w:t>
            </w:r>
          </w:p>
        </w:tc>
        <w:tc>
          <w:tcPr>
            <w:tcW w:w="1300" w:type="dxa"/>
          </w:tcPr>
          <w:p w:rsidR="00AC0832" w:rsidRDefault="00AC0832">
            <w:pPr>
              <w:pStyle w:val="CellColumn"/>
            </w:pPr>
            <w:r>
              <w:t>Broj</w:t>
            </w:r>
          </w:p>
        </w:tc>
        <w:tc>
          <w:tcPr>
            <w:tcW w:w="1300" w:type="dxa"/>
          </w:tcPr>
          <w:p w:rsidR="00AC0832" w:rsidRDefault="00AC0832">
            <w:pPr>
              <w:pStyle w:val="CellColumn"/>
            </w:pPr>
            <w:r>
              <w:t>3476</w:t>
            </w:r>
          </w:p>
        </w:tc>
        <w:tc>
          <w:tcPr>
            <w:tcW w:w="1300" w:type="dxa"/>
          </w:tcPr>
          <w:p w:rsidR="00AC0832" w:rsidRDefault="00AC0832">
            <w:pPr>
              <w:pStyle w:val="CellColumn"/>
            </w:pPr>
            <w:r>
              <w:t>Fond</w:t>
            </w:r>
          </w:p>
        </w:tc>
        <w:tc>
          <w:tcPr>
            <w:tcW w:w="1300" w:type="dxa"/>
          </w:tcPr>
          <w:p w:rsidR="00AC0832" w:rsidRDefault="00AC0832">
            <w:pPr>
              <w:pStyle w:val="CellColumn"/>
            </w:pPr>
            <w:r>
              <w:t>3500</w:t>
            </w:r>
          </w:p>
        </w:tc>
        <w:tc>
          <w:tcPr>
            <w:tcW w:w="1300" w:type="dxa"/>
          </w:tcPr>
          <w:p w:rsidR="00AC0832" w:rsidRDefault="00AC0832">
            <w:pPr>
              <w:pStyle w:val="CellColumn"/>
            </w:pPr>
            <w:r>
              <w:t>3608</w:t>
            </w:r>
          </w:p>
        </w:tc>
      </w:tr>
    </w:tbl>
    <w:p w:rsidR="00AC0832" w:rsidRDefault="00AC0832">
      <w:pPr>
        <w:jc w:val="left"/>
      </w:pPr>
    </w:p>
    <w:p w:rsidR="00AC0832" w:rsidRDefault="00AC0832">
      <w:pPr>
        <w:pStyle w:val="Heading6"/>
      </w:pPr>
      <w:r>
        <w:t>K741004 OPREMANJE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K741004-OPREMANJE</w:t>
            </w:r>
          </w:p>
        </w:tc>
        <w:tc>
          <w:tcPr>
            <w:tcW w:w="2322" w:type="dxa"/>
          </w:tcPr>
          <w:p w:rsidR="00AC0832" w:rsidRDefault="00AC0832">
            <w:pPr>
              <w:pStyle w:val="CellColumn"/>
            </w:pPr>
            <w:r>
              <w:t>112.000</w:t>
            </w:r>
          </w:p>
        </w:tc>
        <w:tc>
          <w:tcPr>
            <w:tcW w:w="2322" w:type="dxa"/>
          </w:tcPr>
          <w:p w:rsidR="00AC0832" w:rsidRDefault="00AC0832">
            <w:pPr>
              <w:pStyle w:val="CellColumn"/>
            </w:pPr>
            <w:r>
              <w:t>69.525</w:t>
            </w:r>
          </w:p>
        </w:tc>
        <w:tc>
          <w:tcPr>
            <w:tcW w:w="2322" w:type="dxa"/>
          </w:tcPr>
          <w:p w:rsidR="00AC0832" w:rsidRDefault="00AC0832">
            <w:pPr>
              <w:pStyle w:val="CellColumn"/>
            </w:pPr>
            <w:r>
              <w:t>62,1</w:t>
            </w:r>
          </w:p>
        </w:tc>
      </w:tr>
    </w:tbl>
    <w:p w:rsidR="00AC0832" w:rsidRDefault="00AC0832">
      <w:pPr>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 xml:space="preserve">Rashodi za opremanje Fonda u 2012. godini izvršeni su u iznosu 69.524,95 kuna. U ukupno izvršenom proračunu udio rashoda za nabavu opreme iznosi tek 0,147 %. Izvršeni rashodi za nabavu opreme  manji su za 37,92 % od planiranih. </w:t>
      </w:r>
    </w:p>
    <w:p w:rsidR="00AC0832" w:rsidRDefault="00AC0832">
      <w:pPr>
        <w:pStyle w:val="Normal6"/>
      </w:pPr>
      <w:r>
        <w:t xml:space="preserve">Najvećim dijelom izvršeni rashodi za nabavu opreme odnose se na rashode za nabavu računala i računalne opreme (server i monitori), te uredsku opremu. </w:t>
      </w:r>
    </w:p>
    <w:p w:rsidR="00AC0832" w:rsidRDefault="00AC0832">
      <w:pPr>
        <w:pStyle w:val="Normal6"/>
      </w:pPr>
      <w:r>
        <w:t xml:space="preserve">Za usporedbu u 2011. godini ukupno izvršeni rashodi za nabavu nefinancijske imovine (opremanje Fonda) iznosili su 106.461 kunu.  </w:t>
      </w:r>
    </w:p>
    <w:p w:rsidR="00AC0832" w:rsidRDefault="00AC0832">
      <w:pPr>
        <w:pStyle w:val="Normal6"/>
      </w:pPr>
      <w:r>
        <w:t>Cilj ove aktivnosti je jačanje kapaciteta Fonda. Ukoliko želimo ostvariti sve posebne ciljeve, koji prethode ostvarenju općeg cilj ,a to je uključivanje osoba s invaliditetom na tržište rada, nužno je kontinuirano provoditi jačanje kapaciteta u Fondu, što će rezultirati učinkovitijim poslovnim procesom, koji će omogućiti brže i kvalitetnije pružanje usluga krajnjim korisnicima.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495"/>
        <w:gridCol w:w="1298"/>
        <w:gridCol w:w="1299"/>
        <w:gridCol w:w="1299"/>
        <w:gridCol w:w="1299"/>
        <w:gridCol w:w="129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Kupovina opreme</w:t>
            </w:r>
          </w:p>
        </w:tc>
        <w:tc>
          <w:tcPr>
            <w:tcW w:w="1300" w:type="dxa"/>
          </w:tcPr>
          <w:p w:rsidR="00AC0832" w:rsidRDefault="00AC0832">
            <w:pPr>
              <w:pStyle w:val="CellColumn"/>
            </w:pPr>
            <w:r>
              <w:t>Nabavom novih računala nastavlja se proces informatizacije Fonda.</w:t>
            </w:r>
          </w:p>
        </w:tc>
        <w:tc>
          <w:tcPr>
            <w:tcW w:w="1300" w:type="dxa"/>
          </w:tcPr>
          <w:p w:rsidR="00AC0832" w:rsidRDefault="00AC0832">
            <w:pPr>
              <w:pStyle w:val="CellColumn"/>
            </w:pPr>
            <w:r>
              <w:t>Komad</w:t>
            </w:r>
          </w:p>
        </w:tc>
        <w:tc>
          <w:tcPr>
            <w:tcW w:w="1300" w:type="dxa"/>
          </w:tcPr>
          <w:p w:rsidR="00AC0832" w:rsidRDefault="00AC0832">
            <w:pPr>
              <w:pStyle w:val="CellColumn"/>
            </w:pPr>
            <w:r>
              <w:t>0</w:t>
            </w:r>
          </w:p>
        </w:tc>
        <w:tc>
          <w:tcPr>
            <w:tcW w:w="1300" w:type="dxa"/>
          </w:tcPr>
          <w:p w:rsidR="00AC0832" w:rsidRDefault="00AC0832">
            <w:pPr>
              <w:pStyle w:val="CellColumn"/>
            </w:pPr>
            <w:r>
              <w:t>Fond</w:t>
            </w:r>
          </w:p>
        </w:tc>
        <w:tc>
          <w:tcPr>
            <w:tcW w:w="1300" w:type="dxa"/>
          </w:tcPr>
          <w:p w:rsidR="00AC0832" w:rsidRDefault="00AC0832">
            <w:pPr>
              <w:pStyle w:val="CellColumn"/>
            </w:pPr>
            <w:r>
              <w:t>12</w:t>
            </w:r>
          </w:p>
        </w:tc>
        <w:tc>
          <w:tcPr>
            <w:tcW w:w="1300" w:type="dxa"/>
          </w:tcPr>
          <w:p w:rsidR="00AC0832" w:rsidRDefault="00AC0832">
            <w:pPr>
              <w:pStyle w:val="CellColumn"/>
            </w:pPr>
            <w:r>
              <w:t>12</w:t>
            </w:r>
          </w:p>
        </w:tc>
      </w:tr>
    </w:tbl>
    <w:p w:rsidR="00AC0832" w:rsidRDefault="00AC0832">
      <w:pPr>
        <w:jc w:val="left"/>
      </w:pPr>
    </w:p>
    <w:p w:rsidR="00AC0832" w:rsidRDefault="00AC0832">
      <w:pPr>
        <w:pStyle w:val="Heading6"/>
      </w:pPr>
      <w:r>
        <w:t>K741008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K741008-INFORMATIZACIJA</w:t>
            </w:r>
          </w:p>
        </w:tc>
        <w:tc>
          <w:tcPr>
            <w:tcW w:w="2322" w:type="dxa"/>
          </w:tcPr>
          <w:p w:rsidR="00AC0832" w:rsidRDefault="00AC0832">
            <w:pPr>
              <w:pStyle w:val="CellColumn"/>
            </w:pPr>
            <w:r>
              <w:t>85.000</w:t>
            </w:r>
          </w:p>
        </w:tc>
        <w:tc>
          <w:tcPr>
            <w:tcW w:w="2322" w:type="dxa"/>
          </w:tcPr>
          <w:p w:rsidR="00AC0832" w:rsidRDefault="00AC0832">
            <w:pPr>
              <w:pStyle w:val="CellColumn"/>
            </w:pPr>
            <w:r>
              <w:t>84.042</w:t>
            </w:r>
          </w:p>
        </w:tc>
        <w:tc>
          <w:tcPr>
            <w:tcW w:w="2322" w:type="dxa"/>
          </w:tcPr>
          <w:p w:rsidR="00AC0832" w:rsidRDefault="00AC0832">
            <w:pPr>
              <w:pStyle w:val="CellColumn"/>
            </w:pPr>
            <w:r>
              <w:t>98,9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Rashodi za informatizaciju Fonda u 2012. godini iznosili su 84.042,05 kuna i bili su 98,87% od planiranih sredstava. Udio sredstava za informatizaciju u ukupnim rashodima Fonda je 0,177%, a sredstva su se koristila za obnovu licenci za korištenja programa računovodstvene i spisovodstvene komponente integriranog aplikacijskog sustava Fonda. U 2012. godini nije bila provedena završna (treća) faza informatizacije poslovnih procesa Fonda, a u skladu s državnim mjerama štednje. </w:t>
      </w:r>
    </w:p>
    <w:p w:rsidR="00AC0832" w:rsidRDefault="00AC0832">
      <w:pPr>
        <w:pStyle w:val="Normal6"/>
      </w:pPr>
      <w:r>
        <w:t>Cilj ove aktivnosti je jačanje kapaciteta Fonda, što će rezultirati učinkovitijim poslovnim procesom, koji će omogućiti brže i kvalitetnije pružanje usluga krajnjim korisnicima.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Licence</w:t>
            </w:r>
          </w:p>
        </w:tc>
        <w:tc>
          <w:tcPr>
            <w:tcW w:w="1300" w:type="dxa"/>
          </w:tcPr>
          <w:p w:rsidR="00AC0832" w:rsidRDefault="00AC0832">
            <w:pPr>
              <w:pStyle w:val="CellColumn"/>
            </w:pPr>
            <w:r>
              <w:t>Kupovina licenci omogučava nam nesmetano obavljanje poslovnih procesa u Fondu</w:t>
            </w:r>
          </w:p>
        </w:tc>
        <w:tc>
          <w:tcPr>
            <w:tcW w:w="1300" w:type="dxa"/>
          </w:tcPr>
          <w:p w:rsidR="00AC0832" w:rsidRDefault="00AC0832">
            <w:pPr>
              <w:pStyle w:val="CellColumn"/>
            </w:pPr>
            <w:r>
              <w:t>Broj</w:t>
            </w:r>
          </w:p>
        </w:tc>
        <w:tc>
          <w:tcPr>
            <w:tcW w:w="1300" w:type="dxa"/>
          </w:tcPr>
          <w:p w:rsidR="00AC0832" w:rsidRDefault="00AC0832">
            <w:pPr>
              <w:pStyle w:val="CellColumn"/>
            </w:pPr>
            <w:r>
              <w:t>2</w:t>
            </w:r>
          </w:p>
        </w:tc>
        <w:tc>
          <w:tcPr>
            <w:tcW w:w="1300" w:type="dxa"/>
          </w:tcPr>
          <w:p w:rsidR="00AC0832" w:rsidRDefault="00AC0832">
            <w:pPr>
              <w:pStyle w:val="CellColumn"/>
            </w:pPr>
            <w:r>
              <w:t>Fond</w:t>
            </w:r>
          </w:p>
        </w:tc>
        <w:tc>
          <w:tcPr>
            <w:tcW w:w="1300" w:type="dxa"/>
          </w:tcPr>
          <w:p w:rsidR="00AC0832" w:rsidRDefault="00AC0832">
            <w:pPr>
              <w:pStyle w:val="CellColumn"/>
            </w:pPr>
            <w:r>
              <w:t>2</w:t>
            </w:r>
          </w:p>
        </w:tc>
        <w:tc>
          <w:tcPr>
            <w:tcW w:w="1300" w:type="dxa"/>
          </w:tcPr>
          <w:p w:rsidR="00AC0832" w:rsidRDefault="00AC0832">
            <w:pPr>
              <w:pStyle w:val="CellColumn"/>
            </w:pPr>
            <w:r>
              <w:t>2</w:t>
            </w:r>
          </w:p>
        </w:tc>
      </w:tr>
    </w:tbl>
    <w:p w:rsidR="00AC0832" w:rsidRDefault="00AC0832">
      <w:pPr>
        <w:jc w:val="left"/>
      </w:pPr>
    </w:p>
    <w:p w:rsidR="00AC0832" w:rsidRDefault="00AC0832">
      <w:pPr>
        <w:pStyle w:val="Heading6"/>
      </w:pPr>
      <w:r>
        <w:t>K741009 OBNOVA VOZNOG PARKA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K741009-OBNOVA VOZNOG PARKA</w:t>
            </w:r>
          </w:p>
        </w:tc>
        <w:tc>
          <w:tcPr>
            <w:tcW w:w="2322" w:type="dxa"/>
          </w:tcPr>
          <w:p w:rsidR="00AC0832" w:rsidRDefault="00AC0832">
            <w:pPr>
              <w:pStyle w:val="CellColumn"/>
            </w:pPr>
            <w:r>
              <w:t>40.000</w:t>
            </w:r>
          </w:p>
        </w:tc>
        <w:tc>
          <w:tcPr>
            <w:tcW w:w="2322" w:type="dxa"/>
          </w:tcPr>
          <w:p w:rsidR="00AC0832" w:rsidRDefault="00AC0832">
            <w:pPr>
              <w:pStyle w:val="CellColumn"/>
            </w:pPr>
            <w:r>
              <w:t>33.573</w:t>
            </w:r>
          </w:p>
        </w:tc>
        <w:tc>
          <w:tcPr>
            <w:tcW w:w="2322" w:type="dxa"/>
          </w:tcPr>
          <w:p w:rsidR="00AC0832" w:rsidRDefault="00AC0832">
            <w:pPr>
              <w:pStyle w:val="CellColumn"/>
            </w:pPr>
            <w:r>
              <w:t>83,9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Fond je u prvoj polovici 2012. godini raspolagao s dva vozila kupljena na operativni lizing (poslovni najam), a u drugoj polovici 2012. sa jednim vozilom, a za što je u 2012. godini utrošeno 33.573,38 kuna ili 83,93% od planiranih sredstava. Udio utrošenih sredstava u 2012. godini u ukupnim sredstvima je 0,071%.  </w:t>
      </w:r>
    </w:p>
    <w:p w:rsidR="00AC0832" w:rsidRDefault="00AC0832">
      <w:pPr>
        <w:pStyle w:val="Normal6"/>
      </w:pPr>
      <w:r>
        <w:t>Za usporedbu u 2011. godini Fond je na ime poslovnog najma utrošio  36.699 kuna.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Otplata leasing rata za službena vozila</w:t>
            </w:r>
          </w:p>
        </w:tc>
        <w:tc>
          <w:tcPr>
            <w:tcW w:w="1300" w:type="dxa"/>
          </w:tcPr>
          <w:p w:rsidR="00AC0832" w:rsidRDefault="00AC0832">
            <w:pPr>
              <w:pStyle w:val="CellColumn"/>
            </w:pPr>
            <w:r>
              <w:t>Korištenje automobila za obavljanje djelatnosti Fonda</w:t>
            </w:r>
          </w:p>
        </w:tc>
        <w:tc>
          <w:tcPr>
            <w:tcW w:w="1300" w:type="dxa"/>
          </w:tcPr>
          <w:p w:rsidR="00AC0832" w:rsidRDefault="00AC0832">
            <w:pPr>
              <w:pStyle w:val="CellColumn"/>
            </w:pPr>
            <w:r>
              <w:t>Komad</w:t>
            </w:r>
          </w:p>
        </w:tc>
        <w:tc>
          <w:tcPr>
            <w:tcW w:w="1300" w:type="dxa"/>
          </w:tcPr>
          <w:p w:rsidR="00AC0832" w:rsidRDefault="00AC0832">
            <w:pPr>
              <w:pStyle w:val="CellColumn"/>
            </w:pPr>
            <w:r>
              <w:t>2</w:t>
            </w:r>
          </w:p>
        </w:tc>
        <w:tc>
          <w:tcPr>
            <w:tcW w:w="1300" w:type="dxa"/>
          </w:tcPr>
          <w:p w:rsidR="00AC0832" w:rsidRDefault="00AC0832">
            <w:pPr>
              <w:pStyle w:val="CellColumn"/>
            </w:pPr>
            <w:r>
              <w:t>Fond</w:t>
            </w:r>
          </w:p>
        </w:tc>
        <w:tc>
          <w:tcPr>
            <w:tcW w:w="1300" w:type="dxa"/>
          </w:tcPr>
          <w:p w:rsidR="00AC0832" w:rsidRDefault="00AC0832">
            <w:pPr>
              <w:pStyle w:val="CellColumn"/>
            </w:pPr>
            <w:r>
              <w:t>2</w:t>
            </w:r>
          </w:p>
        </w:tc>
        <w:tc>
          <w:tcPr>
            <w:tcW w:w="1300" w:type="dxa"/>
          </w:tcPr>
          <w:p w:rsidR="00AC0832" w:rsidRDefault="00AC0832">
            <w:pPr>
              <w:pStyle w:val="CellColumn"/>
            </w:pPr>
            <w:r>
              <w:t>2</w:t>
            </w:r>
          </w:p>
        </w:tc>
      </w:tr>
    </w:tbl>
    <w:p w:rsidR="00AC0832" w:rsidRDefault="00AC0832">
      <w:pPr>
        <w:jc w:val="left"/>
      </w:pPr>
    </w:p>
    <w:p w:rsidR="00AC0832" w:rsidRDefault="00AC0832">
      <w:pPr>
        <w:pStyle w:val="Heading2"/>
      </w:pPr>
      <w:r>
        <w:t>08645 Središnji registar osiguranika</w:t>
      </w:r>
    </w:p>
    <w:p w:rsidR="00AC0832" w:rsidRDefault="00AC0832">
      <w:pPr>
        <w:pStyle w:val="Heading4"/>
      </w:pPr>
      <w:r>
        <w:t>Uvod</w:t>
      </w:r>
    </w:p>
    <w:p w:rsidR="00AC0832" w:rsidRDefault="00AC0832">
      <w:pPr>
        <w:pStyle w:val="Normal3"/>
      </w:pPr>
      <w:r>
        <w:t xml:space="preserve">REGOS je osnovan Uredbom o osnivanju Središnjeg registra osiguranika (Narodne novine, broj 101/99). Osnovna zadaća REGOS-a je osmišljavanje, izgradnja i unapređivanje, kako poslovnog, tako i pripadnog informacijskog sustava mirovinskog osiguranja temeljem individualne kapitalizirane štednje te vođenje i održavanje registra podataka o doprinosima za obvezna mirovinska osiguranja po osiguranicima, tj. tehnička podrška II. stupu mirovinskog osiguranja. U dijelu poslova vezanih uz vođenje Registra te donošenje provedbenih propisa, REGOS ima javne ovlasti. </w:t>
      </w:r>
    </w:p>
    <w:p w:rsidR="00AC0832" w:rsidRDefault="00AC0832">
      <w:pPr>
        <w:pStyle w:val="Normal3"/>
      </w:pPr>
      <w:r>
        <w:t xml:space="preserve">U obavljanju poslova iz djelokruga rada, REGOS primjenjuje suvremena informacijska rješenja potrebna za odvijanje poslovnih procesa, kao i za objedinjavanje i transfer podataka sa svim subjektima u poslovnom okružju, što se osobito očituje u pružanju usluge e-REGOS, elektronsku razmjenu podataka između institucija u poslovnom okružju te omogućavanje uvida u stanje i promet po osobnom računu osiguranika - članu obveznog mirovinskog fonda putem interneta. </w:t>
      </w:r>
    </w:p>
    <w:p w:rsidR="00AC0832" w:rsidRDefault="00AC0832">
      <w:pPr>
        <w:pStyle w:val="Normal3"/>
      </w:pPr>
      <w:r>
        <w:t>Poslovi iz mjerodavnosti REGOS-a obavljaju se u suradnji s našim outsourcing partnerima Financijskom agencijom (FINA), Agencijom za podršku informacijskim sustavima i informacijskim tehnologijama d.o.o. (APIS IT) i Hrvatskim zavodom za mirovinsko osiguranje (HZMO), a temeljem sklopljenih Ugovora o povjeravanju dijela poslova Središnjeg registra osiguranika s navedenim partnerima.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08645-Središnji registar osiguranika</w:t>
            </w:r>
          </w:p>
        </w:tc>
        <w:tc>
          <w:tcPr>
            <w:tcW w:w="2322" w:type="dxa"/>
          </w:tcPr>
          <w:p w:rsidR="00AC0832" w:rsidRDefault="00AC0832">
            <w:pPr>
              <w:pStyle w:val="CellColumn"/>
            </w:pPr>
            <w:r>
              <w:t>98.299.288</w:t>
            </w:r>
          </w:p>
        </w:tc>
        <w:tc>
          <w:tcPr>
            <w:tcW w:w="2322" w:type="dxa"/>
          </w:tcPr>
          <w:p w:rsidR="00AC0832" w:rsidRDefault="00AC0832">
            <w:pPr>
              <w:pStyle w:val="CellColumn"/>
            </w:pPr>
            <w:r>
              <w:t>89.278.507</w:t>
            </w:r>
          </w:p>
        </w:tc>
        <w:tc>
          <w:tcPr>
            <w:tcW w:w="2322" w:type="dxa"/>
          </w:tcPr>
          <w:p w:rsidR="00AC0832" w:rsidRDefault="00AC0832">
            <w:pPr>
              <w:pStyle w:val="CellColumn"/>
            </w:pPr>
            <w:r>
              <w:t>90,8</w:t>
            </w:r>
          </w:p>
        </w:tc>
      </w:tr>
      <w:tr w:rsidR="00AC0832" w:rsidTr="00BE20ED">
        <w:trPr>
          <w:jc w:val="center"/>
        </w:trPr>
        <w:tc>
          <w:tcPr>
            <w:tcW w:w="2322" w:type="dxa"/>
          </w:tcPr>
          <w:p w:rsidR="00AC0832" w:rsidRDefault="00AC0832">
            <w:pPr>
              <w:pStyle w:val="CellColumnSmall"/>
            </w:pPr>
            <w:r>
              <w:t>4101-PODRŠKA SUSTAVU MIROVINSKOG OSIGURANJA</w:t>
            </w:r>
          </w:p>
        </w:tc>
        <w:tc>
          <w:tcPr>
            <w:tcW w:w="2322" w:type="dxa"/>
          </w:tcPr>
          <w:p w:rsidR="00AC0832" w:rsidRDefault="00AC0832">
            <w:pPr>
              <w:pStyle w:val="CellColumnSmall"/>
            </w:pPr>
            <w:r>
              <w:t>98.299.288</w:t>
            </w:r>
          </w:p>
        </w:tc>
        <w:tc>
          <w:tcPr>
            <w:tcW w:w="2322" w:type="dxa"/>
          </w:tcPr>
          <w:p w:rsidR="00AC0832" w:rsidRDefault="00AC0832">
            <w:pPr>
              <w:pStyle w:val="CellColumnSmall"/>
            </w:pPr>
            <w:r>
              <w:t>89.278.507</w:t>
            </w:r>
          </w:p>
        </w:tc>
        <w:tc>
          <w:tcPr>
            <w:tcW w:w="2322" w:type="dxa"/>
          </w:tcPr>
          <w:p w:rsidR="00AC0832" w:rsidRDefault="00AC0832">
            <w:pPr>
              <w:pStyle w:val="CellColumnSmall"/>
            </w:pPr>
            <w:r>
              <w:t>90,8</w:t>
            </w:r>
          </w:p>
        </w:tc>
      </w:tr>
    </w:tbl>
    <w:p w:rsidR="00AC0832" w:rsidRDefault="00AC0832">
      <w:pPr>
        <w:jc w:val="left"/>
      </w:pPr>
    </w:p>
    <w:p w:rsidR="00AC0832" w:rsidRDefault="00AC0832">
      <w:pPr>
        <w:pStyle w:val="Heading4"/>
      </w:pPr>
      <w:r>
        <w:t>OBRAZLOŽENJE PROGRAMA</w:t>
      </w:r>
    </w:p>
    <w:p w:rsidR="00AC0832" w:rsidRDefault="00AC0832">
      <w:pPr>
        <w:pStyle w:val="Heading5"/>
      </w:pPr>
      <w:r>
        <w:t>4101 PODRŠKA SUSTAVU MIROVINSKOG OSIGURANJA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4101-PODRŠKA SUSTAVU MIROVINSKOG OSIGURANJA</w:t>
            </w:r>
          </w:p>
        </w:tc>
        <w:tc>
          <w:tcPr>
            <w:tcW w:w="2322" w:type="dxa"/>
          </w:tcPr>
          <w:p w:rsidR="00AC0832" w:rsidRDefault="00AC0832">
            <w:pPr>
              <w:pStyle w:val="CellColumn"/>
            </w:pPr>
            <w:r>
              <w:t>98.299.288</w:t>
            </w:r>
          </w:p>
        </w:tc>
        <w:tc>
          <w:tcPr>
            <w:tcW w:w="2322" w:type="dxa"/>
          </w:tcPr>
          <w:p w:rsidR="00AC0832" w:rsidRDefault="00AC0832">
            <w:pPr>
              <w:pStyle w:val="CellColumn"/>
            </w:pPr>
            <w:r>
              <w:t>89.278.507</w:t>
            </w:r>
          </w:p>
        </w:tc>
        <w:tc>
          <w:tcPr>
            <w:tcW w:w="2322" w:type="dxa"/>
          </w:tcPr>
          <w:p w:rsidR="00AC0832" w:rsidRDefault="00AC0832">
            <w:pPr>
              <w:pStyle w:val="CellColumn"/>
            </w:pPr>
            <w:r>
              <w:t>90,8</w:t>
            </w:r>
          </w:p>
        </w:tc>
      </w:tr>
    </w:tbl>
    <w:p w:rsidR="00AC0832" w:rsidRDefault="00AC0832">
      <w:pPr>
        <w:jc w:val="left"/>
      </w:pPr>
    </w:p>
    <w:p w:rsidR="00AC0832" w:rsidRDefault="00AC0832">
      <w:pPr>
        <w:pStyle w:val="Heading6"/>
      </w:pPr>
      <w:r>
        <w:t>Opis programa</w:t>
      </w:r>
    </w:p>
    <w:p w:rsidR="00AC0832" w:rsidRDefault="00AC0832">
      <w:pPr>
        <w:pStyle w:val="Normal5"/>
      </w:pPr>
      <w:r>
        <w:t xml:space="preserve">Sve aktivnosti koje obavlja REGOS dio su programa Podrška sustavu mirovinske reforme –nositelj kojeg je Ministarstvo rada i mirovinskog sustava.  </w:t>
      </w:r>
    </w:p>
    <w:p w:rsidR="00AC0832" w:rsidRDefault="00AC0832">
      <w:pPr>
        <w:pStyle w:val="Normal5"/>
      </w:pPr>
      <w:r>
        <w:t xml:space="preserve">Cilj daljnjeg razvoja mirovinskog sustava je postizanje financijske i socijalne održivosti sustava, kao i postizanje te održavanje ravnoteže između razine mirovina ostvarenih samo u sustavu generacijske solidarnosti i razine mirovina ostvarenih u dva stupa mirovinskog osiguranja. </w:t>
      </w:r>
    </w:p>
    <w:p w:rsidR="00AC0832" w:rsidRDefault="00AC0832">
      <w:pPr>
        <w:pStyle w:val="Normal5"/>
      </w:pPr>
      <w:r>
        <w:t>Opći cilj REGOS-a je razvijanje i održavanje sustava mirovinskog osiguranja temeljem individualne kapitalizirane štednje odgovarajućim procesima, uz osiguranje dugoročne održivosti sustava te daljnji razvoj poslovnih procesa u registru kako bi postao prepoznatljivo mjesto za prikupljanje, obradu i razmjenu podataka u dijelu javnih davanja koji se odnosi na doprinose za mirovinska osiguranja i plaće.</w:t>
      </w:r>
    </w:p>
    <w:p w:rsidR="00AC0832" w:rsidRDefault="00AC0832">
      <w:pPr>
        <w:pStyle w:val="Heading6"/>
      </w:pPr>
      <w:r>
        <w:t>Zakonske i druge pravne osnove</w:t>
      </w:r>
    </w:p>
    <w:p w:rsidR="00AC0832" w:rsidRDefault="00AC0832">
      <w:pPr>
        <w:pStyle w:val="Normal5"/>
      </w:pPr>
      <w:r>
        <w:t xml:space="preserve">Osnovni normativni akti koji uređuju djelokrug rada REGOS-a su: </w:t>
      </w:r>
    </w:p>
    <w:p w:rsidR="00AC0832" w:rsidRDefault="00AC0832">
      <w:pPr>
        <w:pStyle w:val="Normal5"/>
      </w:pPr>
      <w:r>
        <w:t>Uredba o osnivanju Središnjeg registra osiguranika (''Narodne novine'', broj: 101/99) i Zakoni i to Zakon o obveznim i dobrovoljnim mirovinskim fondovima te provedbeni propisi doneseni temeljem navedenog Zakona (</w:t>
      </w:r>
      <w:r>
        <w:t>Narodne novine</w:t>
      </w:r>
      <w:r>
        <w:t>, broj: 49/99, 63/00, 103/03, 177/04, čl.23. i 25. toč. 2. Zakona o Hrvatskoj agenciji za nadzor financijskih usluga - 140/05, 71/07 i 124/10,114/11), Zakon o prikupljanju podataka po osiguranicima o doprinosima za obvezna mirovinska osiguranja (</w:t>
      </w:r>
      <w:r>
        <w:t>Narodne novine</w:t>
      </w:r>
      <w:r>
        <w:t> broj: 177/04, 90/11), Zakon o mirovinskim osiguravajućim društvima i isplati mirovina na temelju individualne kapitalizirane štednje, te provedbeni propisi doneseni temeljem navedenog Zakona (</w:t>
      </w:r>
      <w:r>
        <w:t>Narodne novine</w:t>
      </w:r>
      <w:r>
        <w:t>, broj: 106/99, 63/00, čl.23. i 25. toč. 3. Zakona o Hrvatskoj agenciji za nadzor financijskih usluga - 140/05 , 107/07, 114/11).</w:t>
      </w:r>
    </w:p>
    <w:p w:rsidR="00AC0832" w:rsidRDefault="00AC0832">
      <w:pPr>
        <w:pStyle w:val="Heading7"/>
      </w:pPr>
      <w:r>
        <w:t>Cilj 1. Tehnička podrška sustavu mirovinskog osiguranja na temelju individualne kapitalizirane štednje</w:t>
      </w:r>
    </w:p>
    <w:p w:rsidR="00AC0832" w:rsidRDefault="00AC0832">
      <w:pPr>
        <w:pStyle w:val="Heading8"/>
        <w:jc w:val="left"/>
      </w:pPr>
      <w:r>
        <w:t>Opis provedbe cilja programa</w:t>
      </w:r>
    </w:p>
    <w:p w:rsidR="00AC0832" w:rsidRDefault="00AC0832">
      <w:pPr>
        <w:pStyle w:val="Normal6"/>
      </w:pPr>
      <w:r>
        <w:t xml:space="preserve">Tehnička podrška II. stupu mirovinskog osiguranja obuhvaća poslove vezane uz prijavu/promjenu obveznog mirovinskog fonda, povezivanje podataka iz Obrazaca R-Sm sa pripadajućim uplatama doprinosa za II. stup mirovinskog osiguranja, prosljeđivanje povezanih uplata u obvezne mirovinske fondove i društva, preračun u obračunske jedinice i evidentiranje na osobnim računima osiguranika, zatvaranje osobnih računa i isplata sredstava zakonskim primateljima te istup iz II. stupa. </w:t>
      </w:r>
    </w:p>
    <w:p w:rsidR="00AC0832" w:rsidRDefault="00AC0832">
      <w:pPr>
        <w:pStyle w:val="Normal6"/>
      </w:pPr>
      <w:r>
        <w:t xml:space="preserve"> </w:t>
      </w:r>
    </w:p>
    <w:p w:rsidR="00AC0832" w:rsidRDefault="00AC0832">
      <w:pPr>
        <w:pStyle w:val="Normal6"/>
      </w:pPr>
      <w:r>
        <w:t xml:space="preserve">Analizom postojećeg stanja utvrđeno je da se tehnička podrška mirovinskom osiguranju na temelju individualne kapitalizirane štednje odvija nesmetano što je rezultiralo sa više od 40 mlrd. kn prosljeđenih u obvezne mirovinske fondove u razdoblju od 01.01.2002. do 31.12.2012. Moguća poboljšanja uočena su u procesu zatvaranja osobnih računa zbog odlaska u mirovinu temeljem individualne kapitalizirane štednje. </w:t>
      </w:r>
    </w:p>
    <w:p w:rsidR="00AC0832" w:rsidRDefault="00AC0832">
      <w:pPr>
        <w:pStyle w:val="Normal6"/>
      </w:pPr>
      <w:r>
        <w:t xml:space="preserve">Trenutačno se osobni računi zatvaraju zbog odlaska u mirovinu temeljem individualne kapitalizirane štednje za žene koje su ostvarile pravo na prijevremenu starosnu mirovinu.  </w:t>
      </w:r>
    </w:p>
    <w:p w:rsidR="00AC0832" w:rsidRDefault="00AC0832">
      <w:pPr>
        <w:pStyle w:val="Normal6"/>
      </w:pPr>
      <w:r>
        <w:t xml:space="preserve"> </w:t>
      </w:r>
    </w:p>
    <w:p w:rsidR="00AC0832" w:rsidRDefault="00AC0832">
      <w:pPr>
        <w:pStyle w:val="Normal6"/>
      </w:pPr>
      <w:r>
        <w:t xml:space="preserve">U razdoblju od 2012.-2014. očekivao se godišnji porast od 1-2% broja zatvorenih osobnih računa, a ostvarilo se 36% povećanja iz razloga što je znano veći broj osoba iskoristilo pravo na prijevremenu mirovinu. </w:t>
      </w:r>
    </w:p>
    <w:p w:rsidR="00AC0832" w:rsidRDefault="00AC0832">
      <w:pPr>
        <w:pStyle w:val="Normal6"/>
      </w:pPr>
      <w:r>
        <w:t xml:space="preserve">Razlog očekivanog porasta temelji se na tome što je broj članova obveznih mirovinskih fondova u razdoblju od 2009.-2011. rastao za minimalno 2% godišnje i što od 01.01.2012. pravo na ostvarenje prijevremene starosne mirovine iz II. stupa stječe i muška populacija. </w:t>
      </w:r>
    </w:p>
    <w:p w:rsidR="00AC0832" w:rsidRDefault="00AC0832">
      <w:pPr>
        <w:pStyle w:val="Normal6"/>
      </w:pPr>
      <w:r>
        <w:t xml:space="preserve"> </w:t>
      </w:r>
    </w:p>
    <w:p w:rsidR="00AC0832" w:rsidRDefault="00AC0832">
      <w:pPr>
        <w:pStyle w:val="Normal6"/>
      </w:pPr>
      <w:r>
        <w:t>Osim navedenih kategorija osiguranika osobni računi zatvarat će se i za osiguranike kojima je omogućen istup iz II stupa i ostvaruju pravo na mirovinu samo temeljem generacijske solidarnosti.</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84"/>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Porast iznosa doznačenih sredstava doprinosa sa osobnih računa zbog ostvarivanja prava na mirovinu</w:t>
            </w:r>
          </w:p>
        </w:tc>
        <w:tc>
          <w:tcPr>
            <w:tcW w:w="1300" w:type="dxa"/>
          </w:tcPr>
          <w:p w:rsidR="00AC0832" w:rsidRDefault="00AC0832">
            <w:pPr>
              <w:pStyle w:val="CellColumn"/>
            </w:pPr>
            <w:r>
              <w:t>Porast iznosa ukupno doznačenih sredstava doprinosa za mirovinsko osiguranje na temelju individualne kapitalizirane štednje dovest će do porasta mirovina umirovljenika</w:t>
            </w:r>
          </w:p>
        </w:tc>
        <w:tc>
          <w:tcPr>
            <w:tcW w:w="1300" w:type="dxa"/>
          </w:tcPr>
          <w:p w:rsidR="00AC0832" w:rsidRDefault="00AC0832">
            <w:pPr>
              <w:pStyle w:val="CellColumn"/>
            </w:pPr>
            <w:r>
              <w:t>mil.kn</w:t>
            </w:r>
          </w:p>
        </w:tc>
        <w:tc>
          <w:tcPr>
            <w:tcW w:w="1300" w:type="dxa"/>
          </w:tcPr>
          <w:p w:rsidR="00AC0832" w:rsidRDefault="00AC0832">
            <w:pPr>
              <w:pStyle w:val="CellColumn"/>
            </w:pPr>
            <w:r>
              <w:t>200</w:t>
            </w:r>
          </w:p>
        </w:tc>
        <w:tc>
          <w:tcPr>
            <w:tcW w:w="1300" w:type="dxa"/>
          </w:tcPr>
          <w:p w:rsidR="00AC0832" w:rsidRDefault="00AC0832">
            <w:pPr>
              <w:pStyle w:val="CellColumn"/>
            </w:pPr>
            <w:r>
              <w:t>Regos</w:t>
            </w:r>
          </w:p>
        </w:tc>
        <w:tc>
          <w:tcPr>
            <w:tcW w:w="1300" w:type="dxa"/>
          </w:tcPr>
          <w:p w:rsidR="00AC0832" w:rsidRDefault="00AC0832">
            <w:pPr>
              <w:pStyle w:val="CellColumn"/>
            </w:pPr>
            <w:r>
              <w:t>205</w:t>
            </w:r>
          </w:p>
        </w:tc>
        <w:tc>
          <w:tcPr>
            <w:tcW w:w="1300" w:type="dxa"/>
          </w:tcPr>
          <w:p w:rsidR="00AC0832" w:rsidRDefault="00AC0832">
            <w:pPr>
              <w:pStyle w:val="CellColumn"/>
            </w:pPr>
            <w:r>
              <w:t>205</w:t>
            </w:r>
          </w:p>
        </w:tc>
      </w:tr>
    </w:tbl>
    <w:p w:rsidR="00AC0832" w:rsidRDefault="00AC0832">
      <w:pPr>
        <w:jc w:val="left"/>
      </w:pPr>
    </w:p>
    <w:p w:rsidR="00AC0832" w:rsidRDefault="00AC0832">
      <w:pPr>
        <w:pStyle w:val="Heading7"/>
      </w:pPr>
      <w:r>
        <w:t>Cilj 2. Razvoj i promicanje e-poslovanja s korisnicima usluga u širem okružju, uz primjenu svjetskih standarda zaštite i sigurnosti informacijskog sustava</w:t>
      </w:r>
    </w:p>
    <w:p w:rsidR="00AC0832" w:rsidRDefault="00AC0832">
      <w:pPr>
        <w:pStyle w:val="Heading8"/>
        <w:jc w:val="left"/>
      </w:pPr>
      <w:r>
        <w:t>Opis provedbe cilja programa</w:t>
      </w:r>
    </w:p>
    <w:p w:rsidR="00AC0832" w:rsidRDefault="00AC0832">
      <w:pPr>
        <w:pStyle w:val="Normal6"/>
      </w:pPr>
      <w:r>
        <w:t xml:space="preserve">Razvoj i promicanje e-poslovanja, sastoji se od primjene suvremenih informacijskih tehnologija u komunikaciji s javnom i državnom upravom uz primjenu svjetskih standarda zaštite i sigurnosti informacijskog sustava kroz uslugu e-regos i elektronsku razmjenu podataka između institucija u okružju. </w:t>
      </w:r>
    </w:p>
    <w:p w:rsidR="00AC0832" w:rsidRDefault="00AC0832">
      <w:pPr>
        <w:pStyle w:val="Normal6"/>
      </w:pPr>
      <w:r>
        <w:t xml:space="preserve">Elektroničko poslovanje pridonosi bržim i kvalitetnijim obradama podataka, a time i točnim i ažurnim podacima u registru koji su nužni za ostvarivanje definiranog općeg cilja. </w:t>
      </w:r>
    </w:p>
    <w:p w:rsidR="00AC0832" w:rsidRDefault="00AC0832">
      <w:pPr>
        <w:pStyle w:val="Normal6"/>
      </w:pPr>
      <w:r>
        <w:t xml:space="preserve"> </w:t>
      </w:r>
    </w:p>
    <w:p w:rsidR="00AC0832" w:rsidRDefault="00AC0832">
      <w:pPr>
        <w:pStyle w:val="Normal6"/>
      </w:pPr>
      <w:r>
        <w:t xml:space="preserve">Uslugom e-Regos omogućena je poduzetnicima i svim ostalim obveznicima koji imaju zaposlene radnike ili isplaćuju drugi dohodak predaja Obrasca R-Sm putem interneta uz pravodobno primanje informacija o uspješnosti predaje i točnosti predanih podataka. Potpuno je automatiziran proces komunikacije s obveznicima te obveznici mogu elektronskim putem u sklopu ove usluge preuzeti podatke o nepovezanim Obrascima R-Sm i uplatama doprinosa za mirovinsko osiguranje na temelju individualne kapitalizirane štednje te članstvu o obveznim mirovinskim fondovima. </w:t>
      </w:r>
    </w:p>
    <w:p w:rsidR="00AC0832" w:rsidRDefault="00AC0832">
      <w:pPr>
        <w:pStyle w:val="Normal6"/>
      </w:pPr>
      <w:r>
        <w:t xml:space="preserve"> </w:t>
      </w:r>
    </w:p>
    <w:p w:rsidR="00AC0832" w:rsidRDefault="00AC0832">
      <w:pPr>
        <w:pStyle w:val="Normal6"/>
      </w:pPr>
      <w:r>
        <w:t xml:space="preserve">Obrasci R-S/R-Sm zaprimaju se na šalterima REGOS-a u poslovnicama FINA-e u papirnatom obliku i na magnetnom nositelju te putem Interneta kroz uslugu e-REGOS, u sklopu servisa HITRO.HR.  </w:t>
      </w:r>
    </w:p>
    <w:p w:rsidR="00AC0832" w:rsidRDefault="00AC0832">
      <w:pPr>
        <w:pStyle w:val="Normal6"/>
      </w:pPr>
      <w:r>
        <w:t xml:space="preserve">Kontinuirano se povećava broj korisnika usluge e-REGOS te se Obrazac R-Sm danas podnosi elektroničkim putem za gotovo dvije trećine osiguranika. Uvođenjem zakonske obveze podnošenja Obrasca R-Sm elektroničkim putem obveznicima za više od 100 osiguranika očekuje se daljnje povećanje korištenja usluge e-REGOS u 2012. godini. </w:t>
      </w:r>
    </w:p>
    <w:p w:rsidR="00AC0832" w:rsidRDefault="00AC0832">
      <w:pPr>
        <w:pStyle w:val="Normal6"/>
      </w:pPr>
      <w:r>
        <w:t xml:space="preserve"> </w:t>
      </w:r>
    </w:p>
    <w:p w:rsidR="00AC0832" w:rsidRDefault="00AC0832">
      <w:pPr>
        <w:pStyle w:val="Normal6"/>
      </w:pPr>
      <w:r>
        <w:t xml:space="preserve">Analizom postojećeg stanja utvrđeno je da se od ukupnog broja zaprimljenih Obrazaca R-Sm (3.553.681 u 2012. godini) jedna trećina obrazaca predaje u papirnom obliku, a tek 12 % putem interneta. Iako je usluga e-Regos jednostavna i poduzetnicima znatno olakšava obvezu predaje Obrasca R-Sm, još uvijek se nedovoljno koristi. Predaja Obrazaca R-Sm putem usluge e- Regos osigurava bržu obradu podataka uz manju mogućnost pogreške pri obradi. Kako bi se utjecalo na jačanje svijesti javnosti o korištenju interneta i elektroničkih dokumenata, a u skladu sa Strategijom razvitka elektroničkog poslovanja u RH, planira se provođenje niza aktivnosti na izradi i distribuciji promidžbenih materijala (brošure, letaka i sl.) što bi trebalo rezultirati povećanjem broja zaprimljenih Obrazaca R-Sm putem interneta za 5 % u slijedećoj 2013. godini. </w:t>
      </w:r>
    </w:p>
    <w:p w:rsidR="00AC0832" w:rsidRDefault="00AC0832">
      <w:pPr>
        <w:pStyle w:val="Normal6"/>
      </w:pPr>
      <w:r>
        <w:t xml:space="preserve"> </w:t>
      </w:r>
    </w:p>
    <w:p w:rsidR="00AC0832" w:rsidRDefault="00AC0832">
      <w:pPr>
        <w:pStyle w:val="Normal6"/>
      </w:pPr>
      <w:r>
        <w:t xml:space="preserve">Razmjena podataka između institucija u sustavu socijalnog osiguranja provodi se korištenjem sustava za elektronsku razmjenu podataka uz primjenu svjetskih standarda zaštite i sigurnosti informacijskog sustava.  </w:t>
      </w:r>
    </w:p>
    <w:p w:rsidR="00AC0832" w:rsidRDefault="00AC0832">
      <w:pPr>
        <w:pStyle w:val="Normal6"/>
      </w:pPr>
      <w:r>
        <w:t xml:space="preserve">Na ovaj način podaci prikupljeni i obrađeni u jednoj instituciji postaju dostupni drugim institucijama državne ili javne uprave, što dovodi do jačanja javnosti i transparentnosti rada javne administracije, djelotvornosti i zaštite javnog interesa. </w:t>
      </w:r>
    </w:p>
    <w:p w:rsidR="00AC0832" w:rsidRDefault="00AC0832">
      <w:pPr>
        <w:pStyle w:val="Normal6"/>
      </w:pPr>
      <w:r>
        <w:t xml:space="preserve"> </w:t>
      </w:r>
    </w:p>
    <w:p w:rsidR="00AC0832" w:rsidRDefault="00AC0832">
      <w:pPr>
        <w:pStyle w:val="Normal6"/>
      </w:pPr>
      <w:r>
        <w:t xml:space="preserve">Analizom stanja utvrđeno je da se podaci iz registra razmjenjuju su četiri institucije (Porezna uprava, Hrvatski zavod za mirovinsko osiguranje, Hrvatski zavod za zdravstveno osiguranje i Hrvatski zavod za zapošljavanje) kontinuirano sustavom elektroničke razmjene podataka, a sa dvije institucije postignut je sporazum o periodičnoj dostavi podataka temeljem zahtjeva (Državni zavod za statistiku i Ministarstvo branitelja).  </w:t>
      </w:r>
    </w:p>
    <w:p w:rsidR="00AC0832" w:rsidRDefault="00AC0832">
      <w:pPr>
        <w:pStyle w:val="Normal6"/>
      </w:pPr>
      <w:r>
        <w:t xml:space="preserve"> </w:t>
      </w:r>
    </w:p>
    <w:p w:rsidR="00AC0832" w:rsidRDefault="00AC0832">
      <w:pPr>
        <w:pStyle w:val="Normal6"/>
      </w:pPr>
      <w:r>
        <w:t xml:space="preserve">Elektronička razmjena podataka u sustavu socijalnog osiguranja osobito će doći do izražaja nakon ulaska RH u punopravno članstvo Europske unije. Naredno razdoblje bit će obilježeno prilagodbom postojećeg sustava elektroničke razmjene podataka u RH unificiranim procesima iz sustava socijalnog osiguranja Europske unije. Kako bi se omogućilo uspostavljanje kvalitetnog sustava za međunarodnu razmjenu podataka o socijalnim osiguranjima, nužno je provesti dodatno školovanje i usavršavanje radnika koji će raditi na pripadajućim projektima i poslovima. </w:t>
      </w:r>
    </w:p>
    <w:p w:rsidR="00AC0832" w:rsidRDefault="00AC0832">
      <w:pPr>
        <w:pStyle w:val="Normal6"/>
      </w:pPr>
      <w:r>
        <w:t xml:space="preserve"> </w:t>
      </w:r>
    </w:p>
    <w:p w:rsidR="00AC0832" w:rsidRDefault="00AC0832">
      <w:pPr>
        <w:pStyle w:val="Normal6"/>
      </w:pPr>
      <w:r>
        <w:t xml:space="preserve">Na sjednici, održanoj 20. siječnja 2011., Vlada Republike Hrvatske donijela je Odluku o određivanju Središnjeg registra osiguranika (REGOS) Pristupnom točkom (EU Access Point) za elektroničku razmjenu podataka u području koordinacije sustava socijalne sigurnosti (EESSI - Electronic Exchange of Social Security Information) REGOS će sukladno Odluci obavljati poslove pristupne točke za povezivanje s pristupnim točkama drugih država članica Europske unije za potrebe koordinacije sustava socijalne sigurnosti, koja se provodi izravnom primjenom europskih uredbi za koordinaciju sustava socijalne sigurnosti. </w:t>
      </w:r>
    </w:p>
    <w:p w:rsidR="00AC0832" w:rsidRDefault="00AC0832">
      <w:pPr>
        <w:pStyle w:val="Normal6"/>
      </w:pPr>
      <w:r>
        <w:t xml:space="preserve"> </w:t>
      </w:r>
    </w:p>
    <w:p w:rsidR="00AC0832" w:rsidRDefault="00AC0832">
      <w:pPr>
        <w:pStyle w:val="Normal6"/>
      </w:pPr>
      <w:r>
        <w:t xml:space="preserve">Cilj EESSI projekta je jačanje zaštite prava na socijalnu sigurnost građana koji se sele diljem Europe te ubrzanje i olakšanje procesa donošenja odluka za stvarni obračun i isplatu socijalnih naknada za ovu kategoriju građana što se može postići samo kroz osuvremenjivanje i ubrzavanje razmjene informacija između institucija socijalne sigurnosti država članica.  </w:t>
      </w:r>
    </w:p>
    <w:p w:rsidR="00AC0832" w:rsidRDefault="00AC0832">
      <w:pPr>
        <w:pStyle w:val="Normal6"/>
      </w:pPr>
      <w:r>
        <w:t xml:space="preserve"> </w:t>
      </w:r>
    </w:p>
    <w:p w:rsidR="00AC0832" w:rsidRDefault="00AC0832">
      <w:pPr>
        <w:pStyle w:val="Normal6"/>
      </w:pPr>
      <w:r>
        <w:t>Temeljem navedenog, REGOS će obavljati poslove nacionalnog središta za povezivanje s nacionalnim institucijama drugih država članica EU za potrebe koordinacije koja se provodi izravnom primjenom europskih uredbi za koordinaciju sustava socijalne sigurnosti radnika migranata i članova njihovih obitelji.</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317"/>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usklađenosti sustava elektroničke razmjene s EU standardima</w:t>
            </w:r>
          </w:p>
        </w:tc>
        <w:tc>
          <w:tcPr>
            <w:tcW w:w="1300" w:type="dxa"/>
          </w:tcPr>
          <w:p w:rsidR="00AC0832" w:rsidRDefault="00AC0832">
            <w:pPr>
              <w:pStyle w:val="CellColumn"/>
            </w:pPr>
            <w:r>
              <w:t>Potpuno usklađivanje sustava elektroničke razmjene s EU standardima</w:t>
            </w:r>
          </w:p>
        </w:tc>
        <w:tc>
          <w:tcPr>
            <w:tcW w:w="1300" w:type="dxa"/>
          </w:tcPr>
          <w:p w:rsidR="00AC0832" w:rsidRDefault="00AC0832">
            <w:pPr>
              <w:pStyle w:val="CellColumn"/>
            </w:pPr>
            <w:r>
              <w:t>%</w:t>
            </w:r>
          </w:p>
        </w:tc>
        <w:tc>
          <w:tcPr>
            <w:tcW w:w="1300" w:type="dxa"/>
          </w:tcPr>
          <w:p w:rsidR="00AC0832" w:rsidRDefault="00AC0832">
            <w:pPr>
              <w:pStyle w:val="CellColumn"/>
            </w:pPr>
            <w:r>
              <w:t>40</w:t>
            </w:r>
          </w:p>
        </w:tc>
        <w:tc>
          <w:tcPr>
            <w:tcW w:w="1300" w:type="dxa"/>
          </w:tcPr>
          <w:p w:rsidR="00AC0832" w:rsidRDefault="00AC0832">
            <w:pPr>
              <w:pStyle w:val="CellColumn"/>
            </w:pPr>
            <w:r>
              <w:t>Regos</w:t>
            </w:r>
          </w:p>
        </w:tc>
        <w:tc>
          <w:tcPr>
            <w:tcW w:w="1300" w:type="dxa"/>
          </w:tcPr>
          <w:p w:rsidR="00AC0832" w:rsidRDefault="00AC0832">
            <w:pPr>
              <w:pStyle w:val="CellColumn"/>
            </w:pPr>
            <w:r>
              <w:t>75</w:t>
            </w:r>
          </w:p>
        </w:tc>
        <w:tc>
          <w:tcPr>
            <w:tcW w:w="1300" w:type="dxa"/>
          </w:tcPr>
          <w:p w:rsidR="00AC0832" w:rsidRDefault="00AC0832">
            <w:pPr>
              <w:pStyle w:val="CellColumn"/>
            </w:pPr>
            <w:r>
              <w:t>75</w:t>
            </w:r>
          </w:p>
        </w:tc>
      </w:tr>
    </w:tbl>
    <w:p w:rsidR="00AC0832" w:rsidRDefault="00AC0832">
      <w:pPr>
        <w:jc w:val="left"/>
      </w:pPr>
    </w:p>
    <w:p w:rsidR="00AC0832" w:rsidRDefault="00AC0832">
      <w:pPr>
        <w:pStyle w:val="Heading6"/>
      </w:pPr>
      <w:r>
        <w:t>A539048 ADMINISTRACIJA I UPRAVLJANJE  SREDIŠNJEG REGISTRA OSIGURANIKA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A539048-ADMINISTRACIJA I UPRAVLJANJE  SREDIŠNJEG REGISTRA OSIGURANIKA</w:t>
            </w:r>
          </w:p>
        </w:tc>
        <w:tc>
          <w:tcPr>
            <w:tcW w:w="2322" w:type="dxa"/>
          </w:tcPr>
          <w:p w:rsidR="00AC0832" w:rsidRDefault="00AC0832">
            <w:pPr>
              <w:pStyle w:val="CellColumn"/>
            </w:pPr>
            <w:r>
              <w:t>9.541.023</w:t>
            </w:r>
          </w:p>
        </w:tc>
        <w:tc>
          <w:tcPr>
            <w:tcW w:w="2322" w:type="dxa"/>
          </w:tcPr>
          <w:p w:rsidR="00AC0832" w:rsidRDefault="00AC0832">
            <w:pPr>
              <w:pStyle w:val="CellColumn"/>
            </w:pPr>
            <w:r>
              <w:t>8.744.144</w:t>
            </w:r>
          </w:p>
        </w:tc>
        <w:tc>
          <w:tcPr>
            <w:tcW w:w="2322" w:type="dxa"/>
          </w:tcPr>
          <w:p w:rsidR="00AC0832" w:rsidRDefault="00AC0832">
            <w:pPr>
              <w:pStyle w:val="CellColumn"/>
            </w:pPr>
            <w:r>
              <w:t>91,6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Sredstva planirana na aktivnostima: Administracija i upravljanje Središnjeg registra osiguranika, Informatizacija i Obnova voznog parka namijenjena su za obavljanje redovne djelatnosti REGOS-a i to za rashode za zaposlene, materijalne rashode, financijske rashode i rashode za nabavu nefinancijske imovine.</w:t>
      </w:r>
    </w:p>
    <w:p w:rsidR="00AC0832" w:rsidRDefault="00AC0832">
      <w:pPr>
        <w:pStyle w:val="Heading6"/>
      </w:pPr>
      <w:r>
        <w:t>A772002 TEHNIČKA PODRŠKA II STUPU I RAZMJENA PODATAKA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A772002-TEHNIČKA PODRŠKA II STUPU I RAZMJENA PODATAKA</w:t>
            </w:r>
          </w:p>
        </w:tc>
        <w:tc>
          <w:tcPr>
            <w:tcW w:w="2322" w:type="dxa"/>
          </w:tcPr>
          <w:p w:rsidR="00AC0832" w:rsidRDefault="00AC0832">
            <w:pPr>
              <w:pStyle w:val="CellColumn"/>
            </w:pPr>
            <w:r>
              <w:t>88.148.265</w:t>
            </w:r>
          </w:p>
        </w:tc>
        <w:tc>
          <w:tcPr>
            <w:tcW w:w="2322" w:type="dxa"/>
          </w:tcPr>
          <w:p w:rsidR="00AC0832" w:rsidRDefault="00AC0832">
            <w:pPr>
              <w:pStyle w:val="CellColumn"/>
            </w:pPr>
            <w:r>
              <w:t>80.093.007</w:t>
            </w:r>
          </w:p>
        </w:tc>
        <w:tc>
          <w:tcPr>
            <w:tcW w:w="2322" w:type="dxa"/>
          </w:tcPr>
          <w:p w:rsidR="00AC0832" w:rsidRDefault="00AC0832">
            <w:pPr>
              <w:pStyle w:val="CellColumn"/>
            </w:pPr>
            <w:r>
              <w:t>90,9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Najznačajnija aktivnost je Tehnička podrška II. stupu i razmjena podataka, a obuhvaća: poslove vezane uz članstvo u obveznim mirovinskim fondovima, poslove vezane uz Obrazac R-S/R-Sm, poslove vezane uz uplate doprinosa, poslove vođenja jedinstvenog računovodstva osobnih računa, poslove vezane uz ažuriranje matičnih baza podataka, poslovi obveznog i statističkog izvješćivanja u sustavu i razmjene podataka s povezanim institucijama, poslove vezane uz reklamacije, povrate i ispravke, poslove vezane uz arhiviranje dokumentacije i podataka, poslove uvida u stanje i promet na osobnim računima osiguranika putem interneta.  Poslovi iz mjerodavnosti REGOS-a obavljaju se u suradnji s outsourcing partnerima: Financijskom agencijom (FINA), Agencijom za podršku informacijskim sustavima i informacijskim tehnologijama d.o.o. (APIS IT) i Hrvatskim zavodom za mirovinsko osiguranje (HZMO), a temeljem sklopljenih Ugovora o povjeravanju dijela poslova Središnjeg registra osiguranika s navedenim partnerima. Ukupna sredstva potrebita za obavljanje ovih aktivnosti u 2012. godini iznosila su 80.093.007 kn.</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929"/>
        <w:gridCol w:w="1291"/>
        <w:gridCol w:w="1166"/>
        <w:gridCol w:w="1147"/>
        <w:gridCol w:w="1166"/>
        <w:gridCol w:w="120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Iznos ukupno proslijeđenih sredstava doprinosa temeljem individualne kapitalizirane štednje u obvezne mirovinske fondove</w:t>
            </w:r>
          </w:p>
        </w:tc>
        <w:tc>
          <w:tcPr>
            <w:tcW w:w="1300" w:type="dxa"/>
          </w:tcPr>
          <w:p w:rsidR="00AC0832" w:rsidRDefault="00AC0832">
            <w:pPr>
              <w:pStyle w:val="CellColumn"/>
            </w:pPr>
            <w:r>
              <w:t>Povećanjem ukupnog iznosa proslijeđenih sredstava sredstava doprinosa temeljem individualne kapitalizirane štednje u obvezne mirovinske fondove povećat će se zadovoljstvo svih sudinika reformiranog mirovinskog sustava</w:t>
            </w:r>
          </w:p>
        </w:tc>
        <w:tc>
          <w:tcPr>
            <w:tcW w:w="1300" w:type="dxa"/>
          </w:tcPr>
          <w:p w:rsidR="00AC0832" w:rsidRDefault="00AC0832">
            <w:pPr>
              <w:pStyle w:val="CellColumn"/>
            </w:pPr>
            <w:r>
              <w:t>Mlrd</w:t>
            </w:r>
          </w:p>
        </w:tc>
        <w:tc>
          <w:tcPr>
            <w:tcW w:w="1300" w:type="dxa"/>
          </w:tcPr>
          <w:p w:rsidR="00AC0832" w:rsidRDefault="00AC0832">
            <w:pPr>
              <w:pStyle w:val="CellColumn"/>
            </w:pPr>
            <w:r>
              <w:t>36</w:t>
            </w:r>
          </w:p>
        </w:tc>
        <w:tc>
          <w:tcPr>
            <w:tcW w:w="1300" w:type="dxa"/>
          </w:tcPr>
          <w:p w:rsidR="00AC0832" w:rsidRDefault="00AC0832">
            <w:pPr>
              <w:pStyle w:val="CellColumn"/>
            </w:pPr>
            <w:r>
              <w:t>Regos</w:t>
            </w:r>
          </w:p>
        </w:tc>
        <w:tc>
          <w:tcPr>
            <w:tcW w:w="1300" w:type="dxa"/>
          </w:tcPr>
          <w:p w:rsidR="00AC0832" w:rsidRDefault="00AC0832">
            <w:pPr>
              <w:pStyle w:val="CellColumn"/>
            </w:pPr>
            <w:r>
              <w:t>39</w:t>
            </w:r>
          </w:p>
        </w:tc>
        <w:tc>
          <w:tcPr>
            <w:tcW w:w="1300" w:type="dxa"/>
          </w:tcPr>
          <w:p w:rsidR="00AC0832" w:rsidRDefault="00AC0832">
            <w:pPr>
              <w:pStyle w:val="CellColumn"/>
            </w:pPr>
            <w:r>
              <w:t>40</w:t>
            </w:r>
          </w:p>
        </w:tc>
      </w:tr>
      <w:tr w:rsidR="00AC0832" w:rsidTr="00BE20ED">
        <w:trPr>
          <w:jc w:val="center"/>
        </w:trPr>
        <w:tc>
          <w:tcPr>
            <w:tcW w:w="1300" w:type="dxa"/>
          </w:tcPr>
          <w:p w:rsidR="00AC0832" w:rsidRDefault="00AC0832">
            <w:pPr>
              <w:pStyle w:val="CellColumn"/>
            </w:pPr>
            <w:r>
              <w:t>Postotak porasta broja zatvorenih računa zbog odlaska u mirovinu</w:t>
            </w:r>
          </w:p>
        </w:tc>
        <w:tc>
          <w:tcPr>
            <w:tcW w:w="1300" w:type="dxa"/>
          </w:tcPr>
          <w:p w:rsidR="00AC0832" w:rsidRDefault="00AC0832">
            <w:pPr>
              <w:pStyle w:val="CellColumn"/>
            </w:pPr>
            <w:r>
              <w:t>Unaprijeđenje procesa zatvaranja osobnog računa prilikom ostvarivanja prava na mirovinu rezultirat će pojednostavljenjem postupka zatvaranja osobnih računa</w:t>
            </w:r>
          </w:p>
        </w:tc>
        <w:tc>
          <w:tcPr>
            <w:tcW w:w="1300" w:type="dxa"/>
          </w:tcPr>
          <w:p w:rsidR="00AC0832" w:rsidRDefault="00AC0832">
            <w:pPr>
              <w:pStyle w:val="CellColumn"/>
            </w:pPr>
            <w:r>
              <w:t>%</w:t>
            </w:r>
          </w:p>
        </w:tc>
        <w:tc>
          <w:tcPr>
            <w:tcW w:w="1300" w:type="dxa"/>
          </w:tcPr>
          <w:p w:rsidR="00AC0832" w:rsidRDefault="00AC0832">
            <w:pPr>
              <w:pStyle w:val="CellColumn"/>
            </w:pPr>
            <w:r>
              <w:t>2</w:t>
            </w:r>
          </w:p>
        </w:tc>
        <w:tc>
          <w:tcPr>
            <w:tcW w:w="1300" w:type="dxa"/>
          </w:tcPr>
          <w:p w:rsidR="00AC0832" w:rsidRDefault="00AC0832">
            <w:pPr>
              <w:pStyle w:val="CellColumn"/>
            </w:pPr>
            <w:r>
              <w:t>Regos</w:t>
            </w:r>
          </w:p>
        </w:tc>
        <w:tc>
          <w:tcPr>
            <w:tcW w:w="1300" w:type="dxa"/>
          </w:tcPr>
          <w:p w:rsidR="00AC0832" w:rsidRDefault="00AC0832">
            <w:pPr>
              <w:pStyle w:val="CellColumn"/>
            </w:pPr>
            <w:r>
              <w:t>1,5</w:t>
            </w:r>
          </w:p>
        </w:tc>
        <w:tc>
          <w:tcPr>
            <w:tcW w:w="1300" w:type="dxa"/>
          </w:tcPr>
          <w:p w:rsidR="00AC0832" w:rsidRDefault="00AC0832">
            <w:pPr>
              <w:pStyle w:val="CellColumn"/>
            </w:pPr>
            <w:r>
              <w:t>36</w:t>
            </w:r>
          </w:p>
        </w:tc>
      </w:tr>
      <w:tr w:rsidR="00AC0832" w:rsidTr="00BE20ED">
        <w:trPr>
          <w:jc w:val="center"/>
        </w:trPr>
        <w:tc>
          <w:tcPr>
            <w:tcW w:w="1300" w:type="dxa"/>
          </w:tcPr>
          <w:p w:rsidR="00AC0832" w:rsidRDefault="00AC0832">
            <w:pPr>
              <w:pStyle w:val="CellColumn"/>
            </w:pPr>
            <w:r>
              <w:t>Postotak porasta broja Obrazaca R-Sm podnijetih putem usluge e- regos</w:t>
            </w:r>
          </w:p>
        </w:tc>
        <w:tc>
          <w:tcPr>
            <w:tcW w:w="1300" w:type="dxa"/>
          </w:tcPr>
          <w:p w:rsidR="00AC0832" w:rsidRDefault="00AC0832">
            <w:pPr>
              <w:pStyle w:val="CellColumn"/>
            </w:pPr>
            <w:r>
              <w:t>Porast broja Obrazaca R-Sm podnijetih putem usluge e-regos rezultirat će točnijim podacima u registru</w:t>
            </w:r>
          </w:p>
        </w:tc>
        <w:tc>
          <w:tcPr>
            <w:tcW w:w="1300" w:type="dxa"/>
          </w:tcPr>
          <w:p w:rsidR="00AC0832" w:rsidRDefault="00AC0832">
            <w:pPr>
              <w:pStyle w:val="CellColumn"/>
            </w:pPr>
            <w:r>
              <w:t>%</w:t>
            </w:r>
          </w:p>
        </w:tc>
        <w:tc>
          <w:tcPr>
            <w:tcW w:w="1300" w:type="dxa"/>
          </w:tcPr>
          <w:p w:rsidR="00AC0832" w:rsidRDefault="00AC0832">
            <w:pPr>
              <w:pStyle w:val="CellColumn"/>
            </w:pPr>
            <w:r>
              <w:t>4</w:t>
            </w:r>
          </w:p>
        </w:tc>
        <w:tc>
          <w:tcPr>
            <w:tcW w:w="1300" w:type="dxa"/>
          </w:tcPr>
          <w:p w:rsidR="00AC0832" w:rsidRDefault="00AC0832">
            <w:pPr>
              <w:pStyle w:val="CellColumn"/>
            </w:pPr>
            <w:r>
              <w:t>Regos</w:t>
            </w:r>
          </w:p>
        </w:tc>
        <w:tc>
          <w:tcPr>
            <w:tcW w:w="1300" w:type="dxa"/>
          </w:tcPr>
          <w:p w:rsidR="00AC0832" w:rsidRDefault="00AC0832">
            <w:pPr>
              <w:pStyle w:val="CellColumn"/>
            </w:pPr>
            <w:r>
              <w:t>5</w:t>
            </w:r>
          </w:p>
        </w:tc>
        <w:tc>
          <w:tcPr>
            <w:tcW w:w="1300" w:type="dxa"/>
          </w:tcPr>
          <w:p w:rsidR="00AC0832" w:rsidRDefault="00AC0832">
            <w:pPr>
              <w:pStyle w:val="CellColumn"/>
            </w:pPr>
            <w:r>
              <w:t>12</w:t>
            </w:r>
          </w:p>
        </w:tc>
      </w:tr>
      <w:tr w:rsidR="00AC0832" w:rsidTr="00BE20ED">
        <w:trPr>
          <w:jc w:val="center"/>
        </w:trPr>
        <w:tc>
          <w:tcPr>
            <w:tcW w:w="1300" w:type="dxa"/>
          </w:tcPr>
          <w:p w:rsidR="00AC0832" w:rsidRDefault="00AC0832">
            <w:pPr>
              <w:pStyle w:val="CellColumn"/>
            </w:pPr>
            <w:r>
              <w:t>Povećanje broja zahtjeva za podacima iz registra</w:t>
            </w:r>
          </w:p>
        </w:tc>
        <w:tc>
          <w:tcPr>
            <w:tcW w:w="1300" w:type="dxa"/>
          </w:tcPr>
          <w:p w:rsidR="00AC0832" w:rsidRDefault="00AC0832">
            <w:pPr>
              <w:pStyle w:val="CellColumn"/>
            </w:pPr>
            <w:r>
              <w:t>Elektronske razmjena podataka između institucija u okružju olakšava ostvarivanje prava osiguranika</w:t>
            </w:r>
          </w:p>
        </w:tc>
        <w:tc>
          <w:tcPr>
            <w:tcW w:w="1300" w:type="dxa"/>
          </w:tcPr>
          <w:p w:rsidR="00AC0832" w:rsidRDefault="00AC0832">
            <w:pPr>
              <w:pStyle w:val="CellColumn"/>
            </w:pPr>
            <w:r>
              <w:t>broj</w:t>
            </w:r>
          </w:p>
        </w:tc>
        <w:tc>
          <w:tcPr>
            <w:tcW w:w="1300" w:type="dxa"/>
          </w:tcPr>
          <w:p w:rsidR="00AC0832" w:rsidRDefault="00AC0832">
            <w:pPr>
              <w:pStyle w:val="CellColumn"/>
            </w:pPr>
            <w:r>
              <w:t>107</w:t>
            </w:r>
          </w:p>
        </w:tc>
        <w:tc>
          <w:tcPr>
            <w:tcW w:w="1300" w:type="dxa"/>
          </w:tcPr>
          <w:p w:rsidR="00AC0832" w:rsidRDefault="00AC0832">
            <w:pPr>
              <w:pStyle w:val="CellColumn"/>
            </w:pPr>
            <w:r>
              <w:t>Regos</w:t>
            </w:r>
          </w:p>
        </w:tc>
        <w:tc>
          <w:tcPr>
            <w:tcW w:w="1300" w:type="dxa"/>
          </w:tcPr>
          <w:p w:rsidR="00AC0832" w:rsidRDefault="00AC0832">
            <w:pPr>
              <w:pStyle w:val="CellColumn"/>
            </w:pPr>
            <w:r>
              <w:t>124</w:t>
            </w:r>
          </w:p>
        </w:tc>
        <w:tc>
          <w:tcPr>
            <w:tcW w:w="1300" w:type="dxa"/>
          </w:tcPr>
          <w:p w:rsidR="00AC0832" w:rsidRDefault="00AC0832">
            <w:pPr>
              <w:pStyle w:val="CellColumn"/>
            </w:pPr>
            <w:r>
              <w:t>124</w:t>
            </w:r>
          </w:p>
        </w:tc>
      </w:tr>
      <w:tr w:rsidR="00AC0832" w:rsidTr="00BE20ED">
        <w:trPr>
          <w:jc w:val="center"/>
        </w:trPr>
        <w:tc>
          <w:tcPr>
            <w:tcW w:w="1300" w:type="dxa"/>
          </w:tcPr>
          <w:p w:rsidR="00AC0832" w:rsidRDefault="00AC0832">
            <w:pPr>
              <w:pStyle w:val="CellColumn"/>
            </w:pPr>
            <w:r>
              <w:t>Povećanje broja zahtjeva za elektronsku razmjenu podataka iz sustava EESSI</w:t>
            </w:r>
          </w:p>
        </w:tc>
        <w:tc>
          <w:tcPr>
            <w:tcW w:w="1300" w:type="dxa"/>
          </w:tcPr>
          <w:p w:rsidR="00AC0832" w:rsidRDefault="00AC0832">
            <w:pPr>
              <w:pStyle w:val="CellColumn"/>
            </w:pPr>
            <w:r>
              <w:t>Elektronska razmjena podataka o socijalnim osiguranjima na razini EU, korisnicima sustava omogućava brže i jednostavnije dobivanje svih potrebnih informacija</w:t>
            </w:r>
          </w:p>
        </w:tc>
        <w:tc>
          <w:tcPr>
            <w:tcW w:w="1300" w:type="dxa"/>
          </w:tcPr>
          <w:p w:rsidR="00AC0832" w:rsidRDefault="00AC0832">
            <w:pPr>
              <w:pStyle w:val="CellColumn"/>
            </w:pPr>
            <w:r>
              <w:t>elektronička poruka</w:t>
            </w:r>
          </w:p>
        </w:tc>
        <w:tc>
          <w:tcPr>
            <w:tcW w:w="1300" w:type="dxa"/>
          </w:tcPr>
          <w:p w:rsidR="00AC0832" w:rsidRDefault="00AC0832">
            <w:pPr>
              <w:pStyle w:val="CellColumn"/>
            </w:pPr>
            <w:r>
              <w:t>0</w:t>
            </w:r>
          </w:p>
        </w:tc>
        <w:tc>
          <w:tcPr>
            <w:tcW w:w="1300" w:type="dxa"/>
          </w:tcPr>
          <w:p w:rsidR="00AC0832" w:rsidRDefault="00AC0832">
            <w:pPr>
              <w:pStyle w:val="CellColumn"/>
            </w:pPr>
            <w:r>
              <w:t>Regos</w:t>
            </w:r>
          </w:p>
        </w:tc>
        <w:tc>
          <w:tcPr>
            <w:tcW w:w="1300" w:type="dxa"/>
          </w:tcPr>
          <w:p w:rsidR="00AC0832" w:rsidRDefault="00AC0832">
            <w:pPr>
              <w:pStyle w:val="CellColumn"/>
            </w:pPr>
            <w:r>
              <w:t>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K539301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K539301-INFORMATIZACIJA</w:t>
            </w:r>
          </w:p>
        </w:tc>
        <w:tc>
          <w:tcPr>
            <w:tcW w:w="2322" w:type="dxa"/>
          </w:tcPr>
          <w:p w:rsidR="00AC0832" w:rsidRDefault="00AC0832">
            <w:pPr>
              <w:pStyle w:val="CellColumn"/>
            </w:pPr>
            <w:r>
              <w:t>540.000</w:t>
            </w:r>
          </w:p>
        </w:tc>
        <w:tc>
          <w:tcPr>
            <w:tcW w:w="2322" w:type="dxa"/>
          </w:tcPr>
          <w:p w:rsidR="00AC0832" w:rsidRDefault="00AC0832">
            <w:pPr>
              <w:pStyle w:val="CellColumn"/>
            </w:pPr>
            <w:r>
              <w:t>378.696</w:t>
            </w:r>
          </w:p>
        </w:tc>
        <w:tc>
          <w:tcPr>
            <w:tcW w:w="2322" w:type="dxa"/>
          </w:tcPr>
          <w:p w:rsidR="00AC0832" w:rsidRDefault="00AC0832">
            <w:pPr>
              <w:pStyle w:val="CellColumn"/>
            </w:pPr>
            <w:r>
              <w:t>70,1</w:t>
            </w:r>
          </w:p>
        </w:tc>
      </w:tr>
    </w:tbl>
    <w:p w:rsidR="00AC0832" w:rsidRDefault="00AC0832">
      <w:pPr>
        <w:jc w:val="left"/>
      </w:pPr>
    </w:p>
    <w:p w:rsidR="00AC0832" w:rsidRDefault="00AC0832">
      <w:pPr>
        <w:pStyle w:val="Heading8"/>
        <w:jc w:val="left"/>
      </w:pPr>
      <w:r>
        <w:t>Opis provedbe aktivnosti / projekta</w:t>
      </w:r>
    </w:p>
    <w:p w:rsidR="00AC0832" w:rsidRDefault="00AC0832">
      <w:pPr>
        <w:pStyle w:val="Heading6"/>
      </w:pPr>
      <w:r>
        <w:t>K772001 OBNOVA VOZNOG PARKA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K772001-OBNOVA VOZNOG PARKA</w:t>
            </w:r>
          </w:p>
        </w:tc>
        <w:tc>
          <w:tcPr>
            <w:tcW w:w="2322" w:type="dxa"/>
          </w:tcPr>
          <w:p w:rsidR="00AC0832" w:rsidRDefault="00AC0832">
            <w:pPr>
              <w:pStyle w:val="CellColumn"/>
            </w:pPr>
            <w:r>
              <w:t>70.000</w:t>
            </w:r>
          </w:p>
        </w:tc>
        <w:tc>
          <w:tcPr>
            <w:tcW w:w="2322" w:type="dxa"/>
          </w:tcPr>
          <w:p w:rsidR="00AC0832" w:rsidRDefault="00AC0832">
            <w:pPr>
              <w:pStyle w:val="CellColumn"/>
            </w:pPr>
            <w:r>
              <w:t>62.659</w:t>
            </w:r>
          </w:p>
        </w:tc>
        <w:tc>
          <w:tcPr>
            <w:tcW w:w="2322" w:type="dxa"/>
          </w:tcPr>
          <w:p w:rsidR="00AC0832" w:rsidRDefault="00AC0832">
            <w:pPr>
              <w:pStyle w:val="CellColumn"/>
            </w:pPr>
            <w:r>
              <w:t>89,5</w:t>
            </w:r>
          </w:p>
        </w:tc>
      </w:tr>
    </w:tbl>
    <w:p w:rsidR="00AC0832" w:rsidRDefault="00AC0832">
      <w:pPr>
        <w:jc w:val="left"/>
      </w:pPr>
    </w:p>
    <w:p w:rsidR="00AC0832" w:rsidRDefault="00AC0832">
      <w:pPr>
        <w:pStyle w:val="Heading8"/>
        <w:jc w:val="left"/>
      </w:pPr>
      <w:r>
        <w:t>Opis provedbe aktivnosti / projekta</w:t>
      </w:r>
    </w:p>
    <w:p w:rsidR="00AC0832" w:rsidRDefault="00AC0832">
      <w:pPr>
        <w:pStyle w:val="Heading2"/>
      </w:pPr>
      <w:r>
        <w:t>08650 Agencija za osiguranje radničkih potraživanja u slučaju stečaja poslodavca</w:t>
      </w:r>
    </w:p>
    <w:p w:rsidR="00AC0832" w:rsidRDefault="00AC0832">
      <w:pPr>
        <w:pStyle w:val="Heading4"/>
      </w:pPr>
      <w:r>
        <w:t>Uvod</w:t>
      </w:r>
    </w:p>
    <w:p w:rsidR="00AC0832" w:rsidRDefault="00AC0832">
      <w:pPr>
        <w:pStyle w:val="Normal3"/>
      </w:pPr>
      <w:r>
        <w:t xml:space="preserve">1. UVOD </w:t>
      </w:r>
    </w:p>
    <w:p w:rsidR="00AC0832" w:rsidRDefault="00AC0832">
      <w:pPr>
        <w:pStyle w:val="Normal3"/>
      </w:pPr>
      <w:r>
        <w:t xml:space="preserve">Agencija za osiguranje radničkih potraživanja u slučaju stečaja poslodavca (u daljnjem tekstu: Agencija) osnovana je Zakonom o osiguranju potraživanja radnika u slučaju stečaja poslodavca ("Narodne novine", broj 86/08), u daljnjem tekstu: Zakon, kao javna ustanova čiji je osnivač Republika Hrvatska, a osnivačka prava i obveze ostvaruje Vlada Republike Hrvatske (čl. 5. Zakona). Zakon je usklađen s EU direktivom 80/987/EEC koja je dopunjena Direktivom 2002/74/EC, te ispunjava obveze iz Sporazuma o stabilizaciji i pridruživanju Europskoj uniji. </w:t>
      </w:r>
    </w:p>
    <w:p w:rsidR="00AC0832" w:rsidRDefault="00AC0832">
      <w:pPr>
        <w:pStyle w:val="Normal3"/>
      </w:pPr>
      <w:r>
        <w:t xml:space="preserve">Agencija je započela s radom 1. siječnja 2010. godine, kada su za njen rad i provedbu Zakona osigurana sredstva u Državnom proračunu Republike Hrvatske za 2010. godinu (Narodne novine 151/2009). Organizacijskom klasifikacijom Agencija je u Državnom proračunu klasificirana kao proračunski korisnik Razdjela Ministarstva rada i mirovinskog sustava, Glava: Agencija za osiguranje radničkih potraživanja u slučaju stečaja poslodavca. </w:t>
      </w:r>
    </w:p>
    <w:p w:rsidR="00AC0832" w:rsidRDefault="00AC0832">
      <w:pPr>
        <w:pStyle w:val="Normal3"/>
      </w:pPr>
      <w:r>
        <w:t xml:space="preserve">Programskom klasifikacijom za razdoblje od 2012. -2014. godine umanjene su Aktivnosti u cilju racionalnog poslovanja . </w:t>
      </w:r>
    </w:p>
    <w:p w:rsidR="00AC0832" w:rsidRDefault="00AC0832">
      <w:pPr>
        <w:pStyle w:val="Normal3"/>
      </w:pPr>
      <w:r>
        <w:t xml:space="preserve">Sukladno čl. 6. Zakona djelatnost Agencije obuhvaća slijedeće poslove: </w:t>
      </w:r>
    </w:p>
    <w:p w:rsidR="00AC0832" w:rsidRDefault="00AC0832">
      <w:pPr>
        <w:pStyle w:val="Normal3"/>
      </w:pPr>
      <w:r>
        <w:t>•</w:t>
      </w:r>
      <w:r>
        <w:tab/>
        <w:t xml:space="preserve">rješavanje o pravima radnika utvrđenih Zakonom i obavljanje uplate na temelju donesenih rješenja na namjenski račun stečajnog dužnika iz članka 20. Zakona koji ne podliježe redovitoj raspodjeli sredstava stečajnog dužnika, već se otvara isključivo u svrhu isplate potraživanja radnika prema Zakonu; </w:t>
      </w:r>
    </w:p>
    <w:p w:rsidR="00AC0832" w:rsidRDefault="00AC0832">
      <w:pPr>
        <w:pStyle w:val="Normal3"/>
      </w:pPr>
      <w:r>
        <w:t>•</w:t>
      </w:r>
      <w:r>
        <w:tab/>
        <w:t xml:space="preserve">osiguravanje zakonitosti ostvarivanja prava radnika; </w:t>
      </w:r>
    </w:p>
    <w:p w:rsidR="00AC0832" w:rsidRDefault="00AC0832">
      <w:pPr>
        <w:pStyle w:val="Normal3"/>
      </w:pPr>
      <w:r>
        <w:t>•</w:t>
      </w:r>
      <w:r>
        <w:tab/>
        <w:t xml:space="preserve">pružanje stručne pomoći radnicima pri ostvarivanju prava utvrđenih Zakonom; </w:t>
      </w:r>
    </w:p>
    <w:p w:rsidR="00AC0832" w:rsidRDefault="00AC0832">
      <w:pPr>
        <w:pStyle w:val="Normal3"/>
      </w:pPr>
      <w:r>
        <w:t>•</w:t>
      </w:r>
      <w:r>
        <w:tab/>
        <w:t xml:space="preserve">usmjeravanje i upravljanje sredstvima osiguranim za namjenu utvrđenu Zakonom; </w:t>
      </w:r>
    </w:p>
    <w:p w:rsidR="00AC0832" w:rsidRDefault="00AC0832">
      <w:pPr>
        <w:pStyle w:val="Normal3"/>
      </w:pPr>
      <w:r>
        <w:t>•</w:t>
      </w:r>
      <w:r>
        <w:tab/>
        <w:t xml:space="preserve">ostvarivanje procesnih prava stečajnog vjerovnika u stečajnom postupku za potraživanja radnika koja je isplatio; </w:t>
      </w:r>
    </w:p>
    <w:p w:rsidR="00AC0832" w:rsidRDefault="00AC0832">
      <w:pPr>
        <w:pStyle w:val="Normal3"/>
      </w:pPr>
      <w:r>
        <w:t>•</w:t>
      </w:r>
      <w:r>
        <w:tab/>
        <w:t xml:space="preserve">razmjenjivanje relevantnih informacija s nadležnim tijelima ili jamstvenim institucijama drugih zemalja u slučajevima poslovnih aktivnosti na području dvije ili više država Europskoga gospodarskog prostora; </w:t>
      </w:r>
    </w:p>
    <w:p w:rsidR="00AC0832" w:rsidRDefault="00AC0832">
      <w:pPr>
        <w:pStyle w:val="Normal3"/>
      </w:pPr>
      <w:r>
        <w:t>•</w:t>
      </w:r>
      <w:r>
        <w:tab/>
        <w:t xml:space="preserve">ostvarivanje regresnih prava za isplaćena potraživanja radnicima u slučajevima stečaja stranoga poslodavca; </w:t>
      </w:r>
    </w:p>
    <w:p w:rsidR="00AC0832" w:rsidRDefault="00AC0832">
      <w:pPr>
        <w:pStyle w:val="Normal3"/>
      </w:pPr>
      <w:r>
        <w:t xml:space="preserve">obavlja i druge poslove utvrđene Zakonom, Statutom i aktima Agencije. </w:t>
      </w:r>
    </w:p>
    <w:p w:rsidR="00AC0832" w:rsidRDefault="00AC0832">
      <w:pPr>
        <w:pStyle w:val="Normal3"/>
      </w:pPr>
      <w:r>
        <w:t xml:space="preserve">Sukladno čl. 14. st. 1. Zakona, sredstva za provedbu Zakona, kao i sredstva za rad Agencije osiguravaju se u Državnom proračunu. </w:t>
      </w:r>
    </w:p>
    <w:p w:rsidR="00AC0832" w:rsidRDefault="00AC0832">
      <w:pPr>
        <w:pStyle w:val="Normal3"/>
      </w:pPr>
      <w:r>
        <w:t xml:space="preserve">Sukladno Zaključku Vlade RH od 26. siječnja 2012. godine, a u smislu poduzimanja mjera štednje i racionalizacije poslovanja izrađen je Prijedlog financijskog plana za 2012. godinu u iznosu =63.797,800 kn sa projekcijama za 2013. i 2014. godinu. </w:t>
      </w:r>
    </w:p>
    <w:p w:rsidR="00AC0832" w:rsidRDefault="00AC0832">
      <w:pPr>
        <w:pStyle w:val="Normal3"/>
      </w:pPr>
      <w:r>
        <w:t xml:space="preserve">U cilju provedbe antirecesijskih mjera i smjernica, planirana sredstva za 2012. godinu za provedbu Zakona, umanjena su u odnosu na izvršenje iz 2010. i 2011. godinu , te Projekcije za 2012. i 2013. godinu koje su  usvojene  Odlukom o proglašenju Državnog proračuna Republike Hrvatske za 2011. god., Narodne novine broj 140/2010. </w:t>
      </w:r>
    </w:p>
    <w:p w:rsidR="00AC0832" w:rsidRDefault="00AC0832">
      <w:pPr>
        <w:pStyle w:val="Normal3"/>
      </w:pPr>
      <w:r>
        <w:t xml:space="preserve">Izmjenama i dopunama Državnog proračuna za 2012. godinu i projekcije za 2013. i 2014. godinu, osigurana su dodatna sredstva u iznosu od =5.000.000,00kn za isplate radničkih potraživanja temeljem Zakona, a uštede su napravljene 20. prosinca 2012. godine u iznosu od =134.000,00kn.  </w:t>
      </w:r>
    </w:p>
    <w:p w:rsidR="00AC0832" w:rsidRDefault="00AC0832">
      <w:pPr>
        <w:pStyle w:val="Normal3"/>
      </w:pPr>
      <w:r>
        <w:t>Izvršenje financijskog plana za 2012. godinu iznosi =68.251.524kn, odnosno 99,4% financijskog plana.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08650-Agencija za osiguranje radničkih potraživanja u slučaju stečaja poslodavca</w:t>
            </w:r>
          </w:p>
        </w:tc>
        <w:tc>
          <w:tcPr>
            <w:tcW w:w="2322" w:type="dxa"/>
          </w:tcPr>
          <w:p w:rsidR="00AC0832" w:rsidRDefault="00AC0832">
            <w:pPr>
              <w:pStyle w:val="CellColumn"/>
            </w:pPr>
            <w:r>
              <w:t>68.663.800</w:t>
            </w:r>
          </w:p>
        </w:tc>
        <w:tc>
          <w:tcPr>
            <w:tcW w:w="2322" w:type="dxa"/>
          </w:tcPr>
          <w:p w:rsidR="00AC0832" w:rsidRDefault="00AC0832">
            <w:pPr>
              <w:pStyle w:val="CellColumn"/>
            </w:pPr>
            <w:r>
              <w:t>68.251.524</w:t>
            </w:r>
          </w:p>
        </w:tc>
        <w:tc>
          <w:tcPr>
            <w:tcW w:w="2322" w:type="dxa"/>
          </w:tcPr>
          <w:p w:rsidR="00AC0832" w:rsidRDefault="00AC0832">
            <w:pPr>
              <w:pStyle w:val="CellColumn"/>
            </w:pPr>
            <w:r>
              <w:t>99,4</w:t>
            </w:r>
          </w:p>
        </w:tc>
      </w:tr>
      <w:tr w:rsidR="00AC0832" w:rsidTr="00BE20ED">
        <w:trPr>
          <w:jc w:val="center"/>
        </w:trPr>
        <w:tc>
          <w:tcPr>
            <w:tcW w:w="2322" w:type="dxa"/>
          </w:tcPr>
          <w:p w:rsidR="00AC0832" w:rsidRDefault="00AC0832">
            <w:pPr>
              <w:pStyle w:val="CellColumnSmall"/>
            </w:pPr>
            <w:r>
              <w:t>4011-MATERIJALNO PRAVNA ZAŠTITA</w:t>
            </w:r>
          </w:p>
        </w:tc>
        <w:tc>
          <w:tcPr>
            <w:tcW w:w="2322" w:type="dxa"/>
          </w:tcPr>
          <w:p w:rsidR="00AC0832" w:rsidRDefault="00AC0832">
            <w:pPr>
              <w:pStyle w:val="CellColumnSmall"/>
            </w:pPr>
            <w:r>
              <w:t>68.663.800</w:t>
            </w:r>
          </w:p>
        </w:tc>
        <w:tc>
          <w:tcPr>
            <w:tcW w:w="2322" w:type="dxa"/>
          </w:tcPr>
          <w:p w:rsidR="00AC0832" w:rsidRDefault="00AC0832">
            <w:pPr>
              <w:pStyle w:val="CellColumnSmall"/>
            </w:pPr>
            <w:r>
              <w:t>68.251.524</w:t>
            </w:r>
          </w:p>
        </w:tc>
        <w:tc>
          <w:tcPr>
            <w:tcW w:w="2322" w:type="dxa"/>
          </w:tcPr>
          <w:p w:rsidR="00AC0832" w:rsidRDefault="00AC0832">
            <w:pPr>
              <w:pStyle w:val="CellColumnSmall"/>
            </w:pPr>
            <w:r>
              <w:t>99,4</w:t>
            </w:r>
          </w:p>
        </w:tc>
      </w:tr>
    </w:tbl>
    <w:p w:rsidR="00AC0832" w:rsidRDefault="00AC0832">
      <w:pPr>
        <w:jc w:val="left"/>
      </w:pPr>
    </w:p>
    <w:p w:rsidR="00AC0832" w:rsidRDefault="00AC0832">
      <w:pPr>
        <w:pStyle w:val="Heading4"/>
      </w:pPr>
      <w:r>
        <w:t>OBRAZLOŽENJE PROGRAMA</w:t>
      </w:r>
    </w:p>
    <w:p w:rsidR="00AC0832" w:rsidRDefault="00AC0832">
      <w:pPr>
        <w:pStyle w:val="Heading5"/>
      </w:pPr>
      <w:r>
        <w:t>4011 MATERIJALNO PRAVNA ZAŠTITA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4011-MATERIJALNO PRAVNA ZAŠTITA</w:t>
            </w:r>
          </w:p>
        </w:tc>
        <w:tc>
          <w:tcPr>
            <w:tcW w:w="2322" w:type="dxa"/>
          </w:tcPr>
          <w:p w:rsidR="00AC0832" w:rsidRDefault="00AC0832">
            <w:pPr>
              <w:pStyle w:val="CellColumn"/>
            </w:pPr>
            <w:r>
              <w:t>68.663.800</w:t>
            </w:r>
          </w:p>
        </w:tc>
        <w:tc>
          <w:tcPr>
            <w:tcW w:w="2322" w:type="dxa"/>
          </w:tcPr>
          <w:p w:rsidR="00AC0832" w:rsidRDefault="00AC0832">
            <w:pPr>
              <w:pStyle w:val="CellColumn"/>
            </w:pPr>
            <w:r>
              <w:t>68.251.524</w:t>
            </w:r>
          </w:p>
        </w:tc>
        <w:tc>
          <w:tcPr>
            <w:tcW w:w="2322" w:type="dxa"/>
          </w:tcPr>
          <w:p w:rsidR="00AC0832" w:rsidRDefault="00AC0832">
            <w:pPr>
              <w:pStyle w:val="CellColumn"/>
            </w:pPr>
            <w:r>
              <w:t>99,4</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 Materijalno pravna zaštita u dijelu koji se odnosi na Agenciju za osiguranje radničkih potraživanja temelji se na provođenju Zakona. </w:t>
      </w:r>
    </w:p>
    <w:p w:rsidR="00AC0832" w:rsidRDefault="00AC0832">
      <w:pPr>
        <w:pStyle w:val="Normal5"/>
      </w:pPr>
      <w:r>
        <w:t xml:space="preserve">Financijska sredstva osigurana su za isplate potraživanja radnika nad čijim je poslodavcem otvoren stečajni postupak. Sukladno čl. 3. Zakona, radnici ostvaruju slijedeća prava: </w:t>
      </w:r>
    </w:p>
    <w:p w:rsidR="00AC0832" w:rsidRDefault="00AC0832">
      <w:pPr>
        <w:pStyle w:val="Normal5"/>
      </w:pPr>
      <w:r>
        <w:t xml:space="preserve">1. neisplaćene plaće za posljednja tri mjeseca prije otvaranja stečaja odnosno prije prestanka radnog odnosa, ukoliko je isti prestao unutar tri mjeseca prije otvaranja stečaja i to najviše do visine minimalne plaće u Republici Hrvatskoj za svaki mjesec za koji radniku nije isplaćena plaća, </w:t>
      </w:r>
    </w:p>
    <w:p w:rsidR="00AC0832" w:rsidRDefault="00AC0832">
      <w:pPr>
        <w:pStyle w:val="Normal5"/>
      </w:pPr>
      <w:r>
        <w:t xml:space="preserve">2. neisplaćene naknade plaće za bolovanje koju je prema propisima o zdravstvenom osiguranju bio dužan isplatiti poslodavac iz svojih sredstava u posljednja tri mjeseca prije otvaranja stečaja odnosno prije prestanka radnog odnosa, ukoliko je isti prestao unutar tri mjeseca prije otvaranja stečaja i to najviše do visine minimalne plaće u Republici Hrvatskoj za svaki mjesec za koji radniku nije isplaćena naknada plaće, </w:t>
      </w:r>
    </w:p>
    <w:p w:rsidR="00AC0832" w:rsidRDefault="00AC0832">
      <w:pPr>
        <w:pStyle w:val="Normal5"/>
      </w:pPr>
      <w:r>
        <w:t xml:space="preserve">3. naknadu plaće za neiskorišteni godišnji odmor na koji je radnik stekao pravo u kalendarskoj godini u kojoj je prestao radni odnos, odnosno u kojoj je otvoren stečaj i to najviše do polovice minimalne plaće u Republici Hrvatskoj, </w:t>
      </w:r>
    </w:p>
    <w:p w:rsidR="00AC0832" w:rsidRDefault="00AC0832">
      <w:pPr>
        <w:pStyle w:val="Normal5"/>
      </w:pPr>
      <w:r>
        <w:t xml:space="preserve">4. otpremninu pod uvjetima utvrđenim zakonom i to polovicu najvišeg iznosa zakonom propisane otpremnine, </w:t>
      </w:r>
    </w:p>
    <w:p w:rsidR="00AC0832" w:rsidRDefault="00AC0832">
      <w:pPr>
        <w:pStyle w:val="Normal5"/>
      </w:pPr>
      <w:r>
        <w:t xml:space="preserve">5. pravomoćno dosuđenu naknadu štete zbog pretrpljene ozljede na radu ili profesionalne bolesti i to najviše do jedne trećine pravomoćno dosuđene naknade štete. </w:t>
      </w:r>
    </w:p>
    <w:p w:rsidR="00AC0832" w:rsidRDefault="00AC0832">
      <w:pPr>
        <w:pStyle w:val="Normal5"/>
      </w:pPr>
      <w:r>
        <w:t>Prava osigurana Zakonom ostvaruje radnik koji je u trenutku otvaranja stečajnog postupka bio u radnom odnosu kod poslodavca, kao i radnik koji je bio zaposlen kod poslodavca u vremenu za koje se isplaćuju potraživanja propisana Zakonom, ako je svoje potraživanje prijavio u roku i na način utvrđen propisima koji uređuju stečajni postupak, odnosno ako otvoreni stečajni postupak nad poslodavcem nije bio proveden, ako je svoje potraživanje prijavio u roku i na način utvrđen Zakonom. Također, prava ostvaruje i radnik koji nije ostvario naplatu pravomoćno dosuđene naknade štete zbog ozljede na radu ili profesionalne bolesti bez obzira kad mu je prestao radni odnos. Iznimno, prava osigurana Zakonom ne mogu ostvariti članovi uprave trgovačkog sdruštva, član upravnog odbora i izvršni direktor.</w:t>
      </w:r>
    </w:p>
    <w:p w:rsidR="00AC0832" w:rsidRDefault="00AC0832">
      <w:pPr>
        <w:pStyle w:val="Heading6"/>
      </w:pPr>
      <w:r>
        <w:t>Zakonske i druge pravne osnove</w:t>
      </w:r>
    </w:p>
    <w:p w:rsidR="00AC0832" w:rsidRDefault="00AC0832">
      <w:pPr>
        <w:pStyle w:val="Normal5"/>
      </w:pPr>
      <w:r>
        <w:t>Zakonska osnova za provođenje programa je Zakon o osiguranju potraživanja radnika u slučaju stečaja poslodavca ("Narodne novine",  broj 86/08).</w:t>
      </w:r>
    </w:p>
    <w:p w:rsidR="00AC0832" w:rsidRDefault="00AC0832">
      <w:pPr>
        <w:pStyle w:val="Heading7"/>
      </w:pPr>
      <w:r>
        <w:t>Cilj 1.  Zaštita i osiguranje u stečajnom postupku prijavljenih privilegiranih radničkih potraživanja</w:t>
      </w:r>
    </w:p>
    <w:p w:rsidR="00AC0832" w:rsidRDefault="00AC0832">
      <w:pPr>
        <w:pStyle w:val="Heading8"/>
        <w:jc w:val="left"/>
      </w:pPr>
      <w:r>
        <w:t>Opis provedbe cilja programa</w:t>
      </w:r>
    </w:p>
    <w:p w:rsidR="00AC0832" w:rsidRDefault="00AC0832">
      <w:pPr>
        <w:pStyle w:val="Normal6"/>
      </w:pPr>
      <w:r>
        <w:t>Osiguranje socijalnog minimuma radnika nad čijim je poslodavcem otvoren stečajni postupak rješavanjem zaprimljenih zahtjeva radnika u kratkim zakonskim rokovima. Time se ostvaruju zaštita i osiguranje privilegiranih radničkih potraživanja na društveno prihvatljivoj minimalnoj razini, te omogućava radnicima da preostali dio svojih potraživanja ostvaruju u formalnijem i dugotrajnijem stečajnom postupku.</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7"/>
        <w:gridCol w:w="1417"/>
        <w:gridCol w:w="1233"/>
        <w:gridCol w:w="1256"/>
        <w:gridCol w:w="1250"/>
        <w:gridCol w:w="1256"/>
        <w:gridCol w:w="126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1.1. Udio isplata temeljem izvršnih prvostupanjskih rješenja u zakonskim rokovima u ukupnom broju isplata - isplate temeljem svih prvostupanjskih rješenja u zakonski propisanim rokovima dovode do ispunjenja cilja</w:t>
            </w:r>
          </w:p>
        </w:tc>
        <w:tc>
          <w:tcPr>
            <w:tcW w:w="1300" w:type="dxa"/>
          </w:tcPr>
          <w:p w:rsidR="00AC0832" w:rsidRDefault="00AC0832">
            <w:pPr>
              <w:pStyle w:val="CellColumn"/>
            </w:pPr>
            <w:r>
              <w:t>Rješavanjem zaprimljenih zahtjeva radnika u kratkim zakonskim rokovima zaštićuju se i osiguravaju privilegirana radnička potraživanja na društveno prihvatljivoj minimalnoj razini, te omogućava radnicima da preostali dio svojih potraživanja ostvaruju u formalnijem i dugotrajnijem stečajnom postupku.</w:t>
            </w:r>
          </w:p>
        </w:tc>
        <w:tc>
          <w:tcPr>
            <w:tcW w:w="1300" w:type="dxa"/>
          </w:tcPr>
          <w:p w:rsidR="00AC0832" w:rsidRDefault="00AC0832">
            <w:pPr>
              <w:pStyle w:val="CellColumn"/>
            </w:pPr>
            <w:r>
              <w:t>%</w:t>
            </w:r>
          </w:p>
        </w:tc>
        <w:tc>
          <w:tcPr>
            <w:tcW w:w="1300" w:type="dxa"/>
          </w:tcPr>
          <w:p w:rsidR="00AC0832" w:rsidRDefault="00AC0832">
            <w:pPr>
              <w:pStyle w:val="CellColumn"/>
            </w:pPr>
            <w:r>
              <w:t>90</w:t>
            </w:r>
          </w:p>
        </w:tc>
        <w:tc>
          <w:tcPr>
            <w:tcW w:w="1300" w:type="dxa"/>
          </w:tcPr>
          <w:p w:rsidR="00AC0832" w:rsidRDefault="00AC0832">
            <w:pPr>
              <w:pStyle w:val="CellColumn"/>
            </w:pPr>
            <w:r>
              <w:t>Podaci Agencije</w:t>
            </w:r>
          </w:p>
        </w:tc>
        <w:tc>
          <w:tcPr>
            <w:tcW w:w="1300" w:type="dxa"/>
          </w:tcPr>
          <w:p w:rsidR="00AC0832" w:rsidRDefault="00AC0832">
            <w:pPr>
              <w:pStyle w:val="CellColumn"/>
            </w:pPr>
            <w:r>
              <w:t>95</w:t>
            </w:r>
          </w:p>
        </w:tc>
        <w:tc>
          <w:tcPr>
            <w:tcW w:w="1300" w:type="dxa"/>
          </w:tcPr>
          <w:p w:rsidR="00AC0832" w:rsidRDefault="00AC0832">
            <w:pPr>
              <w:pStyle w:val="CellColumn"/>
            </w:pPr>
            <w:r>
              <w:t>100</w:t>
            </w:r>
          </w:p>
        </w:tc>
      </w:tr>
    </w:tbl>
    <w:p w:rsidR="00AC0832" w:rsidRDefault="00AC0832">
      <w:pPr>
        <w:jc w:val="left"/>
      </w:pPr>
    </w:p>
    <w:p w:rsidR="00AC0832" w:rsidRDefault="00AC0832">
      <w:pPr>
        <w:pStyle w:val="Heading6"/>
      </w:pPr>
      <w:r>
        <w:t>A837002 OSIGURANJE POTRAŽIVANJA RADNIKA U SLUČAJU STEČAJA POSLODAVCA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A837002-OSIGURANJE POTRAŽIVANJA RADNIKA U SLUČAJU STEČAJA POSLODAVCA</w:t>
            </w:r>
          </w:p>
        </w:tc>
        <w:tc>
          <w:tcPr>
            <w:tcW w:w="2322" w:type="dxa"/>
          </w:tcPr>
          <w:p w:rsidR="00AC0832" w:rsidRDefault="00AC0832">
            <w:pPr>
              <w:pStyle w:val="CellColumn"/>
            </w:pPr>
            <w:r>
              <w:t>65.227.251</w:t>
            </w:r>
          </w:p>
        </w:tc>
        <w:tc>
          <w:tcPr>
            <w:tcW w:w="2322" w:type="dxa"/>
          </w:tcPr>
          <w:p w:rsidR="00AC0832" w:rsidRDefault="00AC0832">
            <w:pPr>
              <w:pStyle w:val="CellColumn"/>
            </w:pPr>
            <w:r>
              <w:t>64.999.359</w:t>
            </w:r>
          </w:p>
        </w:tc>
        <w:tc>
          <w:tcPr>
            <w:tcW w:w="2322" w:type="dxa"/>
          </w:tcPr>
          <w:p w:rsidR="00AC0832" w:rsidRDefault="00AC0832">
            <w:pPr>
              <w:pStyle w:val="CellColumn"/>
            </w:pPr>
            <w:r>
              <w:t>99,7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Na aktivnosti A837002 - Osiguranje potraživanja radnika u slučaju stečaja poslodavca na poziciji 3721 - Naknade građanima i kućanstvima u novcu za isplate radničkih potraživanja sukladno Zakonu u 2012. godini osigurana su sredstva od 65.000.000kn, od kojih je isplaćeno =64.999.359kn. Naplaćena potraživanja temeljem isplata u 2012. proračunskoj godini iznose =802.251kn, te stvarno isplaćena sredstva iznose =65.801.610kn. Sredstva su isplaćena temeljem 4.031 pozitivno riješenih zahtjeva radnika koji su bili zaposleni kod 146 poslodavca nad kojima je otvoren stečajni postupak. </w:t>
      </w:r>
    </w:p>
    <w:p w:rsidR="00AC0832" w:rsidRDefault="00AC0832">
      <w:pPr>
        <w:pStyle w:val="Normal6"/>
      </w:pPr>
      <w:r>
        <w:t xml:space="preserve">U 2012. godini naplaćena su potraživanja u iznosu =15.049.527kn, od kojih se =14.247.276kn odnosi na isplate u prethodnim proračunskim godinama. </w:t>
      </w:r>
    </w:p>
    <w:p w:rsidR="00AC0832" w:rsidRDefault="00AC0832">
      <w:pPr>
        <w:pStyle w:val="Normal6"/>
      </w:pPr>
      <w:r>
        <w:t xml:space="preserve">Poslodavci nad čijim je radnicima isplaćen najveći udio u ukupno isplaćenom iznosu od =65.801.610kn: </w:t>
      </w:r>
    </w:p>
    <w:p w:rsidR="00AC0832" w:rsidRDefault="00AC0832">
      <w:pPr>
        <w:pStyle w:val="Normal6"/>
      </w:pPr>
      <w:r>
        <w:t xml:space="preserve">1. Dalmacijavino d.d. u stečaju, Split                                    254 zahtjeva        =6.597.876kn      10,02% ukupne isplate </w:t>
      </w:r>
    </w:p>
    <w:p w:rsidR="00AC0832" w:rsidRDefault="00AC0832">
      <w:pPr>
        <w:pStyle w:val="Normal6"/>
      </w:pPr>
      <w:r>
        <w:t xml:space="preserve">2. Transadria d.d. u stečaju, Rijeka                                      205 zahtjeva        =3.904.527kn        5,93% ukupne isplate </w:t>
      </w:r>
    </w:p>
    <w:p w:rsidR="00AC0832" w:rsidRDefault="00AC0832">
      <w:pPr>
        <w:pStyle w:val="Normal6"/>
      </w:pPr>
      <w:r>
        <w:t xml:space="preserve">3. MTČ Tvornica čarapa d.d. u stečaju, Čakovec                 250 zahtjeva        =3.751.548kn        5,70% ukupne isplate </w:t>
      </w:r>
    </w:p>
    <w:p w:rsidR="00AC0832" w:rsidRDefault="00AC0832">
      <w:pPr>
        <w:pStyle w:val="Normal6"/>
      </w:pPr>
      <w:r>
        <w:t xml:space="preserve">4. Sloga IMK d.d. u stečaju, Požega                                     259 zahtjeva        =3.669.407kn        5,57% ukupne isplate </w:t>
      </w:r>
    </w:p>
    <w:p w:rsidR="00AC0832" w:rsidRDefault="00AC0832">
      <w:pPr>
        <w:pStyle w:val="Normal6"/>
      </w:pPr>
      <w:r>
        <w:t xml:space="preserve">5. Adriachem d.d. u stečaju, Kaštel Sućurac                        212 zahtjeva        =3.022.985kn        4,59% ukupne isplate </w:t>
      </w:r>
    </w:p>
    <w:p w:rsidR="00AC0832" w:rsidRDefault="00AC0832">
      <w:pPr>
        <w:pStyle w:val="Normal6"/>
      </w:pPr>
      <w:r>
        <w:t xml:space="preserve">6. Herbos d.o.o. u stečaju, Sisak                                         150 zahtjeva         =2.664.732kn        4,04% ukupne isplate </w:t>
      </w:r>
    </w:p>
    <w:p w:rsidR="00AC0832" w:rsidRDefault="00AC0832">
      <w:pPr>
        <w:pStyle w:val="Normal6"/>
      </w:pPr>
      <w:r>
        <w:t xml:space="preserve">7. Bilokalnik-drvo d.o.o. u stečaju, Koprivnica                      150 zahtjeva        =2.611.496kn         3,96% ukupne isplate </w:t>
      </w:r>
    </w:p>
    <w:p w:rsidR="00AC0832" w:rsidRDefault="00AC0832">
      <w:pPr>
        <w:pStyle w:val="Normal6"/>
      </w:pPr>
      <w:r>
        <w:t xml:space="preserve">8. Jadrankamen d.d. u stečaju, Pučišća                               271 zahtjev          =2.311.087kn         3,51% ukupne isplate </w:t>
      </w:r>
    </w:p>
    <w:p w:rsidR="00AC0832" w:rsidRDefault="00AC0832">
      <w:pPr>
        <w:pStyle w:val="Normal6"/>
      </w:pPr>
      <w:r>
        <w:t xml:space="preserve">9. Modna industrija konfekcije d.o.o. u stečaju, Čakovec    143 zahtjeva        =1.931.392kn         2,93% ukupne isplate </w:t>
      </w:r>
    </w:p>
    <w:p w:rsidR="00AC0832" w:rsidRDefault="00AC0832">
      <w:pPr>
        <w:pStyle w:val="Normal6"/>
      </w:pPr>
      <w:r>
        <w:t xml:space="preserve">Za radnike preostalih 137 poslodavaca u stečaju isplaćeno je =35.336.560kn. </w:t>
      </w:r>
    </w:p>
    <w:p w:rsidR="00AC0832" w:rsidRDefault="00AC0832">
      <w:pPr>
        <w:pStyle w:val="Normal6"/>
      </w:pPr>
      <w:r>
        <w:t xml:space="preserve"> </w:t>
      </w:r>
    </w:p>
    <w:p w:rsidR="00AC0832" w:rsidRDefault="00AC0832">
      <w:pPr>
        <w:pStyle w:val="Normal6"/>
      </w:pPr>
      <w:r>
        <w:t>U 2012. godini zaprimljeno je ukupno 5.638 zahtjeva radnika, riješeno je 4.648 zahtjeva, od kojih 4.385 pozitivno. Procijenjena vrijednost zahtjeva podnesenih u 2012. godini koji će biti izvršni u 2013. godini (1.431. neriješen i neizvršan zahtjev) iznosi oko =30.000.000kn.</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7"/>
        <w:gridCol w:w="1417"/>
        <w:gridCol w:w="1233"/>
        <w:gridCol w:w="1256"/>
        <w:gridCol w:w="1250"/>
        <w:gridCol w:w="1256"/>
        <w:gridCol w:w="126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1.1.1.1. Udio ispostavljenih prvostupanjskih rješenja nakon zakonskog roka u ukupno ispostavljenim rješenjima -kvartalno</w:t>
            </w:r>
          </w:p>
        </w:tc>
        <w:tc>
          <w:tcPr>
            <w:tcW w:w="1300" w:type="dxa"/>
          </w:tcPr>
          <w:p w:rsidR="00AC0832" w:rsidRDefault="00AC0832">
            <w:pPr>
              <w:pStyle w:val="CellColumn"/>
            </w:pPr>
            <w:r>
              <w:t>Smanjenjem broja rješenja ispostavljenih nakon zakonskog roka radnici kojima je ugrožena egzistencija ranije ostvaruju naplatu dijela priznatih potraživanja</w:t>
            </w:r>
          </w:p>
        </w:tc>
        <w:tc>
          <w:tcPr>
            <w:tcW w:w="1300" w:type="dxa"/>
          </w:tcPr>
          <w:p w:rsidR="00AC0832" w:rsidRDefault="00AC0832">
            <w:pPr>
              <w:pStyle w:val="CellColumn"/>
            </w:pPr>
            <w:r>
              <w:t>%</w:t>
            </w:r>
          </w:p>
        </w:tc>
        <w:tc>
          <w:tcPr>
            <w:tcW w:w="1300" w:type="dxa"/>
          </w:tcPr>
          <w:p w:rsidR="00AC0832" w:rsidRDefault="00AC0832">
            <w:pPr>
              <w:pStyle w:val="CellColumn"/>
            </w:pPr>
            <w:r>
              <w:t>10</w:t>
            </w:r>
          </w:p>
        </w:tc>
        <w:tc>
          <w:tcPr>
            <w:tcW w:w="1300" w:type="dxa"/>
          </w:tcPr>
          <w:p w:rsidR="00AC0832" w:rsidRDefault="00AC0832">
            <w:pPr>
              <w:pStyle w:val="CellColumn"/>
            </w:pPr>
            <w:r>
              <w:t>Podaci Agencije</w:t>
            </w:r>
          </w:p>
        </w:tc>
        <w:tc>
          <w:tcPr>
            <w:tcW w:w="1300" w:type="dxa"/>
          </w:tcPr>
          <w:p w:rsidR="00AC0832" w:rsidRDefault="00AC0832">
            <w:pPr>
              <w:pStyle w:val="CellColumn"/>
            </w:pPr>
            <w:r>
              <w:t>5</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1.1.1.2. Udio prvostupanjskih rješenja po kojima su pozitivno riješene žalbe u ukupnom broju ispostavljenih rješenja - kvartalno</w:t>
            </w:r>
          </w:p>
        </w:tc>
        <w:tc>
          <w:tcPr>
            <w:tcW w:w="1300" w:type="dxa"/>
          </w:tcPr>
          <w:p w:rsidR="00AC0832" w:rsidRDefault="00AC0832">
            <w:pPr>
              <w:pStyle w:val="CellColumn"/>
            </w:pPr>
            <w:r>
              <w:t>Smanjenjem broja pobijanih rješenja i skraćuju se rokovi isplate radničkih potraživanja</w:t>
            </w:r>
          </w:p>
        </w:tc>
        <w:tc>
          <w:tcPr>
            <w:tcW w:w="1300" w:type="dxa"/>
          </w:tcPr>
          <w:p w:rsidR="00AC0832" w:rsidRDefault="00AC0832">
            <w:pPr>
              <w:pStyle w:val="CellColumn"/>
            </w:pPr>
            <w:r>
              <w:t>%</w:t>
            </w:r>
          </w:p>
        </w:tc>
        <w:tc>
          <w:tcPr>
            <w:tcW w:w="1300" w:type="dxa"/>
          </w:tcPr>
          <w:p w:rsidR="00AC0832" w:rsidRDefault="00AC0832">
            <w:pPr>
              <w:pStyle w:val="CellColumn"/>
            </w:pPr>
            <w:r>
              <w:t>1</w:t>
            </w:r>
          </w:p>
        </w:tc>
        <w:tc>
          <w:tcPr>
            <w:tcW w:w="1300" w:type="dxa"/>
          </w:tcPr>
          <w:p w:rsidR="00AC0832" w:rsidRDefault="00AC0832">
            <w:pPr>
              <w:pStyle w:val="CellColumn"/>
            </w:pPr>
            <w:r>
              <w:t>Podaci Agencije</w:t>
            </w:r>
          </w:p>
        </w:tc>
        <w:tc>
          <w:tcPr>
            <w:tcW w:w="1300" w:type="dxa"/>
          </w:tcPr>
          <w:p w:rsidR="00AC0832" w:rsidRDefault="00AC0832">
            <w:pPr>
              <w:pStyle w:val="CellColumn"/>
            </w:pPr>
            <w:r>
              <w:t>1</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 xml:space="preserve">"1.1.1.3. Udio isplata </w:t>
            </w:r>
          </w:p>
          <w:p w:rsidR="00AC0832" w:rsidRDefault="00AC0832">
            <w:pPr>
              <w:pStyle w:val="CellColumn"/>
            </w:pPr>
            <w:r>
              <w:t xml:space="preserve"> temeljem izvršnih </w:t>
            </w:r>
          </w:p>
          <w:p w:rsidR="00AC0832" w:rsidRDefault="00AC0832">
            <w:pPr>
              <w:pStyle w:val="CellColumn"/>
            </w:pPr>
            <w:r>
              <w:t xml:space="preserve">rješenja nakon </w:t>
            </w:r>
          </w:p>
          <w:p w:rsidR="00AC0832" w:rsidRDefault="00AC0832">
            <w:pPr>
              <w:pStyle w:val="CellColumn"/>
            </w:pPr>
            <w:r>
              <w:t xml:space="preserve">zakonskog roka u </w:t>
            </w:r>
          </w:p>
          <w:p w:rsidR="00AC0832" w:rsidRDefault="00AC0832">
            <w:pPr>
              <w:pStyle w:val="CellColumn"/>
            </w:pPr>
            <w:r>
              <w:t>ukupnim isplatama"</w:t>
            </w:r>
          </w:p>
        </w:tc>
        <w:tc>
          <w:tcPr>
            <w:tcW w:w="1300" w:type="dxa"/>
          </w:tcPr>
          <w:p w:rsidR="00AC0832" w:rsidRDefault="00AC0832">
            <w:pPr>
              <w:pStyle w:val="CellColumn"/>
            </w:pPr>
            <w:r>
              <w:t>Smanjenjem broja isplata nakon zakonskog roka u kraćem se vremenskom roku isplaćuju radnici kojima je ugrožena egzistencija</w:t>
            </w:r>
          </w:p>
        </w:tc>
        <w:tc>
          <w:tcPr>
            <w:tcW w:w="1300" w:type="dxa"/>
          </w:tcPr>
          <w:p w:rsidR="00AC0832" w:rsidRDefault="00AC0832">
            <w:pPr>
              <w:pStyle w:val="CellColumn"/>
            </w:pPr>
            <w:r>
              <w:t>%</w:t>
            </w:r>
          </w:p>
        </w:tc>
        <w:tc>
          <w:tcPr>
            <w:tcW w:w="1300" w:type="dxa"/>
          </w:tcPr>
          <w:p w:rsidR="00AC0832" w:rsidRDefault="00AC0832">
            <w:pPr>
              <w:pStyle w:val="CellColumn"/>
            </w:pPr>
            <w:r>
              <w:t>2</w:t>
            </w:r>
          </w:p>
        </w:tc>
        <w:tc>
          <w:tcPr>
            <w:tcW w:w="1300" w:type="dxa"/>
          </w:tcPr>
          <w:p w:rsidR="00AC0832" w:rsidRDefault="00AC0832">
            <w:pPr>
              <w:pStyle w:val="CellColumn"/>
            </w:pPr>
            <w:r>
              <w:t>Podaci Agencije</w:t>
            </w:r>
          </w:p>
        </w:tc>
        <w:tc>
          <w:tcPr>
            <w:tcW w:w="1300" w:type="dxa"/>
          </w:tcPr>
          <w:p w:rsidR="00AC0832" w:rsidRDefault="00AC0832">
            <w:pPr>
              <w:pStyle w:val="CellColumn"/>
            </w:pPr>
            <w:r>
              <w:t>1</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1"/>
      </w:pPr>
      <w:r>
        <w:t>090 MINISTARSTVO TURIZMA</w:t>
      </w:r>
    </w:p>
    <w:p w:rsidR="00AC0832" w:rsidRDefault="00AC0832">
      <w:pPr>
        <w:pStyle w:val="Heading4"/>
      </w:pPr>
      <w:r>
        <w:t>Uvod</w:t>
      </w:r>
    </w:p>
    <w:p w:rsidR="00AC0832" w:rsidRDefault="00AC0832">
      <w:pPr>
        <w:pStyle w:val="Normal3"/>
      </w:pPr>
      <w:r>
        <w:t>Ministarstvo turizma obavlja upravne i druge poslove koji se odnose na: turističku politiku Republike Hrvatske, strategiju razvitka hrvatskog turizma; razvoj i investicije u turizmu; razvitak kongresnoga, seoskoga, lovnoga, zdravstvenoga, omladinskoga i drugih selektivnih oblika turizma; unapređivanje i razvoj malog poduzetništva u turizmu i ugostiteljstvu; sanacijske programe u svezi s restrukturiranjem hotelsko-ugostiteljskih tvrtki, praćenje i sudjelovanje u procesu privatizacije; turističku informatiku, promicanje hrvatskog turizma u inozemstvu; sustav turističkih zajednica; turističku i ugostiteljsku statistiku; stanje i pojave na području turističkih i ugostiteljskih usluga; međunarodnu suradnju u svezi s turizmom; djelovanje instrumenata gospodarskog sustava i mjera gospodarske politike na razvoj ponude i pružanje turističkih i ugostiteljskih usluga i poslovanje turističkih i ugostiteljskih gospodarskih subjekata; uvjete obavljanja turističke i ugostiteljske djelatnosti, praćenje i analiziranje kvalitete turističke ponude, turističkih i ugostiteljskih usluga, uvođenje međunarodnih standarda kvalitete ponude smještaja i usluga; kategorizaciju turističkih i ugostiteljskih objekata; unapređivanje turističke i ugostiteljske djelatnosti. Ministarstvo obavlja poslove koji se odnose na sudjelovanje Republike Hrvatske u radu tijela Europske unije u područjima iz njegove nadležnosti, te druge poslove koji su mu stavljeni u nadležnost. Cilj kojem Vlada Republike Hrvatske teži je podizanje konkurentnosti hrvatskog turizma kroz razvoj turističkog sektora te pozicioniranje Hrvatske kao jedne od vodećih europskih turističkih destinacija kroz učinkovitu promociju.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09005-Ministarstvo turizma</w:t>
            </w:r>
          </w:p>
        </w:tc>
        <w:tc>
          <w:tcPr>
            <w:tcW w:w="2322" w:type="dxa"/>
          </w:tcPr>
          <w:p w:rsidR="00AC0832" w:rsidRDefault="00AC0832">
            <w:pPr>
              <w:pStyle w:val="CellColumn"/>
            </w:pPr>
            <w:r>
              <w:t>201.497.883</w:t>
            </w:r>
          </w:p>
        </w:tc>
        <w:tc>
          <w:tcPr>
            <w:tcW w:w="2322" w:type="dxa"/>
          </w:tcPr>
          <w:p w:rsidR="00AC0832" w:rsidRDefault="00AC0832">
            <w:pPr>
              <w:pStyle w:val="CellColumn"/>
            </w:pPr>
            <w:r>
              <w:t>191.177.609</w:t>
            </w:r>
          </w:p>
        </w:tc>
        <w:tc>
          <w:tcPr>
            <w:tcW w:w="2322" w:type="dxa"/>
          </w:tcPr>
          <w:p w:rsidR="00AC0832" w:rsidRDefault="00AC0832">
            <w:pPr>
              <w:pStyle w:val="CellColumn"/>
            </w:pPr>
            <w:r>
              <w:t>94,9</w:t>
            </w:r>
          </w:p>
        </w:tc>
      </w:tr>
      <w:tr w:rsidR="00AC0832" w:rsidTr="00BE20ED">
        <w:trPr>
          <w:jc w:val="center"/>
        </w:trPr>
        <w:tc>
          <w:tcPr>
            <w:tcW w:w="2322" w:type="dxa"/>
            <w:shd w:val="clear" w:color="auto" w:fill="B5C0D8"/>
          </w:tcPr>
          <w:p w:rsidR="00AC0832" w:rsidRDefault="00AC0832">
            <w:pPr>
              <w:pStyle w:val="CellColumn"/>
            </w:pPr>
            <w:r>
              <w:t>Ukupno 090-MINISTARSTVO TURIZMA</w:t>
            </w:r>
          </w:p>
        </w:tc>
        <w:tc>
          <w:tcPr>
            <w:tcW w:w="2322" w:type="dxa"/>
            <w:shd w:val="clear" w:color="auto" w:fill="B5C0D8"/>
          </w:tcPr>
          <w:p w:rsidR="00AC0832" w:rsidRDefault="00AC0832">
            <w:pPr>
              <w:pStyle w:val="CellColumn"/>
            </w:pPr>
            <w:r>
              <w:t>201.497.883</w:t>
            </w:r>
          </w:p>
        </w:tc>
        <w:tc>
          <w:tcPr>
            <w:tcW w:w="2322" w:type="dxa"/>
            <w:shd w:val="clear" w:color="auto" w:fill="B5C0D8"/>
          </w:tcPr>
          <w:p w:rsidR="00AC0832" w:rsidRDefault="00AC0832">
            <w:pPr>
              <w:pStyle w:val="CellColumn"/>
            </w:pPr>
            <w:r>
              <w:t>191.177.609</w:t>
            </w:r>
          </w:p>
        </w:tc>
        <w:tc>
          <w:tcPr>
            <w:tcW w:w="2322" w:type="dxa"/>
            <w:shd w:val="clear" w:color="auto" w:fill="B5C0D8"/>
          </w:tcPr>
          <w:p w:rsidR="00AC0832" w:rsidRDefault="00AC0832">
            <w:pPr>
              <w:pStyle w:val="CellColumn"/>
            </w:pPr>
            <w:r>
              <w:t>94,9</w:t>
            </w:r>
          </w:p>
        </w:tc>
      </w:tr>
    </w:tbl>
    <w:p w:rsidR="00AC0832" w:rsidRDefault="00AC0832">
      <w:pPr>
        <w:jc w:val="left"/>
      </w:pPr>
    </w:p>
    <w:p w:rsidR="00AC0832" w:rsidRDefault="00AC0832">
      <w:pPr>
        <w:pStyle w:val="Heading2"/>
      </w:pPr>
      <w:r>
        <w:t>09005 Ministarstvo turizma</w:t>
      </w:r>
    </w:p>
    <w:p w:rsidR="00AC0832" w:rsidRDefault="00AC0832">
      <w:pPr>
        <w:pStyle w:val="Heading4"/>
      </w:pPr>
      <w:r>
        <w:t>Uvod</w:t>
      </w:r>
    </w:p>
    <w:p w:rsidR="00AC0832" w:rsidRDefault="00AC0832">
      <w:pPr>
        <w:pStyle w:val="Normal3"/>
      </w:pPr>
      <w:r>
        <w:t xml:space="preserve">31-Rashodi za zaposlene </w:t>
      </w:r>
    </w:p>
    <w:p w:rsidR="00AC0832" w:rsidRDefault="00AC0832">
      <w:pPr>
        <w:pStyle w:val="Normal3"/>
      </w:pPr>
      <w:r>
        <w:t xml:space="preserve">Udio ove grupe rashoda u  ukupnim rashodima Ministarstva iznosio je 6,9%. Ovi rashodi plairani su u 2012. godini u iznosu od 13.992.176,00 kn, a izvršeni u iznosu 13.752.760,00 kn što je izvršenje od 98,20 %. Većih odstupanja od plana nije bilo. </w:t>
      </w:r>
    </w:p>
    <w:p w:rsidR="00AC0832" w:rsidRDefault="00AC0832">
      <w:pPr>
        <w:pStyle w:val="Normal3"/>
      </w:pPr>
      <w:r>
        <w:t xml:space="preserve">32-Materijalni rashodi </w:t>
      </w:r>
    </w:p>
    <w:p w:rsidR="00AC0832" w:rsidRDefault="00AC0832">
      <w:pPr>
        <w:pStyle w:val="Normal3"/>
      </w:pPr>
      <w:r>
        <w:t xml:space="preserve">Udio ove grupe rashoda u ukupnim rashodima Ministarstva iznosio je 3,5 %. Ovi rashodi plairani su u 2012. godini u iznosu od 7.087.585,00 kn, a izvršeni u iznosu od 6.024.596,00 kn što je izvršenje od 85,00 %. Većih odstupanja od plana nije bilo. </w:t>
      </w:r>
    </w:p>
    <w:p w:rsidR="00AC0832" w:rsidRDefault="00AC0832">
      <w:pPr>
        <w:pStyle w:val="Normal3"/>
      </w:pPr>
      <w:r>
        <w:t xml:space="preserve">34-Financijski rashodi </w:t>
      </w:r>
    </w:p>
    <w:p w:rsidR="00AC0832" w:rsidRDefault="00AC0832">
      <w:pPr>
        <w:pStyle w:val="Normal3"/>
      </w:pPr>
      <w:r>
        <w:t xml:space="preserve">Udio ove grupe rashoda u ukupnim rashodima Ministarstva iznosio je 0,01 %. Ovi rashodi plairani su u 2012. godini u iznosu od 27.000,00 kn, a izvršeni u iznosu od 14.487,00 kn što je izvršenje od 53,65 %. Većih odstupanja od plana nije bilo. </w:t>
      </w:r>
    </w:p>
    <w:p w:rsidR="00AC0832" w:rsidRDefault="00AC0832">
      <w:pPr>
        <w:pStyle w:val="Normal3"/>
      </w:pPr>
      <w:r>
        <w:t xml:space="preserve">35-Subvencije </w:t>
      </w:r>
    </w:p>
    <w:p w:rsidR="00AC0832" w:rsidRDefault="00AC0832">
      <w:pPr>
        <w:pStyle w:val="Normal3"/>
      </w:pPr>
      <w:r>
        <w:t xml:space="preserve">Udio ove grupe rashoda u ukupnim rashodima Ministarstva iznosio je 28,92 %. Ovi rashodi plairani su u 2012. godini u iznosu od 58.254.892,00 kn, a izvršeni u iznosu od 50.810.542,00 kn što je izvršenje od 87,22 %.Većih odstupanja od plana nije bilo. </w:t>
      </w:r>
    </w:p>
    <w:p w:rsidR="00AC0832" w:rsidRDefault="00AC0832">
      <w:pPr>
        <w:pStyle w:val="Normal3"/>
      </w:pPr>
      <w:r>
        <w:t xml:space="preserve">36-Pomoći dane u inozemstvo i unutar opće države </w:t>
      </w:r>
    </w:p>
    <w:p w:rsidR="00AC0832" w:rsidRDefault="00AC0832">
      <w:pPr>
        <w:pStyle w:val="Normal3"/>
      </w:pPr>
      <w:r>
        <w:t xml:space="preserve">Udio ove grupe rashoda u ukupnim rashodima Ministarstva iznosio je 3,95 %. Ovi rashodi plairani su u 2012. godini u iznosu od 7.952.000,00 kn, a izvršeni u iznosu od 7.851.998,00 kn što je izvršenje od 98,74 %. Većih odstupanja od plana nije bilo. </w:t>
      </w:r>
    </w:p>
    <w:p w:rsidR="00AC0832" w:rsidRDefault="00AC0832">
      <w:pPr>
        <w:pStyle w:val="Normal3"/>
      </w:pPr>
      <w:r>
        <w:t xml:space="preserve">37-Naknade građanima i kućanstvima u novcu </w:t>
      </w:r>
    </w:p>
    <w:p w:rsidR="00AC0832" w:rsidRDefault="00AC0832">
      <w:pPr>
        <w:pStyle w:val="Normal3"/>
      </w:pPr>
      <w:r>
        <w:t xml:space="preserve">Udio ove grupe rashoda u ukupnim rashodima Ministarstva iznosio je 0,57 %.Ovi rashodi plairani su u 2012. godini u iznosu od 1.146.600,00 kn, a izvršeni u iznosu od 711.888,00 kn što je izvršenje od 62,12 %. Manji postotak izvršenja plana posljedica je manje prijavljenih kakndidata za dobivanje stipendija preko programa obrazovanja i obuke kadrova u turizmu. </w:t>
      </w:r>
    </w:p>
    <w:p w:rsidR="00AC0832" w:rsidRDefault="00AC0832">
      <w:pPr>
        <w:pStyle w:val="Normal3"/>
      </w:pPr>
      <w:r>
        <w:t xml:space="preserve">38-Ostali rashodi </w:t>
      </w:r>
    </w:p>
    <w:p w:rsidR="00AC0832" w:rsidRDefault="00AC0832">
      <w:pPr>
        <w:pStyle w:val="Normal3"/>
      </w:pPr>
      <w:r>
        <w:t xml:space="preserve">Udio ove grupe rashoda u ukupnim rashodima Ministarstva iznosio je 54,44 %. Ovi rashodi plairani su u 2012. godini u iznosu od 109.685.705,00 kn a izvršeni u iznosu od 108.785.218,00 kn što je izvršenje od 99.18 %. Većih odstupanja od plana nije bilo. </w:t>
      </w:r>
    </w:p>
    <w:p w:rsidR="00AC0832" w:rsidRDefault="00AC0832">
      <w:pPr>
        <w:pStyle w:val="Normal3"/>
      </w:pPr>
      <w:r>
        <w:t xml:space="preserve">41-Rashodi za nabavu neproizvedene dugotrajne imovine </w:t>
      </w:r>
    </w:p>
    <w:p w:rsidR="00AC0832" w:rsidRDefault="00AC0832">
      <w:pPr>
        <w:pStyle w:val="Normal3"/>
      </w:pPr>
      <w:r>
        <w:t xml:space="preserve">Udio ove grupe rashoda u ukupnim rashodima Ministarstva iznosio je 1.51 %. Ovi rashodi plairani su u 2012. godini u iznosu od 3.049.875,00 kn a izvršeni u iznosu od 3.044.875,00 kn što je izvršenje od 99,84 %. Većih odstupanja od plana nije bilo. </w:t>
      </w:r>
    </w:p>
    <w:p w:rsidR="00AC0832" w:rsidRDefault="00AC0832">
      <w:pPr>
        <w:pStyle w:val="Normal3"/>
      </w:pPr>
      <w:r>
        <w:t xml:space="preserve">42-Rashodi za nabavu proizvedene dugotrajne imovine </w:t>
      </w:r>
    </w:p>
    <w:p w:rsidR="00AC0832" w:rsidRDefault="00AC0832">
      <w:pPr>
        <w:pStyle w:val="Normal3"/>
      </w:pPr>
      <w:r>
        <w:t>Udio ove grupe rashoda u ukupnim rashodima Ministarstva iznosio je 0,13 %. Ovi rashodi plairani su u 2012. godini u iznosu od 257.050,00 kn a izvršeni u iznosu od 181.245,00 kn što je izvršenje od 70,51 %. Većih odstupanja od plana nije bilo.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09005-Ministarstvo turizma</w:t>
            </w:r>
          </w:p>
        </w:tc>
        <w:tc>
          <w:tcPr>
            <w:tcW w:w="2322" w:type="dxa"/>
          </w:tcPr>
          <w:p w:rsidR="00AC0832" w:rsidRDefault="00AC0832">
            <w:pPr>
              <w:pStyle w:val="CellColumn"/>
            </w:pPr>
            <w:r>
              <w:t>201.497.883</w:t>
            </w:r>
          </w:p>
        </w:tc>
        <w:tc>
          <w:tcPr>
            <w:tcW w:w="2322" w:type="dxa"/>
          </w:tcPr>
          <w:p w:rsidR="00AC0832" w:rsidRDefault="00AC0832">
            <w:pPr>
              <w:pStyle w:val="CellColumn"/>
            </w:pPr>
            <w:r>
              <w:t>191.177.609</w:t>
            </w:r>
          </w:p>
        </w:tc>
        <w:tc>
          <w:tcPr>
            <w:tcW w:w="2322" w:type="dxa"/>
          </w:tcPr>
          <w:p w:rsidR="00AC0832" w:rsidRDefault="00AC0832">
            <w:pPr>
              <w:pStyle w:val="CellColumn"/>
            </w:pPr>
            <w:r>
              <w:t>94,9</w:t>
            </w:r>
          </w:p>
        </w:tc>
      </w:tr>
      <w:tr w:rsidR="00AC0832" w:rsidTr="00BE20ED">
        <w:trPr>
          <w:jc w:val="center"/>
        </w:trPr>
        <w:tc>
          <w:tcPr>
            <w:tcW w:w="2322" w:type="dxa"/>
          </w:tcPr>
          <w:p w:rsidR="00AC0832" w:rsidRDefault="00AC0832">
            <w:pPr>
              <w:pStyle w:val="CellColumnSmall"/>
            </w:pPr>
            <w:r>
              <w:t>3208-POTICANJE RAZVOJA TURIZMA</w:t>
            </w:r>
          </w:p>
        </w:tc>
        <w:tc>
          <w:tcPr>
            <w:tcW w:w="2322" w:type="dxa"/>
          </w:tcPr>
          <w:p w:rsidR="00AC0832" w:rsidRDefault="00AC0832">
            <w:pPr>
              <w:pStyle w:val="CellColumnSmall"/>
            </w:pPr>
            <w:r>
              <w:t>106.667.883</w:t>
            </w:r>
          </w:p>
        </w:tc>
        <w:tc>
          <w:tcPr>
            <w:tcW w:w="2322" w:type="dxa"/>
          </w:tcPr>
          <w:p w:rsidR="00AC0832" w:rsidRDefault="00AC0832">
            <w:pPr>
              <w:pStyle w:val="CellColumnSmall"/>
            </w:pPr>
            <w:r>
              <w:t>97.047.609</w:t>
            </w:r>
          </w:p>
        </w:tc>
        <w:tc>
          <w:tcPr>
            <w:tcW w:w="2322" w:type="dxa"/>
          </w:tcPr>
          <w:p w:rsidR="00AC0832" w:rsidRDefault="00AC0832">
            <w:pPr>
              <w:pStyle w:val="CellColumnSmall"/>
            </w:pPr>
            <w:r>
              <w:t>91,0</w:t>
            </w:r>
          </w:p>
        </w:tc>
      </w:tr>
      <w:tr w:rsidR="00AC0832" w:rsidTr="00BE20ED">
        <w:trPr>
          <w:jc w:val="center"/>
        </w:trPr>
        <w:tc>
          <w:tcPr>
            <w:tcW w:w="2322" w:type="dxa"/>
          </w:tcPr>
          <w:p w:rsidR="00AC0832" w:rsidRDefault="00AC0832">
            <w:pPr>
              <w:pStyle w:val="CellColumnSmall"/>
            </w:pPr>
            <w:r>
              <w:t>3209-PROMOCIJA TURIZMA</w:t>
            </w:r>
          </w:p>
        </w:tc>
        <w:tc>
          <w:tcPr>
            <w:tcW w:w="2322" w:type="dxa"/>
          </w:tcPr>
          <w:p w:rsidR="00AC0832" w:rsidRDefault="00AC0832">
            <w:pPr>
              <w:pStyle w:val="CellColumnSmall"/>
            </w:pPr>
            <w:r>
              <w:t>94.830.000</w:t>
            </w:r>
          </w:p>
        </w:tc>
        <w:tc>
          <w:tcPr>
            <w:tcW w:w="2322" w:type="dxa"/>
          </w:tcPr>
          <w:p w:rsidR="00AC0832" w:rsidRDefault="00AC0832">
            <w:pPr>
              <w:pStyle w:val="CellColumnSmall"/>
            </w:pPr>
            <w:r>
              <w:t>94.130.000</w:t>
            </w:r>
          </w:p>
        </w:tc>
        <w:tc>
          <w:tcPr>
            <w:tcW w:w="2322" w:type="dxa"/>
          </w:tcPr>
          <w:p w:rsidR="00AC0832" w:rsidRDefault="00AC0832">
            <w:pPr>
              <w:pStyle w:val="CellColumnSmall"/>
            </w:pPr>
            <w:r>
              <w:t>99,3</w:t>
            </w:r>
          </w:p>
        </w:tc>
      </w:tr>
    </w:tbl>
    <w:p w:rsidR="00AC0832" w:rsidRDefault="00AC0832">
      <w:pPr>
        <w:jc w:val="left"/>
      </w:pPr>
    </w:p>
    <w:p w:rsidR="00AC0832" w:rsidRDefault="00AC0832">
      <w:pPr>
        <w:pStyle w:val="Heading4"/>
      </w:pPr>
      <w:r>
        <w:t>OBRAZLOŽENJE PROGRAMA</w:t>
      </w:r>
    </w:p>
    <w:p w:rsidR="00AC0832" w:rsidRDefault="00AC0832">
      <w:pPr>
        <w:pStyle w:val="Heading5"/>
      </w:pPr>
      <w:r>
        <w:t>3208 POTICANJE RAZVOJA TURIZMA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3208-POTICANJE RAZVOJA TURIZMA</w:t>
            </w:r>
          </w:p>
        </w:tc>
        <w:tc>
          <w:tcPr>
            <w:tcW w:w="2322" w:type="dxa"/>
          </w:tcPr>
          <w:p w:rsidR="00AC0832" w:rsidRDefault="00AC0832">
            <w:pPr>
              <w:pStyle w:val="CellColumn"/>
            </w:pPr>
            <w:r>
              <w:t>106.667.883</w:t>
            </w:r>
          </w:p>
        </w:tc>
        <w:tc>
          <w:tcPr>
            <w:tcW w:w="2322" w:type="dxa"/>
          </w:tcPr>
          <w:p w:rsidR="00AC0832" w:rsidRDefault="00AC0832">
            <w:pPr>
              <w:pStyle w:val="CellColumn"/>
            </w:pPr>
            <w:r>
              <w:t>97.047.609</w:t>
            </w:r>
          </w:p>
        </w:tc>
        <w:tc>
          <w:tcPr>
            <w:tcW w:w="2322" w:type="dxa"/>
          </w:tcPr>
          <w:p w:rsidR="00AC0832" w:rsidRDefault="00AC0832">
            <w:pPr>
              <w:pStyle w:val="CellColumn"/>
            </w:pPr>
            <w:r>
              <w:t>91,0</w:t>
            </w:r>
          </w:p>
        </w:tc>
      </w:tr>
    </w:tbl>
    <w:p w:rsidR="00AC0832" w:rsidRDefault="00AC0832">
      <w:pPr>
        <w:jc w:val="left"/>
      </w:pPr>
    </w:p>
    <w:p w:rsidR="00AC0832" w:rsidRDefault="00AC0832">
      <w:pPr>
        <w:pStyle w:val="Heading6"/>
      </w:pPr>
      <w:r>
        <w:t>Opis programa</w:t>
      </w:r>
    </w:p>
    <w:p w:rsidR="00AC0832" w:rsidRDefault="00AC0832">
      <w:pPr>
        <w:pStyle w:val="Normal5"/>
      </w:pPr>
      <w:r>
        <w:t xml:space="preserve">Sredstva su namijenjena aktivnostima koje utječu na podizanje konkurentnosti turističke ponude, kroz programe dodjele bespovratnih sredstava, kreditne linije i kroz međunarodnu suradnju na području turizma s ciljem ostvarenja većeg turističkog prometa, kako u broju dolazaka i noćenja, tako i u prihodima od turizma.  </w:t>
      </w:r>
    </w:p>
    <w:p w:rsidR="00AC0832" w:rsidRDefault="00AC0832">
      <w:pPr>
        <w:pStyle w:val="Normal5"/>
      </w:pPr>
      <w:r>
        <w:t>Sredstva su raspoređena na nekoliko područja: razvoj malog i srednjeg poduzetništva u turizmu, razvoj kadrova u turizmu, stvaranje uvjeta za povećanje konkurentnosti turističkog tržišta te razvoj turizma u turistički nedovoljno razvijenim područjima. Uspješno pozicioniranje Hrvatske na zahtjevnom turističkom tržištu ovisi o razvoju i oblikovanju novih te poboljšanju postojećih turističkih proizvoda i usluga. Ministarstvo turizma, želeći prije svega poboljšati nepovoljnu strukturu smještajnih kapaciteta i unaprijediti kvalitetu ponude, potiče jačanje segmenta malog i srednjeg poduzetništva u turizmu.</w:t>
      </w:r>
    </w:p>
    <w:p w:rsidR="00AC0832" w:rsidRDefault="00AC0832">
      <w:pPr>
        <w:pStyle w:val="Heading6"/>
      </w:pPr>
      <w:r>
        <w:t>Zakonske i druge pravne osnove</w:t>
      </w:r>
    </w:p>
    <w:p w:rsidR="00AC0832" w:rsidRDefault="00AC0832">
      <w:pPr>
        <w:pStyle w:val="Normal5"/>
      </w:pPr>
      <w:r>
        <w:t>Zakon o poticanju razvoja malog gospodarstva (NN 29/02, 63/07, 53/12); Zakon o državnim potporama (NN 47/03, 140/05, 29/11) i pripadajući provedbeni propisi; Uredba o državnim potporama (NN 50/06); Zakon o ugostiteljskoj djelatnosti (NN 138/06, 43/09, 88/10, 50/12); Zakon o pružanju usluga u turizmu (NN 68/07, 88/10);  Pravilnik o razvrstavanju, kategorizaciji i posebnim standardima ugostiteljskih objekata iz skupine hoteli (NN 88/07, 58/08 i 62/09); Pravilnik o razvrstavanju i kategorizaciji objekata u kojima se pružaju ugostiteljske usluge u domaćinstvu (NN 88/07, 58/08 i 45/09); Zakon o HGSS (NN 79/06), Program Vlade Republike Hrvatske 2011.-2015.; Nacionalna strategija stvaranja poticajnog okruženja za razvoj civilnog društva.</w:t>
      </w:r>
    </w:p>
    <w:p w:rsidR="00AC0832" w:rsidRDefault="00AC0832">
      <w:pPr>
        <w:pStyle w:val="Heading7"/>
      </w:pPr>
      <w:r>
        <w:t>Cilj 1. Podizanje konkurentnosti hrvatskog turizma kroz razvoj turističkog sektora</w:t>
      </w:r>
    </w:p>
    <w:p w:rsidR="00AC0832" w:rsidRDefault="00AC0832">
      <w:pPr>
        <w:pStyle w:val="Heading8"/>
        <w:jc w:val="left"/>
      </w:pPr>
      <w:r>
        <w:t>Opis provedbe cilja programa</w:t>
      </w:r>
    </w:p>
    <w:p w:rsidR="00AC0832" w:rsidRDefault="00AC0832">
      <w:pPr>
        <w:pStyle w:val="Normal6"/>
      </w:pPr>
      <w:r>
        <w:t xml:space="preserve">Programi Ministarstva turizma usmjereni su prije svega podržavanju turističkih inicijativa i stvaranju ukupnog okruženja na svim razinama i posebice na turistički nedovoljno razvijenim i ruralnim područjima za intenzivniji razvitak turizma. Pri tome su programski kriteriji razvoja usmjereni na: stvaranje novih turističkih/ugostiteljskih kapaciteta, izvornih hrvatskih turističkih proizvoda koji se temelje na uključivanju našeg ukupnog prirodnog, povijesnog, kulturnog i posebice arhitektonskog naslijeđa u kreiranje različitog i turistički atraktivnog novog proizvoda, razvoj posebnih oblika turizma (seoski, kulturni, zdravstveni, eno-gastronomski, ekoturizam, lovni, ribolovni,  avanturistički, vjerski, omladinski i dr.) što će sve doprinijeti povećanju udjela turizma na kontinentu u odnosu na maritivni te afirmirati dalmatinsko zaleđe i unutrašnjost otoka. Taj je proizvod prihvatljiv potrošaču i na globalnoj razini te osigurava razvoj održivog turizma kao komplementarnog dijela ukupne nacionalne turističke ponude. </w:t>
      </w:r>
    </w:p>
    <w:p w:rsidR="00AC0832" w:rsidRDefault="00AC0832">
      <w:pPr>
        <w:pStyle w:val="Normal6"/>
      </w:pPr>
      <w:r>
        <w:t xml:space="preserve">Program se provodi kroz nekoliko načina ostvarenja: </w:t>
      </w:r>
    </w:p>
    <w:p w:rsidR="00AC0832" w:rsidRDefault="00AC0832">
      <w:pPr>
        <w:pStyle w:val="Normal6"/>
      </w:pPr>
      <w:r>
        <w:t xml:space="preserve">1. Razvoj turističkog sektora </w:t>
      </w:r>
    </w:p>
    <w:p w:rsidR="00AC0832" w:rsidRDefault="00AC0832">
      <w:pPr>
        <w:pStyle w:val="Normal6"/>
      </w:pPr>
      <w:r>
        <w:t xml:space="preserve">Poticanje razvoja turističkog sektora planira se provoditi kroz postojeće programe subvencioniranja kreditnih programa u turizmu, ali i nove programe unapređenja turističkog sektora i razvoja novih proizvoda održivog turizma. Najznačajniji Program kreditiranja malog obiteljskog poduzetništva u turizmu je „Poticaj za uspjeh“. Uz poticanje poduzetništva, cilj Programa je proširenje smještajne ponude sa objektima manjeg kapaciteta, ali veće kvalitete. </w:t>
      </w:r>
    </w:p>
    <w:p w:rsidR="00AC0832" w:rsidRDefault="00AC0832">
      <w:pPr>
        <w:pStyle w:val="Normal6"/>
      </w:pPr>
      <w:r>
        <w:t xml:space="preserve">2. Stvaranje uvjeta za jačanje turističkog tržišta </w:t>
      </w:r>
    </w:p>
    <w:p w:rsidR="00AC0832" w:rsidRDefault="00AC0832">
      <w:pPr>
        <w:pStyle w:val="Normal6"/>
      </w:pPr>
      <w:r>
        <w:t xml:space="preserve">Zadržavanje stečene pozicije na međunarodnom turističkom tržištu, kao i daljnje jačanje imidža Hrvatske kao prepoznatljive turističke destinacije moguće je uz postizanje visoke razine kvalitete ukupnog turističkog proizvoda što uključuje i osjećaj sigurnosti turista za vrijeme boravka u stranoj zemlji, bilo da se radi o sigurnosti u prometu, u destinaciji, dostupnosti zdravstvene zaštite ili saznanju o dobroj organizaciji službi spašavanja i pomoći. </w:t>
      </w:r>
    </w:p>
    <w:p w:rsidR="00AC0832" w:rsidRDefault="00AC0832">
      <w:pPr>
        <w:pStyle w:val="Normal6"/>
      </w:pPr>
      <w:r>
        <w:t xml:space="preserve">3. Razvoj kadrova u turizmu </w:t>
      </w:r>
    </w:p>
    <w:p w:rsidR="00AC0832" w:rsidRDefault="00AC0832">
      <w:pPr>
        <w:pStyle w:val="Normal6"/>
      </w:pPr>
      <w:r>
        <w:t xml:space="preserve">Za jačanje konkurentnosti hrvatskog turizma neophodno je osigurati kvalitetan, obrazovan i stručan kadar. To uključuje pripremu novih ljudskih potencijala kroz redovni obrazovni sustav u strukovnim školama i na fakultetima za ugostiteljstvo i turizam, ali i kontinuirano cjeloživotno obrazovanje i usavršavanje postojećeg kadra. </w:t>
      </w:r>
    </w:p>
    <w:p w:rsidR="00AC0832" w:rsidRDefault="00AC0832">
      <w:pPr>
        <w:pStyle w:val="Normal6"/>
      </w:pPr>
      <w:r>
        <w:t xml:space="preserve">4. Razvoj turizma u turistički nedovoljno razvijenim područjima </w:t>
      </w:r>
    </w:p>
    <w:p w:rsidR="00AC0832" w:rsidRDefault="00AC0832">
      <w:pPr>
        <w:pStyle w:val="Normal6"/>
      </w:pPr>
      <w:r>
        <w:t>Ministarstvo je pokrenulo program poticanja razvoja turizma na turistički nerazvijenim područjima u skladu sa strateškim smjernicama ukupnog razvoja turizma, stvaranja cjelogodišnjih turističkih proizvoda, jačanja turizma kao generatora ukupnog razvoja gospodarstva destinacije te u konačnici čitave zemlje.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turističkog prometa- broja ostvarenih noćenja</w:t>
            </w:r>
          </w:p>
        </w:tc>
        <w:tc>
          <w:tcPr>
            <w:tcW w:w="1300" w:type="dxa"/>
          </w:tcPr>
          <w:p w:rsidR="00AC0832" w:rsidRDefault="00AC0832">
            <w:pPr>
              <w:pStyle w:val="CellColumn"/>
            </w:pPr>
            <w:r>
              <w:t>Povećanje turističkog prometa- broja ostvarenih noćenja</w:t>
            </w:r>
          </w:p>
        </w:tc>
        <w:tc>
          <w:tcPr>
            <w:tcW w:w="1300" w:type="dxa"/>
          </w:tcPr>
          <w:p w:rsidR="00AC0832" w:rsidRDefault="00AC0832">
            <w:pPr>
              <w:pStyle w:val="CellColumn"/>
            </w:pPr>
            <w:r>
              <w:t>Broj</w:t>
            </w:r>
          </w:p>
        </w:tc>
        <w:tc>
          <w:tcPr>
            <w:tcW w:w="1300" w:type="dxa"/>
          </w:tcPr>
          <w:p w:rsidR="00AC0832" w:rsidRDefault="00AC0832">
            <w:pPr>
              <w:pStyle w:val="CellColumn"/>
            </w:pPr>
            <w:r>
              <w:t xml:space="preserve">Broj noćenja </w:t>
            </w:r>
          </w:p>
          <w:p w:rsidR="00AC0832" w:rsidRDefault="00AC0832">
            <w:pPr>
              <w:pStyle w:val="CellColumn"/>
            </w:pPr>
            <w:r>
              <w:t>54.600.000</w:t>
            </w:r>
          </w:p>
        </w:tc>
        <w:tc>
          <w:tcPr>
            <w:tcW w:w="1300" w:type="dxa"/>
          </w:tcPr>
          <w:p w:rsidR="00AC0832" w:rsidRDefault="00AC0832">
            <w:pPr>
              <w:pStyle w:val="CellColumn"/>
            </w:pPr>
            <w:r>
              <w:t>Ministarstvo turizma</w:t>
            </w:r>
          </w:p>
        </w:tc>
        <w:tc>
          <w:tcPr>
            <w:tcW w:w="1300" w:type="dxa"/>
          </w:tcPr>
          <w:p w:rsidR="00AC0832" w:rsidRDefault="00AC0832">
            <w:pPr>
              <w:pStyle w:val="CellColumn"/>
            </w:pPr>
            <w:r>
              <w:t>Broj noćenja 55.300.000</w:t>
            </w:r>
          </w:p>
        </w:tc>
        <w:tc>
          <w:tcPr>
            <w:tcW w:w="1300" w:type="dxa"/>
          </w:tcPr>
          <w:p w:rsidR="00AC0832" w:rsidRDefault="00AC0832">
            <w:pPr>
              <w:pStyle w:val="CellColumn"/>
            </w:pPr>
            <w:r>
              <w:t xml:space="preserve">Broj noćenja </w:t>
            </w:r>
          </w:p>
          <w:p w:rsidR="00AC0832" w:rsidRDefault="00AC0832">
            <w:pPr>
              <w:pStyle w:val="CellColumn"/>
            </w:pPr>
            <w:r>
              <w:t>57.522.126</w:t>
            </w:r>
          </w:p>
        </w:tc>
      </w:tr>
    </w:tbl>
    <w:p w:rsidR="00AC0832" w:rsidRDefault="00AC0832">
      <w:pPr>
        <w:jc w:val="left"/>
      </w:pPr>
    </w:p>
    <w:p w:rsidR="00AC0832" w:rsidRDefault="00AC0832">
      <w:pPr>
        <w:pStyle w:val="Heading6"/>
      </w:pPr>
      <w:r>
        <w:t>A570461 PROGRAM POTICANJA RAZVOJA TURIZMA NA TURISTIČKI NERAZVIJENIM PODRUČJIMA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A570461-PROGRAM POTICANJA RAZVOJA TURIZMA NA TURISTIČKI NERAZVIJENIM PODRUČJIMA</w:t>
            </w:r>
          </w:p>
        </w:tc>
        <w:tc>
          <w:tcPr>
            <w:tcW w:w="2322" w:type="dxa"/>
          </w:tcPr>
          <w:p w:rsidR="00AC0832" w:rsidRDefault="00AC0832">
            <w:pPr>
              <w:pStyle w:val="CellColumn"/>
            </w:pPr>
            <w:r>
              <w:t>2.200.000</w:t>
            </w:r>
          </w:p>
        </w:tc>
        <w:tc>
          <w:tcPr>
            <w:tcW w:w="2322" w:type="dxa"/>
          </w:tcPr>
          <w:p w:rsidR="00AC0832" w:rsidRDefault="00AC0832">
            <w:pPr>
              <w:pStyle w:val="CellColumn"/>
            </w:pPr>
            <w:r>
              <w:t>2.080.000</w:t>
            </w:r>
          </w:p>
        </w:tc>
        <w:tc>
          <w:tcPr>
            <w:tcW w:w="2322" w:type="dxa"/>
          </w:tcPr>
          <w:p w:rsidR="00AC0832" w:rsidRDefault="00AC0832">
            <w:pPr>
              <w:pStyle w:val="CellColumn"/>
            </w:pPr>
            <w:r>
              <w:t>94,5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skladu s ciljevima Programa poticanja razvoja turizma na turistički nerazvijenim područjima u 2012. godini (TNP), bespovratnim sredstvima sufinancirani su  projekti kojima se potiče jačanje turizma kao mogućeg pokretača ukupnog razvoja gospodarstva nerazvijenih područja, unapređenje javne i poslovne turističke infrastrukture, unapređenje turističke ponude destinacije razvojem posebnih oblika turizma i stvaranje cjelogodišnje turističke ponude  koristeći prirodne i kulturne resurse na principima održivosti. Temeljem Javnog poziva ukupno je zaprimljeno 730 zahtjeva. Na osnovu kriterija i odlukom ministra o odabiru projekata Programa TNP,  Ministarstvo turizma sufinanciralo je 46 projekata.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84"/>
        <w:gridCol w:w="1300"/>
        <w:gridCol w:w="1300"/>
        <w:gridCol w:w="138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prihoda od naplate boravišne pristojbe za općine i gradove sa prihodom manjim od 200.000,00 kn.</w:t>
            </w:r>
          </w:p>
        </w:tc>
        <w:tc>
          <w:tcPr>
            <w:tcW w:w="1300" w:type="dxa"/>
          </w:tcPr>
          <w:p w:rsidR="00AC0832" w:rsidRDefault="00AC0832">
            <w:pPr>
              <w:pStyle w:val="CellColumn"/>
            </w:pPr>
            <w:r>
              <w:t>Povećanje prihoda od raspodjele boravišne pristojbe za općine i gradove sa prihodom manjim od 200.000,00 kn.</w:t>
            </w:r>
          </w:p>
        </w:tc>
        <w:tc>
          <w:tcPr>
            <w:tcW w:w="1300" w:type="dxa"/>
          </w:tcPr>
          <w:p w:rsidR="00AC0832" w:rsidRDefault="00AC0832">
            <w:pPr>
              <w:pStyle w:val="CellColumn"/>
            </w:pPr>
            <w:r>
              <w:t>Iznos</w:t>
            </w:r>
          </w:p>
        </w:tc>
        <w:tc>
          <w:tcPr>
            <w:tcW w:w="1300" w:type="dxa"/>
          </w:tcPr>
          <w:p w:rsidR="00AC0832" w:rsidRDefault="00AC0832">
            <w:pPr>
              <w:pStyle w:val="CellColumn"/>
            </w:pPr>
            <w:r>
              <w:t>3.487.405,00</w:t>
            </w:r>
          </w:p>
        </w:tc>
        <w:tc>
          <w:tcPr>
            <w:tcW w:w="1300" w:type="dxa"/>
          </w:tcPr>
          <w:p w:rsidR="00AC0832" w:rsidRDefault="00AC0832">
            <w:pPr>
              <w:pStyle w:val="CellColumn"/>
            </w:pPr>
            <w:r>
              <w:t>FINA</w:t>
            </w:r>
          </w:p>
        </w:tc>
        <w:tc>
          <w:tcPr>
            <w:tcW w:w="1300" w:type="dxa"/>
          </w:tcPr>
          <w:p w:rsidR="00AC0832" w:rsidRDefault="00AC0832">
            <w:pPr>
              <w:pStyle w:val="CellColumn"/>
            </w:pPr>
            <w:r>
              <w:t>+1%</w:t>
            </w:r>
          </w:p>
        </w:tc>
        <w:tc>
          <w:tcPr>
            <w:tcW w:w="1300" w:type="dxa"/>
          </w:tcPr>
          <w:p w:rsidR="00AC0832" w:rsidRDefault="00AC0832">
            <w:pPr>
              <w:pStyle w:val="CellColumn"/>
            </w:pPr>
            <w:r>
              <w:t>8.359.116,00</w:t>
            </w:r>
          </w:p>
        </w:tc>
      </w:tr>
    </w:tbl>
    <w:p w:rsidR="00AC0832" w:rsidRDefault="00AC0832">
      <w:pPr>
        <w:jc w:val="left"/>
      </w:pPr>
    </w:p>
    <w:p w:rsidR="00AC0832" w:rsidRDefault="00AC0832">
      <w:pPr>
        <w:pStyle w:val="Heading6"/>
      </w:pPr>
      <w:r>
        <w:t>A587014 POTICAJ ZA JAČANJE TURISTIČKOG TRŽIŠTA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A587014-POTICAJ ZA JAČANJE TURISTIČKOG TRŽIŠTA</w:t>
            </w:r>
          </w:p>
        </w:tc>
        <w:tc>
          <w:tcPr>
            <w:tcW w:w="2322" w:type="dxa"/>
          </w:tcPr>
          <w:p w:rsidR="00AC0832" w:rsidRDefault="00AC0832">
            <w:pPr>
              <w:pStyle w:val="CellColumn"/>
            </w:pPr>
            <w:r>
              <w:t>5.400.000</w:t>
            </w:r>
          </w:p>
        </w:tc>
        <w:tc>
          <w:tcPr>
            <w:tcW w:w="2322" w:type="dxa"/>
          </w:tcPr>
          <w:p w:rsidR="00AC0832" w:rsidRDefault="00AC0832">
            <w:pPr>
              <w:pStyle w:val="CellColumn"/>
            </w:pPr>
            <w:r>
              <w:t>5.400.000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Kroz ovu aktivnost financirano je nekoliko mjera pripreme sezone. Tako je za potrebe osiguranja dodatnih timova medicinske pomoći u osam županija tijekom ljetne sezone odobreno ukupno 1.500.000,00 kn; po Javnom pozivu namijenjenom strukovnim udrugama odobreno je 3.000.000,00 kn; po Programu i Javnom pozivu za sufinanciranje vlastitog udjela projektima iz područja turizma kojima su odobrena sredstva iz predpristupnih i dr. fondova odobreno je ukupno 700.000,00 kn; Ministarstvo je također sufinanciralo troškove smještaja stranih policijskih službenika s 200.000,00 kn.</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28"/>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plaža s "Plavom zastavom"</w:t>
            </w:r>
          </w:p>
        </w:tc>
        <w:tc>
          <w:tcPr>
            <w:tcW w:w="1300" w:type="dxa"/>
          </w:tcPr>
          <w:p w:rsidR="00AC0832" w:rsidRDefault="00AC0832">
            <w:pPr>
              <w:pStyle w:val="CellColumn"/>
            </w:pPr>
            <w:r>
              <w:t>Povećanje broja plaža koje zadovoljavaju standarde   "Plave zastave"</w:t>
            </w:r>
          </w:p>
        </w:tc>
        <w:tc>
          <w:tcPr>
            <w:tcW w:w="1300" w:type="dxa"/>
          </w:tcPr>
          <w:p w:rsidR="00AC0832" w:rsidRDefault="00AC0832">
            <w:pPr>
              <w:pStyle w:val="CellColumn"/>
            </w:pPr>
            <w:r>
              <w:t>Broj plaža</w:t>
            </w:r>
          </w:p>
        </w:tc>
        <w:tc>
          <w:tcPr>
            <w:tcW w:w="1300" w:type="dxa"/>
          </w:tcPr>
          <w:p w:rsidR="00AC0832" w:rsidRDefault="00AC0832">
            <w:pPr>
              <w:pStyle w:val="CellColumn"/>
            </w:pPr>
            <w:r>
              <w:t>116</w:t>
            </w:r>
          </w:p>
        </w:tc>
        <w:tc>
          <w:tcPr>
            <w:tcW w:w="1300" w:type="dxa"/>
          </w:tcPr>
          <w:p w:rsidR="00AC0832" w:rsidRDefault="00AC0832">
            <w:pPr>
              <w:pStyle w:val="CellColumn"/>
            </w:pPr>
            <w:r>
              <w:t>Udruga "Lijepa naša"</w:t>
            </w:r>
          </w:p>
        </w:tc>
        <w:tc>
          <w:tcPr>
            <w:tcW w:w="1300" w:type="dxa"/>
          </w:tcPr>
          <w:p w:rsidR="00AC0832" w:rsidRDefault="00AC0832">
            <w:pPr>
              <w:pStyle w:val="CellColumn"/>
            </w:pPr>
            <w:r>
              <w:t>118</w:t>
            </w:r>
          </w:p>
        </w:tc>
        <w:tc>
          <w:tcPr>
            <w:tcW w:w="1300" w:type="dxa"/>
          </w:tcPr>
          <w:p w:rsidR="00AC0832" w:rsidRDefault="00AC0832">
            <w:pPr>
              <w:pStyle w:val="CellColumn"/>
            </w:pPr>
            <w:r>
              <w:t>106</w:t>
            </w:r>
          </w:p>
        </w:tc>
      </w:tr>
    </w:tbl>
    <w:p w:rsidR="00AC0832" w:rsidRDefault="00AC0832">
      <w:pPr>
        <w:jc w:val="left"/>
      </w:pPr>
    </w:p>
    <w:p w:rsidR="00AC0832" w:rsidRDefault="00AC0832">
      <w:pPr>
        <w:jc w:val="left"/>
      </w:pPr>
    </w:p>
    <w:p w:rsidR="00AC0832" w:rsidRDefault="00AC0832">
      <w:pPr>
        <w:jc w:val="left"/>
      </w:pPr>
    </w:p>
    <w:p w:rsidR="00AC0832" w:rsidRDefault="00AC0832">
      <w:pPr>
        <w:pStyle w:val="Heading6"/>
      </w:pPr>
      <w:r>
        <w:t>A587018 PROGRAMI SUBVENCIONIRANJA KREDITNIH PROGRAMA U TURIZMU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A587018-PROGRAMI SUBVENCIONIRANJA KREDITNIH PROGRAMA U TURIZMU</w:t>
            </w:r>
          </w:p>
        </w:tc>
        <w:tc>
          <w:tcPr>
            <w:tcW w:w="2322" w:type="dxa"/>
          </w:tcPr>
          <w:p w:rsidR="00AC0832" w:rsidRDefault="00AC0832">
            <w:pPr>
              <w:pStyle w:val="CellColumn"/>
            </w:pPr>
            <w:r>
              <w:t>57.194.892</w:t>
            </w:r>
          </w:p>
        </w:tc>
        <w:tc>
          <w:tcPr>
            <w:tcW w:w="2322" w:type="dxa"/>
          </w:tcPr>
          <w:p w:rsidR="00AC0832" w:rsidRDefault="00AC0832">
            <w:pPr>
              <w:pStyle w:val="CellColumn"/>
            </w:pPr>
            <w:r>
              <w:t>49.750.544</w:t>
            </w:r>
          </w:p>
        </w:tc>
        <w:tc>
          <w:tcPr>
            <w:tcW w:w="2322" w:type="dxa"/>
          </w:tcPr>
          <w:p w:rsidR="00AC0832" w:rsidRDefault="00AC0832">
            <w:pPr>
              <w:pStyle w:val="CellColumn"/>
            </w:pPr>
            <w:r>
              <w:t>87,0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Aktivnost A587018 obuhvaća Programe subvencioniranja u tri kreditna programa Program „Poticaj za uspjeh“, Program „Razvoj turizma u malom gospodarstvu“ i Program „Razvoj turizma na selu“.  Sredstva su utrošena za realizaciju subvencija kamate u kreditima odobrenim u periodu od 2000. do 2009. godine. U 2012. godini nisu odobravani novi krediti po ovim programima, već je ispunjavana obveza isplate subvencije kamate za ranije odobrene kredite u sva tri Programa.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objekata više kategorije</w:t>
            </w:r>
          </w:p>
        </w:tc>
        <w:tc>
          <w:tcPr>
            <w:tcW w:w="1300" w:type="dxa"/>
          </w:tcPr>
          <w:p w:rsidR="00AC0832" w:rsidRDefault="00AC0832">
            <w:pPr>
              <w:pStyle w:val="CellColumn"/>
            </w:pPr>
            <w:r>
              <w:t>Povećanje broja hotela više kategorije</w:t>
            </w:r>
          </w:p>
        </w:tc>
        <w:tc>
          <w:tcPr>
            <w:tcW w:w="1300" w:type="dxa"/>
          </w:tcPr>
          <w:p w:rsidR="00AC0832" w:rsidRDefault="00AC0832">
            <w:pPr>
              <w:pStyle w:val="CellColumn"/>
            </w:pPr>
            <w:r>
              <w:t>Broj objekata</w:t>
            </w:r>
          </w:p>
        </w:tc>
        <w:tc>
          <w:tcPr>
            <w:tcW w:w="1300" w:type="dxa"/>
          </w:tcPr>
          <w:p w:rsidR="00AC0832" w:rsidRDefault="00AC0832">
            <w:pPr>
              <w:pStyle w:val="CellColumn"/>
            </w:pPr>
            <w:r>
              <w:t>4* - 175         5* - 26</w:t>
            </w:r>
          </w:p>
        </w:tc>
        <w:tc>
          <w:tcPr>
            <w:tcW w:w="1300" w:type="dxa"/>
          </w:tcPr>
          <w:p w:rsidR="00AC0832" w:rsidRDefault="00AC0832">
            <w:pPr>
              <w:pStyle w:val="CellColumn"/>
            </w:pPr>
            <w:r>
              <w:t>Ministarstvo turizma</w:t>
            </w:r>
          </w:p>
        </w:tc>
        <w:tc>
          <w:tcPr>
            <w:tcW w:w="1300" w:type="dxa"/>
          </w:tcPr>
          <w:p w:rsidR="00AC0832" w:rsidRDefault="00AC0832">
            <w:pPr>
              <w:pStyle w:val="CellColumn"/>
            </w:pPr>
            <w:r>
              <w:t>4* - 180         5* - 27</w:t>
            </w:r>
          </w:p>
        </w:tc>
        <w:tc>
          <w:tcPr>
            <w:tcW w:w="1300" w:type="dxa"/>
          </w:tcPr>
          <w:p w:rsidR="00AC0832" w:rsidRDefault="00AC0832">
            <w:pPr>
              <w:pStyle w:val="CellColumn"/>
            </w:pPr>
            <w:r>
              <w:t>4* - 190         5* - 30</w:t>
            </w:r>
          </w:p>
        </w:tc>
      </w:tr>
    </w:tbl>
    <w:p w:rsidR="00AC0832" w:rsidRDefault="00AC0832">
      <w:pPr>
        <w:jc w:val="left"/>
      </w:pPr>
    </w:p>
    <w:p w:rsidR="00AC0832" w:rsidRDefault="00AC0832">
      <w:pPr>
        <w:pStyle w:val="Heading6"/>
      </w:pPr>
      <w:r>
        <w:t>A587045 PROGRAM RAZVOJA NOVIH PROIZVODA ODRŽIVOG TURIZMA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A587045-PROGRAM RAZVOJA NOVIH PROIZVODA ODRŽIVOG TURIZMA</w:t>
            </w:r>
          </w:p>
        </w:tc>
        <w:tc>
          <w:tcPr>
            <w:tcW w:w="2322" w:type="dxa"/>
          </w:tcPr>
          <w:p w:rsidR="00AC0832" w:rsidRDefault="00AC0832">
            <w:pPr>
              <w:pStyle w:val="CellColumn"/>
            </w:pPr>
            <w:r>
              <w:t>7.157.705</w:t>
            </w:r>
          </w:p>
        </w:tc>
        <w:tc>
          <w:tcPr>
            <w:tcW w:w="2322" w:type="dxa"/>
          </w:tcPr>
          <w:p w:rsidR="00AC0832" w:rsidRDefault="00AC0832">
            <w:pPr>
              <w:pStyle w:val="CellColumn"/>
            </w:pPr>
            <w:r>
              <w:t>7.107.705</w:t>
            </w:r>
          </w:p>
        </w:tc>
        <w:tc>
          <w:tcPr>
            <w:tcW w:w="2322" w:type="dxa"/>
          </w:tcPr>
          <w:p w:rsidR="00AC0832" w:rsidRDefault="00AC0832">
            <w:pPr>
              <w:pStyle w:val="CellColumn"/>
            </w:pPr>
            <w:r>
              <w:t>99,3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Programom razvoja novih proizvoda potiče se razvoj inovativnih turističkih proizvoda, aktivnosti i projekta kojima se obogaćuje i unapređuje ukupna turistička i ugostiteljska ponuda. Programom se potiču novi i inovativni proizvodi održivog turizma, programi i aranžmani temeljeni na novoj i originalnoj ponudi, razvoj zelenog poduzetništva u ugostiteljstvu i turizmu te uvođenje novih tehnologija. Prema Javnom pozivu ukupno je pristiglo 1058 projekata od čega je sufinancirano 99 projekata.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84"/>
        <w:gridCol w:w="1300"/>
        <w:gridCol w:w="1300"/>
        <w:gridCol w:w="138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prihoda od naplate boravišne pristojbe za općine i gradove sa prihodom manjim od 200.000,00 kn.</w:t>
            </w:r>
          </w:p>
        </w:tc>
        <w:tc>
          <w:tcPr>
            <w:tcW w:w="1300" w:type="dxa"/>
          </w:tcPr>
          <w:p w:rsidR="00AC0832" w:rsidRDefault="00AC0832">
            <w:pPr>
              <w:pStyle w:val="CellColumn"/>
            </w:pPr>
            <w:r>
              <w:t>Povećanje prihoda od raspodjele boravišne pristojbe za općine i gradove sa prihodom manjim od 200.000,00 kn.</w:t>
            </w:r>
          </w:p>
        </w:tc>
        <w:tc>
          <w:tcPr>
            <w:tcW w:w="1300" w:type="dxa"/>
          </w:tcPr>
          <w:p w:rsidR="00AC0832" w:rsidRDefault="00AC0832">
            <w:pPr>
              <w:pStyle w:val="CellColumn"/>
            </w:pPr>
            <w:r>
              <w:t>Iznos</w:t>
            </w:r>
          </w:p>
        </w:tc>
        <w:tc>
          <w:tcPr>
            <w:tcW w:w="1300" w:type="dxa"/>
          </w:tcPr>
          <w:p w:rsidR="00AC0832" w:rsidRDefault="00AC0832">
            <w:pPr>
              <w:pStyle w:val="CellColumn"/>
            </w:pPr>
            <w:r>
              <w:t>3.487.405,00</w:t>
            </w:r>
          </w:p>
        </w:tc>
        <w:tc>
          <w:tcPr>
            <w:tcW w:w="1300" w:type="dxa"/>
          </w:tcPr>
          <w:p w:rsidR="00AC0832" w:rsidRDefault="00AC0832">
            <w:pPr>
              <w:pStyle w:val="CellColumn"/>
            </w:pPr>
            <w:r>
              <w:t>FINA</w:t>
            </w:r>
          </w:p>
        </w:tc>
        <w:tc>
          <w:tcPr>
            <w:tcW w:w="1300" w:type="dxa"/>
          </w:tcPr>
          <w:p w:rsidR="00AC0832" w:rsidRDefault="00AC0832">
            <w:pPr>
              <w:pStyle w:val="CellColumn"/>
            </w:pPr>
            <w:r>
              <w:t>+1%</w:t>
            </w:r>
          </w:p>
        </w:tc>
        <w:tc>
          <w:tcPr>
            <w:tcW w:w="1300" w:type="dxa"/>
          </w:tcPr>
          <w:p w:rsidR="00AC0832" w:rsidRDefault="00AC0832">
            <w:pPr>
              <w:pStyle w:val="CellColumn"/>
            </w:pPr>
            <w:r>
              <w:t>8.359.116,00</w:t>
            </w:r>
          </w:p>
        </w:tc>
      </w:tr>
    </w:tbl>
    <w:p w:rsidR="00AC0832" w:rsidRDefault="00AC0832">
      <w:pPr>
        <w:jc w:val="left"/>
      </w:pPr>
    </w:p>
    <w:p w:rsidR="00AC0832" w:rsidRDefault="00AC0832">
      <w:pPr>
        <w:pStyle w:val="Heading6"/>
      </w:pPr>
      <w:r>
        <w:t>A761039 PROGRAM UNAPREĐENJA PONUDE TURISTIČKOG SEKTORA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A761039-PROGRAM UNAPREĐENJA PONUDE TURISTIČKOG SEKTORA</w:t>
            </w:r>
          </w:p>
        </w:tc>
        <w:tc>
          <w:tcPr>
            <w:tcW w:w="2322" w:type="dxa"/>
          </w:tcPr>
          <w:p w:rsidR="00AC0832" w:rsidRDefault="00AC0832">
            <w:pPr>
              <w:pStyle w:val="CellColumn"/>
            </w:pPr>
            <w:r>
              <w:t>7.730.000</w:t>
            </w:r>
          </w:p>
        </w:tc>
        <w:tc>
          <w:tcPr>
            <w:tcW w:w="2322" w:type="dxa"/>
          </w:tcPr>
          <w:p w:rsidR="00AC0832" w:rsidRDefault="00AC0832">
            <w:pPr>
              <w:pStyle w:val="CellColumn"/>
            </w:pPr>
            <w:r>
              <w:t>7.599.509</w:t>
            </w:r>
          </w:p>
        </w:tc>
        <w:tc>
          <w:tcPr>
            <w:tcW w:w="2322" w:type="dxa"/>
          </w:tcPr>
          <w:p w:rsidR="00AC0832" w:rsidRDefault="00AC0832">
            <w:pPr>
              <w:pStyle w:val="CellColumn"/>
            </w:pPr>
            <w:r>
              <w:t>98,3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Programom unapređenja ponude turističkog sektora potiče se razvoj kvalitetne i suvremene turističke ponude, kako bi se doprinijelo povećanju konkurentnosti hrvatskog turizma. Program je namijenjen javnom i privatnom sektoru,  a usmjeren je: </w:t>
      </w:r>
    </w:p>
    <w:p w:rsidR="00AC0832" w:rsidRDefault="00AC0832">
      <w:pPr>
        <w:pStyle w:val="Normal6"/>
      </w:pPr>
      <w:r>
        <w:t xml:space="preserve">a) poticanju izgradnje dodatnih sadržaja i ponude hotelsko - turističkih objekata,  </w:t>
      </w:r>
    </w:p>
    <w:p w:rsidR="00AC0832" w:rsidRDefault="00AC0832">
      <w:pPr>
        <w:pStyle w:val="Normal6"/>
      </w:pPr>
      <w:r>
        <w:t xml:space="preserve">b) povećanju konkurentnosti destinacije,  </w:t>
      </w:r>
    </w:p>
    <w:p w:rsidR="00AC0832" w:rsidRDefault="00AC0832">
      <w:pPr>
        <w:pStyle w:val="Normal6"/>
      </w:pPr>
      <w:r>
        <w:t xml:space="preserve">c)  poticanju obnove i opremanje plovnih i plutajućih objekata te izgradnju, obnovu i opremanje sadržaja na/uz vodu namijenjenih turističkoj ponudi,  </w:t>
      </w:r>
    </w:p>
    <w:p w:rsidR="00AC0832" w:rsidRDefault="00AC0832">
      <w:pPr>
        <w:pStyle w:val="Normal6"/>
      </w:pPr>
      <w:r>
        <w:t xml:space="preserve">d) poticanju proizvodnje u funkciji turizma - proizvodnja izvornih suvenira; proizvodnja autohtonih eno-gastronomskih proizvoda, </w:t>
      </w:r>
    </w:p>
    <w:p w:rsidR="00AC0832" w:rsidRDefault="00AC0832">
      <w:pPr>
        <w:pStyle w:val="Normal6"/>
      </w:pPr>
      <w:r>
        <w:t xml:space="preserve">e) prilagođavanje korištenja javnih površina i prostora turističke namjene osobama s invaliditetom i smanjene pokretljivosti, </w:t>
      </w:r>
    </w:p>
    <w:p w:rsidR="00AC0832" w:rsidRDefault="00AC0832">
      <w:pPr>
        <w:pStyle w:val="Normal6"/>
      </w:pPr>
      <w:r>
        <w:t xml:space="preserve">f) poticanje značajnih događanja koji pridonose povećanju turističke potrošnje, </w:t>
      </w:r>
    </w:p>
    <w:p w:rsidR="00AC0832" w:rsidRDefault="00AC0832">
      <w:pPr>
        <w:pStyle w:val="Normal6"/>
      </w:pPr>
      <w:r>
        <w:t xml:space="preserve">g) izradi studija, elaborata, projektne i druge dokumentacije za realizaciju greenfield i brownfield projekata, </w:t>
      </w:r>
    </w:p>
    <w:p w:rsidR="00AC0832" w:rsidRDefault="00AC0832">
      <w:pPr>
        <w:pStyle w:val="Normal6"/>
      </w:pPr>
      <w:r>
        <w:t xml:space="preserve">h) izjednačavanju konkurentnosti na otocima. </w:t>
      </w:r>
    </w:p>
    <w:p w:rsidR="00AC0832" w:rsidRDefault="00AC0832">
      <w:pPr>
        <w:pStyle w:val="Normal6"/>
      </w:pPr>
      <w:r>
        <w:t>Prema Javnom pozivu ukupno je pristiglo 662 projekata, od čega je sufinancirano 138 projekata.</w:t>
      </w: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8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prihoda od naplate boravišne pristojbe za općine i gradove sa prihodom manjim od 200.000,00 kn.</w:t>
            </w:r>
          </w:p>
        </w:tc>
        <w:tc>
          <w:tcPr>
            <w:tcW w:w="1300" w:type="dxa"/>
          </w:tcPr>
          <w:p w:rsidR="00AC0832" w:rsidRDefault="00AC0832">
            <w:pPr>
              <w:pStyle w:val="CellColumn"/>
            </w:pPr>
            <w:r>
              <w:t>Povećanje prihoda od raspodjele boravišne pristojbe za općine i gradove sa prihodom manjim od 200.000,00 kn.</w:t>
            </w:r>
          </w:p>
        </w:tc>
        <w:tc>
          <w:tcPr>
            <w:tcW w:w="1300" w:type="dxa"/>
          </w:tcPr>
          <w:p w:rsidR="00AC0832" w:rsidRDefault="00AC0832">
            <w:pPr>
              <w:pStyle w:val="CellColumn"/>
            </w:pPr>
            <w:r>
              <w:t>Iznos</w:t>
            </w:r>
          </w:p>
        </w:tc>
        <w:tc>
          <w:tcPr>
            <w:tcW w:w="1300" w:type="dxa"/>
          </w:tcPr>
          <w:p w:rsidR="00AC0832" w:rsidRDefault="00AC0832">
            <w:pPr>
              <w:pStyle w:val="CellColumn"/>
            </w:pPr>
            <w:r>
              <w:t>3.487.40,00</w:t>
            </w:r>
          </w:p>
        </w:tc>
        <w:tc>
          <w:tcPr>
            <w:tcW w:w="1300" w:type="dxa"/>
          </w:tcPr>
          <w:p w:rsidR="00AC0832" w:rsidRDefault="00AC0832">
            <w:pPr>
              <w:pStyle w:val="CellColumn"/>
            </w:pPr>
            <w:r>
              <w:t>FINA</w:t>
            </w:r>
          </w:p>
        </w:tc>
        <w:tc>
          <w:tcPr>
            <w:tcW w:w="1300" w:type="dxa"/>
          </w:tcPr>
          <w:p w:rsidR="00AC0832" w:rsidRDefault="00AC0832">
            <w:pPr>
              <w:pStyle w:val="CellColumn"/>
            </w:pPr>
            <w:r>
              <w:t>+1%</w:t>
            </w:r>
          </w:p>
        </w:tc>
        <w:tc>
          <w:tcPr>
            <w:tcW w:w="1300" w:type="dxa"/>
          </w:tcPr>
          <w:p w:rsidR="00AC0832" w:rsidRDefault="00AC0832">
            <w:pPr>
              <w:pStyle w:val="CellColumn"/>
            </w:pPr>
            <w:r>
              <w:t>8.359.116,00</w:t>
            </w:r>
          </w:p>
        </w:tc>
      </w:tr>
    </w:tbl>
    <w:p w:rsidR="00AC0832" w:rsidRDefault="00AC0832">
      <w:pPr>
        <w:jc w:val="left"/>
      </w:pPr>
    </w:p>
    <w:p w:rsidR="00AC0832" w:rsidRDefault="00AC0832">
      <w:pPr>
        <w:pStyle w:val="Heading6"/>
      </w:pPr>
      <w:r>
        <w:t>A819005 PROGRAMI OBRAZOVANJA I OBUKE KADROVA U TURIZMU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A819005-PROGRAMI OBRAZOVANJA I OBUKE KADROVA U TURIZMU</w:t>
            </w:r>
          </w:p>
        </w:tc>
        <w:tc>
          <w:tcPr>
            <w:tcW w:w="2322" w:type="dxa"/>
          </w:tcPr>
          <w:p w:rsidR="00AC0832" w:rsidRDefault="00AC0832">
            <w:pPr>
              <w:pStyle w:val="CellColumn"/>
            </w:pPr>
            <w:r>
              <w:t>1.400.000</w:t>
            </w:r>
          </w:p>
        </w:tc>
        <w:tc>
          <w:tcPr>
            <w:tcW w:w="2322" w:type="dxa"/>
          </w:tcPr>
          <w:p w:rsidR="00AC0832" w:rsidRDefault="00AC0832">
            <w:pPr>
              <w:pStyle w:val="CellColumn"/>
            </w:pPr>
            <w:r>
              <w:t>969.750</w:t>
            </w:r>
          </w:p>
        </w:tc>
        <w:tc>
          <w:tcPr>
            <w:tcW w:w="2322" w:type="dxa"/>
          </w:tcPr>
          <w:p w:rsidR="00AC0832" w:rsidRDefault="00AC0832">
            <w:pPr>
              <w:pStyle w:val="CellColumn"/>
            </w:pPr>
            <w:r>
              <w:t>69,3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Program je proveden kroz dva modula -   sufinanciranje stipendija učenicima i studentima u suradnji s gospodarskim tvrtkama u turizmu i županijskim obrtničkim komorama te kroz sufinanciranje troškova promocije zanimanja u ugostiteljstvu i turizmu srednjim strukovnim školama. </w:t>
      </w:r>
    </w:p>
    <w:p w:rsidR="00AC0832" w:rsidRDefault="00AC0832">
      <w:pPr>
        <w:pStyle w:val="Normal6"/>
      </w:pPr>
      <w:r>
        <w:t>Kroz ovaj Program na ime stipendija tijekom 2012. dodijeljeno je ukupno 669.750,00 kn, te  za promociju zanimanja  iznos od 300.000,00 kn.</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3"/>
        <w:gridCol w:w="1373"/>
        <w:gridCol w:w="1300"/>
        <w:gridCol w:w="1300"/>
        <w:gridCol w:w="1306"/>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učenika upisanih u škole za zanimanja u ugostiteljstvu i turizmu u školskoj godini</w:t>
            </w:r>
          </w:p>
        </w:tc>
        <w:tc>
          <w:tcPr>
            <w:tcW w:w="1300" w:type="dxa"/>
          </w:tcPr>
          <w:p w:rsidR="00AC0832" w:rsidRDefault="00AC0832">
            <w:pPr>
              <w:pStyle w:val="CellColumn"/>
            </w:pPr>
            <w:r>
              <w:t>Povećanje broja učenika upisanih u škole za zanimanja u ugostiteljstvu i turizmu u školskoj godini</w:t>
            </w:r>
          </w:p>
        </w:tc>
        <w:tc>
          <w:tcPr>
            <w:tcW w:w="1300" w:type="dxa"/>
          </w:tcPr>
          <w:p w:rsidR="00AC0832" w:rsidRDefault="00AC0832">
            <w:pPr>
              <w:pStyle w:val="CellColumn"/>
            </w:pPr>
            <w:r>
              <w:t>Broj učenika</w:t>
            </w:r>
          </w:p>
        </w:tc>
        <w:tc>
          <w:tcPr>
            <w:tcW w:w="1300" w:type="dxa"/>
          </w:tcPr>
          <w:p w:rsidR="00AC0832" w:rsidRDefault="00AC0832">
            <w:pPr>
              <w:pStyle w:val="CellColumn"/>
            </w:pPr>
            <w:r>
              <w:t>17.516</w:t>
            </w:r>
          </w:p>
        </w:tc>
        <w:tc>
          <w:tcPr>
            <w:tcW w:w="1300" w:type="dxa"/>
          </w:tcPr>
          <w:p w:rsidR="00AC0832" w:rsidRDefault="00AC0832">
            <w:pPr>
              <w:pStyle w:val="CellColumn"/>
            </w:pPr>
            <w:r>
              <w:t>Ministarstvo znanosti, obrazovanja i sporta</w:t>
            </w:r>
          </w:p>
        </w:tc>
        <w:tc>
          <w:tcPr>
            <w:tcW w:w="1300" w:type="dxa"/>
          </w:tcPr>
          <w:p w:rsidR="00AC0832" w:rsidRDefault="00AC0832">
            <w:pPr>
              <w:pStyle w:val="CellColumn"/>
            </w:pPr>
            <w:r>
              <w:t>17.700</w:t>
            </w:r>
          </w:p>
        </w:tc>
        <w:tc>
          <w:tcPr>
            <w:tcW w:w="1300" w:type="dxa"/>
          </w:tcPr>
          <w:p w:rsidR="00AC0832" w:rsidRDefault="00AC0832">
            <w:pPr>
              <w:pStyle w:val="CellColumn"/>
            </w:pPr>
            <w:r>
              <w:t>17.638</w:t>
            </w:r>
          </w:p>
        </w:tc>
      </w:tr>
    </w:tbl>
    <w:p w:rsidR="00AC0832" w:rsidRDefault="00AC0832">
      <w:pPr>
        <w:jc w:val="left"/>
      </w:pPr>
    </w:p>
    <w:p w:rsidR="00AC0832" w:rsidRDefault="00AC0832">
      <w:pPr>
        <w:pStyle w:val="Heading6"/>
      </w:pPr>
      <w:r>
        <w:t>A819027 POTICAJ ZA POVEĆANJE SIGURNOSTI TURISTA-HGSS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A819027-POTICAJ ZA POVEĆANJE SIGURNOSTI TURISTA-HGSS</w:t>
            </w:r>
          </w:p>
        </w:tc>
        <w:tc>
          <w:tcPr>
            <w:tcW w:w="2322" w:type="dxa"/>
          </w:tcPr>
          <w:p w:rsidR="00AC0832" w:rsidRDefault="00AC0832">
            <w:pPr>
              <w:pStyle w:val="CellColumn"/>
            </w:pPr>
            <w:r>
              <w:t>1.000.000</w:t>
            </w:r>
          </w:p>
        </w:tc>
        <w:tc>
          <w:tcPr>
            <w:tcW w:w="2322" w:type="dxa"/>
          </w:tcPr>
          <w:p w:rsidR="00AC0832" w:rsidRDefault="00AC0832">
            <w:pPr>
              <w:pStyle w:val="CellColumn"/>
            </w:pPr>
            <w:r>
              <w:t>1.000.000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Sredstva su utrošena na aktivnosti HGSS-a u cilju prevencije nesreća na teže dostupnim područjima koja čine posebnu turističku atrakciju.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educiranih gorskih i dr. vodiča za potrebe turističkih agencija</w:t>
            </w:r>
          </w:p>
        </w:tc>
        <w:tc>
          <w:tcPr>
            <w:tcW w:w="1300" w:type="dxa"/>
          </w:tcPr>
          <w:p w:rsidR="00AC0832" w:rsidRDefault="00AC0832">
            <w:pPr>
              <w:pStyle w:val="CellColumn"/>
            </w:pPr>
            <w:r>
              <w:t>Efektivnija prevencija nesreća i spašavanje turista putem edukacije turističkih djelatnika</w:t>
            </w:r>
          </w:p>
        </w:tc>
        <w:tc>
          <w:tcPr>
            <w:tcW w:w="1300" w:type="dxa"/>
          </w:tcPr>
          <w:p w:rsidR="00AC0832" w:rsidRDefault="00AC0832">
            <w:pPr>
              <w:pStyle w:val="CellColumn"/>
            </w:pPr>
            <w:r>
              <w:t>Broj vodiča</w:t>
            </w:r>
          </w:p>
        </w:tc>
        <w:tc>
          <w:tcPr>
            <w:tcW w:w="1300" w:type="dxa"/>
          </w:tcPr>
          <w:p w:rsidR="00AC0832" w:rsidRDefault="00AC0832">
            <w:pPr>
              <w:pStyle w:val="CellColumn"/>
            </w:pPr>
            <w:r>
              <w:t>317</w:t>
            </w:r>
          </w:p>
        </w:tc>
        <w:tc>
          <w:tcPr>
            <w:tcW w:w="1300" w:type="dxa"/>
          </w:tcPr>
          <w:p w:rsidR="00AC0832" w:rsidRDefault="00AC0832">
            <w:pPr>
              <w:pStyle w:val="CellColumn"/>
            </w:pPr>
            <w:r>
              <w:t>HGSS</w:t>
            </w:r>
          </w:p>
        </w:tc>
        <w:tc>
          <w:tcPr>
            <w:tcW w:w="1300" w:type="dxa"/>
          </w:tcPr>
          <w:p w:rsidR="00AC0832" w:rsidRDefault="00AC0832">
            <w:pPr>
              <w:pStyle w:val="CellColumn"/>
            </w:pPr>
            <w:r>
              <w:t>350</w:t>
            </w:r>
          </w:p>
        </w:tc>
        <w:tc>
          <w:tcPr>
            <w:tcW w:w="1300" w:type="dxa"/>
          </w:tcPr>
          <w:p w:rsidR="00AC0832" w:rsidRDefault="00AC0832">
            <w:pPr>
              <w:pStyle w:val="CellColumn"/>
            </w:pPr>
            <w:r>
              <w:t>583</w:t>
            </w:r>
          </w:p>
        </w:tc>
      </w:tr>
    </w:tbl>
    <w:p w:rsidR="00AC0832" w:rsidRDefault="00AC0832">
      <w:pPr>
        <w:jc w:val="left"/>
      </w:pPr>
    </w:p>
    <w:p w:rsidR="00AC0832" w:rsidRDefault="00AC0832">
      <w:pPr>
        <w:pStyle w:val="Heading6"/>
      </w:pPr>
      <w:r>
        <w:t>K761007 IZRADA STUDIJE HRVATSKOG TURIZMA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K761007-IZRADA STUDIJE HRVATSKOG TURIZMA</w:t>
            </w:r>
          </w:p>
        </w:tc>
        <w:tc>
          <w:tcPr>
            <w:tcW w:w="2322" w:type="dxa"/>
          </w:tcPr>
          <w:p w:rsidR="00AC0832" w:rsidRDefault="00AC0832">
            <w:pPr>
              <w:pStyle w:val="CellColumn"/>
            </w:pPr>
            <w:r>
              <w:t>3.044.875</w:t>
            </w:r>
          </w:p>
        </w:tc>
        <w:tc>
          <w:tcPr>
            <w:tcW w:w="2322" w:type="dxa"/>
          </w:tcPr>
          <w:p w:rsidR="00AC0832" w:rsidRDefault="00AC0832">
            <w:pPr>
              <w:pStyle w:val="CellColumn"/>
            </w:pPr>
            <w:r>
              <w:t>3.044.875</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Završena je  Strategija razvoja hrvatskog turizma, temeljnog strateškog dokumenta za postavljanje smjernica razvoja hrvatskog turizma ka prepoznatljivom, tržišno konkuretnom turističkom odredištu na međunarodnom turističkom tržištu, ali i osnova za programiranje projekata za povlačenje sredstava iz strukturnih fondova EU. </w:t>
      </w:r>
    </w:p>
    <w:p w:rsidR="00AC0832" w:rsidRDefault="00AC0832">
      <w:pPr>
        <w:pStyle w:val="Normal6"/>
      </w:pPr>
      <w:r>
        <w:t>Također, izrađene su dvije popratne studije u cilju analitičkog pristupa problemima koje treba rješavati u području nautičkog turizma – TOMAS Yahting i studija vezana uz kadrove – Prijedlozi za unapređenje srednješkolskog obrazovanja za potrebe turizma u Hrvatskoj.</w:t>
      </w:r>
    </w:p>
    <w:p w:rsidR="00AC0832" w:rsidRDefault="00AC0832">
      <w:pPr>
        <w:pStyle w:val="Normal6"/>
      </w:pPr>
    </w:p>
    <w:p w:rsidR="00AC0832" w:rsidRDefault="00AC0832">
      <w:pPr>
        <w:pStyle w:val="Heading5"/>
      </w:pPr>
      <w:r>
        <w:t>3209 PROMOCIJA TURIZMA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3209-PROMOCIJA TURIZMA</w:t>
            </w:r>
          </w:p>
        </w:tc>
        <w:tc>
          <w:tcPr>
            <w:tcW w:w="2322" w:type="dxa"/>
          </w:tcPr>
          <w:p w:rsidR="00AC0832" w:rsidRDefault="00AC0832">
            <w:pPr>
              <w:pStyle w:val="CellColumn"/>
            </w:pPr>
            <w:r>
              <w:t>94.830.000</w:t>
            </w:r>
          </w:p>
        </w:tc>
        <w:tc>
          <w:tcPr>
            <w:tcW w:w="2322" w:type="dxa"/>
          </w:tcPr>
          <w:p w:rsidR="00AC0832" w:rsidRDefault="00AC0832">
            <w:pPr>
              <w:pStyle w:val="CellColumn"/>
            </w:pPr>
            <w:r>
              <w:t>94.130.000</w:t>
            </w:r>
          </w:p>
        </w:tc>
        <w:tc>
          <w:tcPr>
            <w:tcW w:w="2322" w:type="dxa"/>
          </w:tcPr>
          <w:p w:rsidR="00AC0832" w:rsidRDefault="00AC0832">
            <w:pPr>
              <w:pStyle w:val="CellColumn"/>
            </w:pPr>
            <w:r>
              <w:t>99,3</w:t>
            </w:r>
          </w:p>
        </w:tc>
      </w:tr>
    </w:tbl>
    <w:p w:rsidR="00AC0832" w:rsidRDefault="00AC0832">
      <w:pPr>
        <w:jc w:val="left"/>
      </w:pPr>
    </w:p>
    <w:p w:rsidR="00AC0832" w:rsidRDefault="00AC0832">
      <w:pPr>
        <w:pStyle w:val="Heading6"/>
      </w:pPr>
      <w:r>
        <w:t>Opis programa</w:t>
      </w:r>
    </w:p>
    <w:p w:rsidR="00AC0832" w:rsidRDefault="00AC0832">
      <w:pPr>
        <w:pStyle w:val="Normal5"/>
      </w:pPr>
      <w:r>
        <w:t>Uspješno pozicioniranje Republike Hrvatske na turističkom tržištu u mnogome ovisi i o učinkovitoj promociji turističkog proizvoda i usluga, pri čemu je temeljni cilj zadržati i osnažiti imidž sigurnog i privlačnog turističkog odredišta. Ministarstvo turizma potiče promoviranje turističke destinacije, povezivanje, koordinaciju i organizaciju svih nositelja turističke ponude javni i privatni sektor: turističke tvrtke, turističke zajednice, domicilno stanovništvo, udruge, mediji i drugi) radi optimalnog ostvarivanja planirane strategije razvoja turizma u destinaciji. U cilju zadržavanja stečenih pozicija na svjetskom turističkom tržištu i osvajanja novih tržišta poduzimamo i pojačane promotivne aktivnosti hrvatskog turizma na turističkim tržištima.</w:t>
      </w:r>
    </w:p>
    <w:p w:rsidR="00AC0832" w:rsidRDefault="00AC0832">
      <w:pPr>
        <w:pStyle w:val="Heading6"/>
      </w:pPr>
      <w:r>
        <w:t>Zakonske i druge pravne osnove</w:t>
      </w:r>
    </w:p>
    <w:p w:rsidR="00AC0832" w:rsidRDefault="00AC0832">
      <w:pPr>
        <w:pStyle w:val="Normal5"/>
      </w:pPr>
      <w:r>
        <w:t>Zakon o turističkim zajednicama i promicanju hrvatskog turizma (NN 152/08); Zakon o pružanju usluga u turizmu  (NN 68/07 i 88/10); Zakon o državnim potporama (NN 47/03, 140/05, 136/06, 49/11); Uredba o državnim potporama (NN 121/03, 50/06).</w:t>
      </w:r>
    </w:p>
    <w:p w:rsidR="00AC0832" w:rsidRDefault="00AC0832">
      <w:pPr>
        <w:pStyle w:val="Heading7"/>
      </w:pPr>
      <w:r>
        <w:t>Cilj 1. Pozicioniranje Hrvatske kao jedne od vodećih europskih turističkih destinacija kroz učinkovitu promociju</w:t>
      </w:r>
    </w:p>
    <w:p w:rsidR="00AC0832" w:rsidRDefault="00AC0832">
      <w:pPr>
        <w:pStyle w:val="Heading8"/>
        <w:jc w:val="left"/>
      </w:pPr>
      <w:r>
        <w:t>Opis provedbe cilja programa</w:t>
      </w:r>
    </w:p>
    <w:p w:rsidR="00AC0832" w:rsidRDefault="00AC0832">
      <w:pPr>
        <w:pStyle w:val="Normal6"/>
      </w:pPr>
      <w:r>
        <w:t>Uspješno pozicioniranje Republike Hrvatske na turističkom tržištu u mnogome ovisi i o učinkovitoj promociji turističkog proizvoda i usluga, pri čemu je temeljni cilj zadržati i osnažiti imidž sigurnog i privlačnog turističkog odredišta. Ministarstvo turizma potiče promoviranje turističke destinacije, povezivanje, koordinaciju i organizaciju svih nositelja turističke ponude (javni i privatni sektor: turističke tvrtke, turističke zajednice, domicilno stanovništvo, udruge, mediji i drugi) radi optimalnog ostvarivanja planirane strategije razvoja turizma u destinaciji. U cilju zadržavanja stečenih pozicija na svjetskom turističkom tržištu i osvajanja novih tržišta potrebno je poduzeti pojačane promotivne aktivnosti hrvatskog turizma na turističkim tržištima i aktivnosti usmjerene povećanju sigurnosti turista.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turističkog prometa- broja turista</w:t>
            </w:r>
          </w:p>
        </w:tc>
        <w:tc>
          <w:tcPr>
            <w:tcW w:w="1300" w:type="dxa"/>
          </w:tcPr>
          <w:p w:rsidR="00AC0832" w:rsidRDefault="00AC0832">
            <w:pPr>
              <w:pStyle w:val="CellColumn"/>
            </w:pPr>
            <w:r>
              <w:t>Povećanje turističkog prometa- broja turista</w:t>
            </w:r>
          </w:p>
        </w:tc>
        <w:tc>
          <w:tcPr>
            <w:tcW w:w="1300" w:type="dxa"/>
          </w:tcPr>
          <w:p w:rsidR="00AC0832" w:rsidRDefault="00AC0832">
            <w:pPr>
              <w:pStyle w:val="CellColumn"/>
            </w:pPr>
            <w:r>
              <w:t>Broj</w:t>
            </w:r>
          </w:p>
        </w:tc>
        <w:tc>
          <w:tcPr>
            <w:tcW w:w="1300" w:type="dxa"/>
          </w:tcPr>
          <w:p w:rsidR="00AC0832" w:rsidRDefault="00AC0832">
            <w:pPr>
              <w:pStyle w:val="CellColumn"/>
            </w:pPr>
            <w:r>
              <w:t>Broj dolazaka 9.800.000</w:t>
            </w:r>
          </w:p>
        </w:tc>
        <w:tc>
          <w:tcPr>
            <w:tcW w:w="1300" w:type="dxa"/>
          </w:tcPr>
          <w:p w:rsidR="00AC0832" w:rsidRDefault="00AC0832">
            <w:pPr>
              <w:pStyle w:val="CellColumn"/>
            </w:pPr>
            <w:r>
              <w:t>Ministarstvo turizma</w:t>
            </w:r>
          </w:p>
        </w:tc>
        <w:tc>
          <w:tcPr>
            <w:tcW w:w="1300" w:type="dxa"/>
          </w:tcPr>
          <w:p w:rsidR="00AC0832" w:rsidRDefault="00AC0832">
            <w:pPr>
              <w:pStyle w:val="CellColumn"/>
            </w:pPr>
            <w:r>
              <w:t>Broj dolazaka 9.900.000</w:t>
            </w:r>
          </w:p>
        </w:tc>
        <w:tc>
          <w:tcPr>
            <w:tcW w:w="1300" w:type="dxa"/>
          </w:tcPr>
          <w:p w:rsidR="00AC0832" w:rsidRDefault="00AC0832">
            <w:pPr>
              <w:pStyle w:val="CellColumn"/>
            </w:pPr>
            <w:r>
              <w:t>Broj dolazaka 10.389.219</w:t>
            </w:r>
          </w:p>
        </w:tc>
      </w:tr>
    </w:tbl>
    <w:p w:rsidR="00AC0832" w:rsidRDefault="00AC0832">
      <w:pPr>
        <w:jc w:val="left"/>
      </w:pPr>
    </w:p>
    <w:p w:rsidR="00AC0832" w:rsidRDefault="00AC0832">
      <w:pPr>
        <w:pStyle w:val="Heading6"/>
      </w:pPr>
      <w:r>
        <w:t>A587001 TURISTIČKA PROMIDŽBA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A587001-TURISTIČKA PROMIDŽBA REPUBLIKE HRVATSKE</w:t>
            </w:r>
          </w:p>
        </w:tc>
        <w:tc>
          <w:tcPr>
            <w:tcW w:w="2322" w:type="dxa"/>
          </w:tcPr>
          <w:p w:rsidR="00AC0832" w:rsidRDefault="00AC0832">
            <w:pPr>
              <w:pStyle w:val="CellColumn"/>
            </w:pPr>
            <w:r>
              <w:t>89.000.000</w:t>
            </w:r>
          </w:p>
        </w:tc>
        <w:tc>
          <w:tcPr>
            <w:tcW w:w="2322" w:type="dxa"/>
          </w:tcPr>
          <w:p w:rsidR="00AC0832" w:rsidRDefault="00AC0832">
            <w:pPr>
              <w:pStyle w:val="CellColumn"/>
            </w:pPr>
            <w:r>
              <w:t>89.000.000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Temeljem Programa rada Hrvatske turističke zajednice za 2012. godinu provedene su ukupne promotivne i marketinške aktivnosti posredstvom Hrvatske turističke zajednice.  </w:t>
      </w:r>
    </w:p>
    <w:p w:rsidR="00AC0832" w:rsidRDefault="00AC0832">
      <w:pPr>
        <w:pStyle w:val="Normal6"/>
      </w:pPr>
      <w:r>
        <w:t>Ministarstvo turizma poticalo je promoviranje turističke destinacije, povezivanje, koordinaciju i organizaciju svih nositelja turističke ponude radi optimalnog ostvarenja planirane strategije razvoja turizma u destinaciji. Temeljem programskih smjernica Vlade Republike Hrvatske o potrebi jačanja ukupnih promotivnih i marketinških aktivnosti na svjetskom turističkom tržištu mjerama promotivnih aktivnosti, a posebno kroz suradnju javnog i privatnog sektora, odnosno udruživanjem sredstava javnog i privatnog sektora, promocija u 2012. godini usmjerila se na način da se prevladaju negativni utjecaji krize na hrvatski turizam.</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4"/>
        <w:gridCol w:w="1281"/>
        <w:gridCol w:w="1280"/>
        <w:gridCol w:w="1294"/>
        <w:gridCol w:w="1282"/>
        <w:gridCol w:w="1294"/>
        <w:gridCol w:w="157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Porast broja dolazaka i noćenja stranih turista</w:t>
            </w:r>
          </w:p>
        </w:tc>
        <w:tc>
          <w:tcPr>
            <w:tcW w:w="1300" w:type="dxa"/>
          </w:tcPr>
          <w:p w:rsidR="00AC0832" w:rsidRDefault="00AC0832">
            <w:pPr>
              <w:pStyle w:val="CellColumn"/>
            </w:pPr>
            <w:r>
              <w:t>Broj dolazaka i noćenja stranih turista</w:t>
            </w:r>
          </w:p>
        </w:tc>
        <w:tc>
          <w:tcPr>
            <w:tcW w:w="1300" w:type="dxa"/>
          </w:tcPr>
          <w:p w:rsidR="00AC0832" w:rsidRDefault="00AC0832">
            <w:pPr>
              <w:pStyle w:val="CellColumn"/>
            </w:pPr>
            <w:r>
              <w:t>Broj dolazaka i noćenja stranih turista</w:t>
            </w:r>
          </w:p>
        </w:tc>
        <w:tc>
          <w:tcPr>
            <w:tcW w:w="1300" w:type="dxa"/>
          </w:tcPr>
          <w:p w:rsidR="00AC0832" w:rsidRDefault="00AC0832">
            <w:pPr>
              <w:pStyle w:val="CellColumn"/>
            </w:pPr>
            <w:r>
              <w:t xml:space="preserve">Broj dolazaka 9.800.000 Broj noćenja </w:t>
            </w:r>
          </w:p>
          <w:p w:rsidR="00AC0832" w:rsidRDefault="00AC0832">
            <w:pPr>
              <w:pStyle w:val="CellColumn"/>
            </w:pPr>
            <w:r>
              <w:t>54.600.000</w:t>
            </w:r>
          </w:p>
        </w:tc>
        <w:tc>
          <w:tcPr>
            <w:tcW w:w="1300" w:type="dxa"/>
          </w:tcPr>
          <w:p w:rsidR="00AC0832" w:rsidRDefault="00AC0832">
            <w:pPr>
              <w:pStyle w:val="CellColumn"/>
            </w:pPr>
            <w:r>
              <w:t>DZS</w:t>
            </w:r>
          </w:p>
        </w:tc>
        <w:tc>
          <w:tcPr>
            <w:tcW w:w="1300" w:type="dxa"/>
          </w:tcPr>
          <w:p w:rsidR="00AC0832" w:rsidRDefault="00AC0832">
            <w:pPr>
              <w:pStyle w:val="CellColumn"/>
            </w:pPr>
            <w:r>
              <w:t>Broj dolazaka 9.900.000  Broj noćenja 55.300.000</w:t>
            </w:r>
          </w:p>
        </w:tc>
        <w:tc>
          <w:tcPr>
            <w:tcW w:w="1300" w:type="dxa"/>
          </w:tcPr>
          <w:p w:rsidR="00AC0832" w:rsidRDefault="00AC0832">
            <w:pPr>
              <w:pStyle w:val="CellColumn"/>
            </w:pPr>
            <w:r>
              <w:t>Broj dolazaka 10.389.219Broj noćenja 57.522.126</w:t>
            </w:r>
          </w:p>
        </w:tc>
      </w:tr>
    </w:tbl>
    <w:p w:rsidR="00AC0832" w:rsidRDefault="00AC0832">
      <w:pPr>
        <w:jc w:val="left"/>
      </w:pPr>
    </w:p>
    <w:p w:rsidR="00AC0832" w:rsidRDefault="00AC0832">
      <w:pPr>
        <w:pStyle w:val="Heading6"/>
      </w:pPr>
      <w:r>
        <w:t>A819024 PROGRAM POTICANJA TURISTIČKIH MANIFESTACIJA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A819024-PROGRAM POTICANJA TURISTIČKIH MANIFESTACIJA</w:t>
            </w:r>
          </w:p>
        </w:tc>
        <w:tc>
          <w:tcPr>
            <w:tcW w:w="2322" w:type="dxa"/>
          </w:tcPr>
          <w:p w:rsidR="00AC0832" w:rsidRDefault="00AC0832">
            <w:pPr>
              <w:pStyle w:val="CellColumn"/>
            </w:pPr>
            <w:r>
              <w:t>5.770.000</w:t>
            </w:r>
          </w:p>
        </w:tc>
        <w:tc>
          <w:tcPr>
            <w:tcW w:w="2322" w:type="dxa"/>
          </w:tcPr>
          <w:p w:rsidR="00AC0832" w:rsidRDefault="00AC0832">
            <w:pPr>
              <w:pStyle w:val="CellColumn"/>
            </w:pPr>
            <w:r>
              <w:t>5.070.000</w:t>
            </w:r>
          </w:p>
        </w:tc>
        <w:tc>
          <w:tcPr>
            <w:tcW w:w="2322" w:type="dxa"/>
          </w:tcPr>
          <w:p w:rsidR="00AC0832" w:rsidRDefault="00AC0832">
            <w:pPr>
              <w:pStyle w:val="CellColumn"/>
            </w:pPr>
            <w:r>
              <w:t>87,9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Kroz program se potiče organizacija manifestacija i drugih promotivnih aktivnosti u cilju integriranja cjelovite turističke ponude turističke destinacije i njene promocije. Sufinanciraju se realizacija različitih turističkih manifestacija: tradicijskih, kulturnih, sportskih te festivala i drugih promotivnih aktivnosti koje doprinose bogatijoj turističkoj ponudi i prepoznatljivosti Hrvatske u ovom dijelu turističke ponude.</w:t>
      </w: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395"/>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Porast broja prijavljenih projekata za turističke manifestacije (kumulativ)</w:t>
            </w:r>
          </w:p>
        </w:tc>
        <w:tc>
          <w:tcPr>
            <w:tcW w:w="1300" w:type="dxa"/>
          </w:tcPr>
          <w:p w:rsidR="00AC0832" w:rsidRDefault="00AC0832">
            <w:pPr>
              <w:pStyle w:val="CellColumn"/>
            </w:pPr>
            <w:r>
              <w:t>Porast broja prijavljenih projekata kao odraz poticaja na aktivnosti vezane uz obogaćivanje ponude i promociju turističkih odredišta</w:t>
            </w:r>
          </w:p>
        </w:tc>
        <w:tc>
          <w:tcPr>
            <w:tcW w:w="1300" w:type="dxa"/>
          </w:tcPr>
          <w:p w:rsidR="00AC0832" w:rsidRDefault="00AC0832">
            <w:pPr>
              <w:pStyle w:val="CellColumn"/>
            </w:pPr>
            <w:r>
              <w:t>Broj projekata</w:t>
            </w:r>
          </w:p>
        </w:tc>
        <w:tc>
          <w:tcPr>
            <w:tcW w:w="1300" w:type="dxa"/>
          </w:tcPr>
          <w:p w:rsidR="00AC0832" w:rsidRDefault="00AC0832">
            <w:pPr>
              <w:pStyle w:val="CellColumn"/>
            </w:pPr>
            <w:r>
              <w:t>694</w:t>
            </w:r>
          </w:p>
        </w:tc>
        <w:tc>
          <w:tcPr>
            <w:tcW w:w="1300" w:type="dxa"/>
          </w:tcPr>
          <w:p w:rsidR="00AC0832" w:rsidRDefault="00AC0832">
            <w:pPr>
              <w:pStyle w:val="CellColumn"/>
            </w:pPr>
            <w:r>
              <w:t>Ministarstvo turizma</w:t>
            </w:r>
          </w:p>
        </w:tc>
        <w:tc>
          <w:tcPr>
            <w:tcW w:w="1300" w:type="dxa"/>
          </w:tcPr>
          <w:p w:rsidR="00AC0832" w:rsidRDefault="00AC0832">
            <w:pPr>
              <w:pStyle w:val="CellColumn"/>
            </w:pPr>
            <w:r>
              <w:t>700</w:t>
            </w:r>
          </w:p>
        </w:tc>
        <w:tc>
          <w:tcPr>
            <w:tcW w:w="1300" w:type="dxa"/>
          </w:tcPr>
          <w:p w:rsidR="00AC0832" w:rsidRDefault="00AC0832">
            <w:pPr>
              <w:pStyle w:val="CellColumn"/>
            </w:pPr>
            <w:r>
              <w:t>557</w:t>
            </w:r>
          </w:p>
        </w:tc>
      </w:tr>
    </w:tbl>
    <w:p w:rsidR="00AC0832" w:rsidRDefault="00AC0832">
      <w:pPr>
        <w:jc w:val="left"/>
      </w:pPr>
    </w:p>
    <w:p w:rsidR="00AC0832" w:rsidRDefault="00AC0832">
      <w:pPr>
        <w:pStyle w:val="Heading6"/>
      </w:pPr>
      <w:r>
        <w:t>K819038 STRUČNI ISPITI TURISTIČKIH ZAJEDNICA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K819038-STRUČNI ISPITI TURISTIČKIH ZAJEDNICA</w:t>
            </w:r>
          </w:p>
        </w:tc>
        <w:tc>
          <w:tcPr>
            <w:tcW w:w="2322" w:type="dxa"/>
          </w:tcPr>
          <w:p w:rsidR="00AC0832" w:rsidRDefault="00AC0832">
            <w:pPr>
              <w:pStyle w:val="CellColumn"/>
            </w:pPr>
            <w:r>
              <w:t>50.000</w:t>
            </w:r>
          </w:p>
        </w:tc>
        <w:tc>
          <w:tcPr>
            <w:tcW w:w="2322" w:type="dxa"/>
          </w:tcPr>
          <w:p w:rsidR="00AC0832" w:rsidRDefault="00AC0832">
            <w:pPr>
              <w:pStyle w:val="CellColumn"/>
            </w:pPr>
            <w:r>
              <w:t>50.000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Stručni ispiti turističkih zajednica provode se s ciljem podizanja kvalitete obrazovanja i stručnosti. Putem provođenja stručnih ispita također se postiže viša razina stručnih znanja koja su nužno potrebna za realizaciju zakonom definiranih zadaća turističkih zajednica.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Porast broja dolazaka i noćenja stranih turista</w:t>
            </w:r>
          </w:p>
        </w:tc>
        <w:tc>
          <w:tcPr>
            <w:tcW w:w="1300" w:type="dxa"/>
          </w:tcPr>
          <w:p w:rsidR="00AC0832" w:rsidRDefault="00AC0832">
            <w:pPr>
              <w:pStyle w:val="CellColumn"/>
            </w:pPr>
            <w:r>
              <w:t>Porast broja dolazaka i noćenja stranih turista</w:t>
            </w:r>
          </w:p>
        </w:tc>
        <w:tc>
          <w:tcPr>
            <w:tcW w:w="1300" w:type="dxa"/>
          </w:tcPr>
          <w:p w:rsidR="00AC0832" w:rsidRDefault="00AC0832">
            <w:pPr>
              <w:pStyle w:val="CellColumn"/>
            </w:pPr>
            <w:r>
              <w:t>Broj dolazaka i noćenja stranih turista</w:t>
            </w:r>
          </w:p>
        </w:tc>
        <w:tc>
          <w:tcPr>
            <w:tcW w:w="1300" w:type="dxa"/>
          </w:tcPr>
          <w:p w:rsidR="00AC0832" w:rsidRDefault="00AC0832">
            <w:pPr>
              <w:pStyle w:val="CellColumn"/>
            </w:pPr>
            <w:r>
              <w:t xml:space="preserve">Broj dolazaka  </w:t>
            </w:r>
          </w:p>
          <w:p w:rsidR="00AC0832" w:rsidRDefault="00AC0832">
            <w:pPr>
              <w:pStyle w:val="CellColumn"/>
            </w:pPr>
            <w:r>
              <w:t xml:space="preserve">9.800.000 </w:t>
            </w:r>
          </w:p>
          <w:p w:rsidR="00AC0832" w:rsidRDefault="00AC0832">
            <w:pPr>
              <w:pStyle w:val="CellColumn"/>
            </w:pPr>
            <w:r>
              <w:t xml:space="preserve">Broj noćenja </w:t>
            </w:r>
          </w:p>
          <w:p w:rsidR="00AC0832" w:rsidRDefault="00AC0832">
            <w:pPr>
              <w:pStyle w:val="CellColumn"/>
            </w:pPr>
            <w:r>
              <w:t>54.600.000</w:t>
            </w:r>
          </w:p>
        </w:tc>
        <w:tc>
          <w:tcPr>
            <w:tcW w:w="1300" w:type="dxa"/>
          </w:tcPr>
          <w:p w:rsidR="00AC0832" w:rsidRDefault="00AC0832">
            <w:pPr>
              <w:pStyle w:val="CellColumn"/>
            </w:pPr>
            <w:r>
              <w:t>DZS</w:t>
            </w:r>
          </w:p>
        </w:tc>
        <w:tc>
          <w:tcPr>
            <w:tcW w:w="1300" w:type="dxa"/>
          </w:tcPr>
          <w:p w:rsidR="00AC0832" w:rsidRDefault="00AC0832">
            <w:pPr>
              <w:pStyle w:val="CellColumn"/>
            </w:pPr>
            <w:r>
              <w:t xml:space="preserve">Broj dolazaka 9.900.000 </w:t>
            </w:r>
          </w:p>
          <w:p w:rsidR="00AC0832" w:rsidRDefault="00AC0832">
            <w:pPr>
              <w:pStyle w:val="CellColumn"/>
            </w:pPr>
            <w:r>
              <w:t>Broj noćenja 55.300.000</w:t>
            </w:r>
          </w:p>
        </w:tc>
        <w:tc>
          <w:tcPr>
            <w:tcW w:w="1300" w:type="dxa"/>
          </w:tcPr>
          <w:p w:rsidR="00AC0832" w:rsidRDefault="00AC0832">
            <w:pPr>
              <w:pStyle w:val="CellColumn"/>
            </w:pPr>
            <w:r>
              <w:t xml:space="preserve">Broj   dolazaka  </w:t>
            </w:r>
          </w:p>
          <w:p w:rsidR="00AC0832" w:rsidRDefault="00AC0832">
            <w:pPr>
              <w:pStyle w:val="CellColumn"/>
            </w:pPr>
            <w:r>
              <w:t xml:space="preserve">10.389.219 Broj noćenja </w:t>
            </w:r>
          </w:p>
          <w:p w:rsidR="00AC0832" w:rsidRDefault="00AC0832">
            <w:pPr>
              <w:pStyle w:val="CellColumn"/>
            </w:pPr>
            <w:r>
              <w:t>57.522.126</w:t>
            </w:r>
          </w:p>
        </w:tc>
      </w:tr>
    </w:tbl>
    <w:p w:rsidR="00AC0832" w:rsidRDefault="00AC0832">
      <w:pPr>
        <w:jc w:val="left"/>
      </w:pPr>
    </w:p>
    <w:p w:rsidR="00AC0832" w:rsidRDefault="00AC0832">
      <w:pPr>
        <w:pStyle w:val="Heading1"/>
      </w:pPr>
      <w:r>
        <w:t>095 MINISTARSTVO UPRAVE</w:t>
      </w:r>
    </w:p>
    <w:p w:rsidR="00AC0832" w:rsidRDefault="00AC0832">
      <w:pPr>
        <w:pStyle w:val="Heading4"/>
      </w:pPr>
      <w:r>
        <w:t>Uvod</w:t>
      </w:r>
    </w:p>
    <w:p w:rsidR="00AC0832" w:rsidRDefault="00AC0832">
      <w:pPr>
        <w:pStyle w:val="Normal3"/>
      </w:pPr>
      <w:r>
        <w:t xml:space="preserve">Ministarstvo uprave je ustrojeno i njegov djelokrug je definiran odredbama Zakona o ustrojstvu i djelokrugu središnjih tijela državne uprave („Narodne novine“, broj 150/11; 22/12). Ministarstvu je temeljem navedenog zakona pridružen Središnji državni ured za E-Hrvatsku. </w:t>
      </w:r>
    </w:p>
    <w:p w:rsidR="00AC0832" w:rsidRDefault="00AC0832">
      <w:pPr>
        <w:pStyle w:val="Normal3"/>
      </w:pPr>
      <w:r>
        <w:t xml:space="preserve">Na temelju Zakona o sustavu državne uprave („Narodne novine“, broj 150/11), Vlada Republike Hrvatske je u ožujku 2012. godine donijela Uredbu o unutarnjem ustrojstvu Ministarstva uprave, te su dodatno ojačani upravljački i administrativni kapaciteti novoosnovanog ministarstva. </w:t>
      </w:r>
    </w:p>
    <w:p w:rsidR="00AC0832" w:rsidRDefault="00AC0832">
      <w:pPr>
        <w:pStyle w:val="Normal3"/>
      </w:pPr>
      <w:r>
        <w:t xml:space="preserve">Vizija Ministarstva uprave je moderna i korisnički usmjerena javna uprava. </w:t>
      </w:r>
    </w:p>
    <w:p w:rsidR="00AC0832" w:rsidRDefault="00AC0832">
      <w:pPr>
        <w:pStyle w:val="Normal3"/>
      </w:pPr>
      <w:r>
        <w:t>Misija Ministarstva uprave je trajno unapređenje sustava javne uprave radi osiguranja i zaštite javnog interesa, zakonitog djelovanja i pružanja usluga u ostvarivanju prava građana i gospodarskih subjekata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09505-Ministarstvo uprave</w:t>
            </w:r>
          </w:p>
        </w:tc>
        <w:tc>
          <w:tcPr>
            <w:tcW w:w="2322" w:type="dxa"/>
          </w:tcPr>
          <w:p w:rsidR="00AC0832" w:rsidRDefault="00AC0832">
            <w:pPr>
              <w:pStyle w:val="CellColumn"/>
            </w:pPr>
            <w:r>
              <w:t>57.093.592</w:t>
            </w:r>
          </w:p>
        </w:tc>
        <w:tc>
          <w:tcPr>
            <w:tcW w:w="2322" w:type="dxa"/>
          </w:tcPr>
          <w:p w:rsidR="00AC0832" w:rsidRDefault="00AC0832">
            <w:pPr>
              <w:pStyle w:val="CellColumn"/>
            </w:pPr>
            <w:r>
              <w:t>47.260.506</w:t>
            </w:r>
          </w:p>
        </w:tc>
        <w:tc>
          <w:tcPr>
            <w:tcW w:w="2322" w:type="dxa"/>
          </w:tcPr>
          <w:p w:rsidR="00AC0832" w:rsidRDefault="00AC0832">
            <w:pPr>
              <w:pStyle w:val="CellColumn"/>
            </w:pPr>
            <w:r>
              <w:t>82,8</w:t>
            </w:r>
          </w:p>
        </w:tc>
      </w:tr>
      <w:tr w:rsidR="00AC0832" w:rsidTr="00BE20ED">
        <w:trPr>
          <w:jc w:val="center"/>
        </w:trPr>
        <w:tc>
          <w:tcPr>
            <w:tcW w:w="2322" w:type="dxa"/>
          </w:tcPr>
          <w:p w:rsidR="00AC0832" w:rsidRDefault="00AC0832">
            <w:pPr>
              <w:pStyle w:val="CellColumn"/>
            </w:pPr>
            <w:r>
              <w:t>09510-Uredi državne uprave u županijama</w:t>
            </w:r>
          </w:p>
        </w:tc>
        <w:tc>
          <w:tcPr>
            <w:tcW w:w="2322" w:type="dxa"/>
          </w:tcPr>
          <w:p w:rsidR="00AC0832" w:rsidRDefault="00AC0832">
            <w:pPr>
              <w:pStyle w:val="CellColumn"/>
            </w:pPr>
            <w:r>
              <w:t>327.415.865</w:t>
            </w:r>
          </w:p>
        </w:tc>
        <w:tc>
          <w:tcPr>
            <w:tcW w:w="2322" w:type="dxa"/>
          </w:tcPr>
          <w:p w:rsidR="00AC0832" w:rsidRDefault="00AC0832">
            <w:pPr>
              <w:pStyle w:val="CellColumn"/>
            </w:pPr>
            <w:r>
              <w:t>325.657.785</w:t>
            </w:r>
          </w:p>
        </w:tc>
        <w:tc>
          <w:tcPr>
            <w:tcW w:w="2322" w:type="dxa"/>
          </w:tcPr>
          <w:p w:rsidR="00AC0832" w:rsidRDefault="00AC0832">
            <w:pPr>
              <w:pStyle w:val="CellColumn"/>
            </w:pPr>
            <w:r>
              <w:t>99,5</w:t>
            </w:r>
          </w:p>
        </w:tc>
      </w:tr>
      <w:tr w:rsidR="00AC0832" w:rsidTr="00BE20ED">
        <w:trPr>
          <w:jc w:val="center"/>
        </w:trPr>
        <w:tc>
          <w:tcPr>
            <w:tcW w:w="2322" w:type="dxa"/>
            <w:shd w:val="clear" w:color="auto" w:fill="B5C0D8"/>
          </w:tcPr>
          <w:p w:rsidR="00AC0832" w:rsidRDefault="00AC0832">
            <w:pPr>
              <w:pStyle w:val="CellColumn"/>
            </w:pPr>
            <w:r>
              <w:t>Ukupno 095-MINISTARSTVO UPRAVE</w:t>
            </w:r>
          </w:p>
        </w:tc>
        <w:tc>
          <w:tcPr>
            <w:tcW w:w="2322" w:type="dxa"/>
            <w:shd w:val="clear" w:color="auto" w:fill="B5C0D8"/>
          </w:tcPr>
          <w:p w:rsidR="00AC0832" w:rsidRDefault="00AC0832">
            <w:pPr>
              <w:pStyle w:val="CellColumn"/>
            </w:pPr>
            <w:r>
              <w:t>384.509.457</w:t>
            </w:r>
          </w:p>
        </w:tc>
        <w:tc>
          <w:tcPr>
            <w:tcW w:w="2322" w:type="dxa"/>
            <w:shd w:val="clear" w:color="auto" w:fill="B5C0D8"/>
          </w:tcPr>
          <w:p w:rsidR="00AC0832" w:rsidRDefault="00AC0832">
            <w:pPr>
              <w:pStyle w:val="CellColumn"/>
            </w:pPr>
            <w:r>
              <w:t>372.918.291</w:t>
            </w:r>
          </w:p>
        </w:tc>
        <w:tc>
          <w:tcPr>
            <w:tcW w:w="2322" w:type="dxa"/>
            <w:shd w:val="clear" w:color="auto" w:fill="B5C0D8"/>
          </w:tcPr>
          <w:p w:rsidR="00AC0832" w:rsidRDefault="00AC0832">
            <w:pPr>
              <w:pStyle w:val="CellColumn"/>
            </w:pPr>
            <w:r>
              <w:t>97,0</w:t>
            </w:r>
          </w:p>
        </w:tc>
      </w:tr>
    </w:tbl>
    <w:p w:rsidR="00AC0832" w:rsidRDefault="00AC0832">
      <w:pPr>
        <w:jc w:val="left"/>
      </w:pPr>
    </w:p>
    <w:p w:rsidR="00AC0832" w:rsidRDefault="00AC0832">
      <w:pPr>
        <w:pStyle w:val="Heading2"/>
      </w:pPr>
      <w:r>
        <w:t>09505 Ministarstvo uprave</w:t>
      </w:r>
    </w:p>
    <w:p w:rsidR="00AC0832" w:rsidRDefault="00AC0832">
      <w:pPr>
        <w:pStyle w:val="Heading4"/>
      </w:pPr>
      <w:r>
        <w:t>Uvod</w:t>
      </w:r>
    </w:p>
    <w:p w:rsidR="00AC0832" w:rsidRDefault="00AC0832">
      <w:pPr>
        <w:pStyle w:val="Normal3"/>
      </w:pPr>
      <w:r>
        <w:t>Ministarstvo uprave obavlja upravne i stručne poslove koji se odnose na: sustav i ustrojstvo državne uprave i lokalne i područne (regionalne) samouprave; politički i izborni sustav; osobna stanja građana; registraciju političkih stranaka, zaklada, fundacija i drugih evidencija utvrđenih posebnim zakonima; planiranje i nadzor zapošljavanja u državnoj upravi; stručno osposobljavanje i usavršavanje te radnopravni položaj zaposlenih u državnoj upravi i lokalnoj i područnoj (regionalnoj) samoupravi; poticanje znanstvenog i stručnog razvitka državne uprave; poslove upravnog i inspekcijskog nadzora u svim tijelima državne uprave i lokalne i područne (regionalne) samouprave; upravljanje sredstvima za unapređenje upravne sposobnosti kroz razvoj uslužne kulture u upravi; usmjeravanje reforme i procesa modernizacije u čitavoj upravi; primjenu etičkih načela; praćenje načina korištenja sredstava rada te primjenu suvremenih metoda rada u državnoj upravi, posebno primjenu računalnih i komunikacijskih sustava u radu te uvođenje novih tehnologija u radu ureda državne uprave u županijama; obavljanje poslova za međunarodnu komisiju za građanska stanja (CIEC), ostvarivanje međunarodne suradnje u pitanjima upravnog prava, državne uprave i lokalne samouprave; obavlja i druge poslove opće uprave. Ministarstvo obavlja upravne i stručne poslove koji se odnose na razvitak informacijskog sustava državne uprave; uspostavu tehnološke i sigurnosne informatičke infrastrukture u tijelima državne uprave; racionalizaciju uporabe informatičkih resursa u tijelima državne uprave; povezivanje informacijskih sustava tijela državne uprave kroz jedinstvenu informacijsko-komunikacijsku mrežu; donošenje tehničkih i normizacijskih pravila uporabe informatičke opreme u tijelima državne uprave; donošenje stručnih i normativnih podloga za pridruživanje Republike Hrvatske Europskoj uniji u područjima razvitka i primjene informacijsko-komunikacijske tehnologije; te obavljanje objedinjene nabave informatičkih resursa za tijela državne uprave. Ministarstvo obavlja i poslove koji se odnose na praćenje i koordinaciju projekata iz područja informacijsko-komunikacijske tehnologije u tijelima državne uprave; sudjelovanje u donošenju i praćenju provedbe zakona i drugih propisa u području primjene informacijsko-komunikacijske tehnologije u Republici Hrvatskoj; promicanje i sustavno unapređivanje izgradnje internetizacijske infrastrukture u Republici Hrvatskoj, javnog pristupanja internetskim uslugama i sadržajima, razvitka primjene informacijske i komunikacijske tehnologije, sustava elektroničke uprave, elektroničkog obrazovanja, elektroničkog zdravstva i elektroničkog poslovanja. Ministarstvo obavlja poslove koji se odnose na sudjelovanje Republike Hrvatske u radu tijela Europske unije u područjima iz njegove nadležnosti. Ministarstvo obavlja i druge poslove koji su mu stavljeni u nadležnost posebnim zakonom.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09505-Ministarstvo uprave</w:t>
            </w:r>
          </w:p>
        </w:tc>
        <w:tc>
          <w:tcPr>
            <w:tcW w:w="2322" w:type="dxa"/>
          </w:tcPr>
          <w:p w:rsidR="00AC0832" w:rsidRDefault="00AC0832">
            <w:pPr>
              <w:pStyle w:val="CellColumn"/>
            </w:pPr>
            <w:r>
              <w:t>57.093.592</w:t>
            </w:r>
          </w:p>
        </w:tc>
        <w:tc>
          <w:tcPr>
            <w:tcW w:w="2322" w:type="dxa"/>
          </w:tcPr>
          <w:p w:rsidR="00AC0832" w:rsidRDefault="00AC0832">
            <w:pPr>
              <w:pStyle w:val="CellColumn"/>
            </w:pPr>
            <w:r>
              <w:t>47.260.506</w:t>
            </w:r>
          </w:p>
        </w:tc>
        <w:tc>
          <w:tcPr>
            <w:tcW w:w="2322" w:type="dxa"/>
          </w:tcPr>
          <w:p w:rsidR="00AC0832" w:rsidRDefault="00AC0832">
            <w:pPr>
              <w:pStyle w:val="CellColumn"/>
            </w:pPr>
            <w:r>
              <w:t>82,8</w:t>
            </w:r>
          </w:p>
        </w:tc>
      </w:tr>
      <w:tr w:rsidR="00AC0832" w:rsidTr="00BE20ED">
        <w:trPr>
          <w:jc w:val="center"/>
        </w:trPr>
        <w:tc>
          <w:tcPr>
            <w:tcW w:w="2322" w:type="dxa"/>
          </w:tcPr>
          <w:p w:rsidR="00AC0832" w:rsidRDefault="00AC0832">
            <w:pPr>
              <w:pStyle w:val="CellColumnSmall"/>
            </w:pPr>
            <w:r>
              <w:t>2401-USTROJSTVO JAVNE UPRAVE</w:t>
            </w:r>
          </w:p>
        </w:tc>
        <w:tc>
          <w:tcPr>
            <w:tcW w:w="2322" w:type="dxa"/>
          </w:tcPr>
          <w:p w:rsidR="00AC0832" w:rsidRDefault="00AC0832">
            <w:pPr>
              <w:pStyle w:val="CellColumnSmall"/>
            </w:pPr>
            <w:r>
              <w:t>48.660.053</w:t>
            </w:r>
          </w:p>
        </w:tc>
        <w:tc>
          <w:tcPr>
            <w:tcW w:w="2322" w:type="dxa"/>
          </w:tcPr>
          <w:p w:rsidR="00AC0832" w:rsidRDefault="00AC0832">
            <w:pPr>
              <w:pStyle w:val="CellColumnSmall"/>
            </w:pPr>
            <w:r>
              <w:t>38.863.487</w:t>
            </w:r>
          </w:p>
        </w:tc>
        <w:tc>
          <w:tcPr>
            <w:tcW w:w="2322" w:type="dxa"/>
          </w:tcPr>
          <w:p w:rsidR="00AC0832" w:rsidRDefault="00AC0832">
            <w:pPr>
              <w:pStyle w:val="CellColumnSmall"/>
            </w:pPr>
            <w:r>
              <w:t>79,9</w:t>
            </w:r>
          </w:p>
        </w:tc>
      </w:tr>
      <w:tr w:rsidR="00AC0832" w:rsidTr="00BE20ED">
        <w:trPr>
          <w:jc w:val="center"/>
        </w:trPr>
        <w:tc>
          <w:tcPr>
            <w:tcW w:w="2322" w:type="dxa"/>
          </w:tcPr>
          <w:p w:rsidR="00AC0832" w:rsidRDefault="00AC0832">
            <w:pPr>
              <w:pStyle w:val="CellColumnSmall"/>
            </w:pPr>
            <w:r>
              <w:t>2408-INFORMATIZACIJA UPRAVE</w:t>
            </w:r>
          </w:p>
        </w:tc>
        <w:tc>
          <w:tcPr>
            <w:tcW w:w="2322" w:type="dxa"/>
          </w:tcPr>
          <w:p w:rsidR="00AC0832" w:rsidRDefault="00AC0832">
            <w:pPr>
              <w:pStyle w:val="CellColumnSmall"/>
            </w:pPr>
            <w:r>
              <w:t>4.734.077</w:t>
            </w:r>
          </w:p>
        </w:tc>
        <w:tc>
          <w:tcPr>
            <w:tcW w:w="2322" w:type="dxa"/>
          </w:tcPr>
          <w:p w:rsidR="00AC0832" w:rsidRDefault="00AC0832">
            <w:pPr>
              <w:pStyle w:val="CellColumnSmall"/>
            </w:pPr>
            <w:r>
              <w:t>4.691.246</w:t>
            </w:r>
          </w:p>
        </w:tc>
        <w:tc>
          <w:tcPr>
            <w:tcW w:w="2322" w:type="dxa"/>
          </w:tcPr>
          <w:p w:rsidR="00AC0832" w:rsidRDefault="00AC0832">
            <w:pPr>
              <w:pStyle w:val="CellColumnSmall"/>
            </w:pPr>
            <w:r>
              <w:t>99,1</w:t>
            </w:r>
          </w:p>
        </w:tc>
      </w:tr>
      <w:tr w:rsidR="00AC0832" w:rsidTr="00BE20ED">
        <w:trPr>
          <w:jc w:val="center"/>
        </w:trPr>
        <w:tc>
          <w:tcPr>
            <w:tcW w:w="2322" w:type="dxa"/>
          </w:tcPr>
          <w:p w:rsidR="00AC0832" w:rsidRDefault="00AC0832">
            <w:pPr>
              <w:pStyle w:val="CellColumnSmall"/>
            </w:pPr>
            <w:r>
              <w:t>3804-POTICANJE I PRAĆENJE RAZVOJA INFORMACIJSKOG DRUŠTVA</w:t>
            </w:r>
          </w:p>
        </w:tc>
        <w:tc>
          <w:tcPr>
            <w:tcW w:w="2322" w:type="dxa"/>
          </w:tcPr>
          <w:p w:rsidR="00AC0832" w:rsidRDefault="00AC0832">
            <w:pPr>
              <w:pStyle w:val="CellColumnSmall"/>
            </w:pPr>
            <w:r>
              <w:t>3.699.462</w:t>
            </w:r>
          </w:p>
        </w:tc>
        <w:tc>
          <w:tcPr>
            <w:tcW w:w="2322" w:type="dxa"/>
          </w:tcPr>
          <w:p w:rsidR="00AC0832" w:rsidRDefault="00AC0832">
            <w:pPr>
              <w:pStyle w:val="CellColumnSmall"/>
            </w:pPr>
            <w:r>
              <w:t>3.705.773</w:t>
            </w:r>
          </w:p>
        </w:tc>
        <w:tc>
          <w:tcPr>
            <w:tcW w:w="2322" w:type="dxa"/>
          </w:tcPr>
          <w:p w:rsidR="00AC0832" w:rsidRDefault="00AC0832">
            <w:pPr>
              <w:pStyle w:val="CellColumnSmall"/>
            </w:pPr>
            <w:r>
              <w:t>100,2</w:t>
            </w:r>
          </w:p>
        </w:tc>
      </w:tr>
    </w:tbl>
    <w:p w:rsidR="00AC0832" w:rsidRDefault="00AC0832">
      <w:pPr>
        <w:jc w:val="left"/>
      </w:pPr>
    </w:p>
    <w:p w:rsidR="00AC0832" w:rsidRDefault="00AC0832">
      <w:pPr>
        <w:pStyle w:val="Heading4"/>
      </w:pPr>
      <w:r>
        <w:t>OBRAZLOŽENJE PROGRAMA</w:t>
      </w:r>
    </w:p>
    <w:p w:rsidR="00AC0832" w:rsidRDefault="00AC0832">
      <w:pPr>
        <w:pStyle w:val="Heading5"/>
      </w:pPr>
      <w:r>
        <w:t>2401 USTROJSTVO JAVNE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2401-USTROJSTVO JAVNE UPRAVE</w:t>
            </w:r>
          </w:p>
        </w:tc>
        <w:tc>
          <w:tcPr>
            <w:tcW w:w="2322" w:type="dxa"/>
          </w:tcPr>
          <w:p w:rsidR="00AC0832" w:rsidRDefault="00AC0832">
            <w:pPr>
              <w:pStyle w:val="CellColumn"/>
            </w:pPr>
            <w:r>
              <w:t>48.660.053</w:t>
            </w:r>
          </w:p>
        </w:tc>
        <w:tc>
          <w:tcPr>
            <w:tcW w:w="2322" w:type="dxa"/>
          </w:tcPr>
          <w:p w:rsidR="00AC0832" w:rsidRDefault="00AC0832">
            <w:pPr>
              <w:pStyle w:val="CellColumn"/>
            </w:pPr>
            <w:r>
              <w:t>38.863.487</w:t>
            </w:r>
          </w:p>
        </w:tc>
        <w:tc>
          <w:tcPr>
            <w:tcW w:w="2322" w:type="dxa"/>
          </w:tcPr>
          <w:p w:rsidR="00AC0832" w:rsidRDefault="00AC0832">
            <w:pPr>
              <w:pStyle w:val="CellColumn"/>
            </w:pPr>
            <w:r>
              <w:t>79,9</w:t>
            </w:r>
          </w:p>
        </w:tc>
      </w:tr>
    </w:tbl>
    <w:p w:rsidR="00AC0832" w:rsidRDefault="00AC0832">
      <w:pPr>
        <w:jc w:val="left"/>
      </w:pPr>
    </w:p>
    <w:p w:rsidR="00AC0832" w:rsidRDefault="00AC0832">
      <w:pPr>
        <w:pStyle w:val="Heading6"/>
      </w:pPr>
      <w:r>
        <w:t>Opis programa</w:t>
      </w:r>
    </w:p>
    <w:p w:rsidR="00AC0832" w:rsidRDefault="00AC0832">
      <w:pPr>
        <w:pStyle w:val="Normal5"/>
      </w:pPr>
      <w:r>
        <w:t>Javna uprava predstavlja jedno od strateški važnih područja reformi Vlade Republike Hrvatske. Modernizacija javne uprave, njezina puna profesionalizacija te pružanje brzih i pouzdanih javnih usluga sastavni je dio dobrog poduzetničkog okruženja i pretpostavka osiguranja boljeg standarda svih građana. Pored svih upravnih i stručnih poslova koje Ministarstvo obavlja unutar ovog programa najistaknutiji je program izobrazbe državnih službenika. Prijedlog programa izobrazbe državnih službenika u 2012. godini izrađen je sukladno obvezama koje proizlaze iz Strategije stručnog osposobljavanja i usavršavanja državnih službenika Vlade Republike Hrvatske (od 6. listopada 2004. godine) i odredaba Zakona o državnim službenicima („Narodne novine“, broj 92/05; 142/06; 77/07; 107/07; 27/08; 49/11; 150/11), te se njime doprinosi ispunjavanju obveze reforme javne uprave koju je Republika Hrvatska preuzela u okviru Pristupnog partnerstva. Ministarstvo uprave nadležna je državna institucija za provedbu programa reforme javne uprave Vlade Republike Hrvatske. Sukladno Uredbi o oblicima, načinima i uvjetima izobrazbe državnih službenika Ministarstvo uprave u svim tijelima državne uprave provodi procjenu potrebe izobrazbe za sljedeću godinu. U svrhu efikasnog ostvarenja svih ciljeva i zadataka državnih tijela potrebno je planirati ljudske potencijale u državnoj upravi na odgovarajući način te im pružiti mogućnost profesionalnog razvoja koristeći sve moderne alate upravljanja ljudskim potencijalima.</w:t>
      </w:r>
    </w:p>
    <w:p w:rsidR="00AC0832" w:rsidRDefault="00AC0832">
      <w:pPr>
        <w:pStyle w:val="Heading6"/>
      </w:pPr>
      <w:r>
        <w:t>Zakonske i druge pravne osnove</w:t>
      </w:r>
    </w:p>
    <w:p w:rsidR="00AC0832" w:rsidRDefault="00AC0832">
      <w:pPr>
        <w:pStyle w:val="Normal5"/>
      </w:pPr>
      <w:r>
        <w:t>Zakona o državnim službenicima („Narodne novine“, broj 92/05; 142/06; 77/07; 107/07; 27/08; 49/11; 150/11; 34/12; 49/12),Zakon o sustavu državne uprave („Narodne novine“, broj 150/11) , Zakon o ustrojstvu i djelokrugu središnjih tijela državne uprave („Narodne novine“, broj broj 150/11; 22/12).</w:t>
      </w:r>
    </w:p>
    <w:p w:rsidR="00AC0832" w:rsidRDefault="00AC0832">
      <w:pPr>
        <w:pStyle w:val="Heading7"/>
      </w:pPr>
      <w:r>
        <w:t>Cilj 1. Unaprijediti sustav državne uprave</w:t>
      </w:r>
    </w:p>
    <w:p w:rsidR="00AC0832" w:rsidRDefault="00AC0832">
      <w:pPr>
        <w:pStyle w:val="Heading8"/>
        <w:jc w:val="left"/>
      </w:pPr>
      <w:r>
        <w:t>Opis provedbe cilja programa</w:t>
      </w:r>
    </w:p>
    <w:p w:rsidR="00AC0832" w:rsidRDefault="00AC0832">
      <w:pPr>
        <w:pStyle w:val="Normal6"/>
      </w:pPr>
      <w:r>
        <w:t>Racionalizacija sustava državne uprave se temeljiti na nizu međuovisnihmjera koje uključuju (1) diferencijaciju poslova državne uprave (ciklus razrade javnih politika, izrade nacrta propisa i praćenje njihove primjene nasuprot izvršno- operativnim poslovima) i utvrđenje kriterija za decentraliziranje odnosno dekoncentriranje poslova državne uprave; (2) specijalizaciju tijela državne upravekroz preraspodjelu djelokruga i funkcija; (3) poboljšanje usklađenosti u radu tijeladržavne uprave kroz razvoj mehanizama njihove suradnje; (4) identificiranje i otklanjanje nepotrebnih funkcija, preklapanja u obavljanju pojedinih poslova i nejasno definiranih ovlasti; (5) uvođenje mehanizama mjerenja učinkovitosti rada udržavnoj upravi i razvoj sustava upravljanja kvalitetom u državnoj upravi.</w:t>
      </w:r>
    </w:p>
    <w:p w:rsidR="00AC0832" w:rsidRDefault="00AC0832">
      <w:pPr>
        <w:pStyle w:val="Heading7"/>
      </w:pPr>
      <w:r>
        <w:t>Cilj 2. Unaprijediti sustav lokalne i područne (regionalne) samouprave</w:t>
      </w:r>
    </w:p>
    <w:p w:rsidR="00AC0832" w:rsidRDefault="00AC0832">
      <w:pPr>
        <w:pStyle w:val="Heading8"/>
        <w:jc w:val="left"/>
      </w:pPr>
      <w:r>
        <w:t>Opis provedbe cilja programa</w:t>
      </w:r>
    </w:p>
    <w:p w:rsidR="00AC0832" w:rsidRDefault="00AC0832">
      <w:pPr>
        <w:pStyle w:val="Normal6"/>
      </w:pPr>
      <w:r>
        <w:t xml:space="preserve">U nastojanju izgradnje djelotvorne, učinkovite i ekonomične javne uprave bilo je potrebno uspostaviti i djelotvoran sustav lokalne i područne (regionalne) samouprave.  </w:t>
      </w:r>
    </w:p>
    <w:p w:rsidR="00AC0832" w:rsidRDefault="00AC0832">
      <w:pPr>
        <w:pStyle w:val="Normal6"/>
      </w:pPr>
      <w:r>
        <w:t xml:space="preserve">Proces rukovođen primjenom načela supsidijarnosti usmjeren je definiranju tri aspekta decentralizacije – administrativni (teritorijalni preustroj), funkcijski (podjela nadležnosti u obavljanju javnih poslova) i fiskalni (izvori financiranja). Novi teritorijalni ustroj, koji je proizašao iz javne rasprave, uravnotežio je tri osnovna zahtjeva – ekonomsku efikasnost, lokalnu demokraciju i identitet. </w:t>
      </w:r>
    </w:p>
    <w:p w:rsidR="00AC0832" w:rsidRDefault="00AC0832">
      <w:pPr>
        <w:pStyle w:val="Normal6"/>
      </w:pPr>
      <w:r>
        <w:t xml:space="preserve">Temeljni cilj reforme lokalne samouprave jest ostvarenje racionalnije, kvalitetnije i učinkovitije lokalne samouprave te poboljšanje dostupnosti, brzine, kvalitete i cijene usluga koje jedinice lokalne samouprave pružaju i osiguravaju građanima. Reformom sustava lokalne samouprave ojačan je administrativni i financijski </w:t>
      </w:r>
    </w:p>
    <w:p w:rsidR="00AC0832" w:rsidRDefault="00AC0832">
      <w:pPr>
        <w:pStyle w:val="Normal6"/>
      </w:pPr>
      <w:r>
        <w:t xml:space="preserve">kapacitete i autonomija jedinica lokalne i područne samouprave, prošireni poslovi iz njihovog samoupravnog djelokruga, ojačani samostalnost jedinica u planiranju, financiranju i pružanju usluga u skladu s načelom supsidijarnosti, stvorene pretpostavke za delegaciju određenih poslova iz nadležnosti središnje državne uprave </w:t>
      </w:r>
    </w:p>
    <w:p w:rsidR="00AC0832" w:rsidRDefault="00AC0832">
      <w:pPr>
        <w:pStyle w:val="Normal6"/>
      </w:pPr>
      <w:r>
        <w:t xml:space="preserve">na razinu lokalne i područne samouprave, poboljšana suradnja i koordinacija središnje državne uprave i lokalne i područne (regionalne) samouprave u planiranju i provedbi projekata lokalnog i regionalnog značaja, smanjeni ukupne administrativni troškove lokalne samouprave (smanjenje troškova izbora i funkcioniranja predstavničke i izvršne vlasti, uštede u materijalnim troškovima lokalne administracije, uštede u uslugama), racionalnije usmjerena sredstava potpora središnje države lokalnoj samoupravi te utjecaj na jačanje lokalne demokracije i povećano sudjelovanje građana u odlučivanju. </w:t>
      </w:r>
    </w:p>
    <w:p w:rsidR="00AC0832" w:rsidRDefault="00AC0832">
      <w:pPr>
        <w:pStyle w:val="Normal6"/>
      </w:pPr>
      <w:r>
        <w:t xml:space="preserve">Reforma je obuhvatila tri ključne, jednako važne i međusobno povezane sastavnice: funkcionalnu decentralizaciju, odnosno prijenos ovlasti i nadležnosti sa središnje na niže razine vlasti, fiskalnu decentralizaciju, odnosno prijenos odgovarajućih sredstava za financiranje javnih ovlasti na jedinice lokalne i područne (regionalne) samouprave i teritorijalnu reorganizaciju, odnosno pronalaženje optimalnog teritorijalnog modela organizacije javnih službi. Tijek i sadržaj procesa reforme lokalne i područne samouprave određen je drugim procesima u sustavu javne uprave i širem okruženju, koji su blisko povezani i usklađeni s reformom lokane samouprave, pri čemu se posebno treba istaknuti reorganizaciju i racionalizaciju tijela središnje državne </w:t>
      </w:r>
    </w:p>
    <w:p w:rsidR="00AC0832" w:rsidRDefault="00AC0832">
      <w:pPr>
        <w:pStyle w:val="Normal6"/>
      </w:pPr>
      <w:r>
        <w:t>uprave, i prijenos dijela poslova koje ona obavljaju na razinu vlasti koja je najbliža građanima te decentralizaciju i regionalizaciju određenu drugim sektorskim strateškim dokumentima.</w:t>
      </w:r>
    </w:p>
    <w:p w:rsidR="00AC0832" w:rsidRDefault="00AC0832">
      <w:pPr>
        <w:pStyle w:val="Heading7"/>
      </w:pPr>
      <w:r>
        <w:t>Cilj 3. Unaprijediti javni sektor</w:t>
      </w:r>
    </w:p>
    <w:p w:rsidR="00AC0832" w:rsidRDefault="00AC0832">
      <w:pPr>
        <w:pStyle w:val="Heading8"/>
        <w:jc w:val="left"/>
      </w:pPr>
      <w:r>
        <w:t>Opis provedbe cilja programa</w:t>
      </w:r>
    </w:p>
    <w:p w:rsidR="00AC0832" w:rsidRDefault="00AC0832">
      <w:pPr>
        <w:pStyle w:val="Normal6"/>
      </w:pPr>
      <w:r>
        <w:t xml:space="preserve">Analizom postojećeg sustava agencija, zavoda, fondova i drugih pravnih osoba s javnim ovlastima, uočene su različitosti u rješavanju pitanja osnivanja, naziva, ustrojstva, tijela upravljanja i vođenja poslova, javnosti rada, imovine i financiranja te nadzora nad zakonitošću rada i financijskog poslovanja. Navedene različitosti opterećuju strukturu cjelokupne javne uprave i time doprinose pojavi institucionalne, organizacijske i funkcionalne nepreglednosti. Većina postojećih agencija, zavoda, fondova i drugih pravnih osoba s javnim ovlastima nalazi se u kompromisnom statusu javnih ustanova s obzirom na to da ne postoji jedinstvena normativna osnova kojom bi se na uredio njihov pravni položaj.  </w:t>
      </w:r>
    </w:p>
    <w:p w:rsidR="00AC0832" w:rsidRDefault="00AC0832">
      <w:pPr>
        <w:pStyle w:val="Normal6"/>
      </w:pPr>
      <w:r>
        <w:t>Donošenjem zakona kojim se na sustavan i jednoobrazan način uređuju navedena pitanja, regulirat će se značajan dio javne uprave u Republici Hrvatskoj i usmjeriti njezin razvoj prema modernom modelu javne uprave koji karakteriziraju visoki stupanj profesionalizacije, usmjerenost korisnicima i rezultatu, povećana samostalnost i odgovornost u radu, financijska racionalnost, smanjenje političkog utjecaja na operativni rad te povećavanje transparentnosti, uz zadržavanje nužne kontrole zakonitosti rada i financijskog poslovanja.</w:t>
      </w:r>
    </w:p>
    <w:p w:rsidR="00AC0832" w:rsidRDefault="00AC0832">
      <w:pPr>
        <w:pStyle w:val="Heading7"/>
      </w:pPr>
      <w:r>
        <w:t>Cilj 4. Olakšati ostvarivanje prava korisnika</w:t>
      </w:r>
    </w:p>
    <w:p w:rsidR="00AC0832" w:rsidRDefault="00AC0832">
      <w:pPr>
        <w:pStyle w:val="Heading8"/>
        <w:jc w:val="left"/>
      </w:pPr>
      <w:r>
        <w:t>Opis provedbe cilja programa</w:t>
      </w:r>
    </w:p>
    <w:p w:rsidR="00AC0832" w:rsidRDefault="00AC0832">
      <w:pPr>
        <w:pStyle w:val="Normal6"/>
      </w:pPr>
      <w:r>
        <w:t>S ciljem poboljšanja dosadašnje prakse pružanja upravnih usluga (jednostavniji postupak i olakšano ostvarivanje prava) i povećanja zadovoljstva građana pruženim upravnim uslugama planira se u sljedećem trogodišnjem razdoblju provesti niz aktivnosti vezanih uz bolju primjenu Zakona o općem upravnom postupku i drugih postupovnih zakona.</w:t>
      </w:r>
    </w:p>
    <w:p w:rsidR="00AC0832" w:rsidRDefault="00AC0832">
      <w:pPr>
        <w:pStyle w:val="Heading7"/>
      </w:pPr>
      <w:r>
        <w:t>Cilj 5. Osigurati otvorenost i pristupačnost javne uprave</w:t>
      </w:r>
    </w:p>
    <w:p w:rsidR="00AC0832" w:rsidRDefault="00AC0832">
      <w:pPr>
        <w:pStyle w:val="Heading8"/>
        <w:jc w:val="left"/>
      </w:pPr>
      <w:r>
        <w:t>Opis provedbe cilja programa</w:t>
      </w:r>
    </w:p>
    <w:p w:rsidR="00AC0832" w:rsidRDefault="00AC0832">
      <w:pPr>
        <w:pStyle w:val="Heading7"/>
      </w:pPr>
      <w:r>
        <w:t>Cilj 6. Unaprijediti sustav upravljanja ljudskim potencijalima</w:t>
      </w:r>
    </w:p>
    <w:p w:rsidR="00AC0832" w:rsidRDefault="00AC0832">
      <w:pPr>
        <w:pStyle w:val="Heading8"/>
        <w:jc w:val="left"/>
      </w:pPr>
      <w:r>
        <w:t>Opis provedbe cilja programa</w:t>
      </w:r>
    </w:p>
    <w:p w:rsidR="00AC0832" w:rsidRDefault="00AC0832">
      <w:pPr>
        <w:pStyle w:val="Normal6"/>
      </w:pPr>
      <w:r>
        <w:t>U svrhu efikasnog ostvarenja svih ciljeva i zadataka državnih tijela bilo je potrebno planirati ljudske potencijale u državnoj upravi na odgovarajući način te im pružiti mogućnost profesionalnog razvoja koristeći sve moderne alate upravljanja ljudskim potencijalima.</w:t>
      </w:r>
    </w:p>
    <w:p w:rsidR="00AC0832" w:rsidRDefault="00AC0832">
      <w:pPr>
        <w:pStyle w:val="Heading7"/>
      </w:pPr>
      <w:r>
        <w:t>Cilj 7. Razvijati sustav trajne izobrazbe državnih službenika</w:t>
      </w:r>
    </w:p>
    <w:p w:rsidR="00AC0832" w:rsidRDefault="00AC0832">
      <w:pPr>
        <w:pStyle w:val="Heading8"/>
        <w:jc w:val="left"/>
      </w:pPr>
      <w:r>
        <w:t>Opis provedbe cilja programa</w:t>
      </w:r>
    </w:p>
    <w:p w:rsidR="00AC0832" w:rsidRDefault="00AC0832">
      <w:pPr>
        <w:pStyle w:val="Normal6"/>
      </w:pPr>
      <w:r>
        <w:t xml:space="preserve">Državni službenici imaju obvezu trajnog unapređivanja znanja, vještina i sposobnosti potrebnih za obavljanje poslova svog radnog mjesta te sudjelovanja u organiziranim programima izobrazbe na koje ih upućuju državna tijela ili im je pohađanje pojedinih programa izobrazbe odobreno. U ovoj fazi bilo je nužno uvesti strukturirani pristup stručnom usavršavanju i osposobljavanju kako bi se učinkovito iskoristili postojeći kapaciteti za različite oblike obrazovnih aktivnosti, te razvijali novi u skladu s rastućim potrebama organizacija. </w:t>
      </w:r>
    </w:p>
    <w:p w:rsidR="00AC0832" w:rsidRDefault="00AC0832">
      <w:pPr>
        <w:pStyle w:val="Normal6"/>
      </w:pPr>
      <w:r>
        <w:t xml:space="preserve">Programi izobrazbe državnih službenika mogu biti zajednički ili posebni. Državna škola za javnu upravu osnovana je kao središnje tijelo za jačanje nacionalnih kapaciteta u cilju što kvalitetnijeg i učinkovitog zadovoljenja tih potreba. U tom smislu, programe izobrazbe u pravilu organiziraju Državna škola za javnu upravu, sukladno Planu izobrazbe državnih službenika koji na prijedlog središnjeg tijela državne uprave nadležnog za službeničke odnose svake godine donosi Vlada Republike Hrvatske. Posebne programe izobrazbe mogu, pored Državne škole za javnu upravu samostalno organizirati resorna središnja tijela državne uprave.  </w:t>
      </w:r>
    </w:p>
    <w:p w:rsidR="00AC0832" w:rsidRDefault="00AC0832">
      <w:pPr>
        <w:pStyle w:val="Normal6"/>
      </w:pPr>
      <w:r>
        <w:t xml:space="preserve">Provedbom izobrazbe državnih službenika potrebno je upravljati (planirati, provoditi, pratiti, nadzirati i vrednovati) korištenjem informatički podržanog očevidnika izobrazbe kao sastavnog dijela Registra zaposlenih u javnom sektoru. </w:t>
      </w:r>
    </w:p>
    <w:p w:rsidR="00AC0832" w:rsidRDefault="00AC0832">
      <w:pPr>
        <w:pStyle w:val="Normal6"/>
      </w:pPr>
      <w:r>
        <w:t xml:space="preserve">S obzirom na neprestanu potrebu podizanja razine stručnosti državnih službenika svih kategorija koji doprinose učinkovitosti državne uprave te povećanju razine zadovoljstva pružanja usluga krajnjim korisnicima, sustav trajne izobrazbe službenika je neophodan. Dodatno, fluktuacija državnih službenika, pravovremeno odgovaranje </w:t>
      </w:r>
    </w:p>
    <w:p w:rsidR="00AC0832" w:rsidRDefault="00AC0832">
      <w:pPr>
        <w:pStyle w:val="Normal6"/>
      </w:pPr>
      <w:r>
        <w:t>na neprestane nove situacije u novim funkcijama u državnim tijelima neophodno je s jedne strane obnavljati, nadograđivati te raditi na novim oblicima pružanja usluga na zadovoljstvo krajnjih korisnika.</w:t>
      </w:r>
    </w:p>
    <w:p w:rsidR="00AC0832" w:rsidRDefault="00AC0832">
      <w:pPr>
        <w:pStyle w:val="Heading7"/>
      </w:pPr>
      <w:r>
        <w:t>Cilj 8. Uspostaviti evidencije javnih i državnih službenika te unaprjediti sustav plaća u javnom sektoru</w:t>
      </w:r>
    </w:p>
    <w:p w:rsidR="00AC0832" w:rsidRDefault="00AC0832">
      <w:pPr>
        <w:pStyle w:val="Heading8"/>
        <w:jc w:val="left"/>
      </w:pPr>
      <w:r>
        <w:t>Opis provedbe cilja programa</w:t>
      </w:r>
    </w:p>
    <w:p w:rsidR="00AC0832" w:rsidRDefault="00AC0832">
      <w:pPr>
        <w:pStyle w:val="Normal6"/>
      </w:pPr>
      <w:r>
        <w:t>Registar zaposlenih u javnom sektoru izrađen je radi uspostave kvalitetnog i učinkovitog sustava centraliziranog obračuna plaća i upravljanja ljudskim potencijalima.</w:t>
      </w:r>
    </w:p>
    <w:p w:rsidR="00AC0832" w:rsidRDefault="00AC0832">
      <w:pPr>
        <w:pStyle w:val="Heading6"/>
      </w:pPr>
      <w:r>
        <w:t>A677018 DRŽAVNA ŠKOLA ZA JAVNU UPRAVU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A677018-DRŽAVNA ŠKOLA ZA JAVNU UPRAVU</w:t>
            </w:r>
          </w:p>
        </w:tc>
        <w:tc>
          <w:tcPr>
            <w:tcW w:w="2322" w:type="dxa"/>
          </w:tcPr>
          <w:p w:rsidR="00AC0832" w:rsidRDefault="00AC0832">
            <w:pPr>
              <w:pStyle w:val="CellColumn"/>
            </w:pPr>
            <w:r>
              <w:t>3.524.613</w:t>
            </w:r>
          </w:p>
        </w:tc>
        <w:tc>
          <w:tcPr>
            <w:tcW w:w="2322" w:type="dxa"/>
          </w:tcPr>
          <w:p w:rsidR="00AC0832" w:rsidRDefault="00AC0832">
            <w:pPr>
              <w:pStyle w:val="CellColumn"/>
            </w:pPr>
            <w:r>
              <w:t>3.352.942</w:t>
            </w:r>
          </w:p>
        </w:tc>
        <w:tc>
          <w:tcPr>
            <w:tcW w:w="2322" w:type="dxa"/>
          </w:tcPr>
          <w:p w:rsidR="00AC0832" w:rsidRDefault="00AC0832">
            <w:pPr>
              <w:pStyle w:val="CellColumn"/>
            </w:pPr>
            <w:r>
              <w:t>95,1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Djelatnost Državne škole je stručno osposobljavanje i državnih službenika, kao i izabranih dužnosnika i službenika u tijelima lokalne i područne (regionalne) samouprave u suradnji s nacionalnim savezom jedinica lokalne i područne (regionalne) samouprave, te u pravnim osobama s javnim ovlastima, a s ciljem trajnog podizanja razine i kvalitete njihovog znanja, vještina i sposobnosti, radi oblikovanja profesionalnog, djelotvornog i učinkovitog javnog sektora koji će pružati pravodobne i kvalitetne javne usluge, u skladu s najboljim općeprihvaćenim standardima.</w:t>
      </w:r>
    </w:p>
    <w:p w:rsidR="00AC0832" w:rsidRDefault="00AC0832">
      <w:pPr>
        <w:pStyle w:val="Heading6"/>
      </w:pPr>
      <w:r>
        <w:t>A830002 STRUČNO OSPOSOBLJAVANJE DRŽAVNIH SLUŽBENIKA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A830002-STRUČNO OSPOSOBLJAVANJE DRŽAVNIH SLUŽBENIKA</w:t>
            </w:r>
          </w:p>
        </w:tc>
        <w:tc>
          <w:tcPr>
            <w:tcW w:w="2322" w:type="dxa"/>
          </w:tcPr>
          <w:p w:rsidR="00AC0832" w:rsidRDefault="00AC0832">
            <w:pPr>
              <w:pStyle w:val="CellColumn"/>
            </w:pPr>
            <w:r>
              <w:t>2.209.931</w:t>
            </w:r>
          </w:p>
        </w:tc>
        <w:tc>
          <w:tcPr>
            <w:tcW w:w="2322" w:type="dxa"/>
          </w:tcPr>
          <w:p w:rsidR="00AC0832" w:rsidRDefault="00AC0832">
            <w:pPr>
              <w:pStyle w:val="CellColumn"/>
            </w:pPr>
            <w:r>
              <w:t>2.110.763</w:t>
            </w:r>
          </w:p>
        </w:tc>
        <w:tc>
          <w:tcPr>
            <w:tcW w:w="2322" w:type="dxa"/>
          </w:tcPr>
          <w:p w:rsidR="00AC0832" w:rsidRDefault="00AC0832">
            <w:pPr>
              <w:pStyle w:val="CellColumn"/>
            </w:pPr>
            <w:r>
              <w:t>95,5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Pored svih upravnih i stručnih poslova koje Ministarstvo obavlja unutar ovog programa najistaknutiji program Centra za stručno osposobljavanje i usavršavanje službenika je izobrazba državnih službenika. Prijedlog programa izobrazbe državnih službenika u 2010. godini izrađen je sukladno obvezama koje proizlaze iz Strategije stručnog osposobljavanja i usavršavanja državnih službenika Vlade Republike Hrvatske od 6. listopada 2004. godine i odredaba Zakona o državnim službenicima („Narodne novine", broj 92/05, 107/07 i 27/08), te se njime doprinosi ispunjavanju obveze reforme javne uprave koju je Republika Hrvatska preuzela u okviru Pristupnog partnerstva. Ministarstvo uprave nadležna je državna institucija za provedbu programa reforme javne uprave Vlade Republike Hrvatske. Sukladno Uredbi o oblicima, načinima i uvjetima izobrazbe državnih službenika, Ministarstvo uprave u svim tijelima državne uprave provelo je procjenu potrebe izobrazbe za 2011. godinu. U svrhu efikasnog ostvarenja svih ciljeva i zadataka državnih tijela planirani su ljudski potencijali u državnoj upravi na odgovarajući način te im pružena mogućnost profesionalnog razvoja koristeći sve moderne alate upravljanja ljudskim potencijalima.Zaključkom Vlade Republike Hrvatske od 30. prosinca 2009. godine usvojena je Strategija razvoja ljudskih potencijala u državnoj službi za razdoblje 2010.-2013. godine. Svrha ove Strategije je, upravo, razvoj ljudskih potencijala putem unaprjeđenja sustava izobrazbe te sustava zapošljavanja i zadržavanja kvalitetnih službenika. </w:t>
      </w:r>
    </w:p>
    <w:p w:rsidR="00AC0832" w:rsidRDefault="00AC0832">
      <w:pPr>
        <w:pStyle w:val="Normal6"/>
      </w:pPr>
      <w:r>
        <w:t>Vlada Republike Hrvatske je 22. travnja 2010. godine usvojila i Akcijski plan Strategije koji kroz četverogodišnje razdoblje definira: 5 općih i 30 specifičnih ciljeva, 129 aktivnosti te pokazatelje uspješnosti, početak i kraj provedbe aktivnosti i provedbena tijela odgovorna za svaku aktivnost u području razvoja i upravljanja ljudskim potencijalima u državnoj službi. Namjera je poslovnu praksu državnih tijela u Republici Hrvatskoj učiniti takvom da u potpunosti funkcioniramo kao moderna i učinkovita državna uprava koja pruža kvalitetne usluge svojim korisnicima.Na ovoj aktivnosti planirana su sredstva za izobrazbu u iznosu od 1.880.000,00 kuna, a izvršena u iznosu od 1.685.721,45 kuna, što je 89,67 % od plana. Iste se odnose na naknade članovima povjerenstava za državne stručne ispite, te grb i zastavu.</w:t>
      </w:r>
    </w:p>
    <w:p w:rsidR="00AC0832" w:rsidRDefault="00AC0832">
      <w:pPr>
        <w:pStyle w:val="Heading6"/>
      </w:pPr>
      <w:r>
        <w:t>A830004 ODBOR ZA DRŽAVNU SLUŽBU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A830004-ODBOR ZA DRŽAVNU SLUŽBU</w:t>
            </w:r>
          </w:p>
        </w:tc>
        <w:tc>
          <w:tcPr>
            <w:tcW w:w="2322" w:type="dxa"/>
          </w:tcPr>
          <w:p w:rsidR="00AC0832" w:rsidRDefault="00AC0832">
            <w:pPr>
              <w:pStyle w:val="CellColumn"/>
            </w:pPr>
            <w:r>
              <w:t>1.044.300</w:t>
            </w:r>
          </w:p>
        </w:tc>
        <w:tc>
          <w:tcPr>
            <w:tcW w:w="2322" w:type="dxa"/>
          </w:tcPr>
          <w:p w:rsidR="00AC0832" w:rsidRDefault="00AC0832">
            <w:pPr>
              <w:pStyle w:val="CellColumn"/>
            </w:pPr>
            <w:r>
              <w:t>1.018.952</w:t>
            </w:r>
          </w:p>
        </w:tc>
        <w:tc>
          <w:tcPr>
            <w:tcW w:w="2322" w:type="dxa"/>
          </w:tcPr>
          <w:p w:rsidR="00AC0832" w:rsidRDefault="00AC0832">
            <w:pPr>
              <w:pStyle w:val="CellColumn"/>
            </w:pPr>
            <w:r>
              <w:t>97,6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Odbor za državnu službu ustrojen prema Uredbi o ustrojstvu i načinu rada Odbora za državnu službu ("Narodne novine", broj 8/06) kao drugostupanjsko tijelo odlučuje o žalbama protiv rješenja o prijamu u državnu službu i rješenja kojima se odlučuje o pravima i obvezama državnih službenika. </w:t>
      </w:r>
    </w:p>
    <w:p w:rsidR="00AC0832" w:rsidRDefault="00AC0832">
      <w:pPr>
        <w:pStyle w:val="Normal6"/>
      </w:pPr>
      <w:r>
        <w:t xml:space="preserve">U 2012. godini Odbor za državnu službu zaprimio je 2.222 upravnih i 222 neupravna predmeta, dakle sveukupno 2.444 predmet. </w:t>
      </w:r>
    </w:p>
    <w:p w:rsidR="00AC0832" w:rsidRDefault="00AC0832">
      <w:pPr>
        <w:pStyle w:val="Normal6"/>
      </w:pPr>
      <w:r>
        <w:t xml:space="preserve">Riješeno je 1.678 predmeta. </w:t>
      </w:r>
    </w:p>
    <w:p w:rsidR="00AC0832" w:rsidRDefault="00AC0832">
      <w:pPr>
        <w:pStyle w:val="Normal6"/>
      </w:pPr>
      <w:r>
        <w:t xml:space="preserve">Na aktivnosti A830004 planirana su sredstva za obavljanje poslova Odbora za državnu službu. Ministarstvo uprave obavlja administrativne i financijske poslove za Odbor. Financijska sredstva za rad Odbora u 2012. godini planirana su u iznosu od 1.044.300,00 kn, a ukupni rashodi poslovanja iznose od 1.018.952,00 kn. </w:t>
      </w:r>
    </w:p>
    <w:p w:rsidR="00AC0832" w:rsidRDefault="00AC0832">
      <w:pPr>
        <w:pStyle w:val="Normal6"/>
      </w:pPr>
      <w:r>
        <w:t>Najveći dio planiranih i ostvarenih sredstva na aktivnosti Odbora odnose se na rashode za zaposlene. U Odboru za državnu službu tijekom 2012. godine plaće su isplaćene za predsjednicu i 5 članova Odbora. Rashodi za plaće planirani su u iznosu od 1.021.300,00 kn, a ostvareni u iznosu od 1.002.473,00 kn.</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5"/>
        <w:gridCol w:w="1288"/>
        <w:gridCol w:w="1273"/>
        <w:gridCol w:w="1282"/>
        <w:gridCol w:w="1280"/>
        <w:gridCol w:w="1282"/>
        <w:gridCol w:w="128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 xml:space="preserve">broj donijetih rješenja </w:t>
            </w:r>
          </w:p>
          <w:p w:rsidR="00AC0832" w:rsidRDefault="00AC0832">
            <w:pPr>
              <w:pStyle w:val="CellColumn"/>
            </w:pPr>
            <w:r>
              <w:t xml:space="preserve">Odbora za državnu službu </w:t>
            </w:r>
          </w:p>
          <w:p w:rsidR="00AC0832" w:rsidRDefault="00AC0832">
            <w:pPr>
              <w:pStyle w:val="CellColumn"/>
            </w:pPr>
            <w:r>
              <w:t xml:space="preserve">razmjerno s brojem pristiglih </w:t>
            </w:r>
          </w:p>
          <w:p w:rsidR="00AC0832" w:rsidRDefault="00AC0832">
            <w:pPr>
              <w:pStyle w:val="CellColumn"/>
            </w:pPr>
            <w:r>
              <w:t>žalbi te kompleksnošcu istih</w:t>
            </w:r>
          </w:p>
        </w:tc>
        <w:tc>
          <w:tcPr>
            <w:tcW w:w="1300" w:type="dxa"/>
          </w:tcPr>
          <w:p w:rsidR="00AC0832" w:rsidRDefault="00AC0832">
            <w:pPr>
              <w:pStyle w:val="CellColumn"/>
            </w:pPr>
            <w:r>
              <w:t xml:space="preserve">skratiti vrijeme donošenja </w:t>
            </w:r>
          </w:p>
          <w:p w:rsidR="00AC0832" w:rsidRDefault="00AC0832">
            <w:pPr>
              <w:pStyle w:val="CellColumn"/>
            </w:pPr>
            <w:r>
              <w:t xml:space="preserve">rješenja a povecati kvalitetu </w:t>
            </w:r>
          </w:p>
          <w:p w:rsidR="00AC0832" w:rsidRDefault="00AC0832">
            <w:pPr>
              <w:pStyle w:val="CellColumn"/>
            </w:pPr>
            <w:r>
              <w:t>donijetih rješenja</w:t>
            </w:r>
          </w:p>
        </w:tc>
        <w:tc>
          <w:tcPr>
            <w:tcW w:w="1300" w:type="dxa"/>
          </w:tcPr>
          <w:p w:rsidR="00AC0832" w:rsidRDefault="00AC0832">
            <w:pPr>
              <w:pStyle w:val="CellColumn"/>
            </w:pPr>
            <w:r>
              <w:t>broj</w:t>
            </w:r>
          </w:p>
        </w:tc>
        <w:tc>
          <w:tcPr>
            <w:tcW w:w="1300" w:type="dxa"/>
          </w:tcPr>
          <w:p w:rsidR="00AC0832" w:rsidRDefault="00AC0832">
            <w:pPr>
              <w:pStyle w:val="CellColumn"/>
            </w:pPr>
            <w:r>
              <w:t>/</w:t>
            </w:r>
          </w:p>
        </w:tc>
        <w:tc>
          <w:tcPr>
            <w:tcW w:w="1300" w:type="dxa"/>
          </w:tcPr>
          <w:p w:rsidR="00AC0832" w:rsidRDefault="00AC0832">
            <w:pPr>
              <w:pStyle w:val="CellColumn"/>
            </w:pPr>
            <w:r>
              <w:t>Odbor za državnu službu</w:t>
            </w:r>
          </w:p>
        </w:tc>
        <w:tc>
          <w:tcPr>
            <w:tcW w:w="1300" w:type="dxa"/>
          </w:tcPr>
          <w:p w:rsidR="00AC0832" w:rsidRDefault="00AC0832">
            <w:pPr>
              <w:pStyle w:val="CellColumn"/>
            </w:pPr>
            <w:r>
              <w:t>n/p</w:t>
            </w:r>
          </w:p>
        </w:tc>
        <w:tc>
          <w:tcPr>
            <w:tcW w:w="1300" w:type="dxa"/>
          </w:tcPr>
          <w:p w:rsidR="00AC0832" w:rsidRDefault="00AC0832">
            <w:pPr>
              <w:pStyle w:val="CellColumn"/>
            </w:pPr>
            <w:r>
              <w:t>1678</w:t>
            </w:r>
          </w:p>
        </w:tc>
      </w:tr>
    </w:tbl>
    <w:p w:rsidR="00AC0832" w:rsidRDefault="00AC0832">
      <w:pPr>
        <w:jc w:val="left"/>
      </w:pPr>
    </w:p>
    <w:p w:rsidR="00AC0832" w:rsidRDefault="00AC0832">
      <w:pPr>
        <w:pStyle w:val="Heading6"/>
      </w:pPr>
      <w:r>
        <w:t>A830018 IPA 2008. POMOĆ U TRANZICIJI I JAČANJE INSTITUCIJA IMPLEMENTACIJA ZAKONA O OPĆEM UPRAVNOM POSTUPKU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A830018-IPA 2008. POMOĆ U TRANZICIJI I JAČANJE INSTITUCIJA IMPLEMENTACIJA ZAKONA O OPĆEM UPRAVNOM POSTUPKU</w:t>
            </w:r>
          </w:p>
        </w:tc>
        <w:tc>
          <w:tcPr>
            <w:tcW w:w="2322" w:type="dxa"/>
          </w:tcPr>
          <w:p w:rsidR="00AC0832" w:rsidRDefault="00AC0832">
            <w:pPr>
              <w:pStyle w:val="CellColumn"/>
            </w:pPr>
            <w:r>
              <w:t>11.053.250</w:t>
            </w:r>
          </w:p>
        </w:tc>
        <w:tc>
          <w:tcPr>
            <w:tcW w:w="2322" w:type="dxa"/>
          </w:tcPr>
          <w:p w:rsidR="00AC0832" w:rsidRDefault="00AC0832">
            <w:pPr>
              <w:pStyle w:val="CellColumn"/>
            </w:pPr>
            <w:r>
              <w:t>4.619.223</w:t>
            </w:r>
          </w:p>
        </w:tc>
        <w:tc>
          <w:tcPr>
            <w:tcW w:w="2322" w:type="dxa"/>
          </w:tcPr>
          <w:p w:rsidR="00AC0832" w:rsidRDefault="00AC0832">
            <w:pPr>
              <w:pStyle w:val="CellColumn"/>
            </w:pPr>
            <w:r>
              <w:t>41,8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Planirana sredstva na ovoj aktivnosti su u iznosu od 11.053.250,00 kn, a izvršena u iznosu od 4.619.223,00 kn, što je 41,80% izvršenja.</w:t>
      </w:r>
    </w:p>
    <w:p w:rsidR="00AC0832" w:rsidRDefault="00AC0832">
      <w:pPr>
        <w:pStyle w:val="Heading6"/>
      </w:pPr>
    </w:p>
    <w:p w:rsidR="00AC0832" w:rsidRDefault="00AC0832">
      <w:pPr>
        <w:pStyle w:val="Heading6"/>
      </w:pPr>
      <w:r>
        <w:t>K830008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K830008-INFORMATIZACIJA</w:t>
            </w:r>
          </w:p>
        </w:tc>
        <w:tc>
          <w:tcPr>
            <w:tcW w:w="2322" w:type="dxa"/>
          </w:tcPr>
          <w:p w:rsidR="00AC0832" w:rsidRDefault="00AC0832">
            <w:pPr>
              <w:pStyle w:val="CellColumn"/>
            </w:pPr>
            <w:r>
              <w:t>2.797.800</w:t>
            </w:r>
          </w:p>
        </w:tc>
        <w:tc>
          <w:tcPr>
            <w:tcW w:w="2322" w:type="dxa"/>
          </w:tcPr>
          <w:p w:rsidR="00AC0832" w:rsidRDefault="00AC0832">
            <w:pPr>
              <w:pStyle w:val="CellColumn"/>
            </w:pPr>
            <w:r>
              <w:t>1.330.932</w:t>
            </w:r>
          </w:p>
        </w:tc>
        <w:tc>
          <w:tcPr>
            <w:tcW w:w="2322" w:type="dxa"/>
          </w:tcPr>
          <w:p w:rsidR="00AC0832" w:rsidRDefault="00AC0832">
            <w:pPr>
              <w:pStyle w:val="CellColumn"/>
            </w:pPr>
            <w:r>
              <w:t>47,6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Na aktivnosti Informatizacija planirana su sredstva za plaćanje usluga ažuriranja računalnih baza, obveza po osnovu licenci i ulaganja u računalne programe. </w:t>
      </w:r>
    </w:p>
    <w:p w:rsidR="00AC0832" w:rsidRDefault="00AC0832">
      <w:pPr>
        <w:pStyle w:val="Normal6"/>
      </w:pPr>
      <w:r>
        <w:t>Planirana sredstva na ovoj aktivnosti iznosila su 2.797.800,00 kn, a rashodi su iznosili 1.330,932,00 kn, i to usluge ažuriranja računalnih baza u iznosu 1.139.729,00 kn (stavka rashoda 3238), plaćene licence u iznosu 24.321,00 kn (stavka rashoda 4123), uredsku opremu i namještaj 140.633,00 kn, te na ulaganje u računalne programe 26.250,00 kn.</w:t>
      </w:r>
    </w:p>
    <w:p w:rsidR="00AC0832" w:rsidRDefault="00AC0832">
      <w:pPr>
        <w:pStyle w:val="Heading5"/>
      </w:pPr>
      <w:r>
        <w:t>2408 INFORMATIZACIJA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2408-INFORMATIZACIJA UPRAVE</w:t>
            </w:r>
          </w:p>
        </w:tc>
        <w:tc>
          <w:tcPr>
            <w:tcW w:w="2322" w:type="dxa"/>
          </w:tcPr>
          <w:p w:rsidR="00AC0832" w:rsidRDefault="00AC0832">
            <w:pPr>
              <w:pStyle w:val="CellColumn"/>
            </w:pPr>
            <w:r>
              <w:t>4.734.077</w:t>
            </w:r>
          </w:p>
        </w:tc>
        <w:tc>
          <w:tcPr>
            <w:tcW w:w="2322" w:type="dxa"/>
          </w:tcPr>
          <w:p w:rsidR="00AC0832" w:rsidRDefault="00AC0832">
            <w:pPr>
              <w:pStyle w:val="CellColumn"/>
            </w:pPr>
            <w:r>
              <w:t>4.691.246</w:t>
            </w:r>
          </w:p>
        </w:tc>
        <w:tc>
          <w:tcPr>
            <w:tcW w:w="2322" w:type="dxa"/>
          </w:tcPr>
          <w:p w:rsidR="00AC0832" w:rsidRDefault="00AC0832">
            <w:pPr>
              <w:pStyle w:val="CellColumn"/>
            </w:pPr>
            <w:r>
              <w:t>99,1</w:t>
            </w:r>
          </w:p>
        </w:tc>
      </w:tr>
    </w:tbl>
    <w:p w:rsidR="00AC0832" w:rsidRDefault="00AC0832">
      <w:pPr>
        <w:jc w:val="left"/>
      </w:pPr>
    </w:p>
    <w:p w:rsidR="00AC0832" w:rsidRDefault="00AC0832">
      <w:pPr>
        <w:pStyle w:val="Heading6"/>
      </w:pPr>
      <w:r>
        <w:t>Opis programa</w:t>
      </w:r>
    </w:p>
    <w:p w:rsidR="00AC0832" w:rsidRDefault="00AC0832">
      <w:pPr>
        <w:pStyle w:val="Normal5"/>
      </w:pPr>
      <w:r>
        <w:t xml:space="preserve">Glavni su ciljevi unutar ovog programa: uspostavljanje elektroničke uprave kroz jaču koordinaciju tijela državne uprave (Izgradnja umrežene uprave), optimiranje i razvoj računalne i komunikacijske infrastrukture u državnoj upravi – HITRONet,  </w:t>
      </w:r>
    </w:p>
    <w:p w:rsidR="00AC0832" w:rsidRDefault="00AC0832">
      <w:pPr>
        <w:pStyle w:val="Normal5"/>
      </w:pPr>
      <w:r>
        <w:t>Navedeno je usko povezano s ostvarenjem posebnog cilja 3.3. Kompetentna i djelotvorna javna uprava utvrđenog unutar Strategije Vladinih programa za razdoblje 2012.-2014, načinom ostvarenja 3.3.3. Izgradnja umrežene javne uprave radi pojednostavljenja i povećanja efikasnosti pružanja javnih usluga.</w:t>
      </w:r>
    </w:p>
    <w:p w:rsidR="00AC0832" w:rsidRDefault="00AC0832">
      <w:pPr>
        <w:pStyle w:val="Heading6"/>
      </w:pPr>
      <w:r>
        <w:t>Zakonske i druge pravne osnove</w:t>
      </w:r>
    </w:p>
    <w:p w:rsidR="00AC0832" w:rsidRDefault="00AC0832">
      <w:pPr>
        <w:pStyle w:val="Normal5"/>
      </w:pPr>
      <w:r>
        <w:t xml:space="preserve">Odluka o osnivanju Povjerenstva za koordinaciju informatizacije javnog sektora,  </w:t>
      </w:r>
    </w:p>
    <w:p w:rsidR="00AC0832" w:rsidRDefault="00AC0832">
      <w:pPr>
        <w:pStyle w:val="Normal5"/>
      </w:pPr>
      <w:r>
        <w:t xml:space="preserve">Program Vlade Republike Hrvatske za mandat 2011 - 2015.,  </w:t>
      </w:r>
    </w:p>
    <w:p w:rsidR="00AC0832" w:rsidRDefault="00AC0832">
      <w:pPr>
        <w:pStyle w:val="Normal5"/>
      </w:pPr>
      <w:r>
        <w:t xml:space="preserve">Odluka o utvrđivanju ciljeva razvoja elektroničke uprave u tijelima državne uprave za razdoblje od 2011. do 2015. godine (klasa: 650-05/11-03/02, urbroj: 5030109-11-1), od 20. listopada 2011. g., </w:t>
      </w:r>
    </w:p>
    <w:p w:rsidR="00AC0832" w:rsidRDefault="00AC0832">
      <w:pPr>
        <w:pStyle w:val="Normal5"/>
      </w:pPr>
      <w:r>
        <w:t xml:space="preserve">Odluka o uspostavi Hrvatskog okvira za interoperabilnost (Narodne novine 84/2010.), </w:t>
      </w:r>
    </w:p>
    <w:p w:rsidR="00AC0832" w:rsidRDefault="00AC0832">
      <w:pPr>
        <w:pStyle w:val="Normal5"/>
      </w:pPr>
      <w:r>
        <w:t>Odrednice razvitka i uporabe računalnih programa s otvorenim kodom u tijelima državne uprave.</w:t>
      </w:r>
    </w:p>
    <w:p w:rsidR="00AC0832" w:rsidRDefault="00AC0832">
      <w:pPr>
        <w:pStyle w:val="Heading7"/>
      </w:pPr>
    </w:p>
    <w:p w:rsidR="00AC0832" w:rsidRDefault="00AC0832">
      <w:pPr>
        <w:pStyle w:val="Heading7"/>
      </w:pPr>
    </w:p>
    <w:p w:rsidR="00AC0832" w:rsidRDefault="00AC0832">
      <w:pPr>
        <w:pStyle w:val="Heading7"/>
      </w:pPr>
      <w:r>
        <w:t>Cilj 1. Unaprijediti informacijsku i komunikacijsku infrastrukturu</w:t>
      </w:r>
    </w:p>
    <w:p w:rsidR="00AC0832" w:rsidRDefault="00AC0832">
      <w:pPr>
        <w:pStyle w:val="Heading8"/>
        <w:jc w:val="left"/>
      </w:pPr>
      <w:r>
        <w:t>Opis provedbe cilja programa</w:t>
      </w:r>
    </w:p>
    <w:p w:rsidR="00AC0832" w:rsidRDefault="00AC0832">
      <w:pPr>
        <w:pStyle w:val="Normal6"/>
      </w:pPr>
      <w:r>
        <w:t>Unapređenje informacijske i komunikacijske infrastrukture omogućit će da svi dijelovi javne uprave djeluju unutar zaštićene komunikacijske infrastrukture u koju će se integrirati sve mreže u vlasništvu Republike Hrvatske i izgrađene od strane tijela javne uprave. Unutar tako integriranog sustava također će biti moguće dijeliti računalne resurse (hardver, softver, usluge...) te nastaviti informatizaciju javne uprave. Za to je nužna promjena pristupa u ugovaranju i isporuci rješenja u javnoj upravi koja, za razliku od sadašnje situacije, moraju čim više biti temeljena na otvorenim normama, otvorenim specifikacijama i otvorenom kodu.</w:t>
      </w:r>
    </w:p>
    <w:p w:rsidR="00AC0832" w:rsidRDefault="00AC0832">
      <w:pPr>
        <w:pStyle w:val="Heading6"/>
      </w:pPr>
      <w:r>
        <w:t>A757012 RAČUNALNO - KOMUNIKACIJSKA MREŽA TIJELA DRŽAVNE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A757012-RAČUNALNO - KOMUNIKACIJSKA MREŽA TIJELA DRŽAVNE UPRAVE</w:t>
            </w:r>
          </w:p>
        </w:tc>
        <w:tc>
          <w:tcPr>
            <w:tcW w:w="2322" w:type="dxa"/>
          </w:tcPr>
          <w:p w:rsidR="00AC0832" w:rsidRDefault="00AC0832">
            <w:pPr>
              <w:pStyle w:val="CellColumn"/>
            </w:pPr>
            <w:r>
              <w:t>4.734.077</w:t>
            </w:r>
          </w:p>
        </w:tc>
        <w:tc>
          <w:tcPr>
            <w:tcW w:w="2322" w:type="dxa"/>
          </w:tcPr>
          <w:p w:rsidR="00AC0832" w:rsidRDefault="00AC0832">
            <w:pPr>
              <w:pStyle w:val="CellColumn"/>
            </w:pPr>
            <w:r>
              <w:t>4.691.246</w:t>
            </w:r>
          </w:p>
        </w:tc>
        <w:tc>
          <w:tcPr>
            <w:tcW w:w="2322" w:type="dxa"/>
          </w:tcPr>
          <w:p w:rsidR="00AC0832" w:rsidRDefault="00AC0832">
            <w:pPr>
              <w:pStyle w:val="CellColumn"/>
            </w:pPr>
            <w:r>
              <w:t>99,1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Programa Računalno-komunikacijska mreža tijela državne uprave omogućuje optimalan razvoj komunikacijske infrastrukture kroz gradnju optičke mreže u Hrvatskoj i korištenjem već postojećih sagrađenih optičkih mreža velikih državnih tvrtki, koje ih jednim dijelom ne koriste. Tim se projektom integriraju već sagrađene optičke mreže, a dodatno gradi ono što nedostaje za potpunu integraciju, kako bi Republika Hrvatska dobila državnu optičku mrežu na cijelom </w:t>
      </w:r>
    </w:p>
    <w:p w:rsidR="00AC0832" w:rsidRDefault="00AC0832">
      <w:pPr>
        <w:pStyle w:val="Normal6"/>
      </w:pPr>
      <w:r>
        <w:t>teritoriju u svom vlasništvu. Na takvoj infrastrukturi uspostavit će se i razvijati suvremene mrežne usluge koje će omogućiti racionalizaciju troškova, veću sigurnost te osigurati fizičku integraciju s mrežama javne uprave Europske unije.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8"/>
        <w:gridCol w:w="1440"/>
        <w:gridCol w:w="1361"/>
        <w:gridCol w:w="1296"/>
        <w:gridCol w:w="1300"/>
        <w:gridCol w:w="1296"/>
        <w:gridCol w:w="129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Realizacija sporazuma s trgovačkim društvima u državnom vlasništvu</w:t>
            </w:r>
          </w:p>
        </w:tc>
        <w:tc>
          <w:tcPr>
            <w:tcW w:w="1300" w:type="dxa"/>
          </w:tcPr>
          <w:p w:rsidR="00AC0832" w:rsidRDefault="00AC0832">
            <w:pPr>
              <w:pStyle w:val="CellColumn"/>
            </w:pPr>
            <w:r>
              <w:t>Izgrađena okosnica na teritoriju Republike Hrvatske na infrastrukturi trgovačkih društava te uspostavljena čvorišta u županijama</w:t>
            </w:r>
          </w:p>
        </w:tc>
        <w:tc>
          <w:tcPr>
            <w:tcW w:w="1300" w:type="dxa"/>
          </w:tcPr>
          <w:p w:rsidR="00AC0832" w:rsidRDefault="00AC0832">
            <w:pPr>
              <w:pStyle w:val="CellColumn"/>
            </w:pPr>
            <w:r>
              <w:t>broj spojnih čvorova</w:t>
            </w:r>
          </w:p>
        </w:tc>
        <w:tc>
          <w:tcPr>
            <w:tcW w:w="1300" w:type="dxa"/>
          </w:tcPr>
          <w:p w:rsidR="00AC0832" w:rsidRDefault="00AC0832">
            <w:pPr>
              <w:pStyle w:val="CellColumn"/>
            </w:pPr>
            <w:r>
              <w:t>/</w:t>
            </w:r>
          </w:p>
        </w:tc>
        <w:tc>
          <w:tcPr>
            <w:tcW w:w="1300" w:type="dxa"/>
          </w:tcPr>
          <w:p w:rsidR="00AC0832" w:rsidRDefault="00AC0832">
            <w:pPr>
              <w:pStyle w:val="CellColumn"/>
            </w:pPr>
            <w:r>
              <w:t>Ministarstvo uprave</w:t>
            </w:r>
          </w:p>
        </w:tc>
        <w:tc>
          <w:tcPr>
            <w:tcW w:w="1300" w:type="dxa"/>
          </w:tcPr>
          <w:p w:rsidR="00AC0832" w:rsidRDefault="00AC0832">
            <w:pPr>
              <w:pStyle w:val="CellColumn"/>
            </w:pPr>
            <w:r>
              <w:t>1</w:t>
            </w:r>
          </w:p>
        </w:tc>
        <w:tc>
          <w:tcPr>
            <w:tcW w:w="1300" w:type="dxa"/>
          </w:tcPr>
          <w:p w:rsidR="00AC0832" w:rsidRDefault="00AC0832">
            <w:pPr>
              <w:pStyle w:val="CellColumn"/>
            </w:pPr>
            <w:r>
              <w:t>/</w:t>
            </w:r>
          </w:p>
        </w:tc>
      </w:tr>
      <w:tr w:rsidR="00AC0832" w:rsidTr="00BE20ED">
        <w:trPr>
          <w:jc w:val="center"/>
        </w:trPr>
        <w:tc>
          <w:tcPr>
            <w:tcW w:w="1300" w:type="dxa"/>
          </w:tcPr>
          <w:p w:rsidR="00AC0832" w:rsidRDefault="00AC0832">
            <w:pPr>
              <w:pStyle w:val="CellColumn"/>
            </w:pPr>
            <w:r>
              <w:t xml:space="preserve">Javna nabava zajednickog </w:t>
            </w:r>
          </w:p>
          <w:p w:rsidR="00AC0832" w:rsidRDefault="00AC0832">
            <w:pPr>
              <w:pStyle w:val="CellColumn"/>
            </w:pPr>
            <w:r>
              <w:t>pristupa internetu</w:t>
            </w:r>
          </w:p>
        </w:tc>
        <w:tc>
          <w:tcPr>
            <w:tcW w:w="1300" w:type="dxa"/>
          </w:tcPr>
          <w:p w:rsidR="00AC0832" w:rsidRDefault="00AC0832">
            <w:pPr>
              <w:pStyle w:val="CellColumn"/>
            </w:pPr>
            <w:r>
              <w:t xml:space="preserve">Potpisan Ugovor za nabavu </w:t>
            </w:r>
          </w:p>
          <w:p w:rsidR="00AC0832" w:rsidRDefault="00AC0832">
            <w:pPr>
              <w:pStyle w:val="CellColumn"/>
            </w:pPr>
            <w:r>
              <w:t xml:space="preserve">zajednickog pristupa </w:t>
            </w:r>
          </w:p>
          <w:p w:rsidR="00AC0832" w:rsidRDefault="00AC0832">
            <w:pPr>
              <w:pStyle w:val="CellColumn"/>
            </w:pPr>
            <w:r>
              <w:t xml:space="preserve">Internetu te izvršeno </w:t>
            </w:r>
          </w:p>
          <w:p w:rsidR="00AC0832" w:rsidRDefault="00AC0832">
            <w:pPr>
              <w:pStyle w:val="CellColumn"/>
            </w:pPr>
            <w:r>
              <w:t>prikljucenje</w:t>
            </w:r>
          </w:p>
        </w:tc>
        <w:tc>
          <w:tcPr>
            <w:tcW w:w="1300" w:type="dxa"/>
          </w:tcPr>
          <w:p w:rsidR="00AC0832" w:rsidRDefault="00AC0832">
            <w:pPr>
              <w:pStyle w:val="CellColumn"/>
            </w:pPr>
            <w:r>
              <w:t xml:space="preserve">postotak </w:t>
            </w:r>
          </w:p>
          <w:p w:rsidR="00AC0832" w:rsidRDefault="00AC0832">
            <w:pPr>
              <w:pStyle w:val="CellColumn"/>
            </w:pPr>
            <w:r>
              <w:t xml:space="preserve">izvršenih </w:t>
            </w:r>
          </w:p>
          <w:p w:rsidR="00AC0832" w:rsidRDefault="00AC0832">
            <w:pPr>
              <w:pStyle w:val="CellColumn"/>
            </w:pPr>
            <w:r>
              <w:t>prikljucivanja</w:t>
            </w:r>
          </w:p>
        </w:tc>
        <w:tc>
          <w:tcPr>
            <w:tcW w:w="1300" w:type="dxa"/>
          </w:tcPr>
          <w:p w:rsidR="00AC0832" w:rsidRDefault="00AC0832">
            <w:pPr>
              <w:pStyle w:val="CellColumn"/>
            </w:pPr>
            <w:r>
              <w:t>0%</w:t>
            </w:r>
          </w:p>
        </w:tc>
        <w:tc>
          <w:tcPr>
            <w:tcW w:w="1300" w:type="dxa"/>
          </w:tcPr>
          <w:p w:rsidR="00AC0832" w:rsidRDefault="00AC0832">
            <w:pPr>
              <w:pStyle w:val="CellColumn"/>
            </w:pPr>
            <w:r>
              <w:t>Ministarstvo uprave</w:t>
            </w:r>
          </w:p>
        </w:tc>
        <w:tc>
          <w:tcPr>
            <w:tcW w:w="1300" w:type="dxa"/>
          </w:tcPr>
          <w:p w:rsidR="00AC0832" w:rsidRDefault="00AC0832">
            <w:pPr>
              <w:pStyle w:val="CellColumn"/>
            </w:pPr>
            <w:r>
              <w:t>100%</w:t>
            </w:r>
          </w:p>
        </w:tc>
        <w:tc>
          <w:tcPr>
            <w:tcW w:w="1300" w:type="dxa"/>
          </w:tcPr>
          <w:p w:rsidR="00AC0832" w:rsidRDefault="00AC0832">
            <w:pPr>
              <w:pStyle w:val="CellColumn"/>
            </w:pPr>
            <w:r>
              <w:t>60%</w:t>
            </w:r>
          </w:p>
        </w:tc>
      </w:tr>
      <w:tr w:rsidR="00AC0832" w:rsidTr="00BE20ED">
        <w:trPr>
          <w:jc w:val="center"/>
        </w:trPr>
        <w:tc>
          <w:tcPr>
            <w:tcW w:w="1300" w:type="dxa"/>
          </w:tcPr>
          <w:p w:rsidR="00AC0832" w:rsidRDefault="00AC0832">
            <w:pPr>
              <w:pStyle w:val="CellColumn"/>
            </w:pPr>
            <w:r>
              <w:t xml:space="preserve">Javna nabava središnjeg </w:t>
            </w:r>
          </w:p>
          <w:p w:rsidR="00AC0832" w:rsidRDefault="00AC0832">
            <w:pPr>
              <w:pStyle w:val="CellColumn"/>
            </w:pPr>
            <w:r>
              <w:t xml:space="preserve">linka za spajanje na javnu </w:t>
            </w:r>
          </w:p>
          <w:p w:rsidR="00AC0832" w:rsidRDefault="00AC0832">
            <w:pPr>
              <w:pStyle w:val="CellColumn"/>
            </w:pPr>
            <w:r>
              <w:t>govornu mrežu</w:t>
            </w:r>
          </w:p>
        </w:tc>
        <w:tc>
          <w:tcPr>
            <w:tcW w:w="1300" w:type="dxa"/>
          </w:tcPr>
          <w:p w:rsidR="00AC0832" w:rsidRDefault="00AC0832">
            <w:pPr>
              <w:pStyle w:val="CellColumn"/>
            </w:pPr>
            <w:r>
              <w:t xml:space="preserve">Potpisan Ugovor za nabavu </w:t>
            </w:r>
          </w:p>
          <w:p w:rsidR="00AC0832" w:rsidRDefault="00AC0832">
            <w:pPr>
              <w:pStyle w:val="CellColumn"/>
            </w:pPr>
            <w:r>
              <w:t xml:space="preserve">središnjeg linka za spajanje </w:t>
            </w:r>
          </w:p>
          <w:p w:rsidR="00AC0832" w:rsidRDefault="00AC0832">
            <w:pPr>
              <w:pStyle w:val="CellColumn"/>
            </w:pPr>
            <w:r>
              <w:t xml:space="preserve">na javnu govornu mrežu te </w:t>
            </w:r>
          </w:p>
          <w:p w:rsidR="00AC0832" w:rsidRDefault="00AC0832">
            <w:pPr>
              <w:pStyle w:val="CellColumn"/>
            </w:pPr>
            <w:r>
              <w:t>izvršeno prikljucenje</w:t>
            </w:r>
          </w:p>
        </w:tc>
        <w:tc>
          <w:tcPr>
            <w:tcW w:w="1300" w:type="dxa"/>
          </w:tcPr>
          <w:p w:rsidR="00AC0832" w:rsidRDefault="00AC0832">
            <w:pPr>
              <w:pStyle w:val="CellColumn"/>
            </w:pPr>
            <w:r>
              <w:t xml:space="preserve">postotak </w:t>
            </w:r>
          </w:p>
          <w:p w:rsidR="00AC0832" w:rsidRDefault="00AC0832">
            <w:pPr>
              <w:pStyle w:val="CellColumn"/>
            </w:pPr>
            <w:r>
              <w:t xml:space="preserve">izvršenih </w:t>
            </w:r>
          </w:p>
          <w:p w:rsidR="00AC0832" w:rsidRDefault="00AC0832">
            <w:pPr>
              <w:pStyle w:val="CellColumn"/>
            </w:pPr>
            <w:r>
              <w:t xml:space="preserve">prikljucivanj </w:t>
            </w:r>
          </w:p>
          <w:p w:rsidR="00AC0832" w:rsidRDefault="00AC0832">
            <w:pPr>
              <w:pStyle w:val="CellColumn"/>
            </w:pPr>
            <w:r>
              <w:t>a</w:t>
            </w:r>
          </w:p>
        </w:tc>
        <w:tc>
          <w:tcPr>
            <w:tcW w:w="1300" w:type="dxa"/>
          </w:tcPr>
          <w:p w:rsidR="00AC0832" w:rsidRDefault="00AC0832">
            <w:pPr>
              <w:pStyle w:val="CellColumn"/>
            </w:pPr>
            <w:r>
              <w:t>0%</w:t>
            </w:r>
          </w:p>
        </w:tc>
        <w:tc>
          <w:tcPr>
            <w:tcW w:w="1300" w:type="dxa"/>
          </w:tcPr>
          <w:p w:rsidR="00AC0832" w:rsidRDefault="00AC0832">
            <w:pPr>
              <w:pStyle w:val="CellColumn"/>
            </w:pPr>
            <w:r>
              <w:t>Ministarstvo uprave</w:t>
            </w:r>
          </w:p>
        </w:tc>
        <w:tc>
          <w:tcPr>
            <w:tcW w:w="1300" w:type="dxa"/>
          </w:tcPr>
          <w:p w:rsidR="00AC0832" w:rsidRDefault="00AC0832">
            <w:pPr>
              <w:pStyle w:val="CellColumn"/>
            </w:pPr>
            <w:r>
              <w:t>0%</w:t>
            </w:r>
          </w:p>
        </w:tc>
        <w:tc>
          <w:tcPr>
            <w:tcW w:w="1300" w:type="dxa"/>
          </w:tcPr>
          <w:p w:rsidR="00AC0832" w:rsidRDefault="00AC0832">
            <w:pPr>
              <w:pStyle w:val="CellColumn"/>
            </w:pPr>
            <w:r>
              <w:t>40%</w:t>
            </w:r>
          </w:p>
        </w:tc>
      </w:tr>
    </w:tbl>
    <w:p w:rsidR="00AC0832" w:rsidRDefault="00AC0832">
      <w:pPr>
        <w:jc w:val="left"/>
      </w:pPr>
    </w:p>
    <w:p w:rsidR="00AC0832" w:rsidRDefault="00AC0832">
      <w:pPr>
        <w:pStyle w:val="Heading5"/>
      </w:pPr>
      <w:r>
        <w:t>3804 POTICANJE I PRAĆENJE RAZVOJA INFORMACIJSKOG DRUŠTVA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3804-POTICANJE I PRAĆENJE RAZVOJA INFORMACIJSKOG DRUŠTVA</w:t>
            </w:r>
          </w:p>
        </w:tc>
        <w:tc>
          <w:tcPr>
            <w:tcW w:w="2322" w:type="dxa"/>
          </w:tcPr>
          <w:p w:rsidR="00AC0832" w:rsidRDefault="00AC0832">
            <w:pPr>
              <w:pStyle w:val="CellColumn"/>
            </w:pPr>
            <w:r>
              <w:t>3.699.462</w:t>
            </w:r>
          </w:p>
        </w:tc>
        <w:tc>
          <w:tcPr>
            <w:tcW w:w="2322" w:type="dxa"/>
          </w:tcPr>
          <w:p w:rsidR="00AC0832" w:rsidRDefault="00AC0832">
            <w:pPr>
              <w:pStyle w:val="CellColumn"/>
            </w:pPr>
            <w:r>
              <w:t>3.705.773</w:t>
            </w:r>
          </w:p>
        </w:tc>
        <w:tc>
          <w:tcPr>
            <w:tcW w:w="2322" w:type="dxa"/>
          </w:tcPr>
          <w:p w:rsidR="00AC0832" w:rsidRDefault="00AC0832">
            <w:pPr>
              <w:pStyle w:val="CellColumn"/>
            </w:pPr>
            <w:r>
              <w:t>100,2</w:t>
            </w:r>
          </w:p>
        </w:tc>
      </w:tr>
    </w:tbl>
    <w:p w:rsidR="00AC0832" w:rsidRDefault="00AC0832">
      <w:pPr>
        <w:jc w:val="left"/>
      </w:pPr>
    </w:p>
    <w:p w:rsidR="00AC0832" w:rsidRDefault="00AC0832">
      <w:pPr>
        <w:pStyle w:val="Heading6"/>
      </w:pPr>
      <w:r>
        <w:t>Opis programa</w:t>
      </w:r>
    </w:p>
    <w:p w:rsidR="00AC0832" w:rsidRDefault="00AC0832">
      <w:pPr>
        <w:pStyle w:val="Normal5"/>
      </w:pPr>
      <w:r>
        <w:t>Glavni su ciljevi unutar ovog programa i zadaće koje predstavljaju osnovicu djelovanja Ministarstva uprave u budućem razdoblju poticanje i praćenje razvoja informacijskog društva u Republici Hrvatskoj te usklađivanje nacionalne politike razvoja informacijskog društva i korištenje zajedničkih interoperabilnih rješenja na razini Europske unije.</w:t>
      </w:r>
    </w:p>
    <w:p w:rsidR="00AC0832" w:rsidRDefault="00AC0832">
      <w:pPr>
        <w:pStyle w:val="Heading6"/>
      </w:pPr>
      <w:r>
        <w:t>Zakonske i druge pravne osnove</w:t>
      </w:r>
    </w:p>
    <w:p w:rsidR="00AC0832" w:rsidRDefault="00AC0832">
      <w:pPr>
        <w:pStyle w:val="Normal5"/>
      </w:pPr>
      <w:r>
        <w:t xml:space="preserve">Odluka o osnivanju Povjerenstva za koordinaciju informatizacije javnog sektora, </w:t>
      </w:r>
    </w:p>
    <w:p w:rsidR="00AC0832" w:rsidRDefault="00AC0832">
      <w:pPr>
        <w:pStyle w:val="Normal5"/>
      </w:pPr>
      <w:r>
        <w:t xml:space="preserve">Program Vlade Republike Hrvatske za mandat 2011 - 2015., </w:t>
      </w:r>
    </w:p>
    <w:p w:rsidR="00AC0832" w:rsidRDefault="00AC0832">
      <w:pPr>
        <w:pStyle w:val="Normal5"/>
      </w:pPr>
      <w:r>
        <w:t xml:space="preserve">Odluka o utvrđivanju ciljeva razvoja elektroničke uprave u tijelima državne uprave za razdoblje od 2011. do 2015. godine (klasa: 650-05/11-03/02, urbroj: 5030109-11-1), od 20. listopada 2011. g., </w:t>
      </w:r>
    </w:p>
    <w:p w:rsidR="00AC0832" w:rsidRDefault="00AC0832">
      <w:pPr>
        <w:pStyle w:val="Normal5"/>
      </w:pPr>
      <w:r>
        <w:t>Odluka o uspostavi Hrvatskog okvira za interoperabilnost (Narodne novine 84/2010.).</w:t>
      </w:r>
    </w:p>
    <w:p w:rsidR="00AC0832" w:rsidRDefault="00AC0832">
      <w:pPr>
        <w:pStyle w:val="Heading7"/>
      </w:pPr>
      <w:r>
        <w:t>Cilj 1. Poboljšati dostupnost elektroničkih usluga</w:t>
      </w:r>
    </w:p>
    <w:p w:rsidR="00AC0832" w:rsidRDefault="00AC0832">
      <w:pPr>
        <w:pStyle w:val="Heading8"/>
        <w:jc w:val="left"/>
      </w:pPr>
      <w:r>
        <w:t>Opis provedbe cilja programa</w:t>
      </w:r>
    </w:p>
    <w:p w:rsidR="00AC0832" w:rsidRDefault="00AC0832">
      <w:pPr>
        <w:pStyle w:val="Heading6"/>
      </w:pPr>
      <w:r>
        <w:t>A677012 CIP ICT - SUDJELOVANJE U PROGRAMIMA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A677012-CIP ICT - SUDJELOVANJE U PROGRAMIMA EU</w:t>
            </w:r>
          </w:p>
        </w:tc>
        <w:tc>
          <w:tcPr>
            <w:tcW w:w="2322" w:type="dxa"/>
          </w:tcPr>
          <w:p w:rsidR="00AC0832" w:rsidRDefault="00AC0832">
            <w:pPr>
              <w:pStyle w:val="CellColumn"/>
            </w:pPr>
            <w:r>
              <w:t>3.305.851</w:t>
            </w:r>
          </w:p>
        </w:tc>
        <w:tc>
          <w:tcPr>
            <w:tcW w:w="2322" w:type="dxa"/>
          </w:tcPr>
          <w:p w:rsidR="00AC0832" w:rsidRDefault="00AC0832">
            <w:pPr>
              <w:pStyle w:val="CellColumn"/>
            </w:pPr>
            <w:r>
              <w:t>3.314.074</w:t>
            </w:r>
          </w:p>
        </w:tc>
        <w:tc>
          <w:tcPr>
            <w:tcW w:w="2322" w:type="dxa"/>
          </w:tcPr>
          <w:p w:rsidR="00AC0832" w:rsidRDefault="00AC0832">
            <w:pPr>
              <w:pStyle w:val="CellColumn"/>
            </w:pPr>
            <w:r>
              <w:t>100,2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Program ICT PSP je namijenjen razvoju tržišta za inovativna informacijsko komunikacijsko tehnološka rješenja u području od javnog interesa, tj. državnim institucijama i ustanovama te malim i srednjim poduzećima. U okviru tema definiranih radnim programom koji se usvaja na godišnjoj razini, financiraju se projekti koji se provode u konzorcijima u kojima moraju biti zastupljeni predstavnici više europskih zemalja. Na taj način hrvatski pravni subjekti imaju mogućnost predstavljati svoja inovativna informacijsko komunikacijska-rješenja na europskom tržištu, širiti mrežu partnera i stjecati iskustvo u provedbi međunarodnih projekata.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62"/>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 broj prijavljenih projekata u kojima pravne osobe iz Republike Hrvatske</w:t>
            </w:r>
          </w:p>
        </w:tc>
        <w:tc>
          <w:tcPr>
            <w:tcW w:w="1300" w:type="dxa"/>
          </w:tcPr>
          <w:p w:rsidR="00AC0832" w:rsidRDefault="00AC0832">
            <w:pPr>
              <w:pStyle w:val="CellColumn"/>
            </w:pPr>
            <w:r>
              <w:t>Sudjelovanje u Programu ICT PSP</w:t>
            </w:r>
          </w:p>
        </w:tc>
        <w:tc>
          <w:tcPr>
            <w:tcW w:w="1300" w:type="dxa"/>
          </w:tcPr>
          <w:p w:rsidR="00AC0832" w:rsidRDefault="00AC0832">
            <w:pPr>
              <w:pStyle w:val="CellColumn"/>
            </w:pPr>
            <w:r>
              <w:t>broj prijavljenih projekata</w:t>
            </w:r>
          </w:p>
        </w:tc>
        <w:tc>
          <w:tcPr>
            <w:tcW w:w="1300" w:type="dxa"/>
          </w:tcPr>
          <w:p w:rsidR="00AC0832" w:rsidRDefault="00AC0832">
            <w:pPr>
              <w:pStyle w:val="CellColumn"/>
            </w:pPr>
            <w:r>
              <w:t>11</w:t>
            </w:r>
          </w:p>
        </w:tc>
        <w:tc>
          <w:tcPr>
            <w:tcW w:w="1300" w:type="dxa"/>
          </w:tcPr>
          <w:p w:rsidR="00AC0832" w:rsidRDefault="00AC0832">
            <w:pPr>
              <w:pStyle w:val="CellColumn"/>
            </w:pPr>
            <w:r>
              <w:t>Ministarstvo uprave</w:t>
            </w:r>
          </w:p>
        </w:tc>
        <w:tc>
          <w:tcPr>
            <w:tcW w:w="1300" w:type="dxa"/>
          </w:tcPr>
          <w:p w:rsidR="00AC0832" w:rsidRDefault="00AC0832">
            <w:pPr>
              <w:pStyle w:val="CellColumn"/>
            </w:pPr>
            <w:r>
              <w:t>13</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A677017 ISA - SUDJELOVANJE U PROGRAMIMA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A677017-ISA - SUDJELOVANJE U PROGRAMIMA EU</w:t>
            </w:r>
          </w:p>
        </w:tc>
        <w:tc>
          <w:tcPr>
            <w:tcW w:w="2322" w:type="dxa"/>
          </w:tcPr>
          <w:p w:rsidR="00AC0832" w:rsidRDefault="00AC0832">
            <w:pPr>
              <w:pStyle w:val="CellColumn"/>
            </w:pPr>
            <w:r>
              <w:t>380.611</w:t>
            </w:r>
          </w:p>
        </w:tc>
        <w:tc>
          <w:tcPr>
            <w:tcW w:w="2322" w:type="dxa"/>
          </w:tcPr>
          <w:p w:rsidR="00AC0832" w:rsidRDefault="00AC0832">
            <w:pPr>
              <w:pStyle w:val="CellColumn"/>
            </w:pPr>
            <w:r>
              <w:t>378.844</w:t>
            </w:r>
          </w:p>
        </w:tc>
        <w:tc>
          <w:tcPr>
            <w:tcW w:w="2322" w:type="dxa"/>
          </w:tcPr>
          <w:p w:rsidR="00AC0832" w:rsidRDefault="00AC0832">
            <w:pPr>
              <w:pStyle w:val="CellColumn"/>
            </w:pPr>
            <w:r>
              <w:t>99,5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Sudjelovanjem u aktivnostima ISA otvara se mogućnost korištenja zajedničkih rješenja razvijenih u okviru Programa, usklađivanja nacionalnih politika s pravnom stečevinom Europske unije te sudjelovanje u kreiranju budućih trendova razvoja informacijskog društva Europske unije. Program omogućuje pružanje e-usluga između europskih javnih uprava.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4"/>
        <w:gridCol w:w="1362"/>
        <w:gridCol w:w="1584"/>
        <w:gridCol w:w="1256"/>
        <w:gridCol w:w="1297"/>
        <w:gridCol w:w="1256"/>
        <w:gridCol w:w="126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 broj servisa EU koji koriste tijela javne uprave Republike Hrvatske</w:t>
            </w:r>
          </w:p>
        </w:tc>
        <w:tc>
          <w:tcPr>
            <w:tcW w:w="1300" w:type="dxa"/>
          </w:tcPr>
          <w:p w:rsidR="00AC0832" w:rsidRDefault="00AC0832">
            <w:pPr>
              <w:pStyle w:val="CellColumn"/>
            </w:pPr>
            <w:r>
              <w:t>Sudjelovanje u Programu ISA</w:t>
            </w:r>
          </w:p>
        </w:tc>
        <w:tc>
          <w:tcPr>
            <w:tcW w:w="1300" w:type="dxa"/>
          </w:tcPr>
          <w:p w:rsidR="00AC0832" w:rsidRDefault="00AC0832">
            <w:pPr>
              <w:pStyle w:val="CellColumn"/>
            </w:pPr>
            <w:r>
              <w:t>broj interoperabilnih servisa koji se koriste u RH</w:t>
            </w:r>
          </w:p>
        </w:tc>
        <w:tc>
          <w:tcPr>
            <w:tcW w:w="1300" w:type="dxa"/>
          </w:tcPr>
          <w:p w:rsidR="00AC0832" w:rsidRDefault="00AC0832">
            <w:pPr>
              <w:pStyle w:val="CellColumn"/>
            </w:pPr>
            <w:r>
              <w:t>2</w:t>
            </w:r>
          </w:p>
        </w:tc>
        <w:tc>
          <w:tcPr>
            <w:tcW w:w="1300" w:type="dxa"/>
          </w:tcPr>
          <w:p w:rsidR="00AC0832" w:rsidRDefault="00AC0832">
            <w:pPr>
              <w:pStyle w:val="CellColumn"/>
            </w:pPr>
            <w:r>
              <w:t>Ministarstvo uprave</w:t>
            </w:r>
          </w:p>
        </w:tc>
        <w:tc>
          <w:tcPr>
            <w:tcW w:w="1300" w:type="dxa"/>
          </w:tcPr>
          <w:p w:rsidR="00AC0832" w:rsidRDefault="00AC0832">
            <w:pPr>
              <w:pStyle w:val="CellColumn"/>
            </w:pPr>
            <w:r>
              <w:t>3</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2"/>
      </w:pPr>
      <w:r>
        <w:t>09510 Uredi državne uprave u županijama</w:t>
      </w:r>
    </w:p>
    <w:p w:rsidR="00AC0832" w:rsidRDefault="00AC0832">
      <w:pPr>
        <w:pStyle w:val="Heading4"/>
      </w:pPr>
      <w:r>
        <w:t>Uvod</w:t>
      </w:r>
    </w:p>
    <w:p w:rsidR="00AC0832" w:rsidRDefault="00AC0832">
      <w:pPr>
        <w:pStyle w:val="Normal3"/>
      </w:pPr>
      <w:r>
        <w:t xml:space="preserve">Uredi državne uprave obavljaju upravne i druge stručne poslove koji se odnose na  gospodarstvo, društvene djelatnosti, imovinsko-pravne poslove, opću upravu, nadzor nad zakonitošću općih akata predstavničkih tijela jedinica lokalne i područne samouprave, opći i kadrovski poslovi, računovodstveni, administrativni i pomoćno-tehnički poslovi za potrebe ureda. </w:t>
      </w:r>
    </w:p>
    <w:p w:rsidR="00AC0832" w:rsidRDefault="00AC0832">
      <w:pPr>
        <w:pStyle w:val="Normal3"/>
      </w:pPr>
      <w:r>
        <w:t>U državnom proračunu za 2012. godinu osim za poslovanje ustrojstvenih jedinica Ministarstva, u razdjelu Ministarstva planirana su i sredstva za poslovanje 20 ureda državne uprave u županijama.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09510-Uredi državne uprave u županijama</w:t>
            </w:r>
          </w:p>
        </w:tc>
        <w:tc>
          <w:tcPr>
            <w:tcW w:w="2322" w:type="dxa"/>
          </w:tcPr>
          <w:p w:rsidR="00AC0832" w:rsidRDefault="00AC0832">
            <w:pPr>
              <w:pStyle w:val="CellColumn"/>
            </w:pPr>
            <w:r>
              <w:t>327.415.865</w:t>
            </w:r>
          </w:p>
        </w:tc>
        <w:tc>
          <w:tcPr>
            <w:tcW w:w="2322" w:type="dxa"/>
          </w:tcPr>
          <w:p w:rsidR="00AC0832" w:rsidRDefault="00AC0832">
            <w:pPr>
              <w:pStyle w:val="CellColumn"/>
            </w:pPr>
            <w:r>
              <w:t>325.657.785</w:t>
            </w:r>
          </w:p>
        </w:tc>
        <w:tc>
          <w:tcPr>
            <w:tcW w:w="2322" w:type="dxa"/>
          </w:tcPr>
          <w:p w:rsidR="00AC0832" w:rsidRDefault="00AC0832">
            <w:pPr>
              <w:pStyle w:val="CellColumn"/>
            </w:pPr>
            <w:r>
              <w:t>99,5</w:t>
            </w:r>
          </w:p>
        </w:tc>
      </w:tr>
      <w:tr w:rsidR="00AC0832" w:rsidTr="00BE20ED">
        <w:trPr>
          <w:jc w:val="center"/>
        </w:trPr>
        <w:tc>
          <w:tcPr>
            <w:tcW w:w="2322" w:type="dxa"/>
          </w:tcPr>
          <w:p w:rsidR="00AC0832" w:rsidRDefault="00AC0832">
            <w:pPr>
              <w:pStyle w:val="CellColumnSmall"/>
            </w:pPr>
            <w:r>
              <w:t>2402-POSLOVI UREDA DRŽAVNE UPRAVE U ŽUPANIJAMA</w:t>
            </w:r>
          </w:p>
        </w:tc>
        <w:tc>
          <w:tcPr>
            <w:tcW w:w="2322" w:type="dxa"/>
          </w:tcPr>
          <w:p w:rsidR="00AC0832" w:rsidRDefault="00AC0832">
            <w:pPr>
              <w:pStyle w:val="CellColumnSmall"/>
            </w:pPr>
            <w:r>
              <w:t>327.415.865</w:t>
            </w:r>
          </w:p>
        </w:tc>
        <w:tc>
          <w:tcPr>
            <w:tcW w:w="2322" w:type="dxa"/>
          </w:tcPr>
          <w:p w:rsidR="00AC0832" w:rsidRDefault="00AC0832">
            <w:pPr>
              <w:pStyle w:val="CellColumnSmall"/>
            </w:pPr>
            <w:r>
              <w:t>325.657.785</w:t>
            </w:r>
          </w:p>
        </w:tc>
        <w:tc>
          <w:tcPr>
            <w:tcW w:w="2322" w:type="dxa"/>
          </w:tcPr>
          <w:p w:rsidR="00AC0832" w:rsidRDefault="00AC0832">
            <w:pPr>
              <w:pStyle w:val="CellColumnSmall"/>
            </w:pPr>
            <w:r>
              <w:t>99,5</w:t>
            </w:r>
          </w:p>
        </w:tc>
      </w:tr>
    </w:tbl>
    <w:p w:rsidR="00AC0832" w:rsidRDefault="00AC0832">
      <w:pPr>
        <w:jc w:val="left"/>
      </w:pPr>
    </w:p>
    <w:p w:rsidR="00AC0832" w:rsidRDefault="00AC0832">
      <w:pPr>
        <w:pStyle w:val="Heading4"/>
      </w:pPr>
      <w:r>
        <w:t>OBRAZLOŽENJE PROGRAMA</w:t>
      </w:r>
    </w:p>
    <w:p w:rsidR="00AC0832" w:rsidRDefault="00AC0832">
      <w:pPr>
        <w:pStyle w:val="Heading5"/>
      </w:pPr>
      <w:r>
        <w:t>2402 POSLOVI UREDA DRŽAVNE UPRAVE U ŽUPANIJAMA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2402-POSLOVI UREDA DRŽAVNE UPRAVE U ŽUPANIJAMA</w:t>
            </w:r>
          </w:p>
        </w:tc>
        <w:tc>
          <w:tcPr>
            <w:tcW w:w="2322" w:type="dxa"/>
          </w:tcPr>
          <w:p w:rsidR="00AC0832" w:rsidRDefault="00AC0832">
            <w:pPr>
              <w:pStyle w:val="CellColumn"/>
            </w:pPr>
            <w:r>
              <w:t>327.415.865</w:t>
            </w:r>
          </w:p>
        </w:tc>
        <w:tc>
          <w:tcPr>
            <w:tcW w:w="2322" w:type="dxa"/>
          </w:tcPr>
          <w:p w:rsidR="00AC0832" w:rsidRDefault="00AC0832">
            <w:pPr>
              <w:pStyle w:val="CellColumn"/>
            </w:pPr>
            <w:r>
              <w:t>325.657.785</w:t>
            </w:r>
          </w:p>
        </w:tc>
        <w:tc>
          <w:tcPr>
            <w:tcW w:w="2322" w:type="dxa"/>
          </w:tcPr>
          <w:p w:rsidR="00AC0832" w:rsidRDefault="00AC0832">
            <w:pPr>
              <w:pStyle w:val="CellColumn"/>
            </w:pPr>
            <w:r>
              <w:t>99,5</w:t>
            </w:r>
          </w:p>
        </w:tc>
      </w:tr>
    </w:tbl>
    <w:p w:rsidR="00AC0832" w:rsidRDefault="00AC0832">
      <w:pPr>
        <w:jc w:val="left"/>
      </w:pPr>
    </w:p>
    <w:p w:rsidR="00AC0832" w:rsidRDefault="00AC0832">
      <w:pPr>
        <w:pStyle w:val="Heading6"/>
      </w:pPr>
      <w:r>
        <w:t>Opis programa</w:t>
      </w:r>
    </w:p>
    <w:p w:rsidR="00AC0832" w:rsidRDefault="00AC0832">
      <w:pPr>
        <w:pStyle w:val="Normal5"/>
      </w:pPr>
      <w:r>
        <w:t xml:space="preserve">U strateškom razdoblju 2012. - 2014. godine opći cilj Ministarstva uprave i ureda državne uprave u županijama je unaprijediti postojeći i stvoriti učinkovitiji sustav potpore građanima Republike Hrvatske kroz pružanje kvalitetnih, potpunih i brzih upravnih usluga. </w:t>
      </w:r>
    </w:p>
    <w:p w:rsidR="00AC0832" w:rsidRDefault="00AC0832">
      <w:pPr>
        <w:pStyle w:val="Normal5"/>
      </w:pPr>
      <w:r>
        <w:t xml:space="preserve">Uredima državne uprave u županijama i njihovim ispostavama, ustrojenim zbog obavljanja dekoncentriranih poslova državne uprave, posljednjih je nekoliko godina, donošenjem novih i izmjenama postojećih zakona bitno smanjen opseg poslova. </w:t>
      </w:r>
    </w:p>
    <w:p w:rsidR="00AC0832" w:rsidRDefault="00AC0832">
      <w:pPr>
        <w:pStyle w:val="Normal5"/>
      </w:pPr>
      <w:r>
        <w:t xml:space="preserve">Centraliziranjem poslova resorna ministarstva su preuzela poslove i službenike Ureda državne uprave što je utjecalo na kvalifikacijsku strukturu u uredima državne uprave, ali i na racionalnost organizacije posla, pogotovo stoga što u obavljanju preuzetih poslova uredi i dalje pružaju značajnu podršku tijelima koja su preuzela poslove. </w:t>
      </w:r>
    </w:p>
    <w:p w:rsidR="00AC0832" w:rsidRDefault="00AC0832">
      <w:pPr>
        <w:pStyle w:val="Normal5"/>
      </w:pPr>
      <w:r>
        <w:t>Ministarstvo uprave i uredi državne uprave u županijama provode zajednički program u cilju reforme državne uprave.</w:t>
      </w:r>
    </w:p>
    <w:p w:rsidR="00AC0832" w:rsidRDefault="00AC0832">
      <w:pPr>
        <w:pStyle w:val="Heading6"/>
      </w:pPr>
      <w:r>
        <w:t>Zakonske i druge pravne osnove</w:t>
      </w:r>
    </w:p>
    <w:p w:rsidR="00AC0832" w:rsidRDefault="00AC0832">
      <w:pPr>
        <w:pStyle w:val="Normal5"/>
      </w:pPr>
      <w:r>
        <w:t xml:space="preserve">Zakona o državnim službenicima („Narodne novine“, broj 92/05; 142/06; 77/07; 107/07; 27/08; 49/11; 150/11; 34/12; 49/12), </w:t>
      </w:r>
    </w:p>
    <w:p w:rsidR="00AC0832" w:rsidRDefault="00AC0832">
      <w:pPr>
        <w:pStyle w:val="Normal5"/>
      </w:pPr>
      <w:r>
        <w:t>Zakon o sustavu državne uprave („Narodne novine“, broj 150/11).</w:t>
      </w:r>
    </w:p>
    <w:p w:rsidR="00AC0832" w:rsidRDefault="00AC0832">
      <w:pPr>
        <w:pStyle w:val="Heading7"/>
      </w:pPr>
      <w:r>
        <w:t>Cilj 1. Unaprijediti sustav upravljanja podacima</w:t>
      </w:r>
    </w:p>
    <w:p w:rsidR="00AC0832" w:rsidRDefault="00AC0832">
      <w:pPr>
        <w:pStyle w:val="Heading8"/>
        <w:jc w:val="left"/>
      </w:pPr>
      <w:r>
        <w:t>Opis provedbe cilja programa</w:t>
      </w:r>
    </w:p>
    <w:p w:rsidR="00AC0832" w:rsidRDefault="00AC0832">
      <w:pPr>
        <w:pStyle w:val="Normal6"/>
      </w:pPr>
      <w:r>
        <w:t xml:space="preserve">Provedba ovog cilja sastoji se u primjeni Zakona o općem upravnompostupku tj. da javnopravna tijela po službenoj dužnosti, elektroničkim putem pribavljaju podatke o činjenicama o kojima se vodi službena evidencija. To se </w:t>
      </w:r>
    </w:p>
    <w:p w:rsidR="00AC0832" w:rsidRDefault="00AC0832">
      <w:pPr>
        <w:pStyle w:val="Normal6"/>
      </w:pPr>
      <w:r>
        <w:t xml:space="preserve">omogućava integracijom postojećih baza podataka u državi, čime se postiže nesmetana komunikacija državnog aparata u svim segmentima, što podrazumijeva gradnju novih baza i dogradnju postojećih kako bi se postiglo da </w:t>
      </w:r>
    </w:p>
    <w:p w:rsidR="00AC0832" w:rsidRDefault="00AC0832">
      <w:pPr>
        <w:pStyle w:val="Normal6"/>
      </w:pPr>
      <w:r>
        <w:t xml:space="preserve">tijela državne uprave od građana ne traže donošenje ili prenošenje podataka koji već postoje u sustavu državne uprave. Jednako tako usklađivanjem sa zakonodavstvom Europske unije omogućuje se ponovno korištenje javnih </w:t>
      </w:r>
    </w:p>
    <w:p w:rsidR="00AC0832" w:rsidRDefault="00AC0832">
      <w:pPr>
        <w:pStyle w:val="Normal6"/>
      </w:pPr>
      <w:r>
        <w:t>informacija i njihova uporaba u komercijalne svrhe.</w:t>
      </w:r>
    </w:p>
    <w:p w:rsidR="00AC0832" w:rsidRDefault="00AC0832">
      <w:pPr>
        <w:pStyle w:val="Heading6"/>
      </w:pPr>
      <w:r>
        <w:t>A831001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A831001-ADMINISTRACIJA I UPRAVLJANJE</w:t>
            </w:r>
          </w:p>
        </w:tc>
        <w:tc>
          <w:tcPr>
            <w:tcW w:w="2322" w:type="dxa"/>
          </w:tcPr>
          <w:p w:rsidR="00AC0832" w:rsidRDefault="00AC0832">
            <w:pPr>
              <w:pStyle w:val="CellColumn"/>
            </w:pPr>
            <w:r>
              <w:t>326.771.252</w:t>
            </w:r>
          </w:p>
        </w:tc>
        <w:tc>
          <w:tcPr>
            <w:tcW w:w="2322" w:type="dxa"/>
          </w:tcPr>
          <w:p w:rsidR="00AC0832" w:rsidRDefault="00AC0832">
            <w:pPr>
              <w:pStyle w:val="CellColumn"/>
            </w:pPr>
            <w:r>
              <w:t>325.021.198</w:t>
            </w:r>
          </w:p>
        </w:tc>
        <w:tc>
          <w:tcPr>
            <w:tcW w:w="2322" w:type="dxa"/>
          </w:tcPr>
          <w:p w:rsidR="00AC0832" w:rsidRDefault="00AC0832">
            <w:pPr>
              <w:pStyle w:val="CellColumn"/>
            </w:pPr>
            <w:r>
              <w:t>99,5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Na aktivnosti A831001 Obavljanje poslova ureda državne uprave u županijama planirani su u 2011. godini na razini razreda 3 - rashodi poslovanja sredstva u iznosu od 326.771.252,00 kn, a izvršenje je 325.021.198,00 kn. </w:t>
      </w:r>
    </w:p>
    <w:p w:rsidR="00AC0832" w:rsidRDefault="00AC0832">
      <w:pPr>
        <w:pStyle w:val="Normal6"/>
      </w:pPr>
      <w:r>
        <w:t xml:space="preserve">Planirani izdaci u okviru ove aktivnosti čine 99,80 % ukupnog financijskog plana ureda državne uprave u županijama u 2012. godini.  </w:t>
      </w:r>
    </w:p>
    <w:p w:rsidR="00AC0832" w:rsidRDefault="00AC0832">
      <w:pPr>
        <w:pStyle w:val="Normal6"/>
      </w:pPr>
      <w:r>
        <w:t>U uredima državne uprave u županijama na dan 31.12.2011. godine bilo je zaposleno 3.041 službenika i namještenika. Tijekom 2012. godine državnu službu u uredima napustilo je 122 službenika i namještenika (zbog odlaska u mirovinu i prestanka radnog odnosa po drugima osnovama) tako daje na dan 31.12.2012. godine broj zaposlenih službenika i namještenika iznosio 2.919.</w:t>
      </w:r>
    </w:p>
    <w:p w:rsidR="00AC0832" w:rsidRDefault="00AC0832">
      <w:pPr>
        <w:pStyle w:val="Heading1"/>
      </w:pPr>
      <w:r>
        <w:t>096 MINISTARSTVO ZDRAVLJA</w:t>
      </w:r>
    </w:p>
    <w:p w:rsidR="00AC0832" w:rsidRDefault="00AC0832">
      <w:pPr>
        <w:pStyle w:val="Heading4"/>
      </w:pPr>
      <w:r>
        <w:t>Uvod</w:t>
      </w:r>
    </w:p>
    <w:p w:rsidR="00AC0832" w:rsidRDefault="00AC0832">
      <w:pPr>
        <w:pStyle w:val="Normal3"/>
      </w:pPr>
      <w:r>
        <w:t xml:space="preserve">Zakonom o ustrojstvu i djelokrugu ministarstava i drugih središnjih tijela državne uprave, koji je stupio na snagu 22. prosinca 2011. godine, ustrojeno je Ministarstvo zdravlja.  </w:t>
      </w:r>
    </w:p>
    <w:p w:rsidR="00AC0832" w:rsidRDefault="00AC0832">
      <w:pPr>
        <w:pStyle w:val="Normal3"/>
      </w:pPr>
      <w:r>
        <w:t>Ministarstvo zdravlja obavlja upravne i druge poslove koji se odnose na: sustav zdravstvene zaštite i zdravstvenog osiguranja; praćenje i unapređivanje zdravstvenog stanja i zdravstvenih potreba stanovništva, zaštitu stanovništva od zaraznih i nezaraznih bolesti, ionizirajućih i neionizirajućih zračenja; zaštitu od buke; zdravstvenu ispravnost i higijenu hrane u skladu s posebnim propisom o hrani i predmeta opće uporabe; proizvodnju, promet i potrošnju opojnih droga; korištenje zdravstvenih potencijala; izgradnju i investiranje u zdravstvu; osnivanje zdravstvenih ustanova i privatne prakse; organiziranje stručnih ispita zdravstvenih djelatnika te njihovo specijalističko usavršavanje; priznavanje naziva primarijusa; dodjelu naziva zdravstvenim ustanovama; referentni centar, klinika, klinička bolnica i klinički bolnički centar; upravni nadzor nad radom Hrvatskog zavoda za zdravstveno osiguranje, Hrvatskoga crvenog kriza i komora; zdravstveno-inspekcijski nadzor nad radom zdravstvenih ustanova i zdravstvenih djelatnika te privatnom praksom: registraciju lijekova, farmaceutsko-inspekcijski nadzor nad proizvodnjom i prometom lijekova i medicinskih proizvoda; službene kontrole zdravstvene ispravnosti, higijene i kakvoće hrane u skladu s posebnim propisom o hrani; sanitarni nadzor nad proizvodnjom, prometom, uporabom i zbrinjavanjem opasnih kemikalija i drugih tvari štetnih po zdravlje ljudi; sanitarni nadzor nad izvorima ionizirajućih i neionizirajućih zračenja; sanitarni nadzor nad osobama i djelatnostima, građevinama, prostorijama, postrojenjima i uređajima koji mogu na bilo koji način štetno utjecati na zdravlje ljudi te sanitarni nadzor u međunarodnom prometu na državnoj granici.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09605-Ministarstvo zdravlja</w:t>
            </w:r>
          </w:p>
        </w:tc>
        <w:tc>
          <w:tcPr>
            <w:tcW w:w="2322" w:type="dxa"/>
          </w:tcPr>
          <w:p w:rsidR="00AC0832" w:rsidRDefault="00AC0832">
            <w:pPr>
              <w:pStyle w:val="CellColumn"/>
            </w:pPr>
            <w:r>
              <w:t>613.434.495</w:t>
            </w:r>
          </w:p>
        </w:tc>
        <w:tc>
          <w:tcPr>
            <w:tcW w:w="2322" w:type="dxa"/>
          </w:tcPr>
          <w:p w:rsidR="00AC0832" w:rsidRDefault="00AC0832">
            <w:pPr>
              <w:pStyle w:val="CellColumn"/>
            </w:pPr>
            <w:r>
              <w:t>576.578.476</w:t>
            </w:r>
          </w:p>
        </w:tc>
        <w:tc>
          <w:tcPr>
            <w:tcW w:w="2322" w:type="dxa"/>
          </w:tcPr>
          <w:p w:rsidR="00AC0832" w:rsidRDefault="00AC0832">
            <w:pPr>
              <w:pStyle w:val="CellColumn"/>
            </w:pPr>
            <w:r>
              <w:t>94,0</w:t>
            </w:r>
          </w:p>
        </w:tc>
      </w:tr>
      <w:tr w:rsidR="00AC0832" w:rsidTr="00BE20ED">
        <w:trPr>
          <w:jc w:val="center"/>
        </w:trPr>
        <w:tc>
          <w:tcPr>
            <w:tcW w:w="2322" w:type="dxa"/>
          </w:tcPr>
          <w:p w:rsidR="00AC0832" w:rsidRDefault="00AC0832">
            <w:pPr>
              <w:pStyle w:val="CellColumn"/>
            </w:pPr>
            <w:r>
              <w:t>09615-Hrvatski zavod za zdravstveno osiguranje</w:t>
            </w:r>
          </w:p>
        </w:tc>
        <w:tc>
          <w:tcPr>
            <w:tcW w:w="2322" w:type="dxa"/>
          </w:tcPr>
          <w:p w:rsidR="00AC0832" w:rsidRDefault="00AC0832">
            <w:pPr>
              <w:pStyle w:val="CellColumn"/>
            </w:pPr>
            <w:r>
              <w:t>21.119.925.828</w:t>
            </w:r>
          </w:p>
        </w:tc>
        <w:tc>
          <w:tcPr>
            <w:tcW w:w="2322" w:type="dxa"/>
          </w:tcPr>
          <w:p w:rsidR="00AC0832" w:rsidRDefault="00AC0832">
            <w:pPr>
              <w:pStyle w:val="CellColumn"/>
            </w:pPr>
            <w:r>
              <w:t>21.342.882.980</w:t>
            </w:r>
          </w:p>
        </w:tc>
        <w:tc>
          <w:tcPr>
            <w:tcW w:w="2322" w:type="dxa"/>
          </w:tcPr>
          <w:p w:rsidR="00AC0832" w:rsidRDefault="00AC0832">
            <w:pPr>
              <w:pStyle w:val="CellColumn"/>
            </w:pPr>
            <w:r>
              <w:t>101,1</w:t>
            </w:r>
          </w:p>
        </w:tc>
      </w:tr>
      <w:tr w:rsidR="00AC0832" w:rsidTr="00BE20ED">
        <w:trPr>
          <w:jc w:val="center"/>
        </w:trPr>
        <w:tc>
          <w:tcPr>
            <w:tcW w:w="2322" w:type="dxa"/>
            <w:shd w:val="clear" w:color="auto" w:fill="B5C0D8"/>
          </w:tcPr>
          <w:p w:rsidR="00AC0832" w:rsidRDefault="00AC0832">
            <w:pPr>
              <w:pStyle w:val="CellColumn"/>
            </w:pPr>
            <w:r>
              <w:t>Ukupno 096-MINISTARSTVO ZDRAVLJA</w:t>
            </w:r>
          </w:p>
        </w:tc>
        <w:tc>
          <w:tcPr>
            <w:tcW w:w="2322" w:type="dxa"/>
            <w:shd w:val="clear" w:color="auto" w:fill="B5C0D8"/>
          </w:tcPr>
          <w:p w:rsidR="00AC0832" w:rsidRDefault="00AC0832">
            <w:pPr>
              <w:pStyle w:val="CellColumn"/>
            </w:pPr>
            <w:r>
              <w:t>21.733.360.323</w:t>
            </w:r>
          </w:p>
        </w:tc>
        <w:tc>
          <w:tcPr>
            <w:tcW w:w="2322" w:type="dxa"/>
            <w:shd w:val="clear" w:color="auto" w:fill="B5C0D8"/>
          </w:tcPr>
          <w:p w:rsidR="00AC0832" w:rsidRDefault="00AC0832">
            <w:pPr>
              <w:pStyle w:val="CellColumn"/>
            </w:pPr>
            <w:r>
              <w:t>21.919.461.456</w:t>
            </w:r>
          </w:p>
        </w:tc>
        <w:tc>
          <w:tcPr>
            <w:tcW w:w="2322" w:type="dxa"/>
            <w:shd w:val="clear" w:color="auto" w:fill="B5C0D8"/>
          </w:tcPr>
          <w:p w:rsidR="00AC0832" w:rsidRDefault="00AC0832">
            <w:pPr>
              <w:pStyle w:val="CellColumn"/>
            </w:pPr>
            <w:r>
              <w:t>100,9</w:t>
            </w:r>
          </w:p>
        </w:tc>
      </w:tr>
    </w:tbl>
    <w:p w:rsidR="00AC0832" w:rsidRDefault="00AC0832">
      <w:pPr>
        <w:jc w:val="left"/>
      </w:pPr>
    </w:p>
    <w:p w:rsidR="00AC0832" w:rsidRDefault="00AC0832">
      <w:pPr>
        <w:pStyle w:val="Heading2"/>
      </w:pPr>
      <w:r>
        <w:t>09605 Ministarstvo zdravlja</w:t>
      </w:r>
    </w:p>
    <w:p w:rsidR="00AC0832" w:rsidRDefault="00AC0832">
      <w:pPr>
        <w:pStyle w:val="Heading4"/>
      </w:pPr>
      <w:r>
        <w:t>Uvod</w:t>
      </w:r>
    </w:p>
    <w:p w:rsidR="00AC0832" w:rsidRDefault="00AC0832">
      <w:pPr>
        <w:pStyle w:val="Normal3"/>
      </w:pPr>
      <w:r>
        <w:t>Očuvanje i unapređenje zdravlja cjelokupnog stanovništva, koristeći znanstveno utemeljene    programe sprečavanja i suzbijanja bolesti te promicanja zdravlja predstavljaju glavne aktivnosti usmjerene zaštiti, očuvanju i unapređenju zdravlja stanovništva. Cilj je unaprijediti zdravstveni sustav tako da osiguravanjem pravodobnog pristupa zdravstvenim uslugama zadovolji potrebe građana Republike Hrvatske za kvalitetnom stručno-medicinskom zdravstvenom zaštitom koja obuhvaća sprečavanje bolesti, sprečavanje profesionalnih bolesti,   edukaciju o zdravlju, ranom prepoznavanju rizika bolesti te liječenje i rehabilitaciju bolesnih. U cilju zaštite, očuvanja i unapređenja zdravlja, od osobite je važnosti promoviranje zdravih stilova života, razvijanje pravilnih prehrambenih navika, utjecanje na povećanje tjelesnih aktivnosti te ukazivanje na štetnost raznih oblika ovisnosti. Poticanjem razvijanja zdravih stilova života utjecat će se na kvalitetu i dužinu trajanja života, smanjenje pojavnosti kroničnih nezaraznih bolesti kao i nekih sijela malignih oboljenja. Zdravstveno-statistički pokazatelji i unapređenje njihova praćenja ukazuje na zdravlje i odstupanje od zdravlja populacije kao osnova za usmjeravanje potrebnih javnozdravstvenih mjera usmjerenih zaštiti, očuvanju i unapređenju zdravlja. U okviru navedenog cilja veliki dio aktivnosti bit će usmjeren na osjetljive dobne skupine, djecu i osobe starije životne dobi te osobe s posebnim potrebama. Javnozdravstveni interes ostvaruje se provedbom mjera i postupaka koji su usmjereni na zaštitu zdravlja populacije određenog područja ili cijele države. Zaštita javnozdravstvenog interesa provodi se kvalitetnim radom sanitarne inspekcije, a unapređenjem njezina rada omogućiti će se i dosljednije provođenje zakona i podzakonskih propisa, a time i bolja zaštita zdravlja ljudi sukladno odredbama Zakona o sanitarnoj inspekciji. Nadzorom sanitarne inspekcije na područjima sprečavanja i suzbijanja zaraznih bolesti, proizvodnje i stavljanja na tržište hrane, uključujući i genetski modificiranu hranu i novu hranu te genetski modificirane organizme, proizvodnje i stavljanja na tržište predmeta opće uporabe, proizvodnje, stavljanja na tržište i uporabe opasnih kemikalija, stavljanja na tržište i uporabe biocidnih pripravaka, zaštite od buke i zaštite od ionizirajućeg i neionizirajućeg zračenja, izravno se štiti javnozdravstveni interes.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09605-Ministarstvo zdravlja</w:t>
            </w:r>
          </w:p>
        </w:tc>
        <w:tc>
          <w:tcPr>
            <w:tcW w:w="2322" w:type="dxa"/>
          </w:tcPr>
          <w:p w:rsidR="00AC0832" w:rsidRDefault="00AC0832">
            <w:pPr>
              <w:pStyle w:val="CellColumn"/>
            </w:pPr>
            <w:r>
              <w:t>613.434.495</w:t>
            </w:r>
          </w:p>
        </w:tc>
        <w:tc>
          <w:tcPr>
            <w:tcW w:w="2322" w:type="dxa"/>
          </w:tcPr>
          <w:p w:rsidR="00AC0832" w:rsidRDefault="00AC0832">
            <w:pPr>
              <w:pStyle w:val="CellColumn"/>
            </w:pPr>
            <w:r>
              <w:t>576.578.476</w:t>
            </w:r>
          </w:p>
        </w:tc>
        <w:tc>
          <w:tcPr>
            <w:tcW w:w="2322" w:type="dxa"/>
          </w:tcPr>
          <w:p w:rsidR="00AC0832" w:rsidRDefault="00AC0832">
            <w:pPr>
              <w:pStyle w:val="CellColumn"/>
            </w:pPr>
            <w:r>
              <w:t>94,0</w:t>
            </w:r>
          </w:p>
        </w:tc>
      </w:tr>
      <w:tr w:rsidR="00AC0832" w:rsidTr="00BE20ED">
        <w:trPr>
          <w:jc w:val="center"/>
        </w:trPr>
        <w:tc>
          <w:tcPr>
            <w:tcW w:w="2322" w:type="dxa"/>
          </w:tcPr>
          <w:p w:rsidR="00AC0832" w:rsidRDefault="00AC0832">
            <w:pPr>
              <w:pStyle w:val="CellColumnSmall"/>
            </w:pPr>
            <w:r>
              <w:t>3601-ZAŠTITA, OČUVANJE I UNAPREĐENJE ZDRAVLJA</w:t>
            </w:r>
          </w:p>
        </w:tc>
        <w:tc>
          <w:tcPr>
            <w:tcW w:w="2322" w:type="dxa"/>
          </w:tcPr>
          <w:p w:rsidR="00AC0832" w:rsidRDefault="00AC0832">
            <w:pPr>
              <w:pStyle w:val="CellColumnSmall"/>
            </w:pPr>
            <w:r>
              <w:t>106.435.435</w:t>
            </w:r>
          </w:p>
        </w:tc>
        <w:tc>
          <w:tcPr>
            <w:tcW w:w="2322" w:type="dxa"/>
          </w:tcPr>
          <w:p w:rsidR="00AC0832" w:rsidRDefault="00AC0832">
            <w:pPr>
              <w:pStyle w:val="CellColumnSmall"/>
            </w:pPr>
            <w:r>
              <w:t>100.364.885</w:t>
            </w:r>
          </w:p>
        </w:tc>
        <w:tc>
          <w:tcPr>
            <w:tcW w:w="2322" w:type="dxa"/>
          </w:tcPr>
          <w:p w:rsidR="00AC0832" w:rsidRDefault="00AC0832">
            <w:pPr>
              <w:pStyle w:val="CellColumnSmall"/>
            </w:pPr>
            <w:r>
              <w:t>94,3</w:t>
            </w:r>
          </w:p>
        </w:tc>
      </w:tr>
      <w:tr w:rsidR="00AC0832" w:rsidTr="00BE20ED">
        <w:trPr>
          <w:jc w:val="center"/>
        </w:trPr>
        <w:tc>
          <w:tcPr>
            <w:tcW w:w="2322" w:type="dxa"/>
          </w:tcPr>
          <w:p w:rsidR="00AC0832" w:rsidRDefault="00AC0832">
            <w:pPr>
              <w:pStyle w:val="CellColumnSmall"/>
            </w:pPr>
            <w:r>
              <w:t>3602-INVESTICIJE U ZDRAVSTVENU INFRASTRUKTURU</w:t>
            </w:r>
          </w:p>
        </w:tc>
        <w:tc>
          <w:tcPr>
            <w:tcW w:w="2322" w:type="dxa"/>
          </w:tcPr>
          <w:p w:rsidR="00AC0832" w:rsidRDefault="00AC0832">
            <w:pPr>
              <w:pStyle w:val="CellColumnSmall"/>
            </w:pPr>
            <w:r>
              <w:t>356.393.464</w:t>
            </w:r>
          </w:p>
        </w:tc>
        <w:tc>
          <w:tcPr>
            <w:tcW w:w="2322" w:type="dxa"/>
          </w:tcPr>
          <w:p w:rsidR="00AC0832" w:rsidRDefault="00AC0832">
            <w:pPr>
              <w:pStyle w:val="CellColumnSmall"/>
            </w:pPr>
            <w:r>
              <w:t>343.770.090</w:t>
            </w:r>
          </w:p>
        </w:tc>
        <w:tc>
          <w:tcPr>
            <w:tcW w:w="2322" w:type="dxa"/>
          </w:tcPr>
          <w:p w:rsidR="00AC0832" w:rsidRDefault="00AC0832">
            <w:pPr>
              <w:pStyle w:val="CellColumnSmall"/>
            </w:pPr>
            <w:r>
              <w:t>96,5</w:t>
            </w:r>
          </w:p>
        </w:tc>
      </w:tr>
      <w:tr w:rsidR="00AC0832" w:rsidTr="00BE20ED">
        <w:trPr>
          <w:jc w:val="center"/>
        </w:trPr>
        <w:tc>
          <w:tcPr>
            <w:tcW w:w="2322" w:type="dxa"/>
          </w:tcPr>
          <w:p w:rsidR="00AC0832" w:rsidRDefault="00AC0832">
            <w:pPr>
              <w:pStyle w:val="CellColumnSmall"/>
            </w:pPr>
            <w:r>
              <w:t>3603-SANITARNA INSPEKCIJA</w:t>
            </w:r>
          </w:p>
        </w:tc>
        <w:tc>
          <w:tcPr>
            <w:tcW w:w="2322" w:type="dxa"/>
          </w:tcPr>
          <w:p w:rsidR="00AC0832" w:rsidRDefault="00AC0832">
            <w:pPr>
              <w:pStyle w:val="CellColumnSmall"/>
            </w:pPr>
            <w:r>
              <w:t>13.038.030</w:t>
            </w:r>
          </w:p>
        </w:tc>
        <w:tc>
          <w:tcPr>
            <w:tcW w:w="2322" w:type="dxa"/>
          </w:tcPr>
          <w:p w:rsidR="00AC0832" w:rsidRDefault="00AC0832">
            <w:pPr>
              <w:pStyle w:val="CellColumnSmall"/>
            </w:pPr>
            <w:r>
              <w:t>11.431.943</w:t>
            </w:r>
          </w:p>
        </w:tc>
        <w:tc>
          <w:tcPr>
            <w:tcW w:w="2322" w:type="dxa"/>
          </w:tcPr>
          <w:p w:rsidR="00AC0832" w:rsidRDefault="00AC0832">
            <w:pPr>
              <w:pStyle w:val="CellColumnSmall"/>
            </w:pPr>
            <w:r>
              <w:t>87,7</w:t>
            </w:r>
          </w:p>
        </w:tc>
      </w:tr>
      <w:tr w:rsidR="00AC0832" w:rsidTr="00BE20ED">
        <w:trPr>
          <w:jc w:val="center"/>
        </w:trPr>
        <w:tc>
          <w:tcPr>
            <w:tcW w:w="2322" w:type="dxa"/>
          </w:tcPr>
          <w:p w:rsidR="00AC0832" w:rsidRDefault="00AC0832">
            <w:pPr>
              <w:pStyle w:val="CellColumnSmall"/>
            </w:pPr>
            <w:r>
              <w:t>3604-UPRAVLJANJE U SUSTAVU ZDRAVLJA</w:t>
            </w:r>
          </w:p>
        </w:tc>
        <w:tc>
          <w:tcPr>
            <w:tcW w:w="2322" w:type="dxa"/>
          </w:tcPr>
          <w:p w:rsidR="00AC0832" w:rsidRDefault="00AC0832">
            <w:pPr>
              <w:pStyle w:val="CellColumnSmall"/>
            </w:pPr>
            <w:r>
              <w:t>128.567.166</w:t>
            </w:r>
          </w:p>
        </w:tc>
        <w:tc>
          <w:tcPr>
            <w:tcW w:w="2322" w:type="dxa"/>
          </w:tcPr>
          <w:p w:rsidR="00AC0832" w:rsidRDefault="00AC0832">
            <w:pPr>
              <w:pStyle w:val="CellColumnSmall"/>
            </w:pPr>
            <w:r>
              <w:t>112.011.158</w:t>
            </w:r>
          </w:p>
        </w:tc>
        <w:tc>
          <w:tcPr>
            <w:tcW w:w="2322" w:type="dxa"/>
          </w:tcPr>
          <w:p w:rsidR="00AC0832" w:rsidRDefault="00AC0832">
            <w:pPr>
              <w:pStyle w:val="CellColumnSmall"/>
            </w:pPr>
            <w:r>
              <w:t>87,1</w:t>
            </w:r>
          </w:p>
        </w:tc>
      </w:tr>
      <w:tr w:rsidR="00AC0832" w:rsidTr="00BE20ED">
        <w:trPr>
          <w:jc w:val="center"/>
        </w:trPr>
        <w:tc>
          <w:tcPr>
            <w:tcW w:w="2322" w:type="dxa"/>
          </w:tcPr>
          <w:p w:rsidR="00AC0832" w:rsidRDefault="00AC0832">
            <w:pPr>
              <w:pStyle w:val="CellColumnSmall"/>
            </w:pPr>
            <w:r>
              <w:t>3606-ZAŠTITA ZDRAVLJA I SIGURNOST RADNIKA</w:t>
            </w:r>
          </w:p>
        </w:tc>
        <w:tc>
          <w:tcPr>
            <w:tcW w:w="2322" w:type="dxa"/>
          </w:tcPr>
          <w:p w:rsidR="00AC0832" w:rsidRDefault="00AC0832">
            <w:pPr>
              <w:pStyle w:val="CellColumnSmall"/>
            </w:pPr>
            <w:r>
              <w:t>9.000.400</w:t>
            </w:r>
          </w:p>
        </w:tc>
        <w:tc>
          <w:tcPr>
            <w:tcW w:w="2322" w:type="dxa"/>
          </w:tcPr>
          <w:p w:rsidR="00AC0832" w:rsidRDefault="00AC0832">
            <w:pPr>
              <w:pStyle w:val="CellColumnSmall"/>
            </w:pPr>
            <w:r>
              <w:t>9.000.400</w:t>
            </w:r>
          </w:p>
        </w:tc>
        <w:tc>
          <w:tcPr>
            <w:tcW w:w="2322" w:type="dxa"/>
          </w:tcPr>
          <w:p w:rsidR="00AC0832" w:rsidRDefault="00AC0832">
            <w:pPr>
              <w:pStyle w:val="CellColumnSmall"/>
            </w:pPr>
            <w:r>
              <w:t>100,0</w:t>
            </w:r>
          </w:p>
        </w:tc>
      </w:tr>
    </w:tbl>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pStyle w:val="Heading4"/>
      </w:pPr>
      <w:r>
        <w:t>OBRAZLOŽENJE PROGRAMA</w:t>
      </w:r>
    </w:p>
    <w:p w:rsidR="00AC0832" w:rsidRDefault="00AC0832">
      <w:pPr>
        <w:pStyle w:val="Heading5"/>
      </w:pPr>
      <w:r>
        <w:t>3601 ZAŠTITA, OČUVANJE I UNAPREĐENJE ZDRAVLJA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3601-ZAŠTITA, OČUVANJE I UNAPREĐENJE ZDRAVLJA</w:t>
            </w:r>
          </w:p>
        </w:tc>
        <w:tc>
          <w:tcPr>
            <w:tcW w:w="2322" w:type="dxa"/>
          </w:tcPr>
          <w:p w:rsidR="00AC0832" w:rsidRDefault="00AC0832">
            <w:pPr>
              <w:pStyle w:val="CellColumn"/>
            </w:pPr>
            <w:r>
              <w:t>106.435.435</w:t>
            </w:r>
          </w:p>
        </w:tc>
        <w:tc>
          <w:tcPr>
            <w:tcW w:w="2322" w:type="dxa"/>
          </w:tcPr>
          <w:p w:rsidR="00AC0832" w:rsidRDefault="00AC0832">
            <w:pPr>
              <w:pStyle w:val="CellColumn"/>
            </w:pPr>
            <w:r>
              <w:t>100.364.885</w:t>
            </w:r>
          </w:p>
        </w:tc>
        <w:tc>
          <w:tcPr>
            <w:tcW w:w="2322" w:type="dxa"/>
          </w:tcPr>
          <w:p w:rsidR="00AC0832" w:rsidRDefault="00AC0832">
            <w:pPr>
              <w:pStyle w:val="CellColumn"/>
            </w:pPr>
            <w:r>
              <w:t>94,3</w:t>
            </w:r>
          </w:p>
        </w:tc>
      </w:tr>
    </w:tbl>
    <w:p w:rsidR="00AC0832" w:rsidRDefault="00AC0832">
      <w:pPr>
        <w:jc w:val="left"/>
      </w:pPr>
    </w:p>
    <w:p w:rsidR="00AC0832" w:rsidRDefault="00AC0832">
      <w:pPr>
        <w:pStyle w:val="Heading6"/>
      </w:pPr>
      <w:r>
        <w:t>Opis programa</w:t>
      </w:r>
    </w:p>
    <w:p w:rsidR="00AC0832" w:rsidRDefault="00AC0832">
      <w:pPr>
        <w:pStyle w:val="Normal5"/>
      </w:pPr>
      <w:r>
        <w:t>Provedbom ovog programa ostvaruje se postizanje općeg cilja 1.1. Zaštita, očuvanje i unapređenje zdravlja te posebnih ciljeva 1.1.,1.2. i 1.3. definiranih u Strategiji Vladinih programa za razdoblje 2011 .-2013. U okviru programa provodio se niz aktivnosti unapređenja zdravstvenog sustava na sve tri razine zdravstvene djelatnosti s ciljem očuvanja i unapređenja zdravlja cjelokupne populacije i osiguranja pravodobnog pristupa kvalitetnoj zdravstvenoj skrbi koja uključuje niz aktivnosti na sprječavanju bolesti, sprječavanju profesionalnih bolesti, edukaciji o zdravlju, ranom prepoznavanju rizika bolesti, liječenju i rehabilitaciji bolesnih. Ministarstvo je provodilo niz aktivnosti usmjerenih na povećanje broja donatora i unapređenje transplantacijskog programa, uključujući suradnju i članstvo u međunarodnim organizacijama i registrima. Također se provodi edukacija zdravstvenih djelatnika i javnosti, unapređenje opremljenosti zdravstvenih ustanova za provođenje transplantacijskog programa, unaprjeđenje kvalitete i osiguravanja standarda u skladu s zahtjevima EU direktiva.</w:t>
      </w:r>
    </w:p>
    <w:p w:rsidR="00AC0832" w:rsidRDefault="00AC0832">
      <w:pPr>
        <w:pStyle w:val="Heading6"/>
      </w:pPr>
      <w:r>
        <w:t>Zakonske i druge pravne osnove</w:t>
      </w:r>
    </w:p>
    <w:p w:rsidR="00AC0832" w:rsidRDefault="00AC0832">
      <w:pPr>
        <w:pStyle w:val="Normal5"/>
      </w:pPr>
      <w:r>
        <w:t>Nacionalna strategija razvoja zdravstva 2012- 2020., Zakon o zdravstvenoj zaštiti, Zakon o zdravstvenom osiguranju, Zakon o lijekovima i medicinskim proizvodima, Zakon o   zaštiti pučanstva od zaraznih bolesti, Rezolucija o poticanju presađivanja organa u  Republici Hrvatskoj, Zakon o uzimanju i presađivanju dijelova tijela u svrhu liječenja, Ugovor o suradnji između Ministarstva i Međunarodne zaklade Eurotransplant (Eurotransplant International Foundation), Zakon o medicinskoj oplodnji, Zakon o liječništvu, Zakon o ljekarništvu, Zakon o stomatologiji, Zakon o medicinsko-biokemijskoj djelatnosti, Zakon o fizioterapeutskoj djelatnosti, Zakon o primaljstvu,  Zakon o djelatnostima u zdravstvu, Zakon o krvi i krvnim pripravcima, Zakon o zaštiti prava pacijenata, Akcijski plan za usklađivanje zakonodavstva i stvaranje potrebnih kapaciteta za usvajanje i provedbu pravne stečevine Europske Unije, Zakon o suzbijanju zlouporabe opojnih droga, Nacionalna strategija suzbijanja zloupotrebe opojnih droga 2006.- 2013. godine, Akcijski plan suzbijanja zlouporabe opojnih droga od 2009.-2013. godine, Zakon o ograničavanju uporabe duhanskih proizvoda, Zakon o zaštiti osoba s duševnim smetnjama, Zakon o zaštiti i spašavanju, Zakon o potvrđivanju Memoranduma o razumijevanju između Republike Hrvatske i Europske zajednice o sudjelovanju Republike Hrvatske u Drugom programu aktivnosti zajednice u području zdravstva (2008. - 2013.), Nacionalni plan za suzbijanje trgovanja ljudima za razdoblje 2012.-2015.,  Zakon o zaštiti na radu, Nacionalni plan zaštite na radu, Akcijski plan za prevenciju i smanjenje prekomjerne tjelesne težine 2010-2012., Nacionalni program za suzbijanje HIV/AIDS-a 2011.-2015., Nacionalni program za kontrolu otpornosti bakterija na antibiotike 2009.-2014., Zakon o Hrvatskom Crvenom križu, Zakon o udrugama,  Nacionalni plan aktivnosti za prava i interese djece 2006.-2012. godine, Nacionalni program za Rome, Akcijski plan desetljeća za Rome, Nacionalna strategija izjednačavanja mogućnosti za osobe s invaliditetom, Nacionalni program ranog otkrivanja raka dojke, Nacionalni program ranog otkrivanja raka debelog crijeva, Nacionalni program ranog otkrivanja raka vrata maternice, Nacionalni program prevencije šećerne bolesti.</w:t>
      </w:r>
    </w:p>
    <w:p w:rsidR="00AC0832" w:rsidRDefault="00AC0832">
      <w:pPr>
        <w:pStyle w:val="Heading7"/>
      </w:pPr>
      <w:r>
        <w:t xml:space="preserve">Cilj 1. Zaštita, očuvanje i unapređenje zdravlja </w:t>
      </w:r>
    </w:p>
    <w:p w:rsidR="00AC0832" w:rsidRDefault="00AC0832">
      <w:pPr>
        <w:pStyle w:val="Heading8"/>
        <w:jc w:val="left"/>
      </w:pPr>
      <w:r>
        <w:t>Opis provedbe cilja programa</w:t>
      </w:r>
    </w:p>
    <w:p w:rsidR="00AC0832" w:rsidRDefault="00AC0832">
      <w:pPr>
        <w:pStyle w:val="Normal6"/>
      </w:pPr>
      <w:r>
        <w:t xml:space="preserve">Očuvanje i unapređenje zdravlja cjelokupnog stanovništva, koristeći znanstveno utemeljene programe sprečavanja i suzbijanja bolesti te promicanja zdravlja predstavljaju glavne aktivnosti usmjerene zaštiti, očuvanju i unapređenju zdravlja stanovništva. Cilj je unaprijediti zdravstveni sustav tako da osiguravanjem pravodobnog pristupa zdravstvenim uslugama zadovolji potrebe građana Republike Hrvatske za kvalitetnom stručno-medicinskom zdravstvenom zaštitom koja obuhvaća sprječavanje bolesti, sprječavanje profesionalnih bolesti, edukaciju o zdravlju, ranom prepoznavanju rizika bolesti te liječenje i rehabilitaciju bolesnih. U okviru navedenog cilja veliki dio aktivnosti je bio usmjeren na osjetljive dobne skupine, djecu, žene i osobe starije životne dobi, osobe s posebnim potrebama te zaštitu zdravlja radno aktivnog i radno sposobnog stanovništva. Javnozdravstveni interes ostvaruje se provedbom mjera i postupaka koji su usmjereni na zaštitu zdravlja stanovništva određenog područja ili cijele države u suradnji sa stručnim društvima i udrugama pacijenata. Značajne aktivnosti odnosile su se i na pripremu i provedbu programa i projekata iz programa Europske unije i ostalih oblika međunarodne pomoći, kao i na poslove kojise odnose na sudjelovanje Republike Hrvatske u zajedničkim aktivnostima zaštite zdravlja na razini EU. </w:t>
      </w:r>
    </w:p>
    <w:p w:rsidR="00AC0832" w:rsidRDefault="00AC0832">
      <w:pPr>
        <w:pStyle w:val="Normal6"/>
      </w:pPr>
      <w:r>
        <w:t xml:space="preserve">* Blagi porast stopa mortaliteta rezultat je porasta  dijela populacije starije od 65 godina, a drugim  dijelom rezultat je otkrivanja karcinoma u okviru preventivnih programa uglavnom u kasnijim fazama bolesti. Ujedno je odaziv na preventivne programe još uvijek manji od očekivanog. Učinak nacionalnih preventivnih programa očekuje se  tek u narednim godinama. Epidemiološke trendovi ne promatraju se izolirano niti  u kratkim  vremenskim periodima. </w:t>
      </w:r>
    </w:p>
    <w:p w:rsidR="00AC0832" w:rsidRDefault="00AC0832">
      <w:pPr>
        <w:pStyle w:val="Normal6"/>
      </w:pPr>
      <w:r>
        <w:t xml:space="preserve">** podaci se prikupljaju na godišnjoj razini  te se podaci za prethodnu godinu objavljuju u rujnu slijedeće godine </w:t>
      </w:r>
    </w:p>
    <w:p w:rsidR="00AC0832" w:rsidRDefault="00AC0832">
      <w:pPr>
        <w:pStyle w:val="Normal6"/>
      </w:pPr>
      <w:r>
        <w:t>*** Ukupna Lista čekanja na transplantacije je smanjena za 38,5% ( i na dan 31.12. je bilo 224 ljudi)  u periodu od stupanja u članstvo Eurotransplanta 2007. pa do kraja 2012.</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666"/>
        <w:gridCol w:w="1384"/>
        <w:gridCol w:w="1334"/>
        <w:gridCol w:w="1052"/>
        <w:gridCol w:w="1103"/>
        <w:gridCol w:w="136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smanjenje čekanja za 10 zdravstvenih usluga za koje postoji lista čekanja</w:t>
            </w:r>
          </w:p>
        </w:tc>
        <w:tc>
          <w:tcPr>
            <w:tcW w:w="1300" w:type="dxa"/>
          </w:tcPr>
          <w:p w:rsidR="00AC0832" w:rsidRDefault="00AC0832">
            <w:pPr>
              <w:pStyle w:val="CellColumn"/>
            </w:pPr>
            <w:r>
              <w:t>djelatnost zdravstvene zaštite provodi se na razini primarne, sekundarne, tercijarne zdravstvene zaštite i razini zdravstvenih zavoda u okviru Mreže javne zdravstvene službe, u svrhu osiguranja jednake i pravovremene dostupnosti zdravstvene zaštite</w:t>
            </w:r>
          </w:p>
        </w:tc>
        <w:tc>
          <w:tcPr>
            <w:tcW w:w="1300" w:type="dxa"/>
          </w:tcPr>
          <w:p w:rsidR="00AC0832" w:rsidRDefault="00AC0832">
            <w:pPr>
              <w:pStyle w:val="CellColumn"/>
            </w:pPr>
            <w:r>
              <w:t>prosječan broj dana čekanja</w:t>
            </w:r>
          </w:p>
        </w:tc>
        <w:tc>
          <w:tcPr>
            <w:tcW w:w="1300" w:type="dxa"/>
          </w:tcPr>
          <w:p w:rsidR="00AC0832" w:rsidRDefault="00AC0832">
            <w:pPr>
              <w:pStyle w:val="CellColumn"/>
            </w:pPr>
            <w:r>
              <w:t>radioterapijski postupci</w:t>
            </w:r>
            <w:r>
              <w:tab/>
              <w:t xml:space="preserve">45 </w:t>
            </w:r>
          </w:p>
          <w:p w:rsidR="00AC0832" w:rsidRDefault="00AC0832">
            <w:pPr>
              <w:pStyle w:val="CellColumn"/>
            </w:pPr>
            <w:r>
              <w:t>CT</w:t>
            </w:r>
            <w:r>
              <w:tab/>
              <w:t xml:space="preserve">57 </w:t>
            </w:r>
          </w:p>
          <w:p w:rsidR="00AC0832" w:rsidRDefault="00AC0832">
            <w:pPr>
              <w:pStyle w:val="CellColumn"/>
            </w:pPr>
            <w:r>
              <w:t>MR</w:t>
            </w:r>
            <w:r>
              <w:tab/>
              <w:t xml:space="preserve">138 </w:t>
            </w:r>
          </w:p>
          <w:p w:rsidR="00AC0832" w:rsidRDefault="00AC0832">
            <w:pPr>
              <w:pStyle w:val="CellColumn"/>
            </w:pPr>
            <w:r>
              <w:t>UZV srca</w:t>
            </w:r>
            <w:r>
              <w:tab/>
              <w:t xml:space="preserve">132 </w:t>
            </w:r>
          </w:p>
          <w:p w:rsidR="00AC0832" w:rsidRDefault="00AC0832">
            <w:pPr>
              <w:pStyle w:val="CellColumn"/>
            </w:pPr>
            <w:r>
              <w:t>UZV dojke</w:t>
            </w:r>
            <w:r>
              <w:tab/>
              <w:t xml:space="preserve">126 </w:t>
            </w:r>
          </w:p>
          <w:p w:rsidR="00AC0832" w:rsidRDefault="00AC0832">
            <w:pPr>
              <w:pStyle w:val="CellColumn"/>
            </w:pPr>
            <w:r>
              <w:t>Holter</w:t>
            </w:r>
            <w:r>
              <w:tab/>
              <w:t xml:space="preserve">94 </w:t>
            </w:r>
          </w:p>
          <w:p w:rsidR="00AC0832" w:rsidRDefault="00AC0832">
            <w:pPr>
              <w:pStyle w:val="CellColumn"/>
            </w:pPr>
            <w:r>
              <w:t>ugradnja endoproteze kuka</w:t>
            </w:r>
            <w:r>
              <w:tab/>
              <w:t xml:space="preserve">236 </w:t>
            </w:r>
          </w:p>
          <w:p w:rsidR="00AC0832" w:rsidRDefault="00AC0832">
            <w:pPr>
              <w:pStyle w:val="CellColumn"/>
            </w:pPr>
            <w:r>
              <w:t>ugradnja endoproteze koljena</w:t>
            </w:r>
            <w:r>
              <w:tab/>
              <w:t xml:space="preserve">249 </w:t>
            </w:r>
          </w:p>
          <w:p w:rsidR="00AC0832" w:rsidRDefault="00AC0832">
            <w:pPr>
              <w:pStyle w:val="CellColumn"/>
            </w:pPr>
            <w:r>
              <w:t>kolonoskopija</w:t>
            </w:r>
            <w:r>
              <w:tab/>
              <w:t xml:space="preserve">101 </w:t>
            </w:r>
          </w:p>
          <w:p w:rsidR="00AC0832" w:rsidRDefault="00AC0832">
            <w:pPr>
              <w:pStyle w:val="CellColumn"/>
            </w:pPr>
            <w:r>
              <w:t>gastroskopija</w:t>
            </w:r>
            <w:r>
              <w:tab/>
              <w:t>55</w:t>
            </w:r>
          </w:p>
        </w:tc>
        <w:tc>
          <w:tcPr>
            <w:tcW w:w="1300" w:type="dxa"/>
          </w:tcPr>
          <w:p w:rsidR="00AC0832" w:rsidRDefault="00AC0832">
            <w:pPr>
              <w:pStyle w:val="CellColumn"/>
            </w:pPr>
            <w:r>
              <w:t>MZ</w:t>
            </w:r>
          </w:p>
        </w:tc>
        <w:tc>
          <w:tcPr>
            <w:tcW w:w="1300" w:type="dxa"/>
          </w:tcPr>
          <w:p w:rsidR="00AC0832" w:rsidRDefault="00AC0832">
            <w:pPr>
              <w:pStyle w:val="CellColumn"/>
            </w:pPr>
            <w:r>
              <w:t>↓10%</w:t>
            </w:r>
          </w:p>
        </w:tc>
        <w:tc>
          <w:tcPr>
            <w:tcW w:w="1300" w:type="dxa"/>
          </w:tcPr>
          <w:p w:rsidR="00AC0832" w:rsidRDefault="00AC0832">
            <w:pPr>
              <w:pStyle w:val="CellColumn"/>
            </w:pPr>
            <w:r>
              <w:t>↓16,7%</w:t>
            </w:r>
          </w:p>
        </w:tc>
      </w:tr>
      <w:tr w:rsidR="00AC0832" w:rsidTr="00BE20ED">
        <w:trPr>
          <w:jc w:val="center"/>
        </w:trPr>
        <w:tc>
          <w:tcPr>
            <w:tcW w:w="1300" w:type="dxa"/>
          </w:tcPr>
          <w:p w:rsidR="00AC0832" w:rsidRDefault="00AC0832">
            <w:pPr>
              <w:pStyle w:val="CellColumn"/>
            </w:pPr>
            <w:r>
              <w:t>povećanje zadovoljstva pacijenata korištenjem zdravstvene zaštite</w:t>
            </w:r>
          </w:p>
        </w:tc>
        <w:tc>
          <w:tcPr>
            <w:tcW w:w="1300" w:type="dxa"/>
          </w:tcPr>
          <w:p w:rsidR="00AC0832" w:rsidRDefault="00AC0832">
            <w:pPr>
              <w:pStyle w:val="CellColumn"/>
            </w:pPr>
            <w:r>
              <w:t>mjerama za ostvarivanje kvalitete zdravstvene zaštite osigurati će se provedba načela učinkovitosti i djelotvornosti sustava kvalitete zdravstvenih postupaka na svim razinama zdravstvene zaštite, osigurati će se načelo orijentiranosti prema pacijentu kao i načelo sigurnosti pacijenta</w:t>
            </w:r>
          </w:p>
        </w:tc>
        <w:tc>
          <w:tcPr>
            <w:tcW w:w="1300" w:type="dxa"/>
          </w:tcPr>
          <w:p w:rsidR="00AC0832" w:rsidRDefault="00AC0832">
            <w:pPr>
              <w:pStyle w:val="CellColumn"/>
            </w:pPr>
            <w:r>
              <w:t>broj bodova na skali Euro Health Consumer Indexa</w:t>
            </w:r>
          </w:p>
        </w:tc>
        <w:tc>
          <w:tcPr>
            <w:tcW w:w="1300" w:type="dxa"/>
          </w:tcPr>
          <w:p w:rsidR="00AC0832" w:rsidRDefault="00AC0832">
            <w:pPr>
              <w:pStyle w:val="CellColumn"/>
            </w:pPr>
            <w:r>
              <w:t>628 (2009.)</w:t>
            </w:r>
          </w:p>
        </w:tc>
        <w:tc>
          <w:tcPr>
            <w:tcW w:w="1300" w:type="dxa"/>
          </w:tcPr>
          <w:p w:rsidR="00AC0832" w:rsidRDefault="00AC0832">
            <w:pPr>
              <w:pStyle w:val="CellColumn"/>
            </w:pPr>
            <w:r>
              <w:t>Euro Health Consumer Indeks</w:t>
            </w:r>
          </w:p>
        </w:tc>
        <w:tc>
          <w:tcPr>
            <w:tcW w:w="1300" w:type="dxa"/>
          </w:tcPr>
          <w:p w:rsidR="00AC0832" w:rsidRDefault="00AC0832">
            <w:pPr>
              <w:pStyle w:val="CellColumn"/>
            </w:pPr>
            <w:r>
              <w:t xml:space="preserve">Napredak za 3  </w:t>
            </w:r>
          </w:p>
          <w:p w:rsidR="00AC0832" w:rsidRDefault="00AC0832">
            <w:pPr>
              <w:pStyle w:val="CellColumn"/>
            </w:pPr>
            <w:r>
              <w:t>boda</w:t>
            </w:r>
          </w:p>
        </w:tc>
        <w:tc>
          <w:tcPr>
            <w:tcW w:w="1300" w:type="dxa"/>
          </w:tcPr>
          <w:p w:rsidR="00AC0832" w:rsidRDefault="00AC0832">
            <w:pPr>
              <w:pStyle w:val="CellColumn"/>
            </w:pPr>
            <w:r>
              <w:t>655(2012)</w:t>
            </w:r>
          </w:p>
        </w:tc>
      </w:tr>
      <w:tr w:rsidR="00AC0832" w:rsidTr="00BE20ED">
        <w:trPr>
          <w:jc w:val="center"/>
        </w:trPr>
        <w:tc>
          <w:tcPr>
            <w:tcW w:w="1300" w:type="dxa"/>
          </w:tcPr>
          <w:p w:rsidR="00AC0832" w:rsidRDefault="00AC0832">
            <w:pPr>
              <w:pStyle w:val="CellColumn"/>
            </w:pPr>
            <w:r>
              <w:t>smanjenje smrtnosti od najčešćih sijela raka</w:t>
            </w:r>
          </w:p>
        </w:tc>
        <w:tc>
          <w:tcPr>
            <w:tcW w:w="1300" w:type="dxa"/>
          </w:tcPr>
          <w:p w:rsidR="00AC0832" w:rsidRDefault="00AC0832">
            <w:pPr>
              <w:pStyle w:val="CellColumn"/>
            </w:pPr>
            <w:r>
              <w:t>praćenje zdravstveno-statističkih pokazatelja  ukazuje na stanje zdravlja i odstupanje od zdravlja populacije kao osnovu za usmjeravanje potrebnih javnozdravstvenih mjera usmjerenih zaštiti, očuvanju i unapređenju zdravlja; a veliki dio aktivnosti biti će usmjeren na osjetljive dobne skupine, djecu i osobe starije životne dobi te osobe s posebnim potrebama</w:t>
            </w:r>
          </w:p>
        </w:tc>
        <w:tc>
          <w:tcPr>
            <w:tcW w:w="1300" w:type="dxa"/>
          </w:tcPr>
          <w:p w:rsidR="00AC0832" w:rsidRDefault="00AC0832">
            <w:pPr>
              <w:pStyle w:val="CellColumn"/>
            </w:pPr>
            <w:r>
              <w:t>ukupna stopa mortaliteta od raka</w:t>
            </w:r>
          </w:p>
        </w:tc>
        <w:tc>
          <w:tcPr>
            <w:tcW w:w="1300" w:type="dxa"/>
          </w:tcPr>
          <w:p w:rsidR="00AC0832" w:rsidRDefault="00AC0832">
            <w:pPr>
              <w:pStyle w:val="CellColumn"/>
            </w:pPr>
            <w:r>
              <w:t>304,71(2009)</w:t>
            </w:r>
          </w:p>
        </w:tc>
        <w:tc>
          <w:tcPr>
            <w:tcW w:w="1300" w:type="dxa"/>
          </w:tcPr>
          <w:p w:rsidR="00AC0832" w:rsidRDefault="00AC0832">
            <w:pPr>
              <w:pStyle w:val="CellColumn"/>
            </w:pPr>
            <w:r>
              <w:t>HZJZ</w:t>
            </w:r>
          </w:p>
        </w:tc>
        <w:tc>
          <w:tcPr>
            <w:tcW w:w="1300" w:type="dxa"/>
          </w:tcPr>
          <w:p w:rsidR="00AC0832" w:rsidRDefault="00AC0832">
            <w:pPr>
              <w:pStyle w:val="CellColumn"/>
            </w:pPr>
            <w:r>
              <w:t>bez promjene</w:t>
            </w:r>
          </w:p>
        </w:tc>
        <w:tc>
          <w:tcPr>
            <w:tcW w:w="1300" w:type="dxa"/>
          </w:tcPr>
          <w:p w:rsidR="00AC0832" w:rsidRDefault="00AC0832">
            <w:pPr>
              <w:pStyle w:val="CellColumn"/>
            </w:pPr>
            <w:r>
              <w:t xml:space="preserve">299,3(2008) </w:t>
            </w:r>
          </w:p>
          <w:p w:rsidR="00AC0832" w:rsidRDefault="00AC0832">
            <w:pPr>
              <w:pStyle w:val="CellColumn"/>
            </w:pPr>
            <w:r>
              <w:t xml:space="preserve">304,71(2009)* </w:t>
            </w:r>
          </w:p>
          <w:p w:rsidR="00AC0832" w:rsidRDefault="00AC0832">
            <w:pPr>
              <w:pStyle w:val="CellColumn"/>
            </w:pPr>
            <w:r>
              <w:t xml:space="preserve">310,07(2010)* </w:t>
            </w:r>
          </w:p>
          <w:p w:rsidR="00AC0832" w:rsidRDefault="00AC0832">
            <w:pPr>
              <w:pStyle w:val="CellColumn"/>
            </w:pPr>
            <w:r>
              <w:t>314,84(2011)*</w:t>
            </w:r>
          </w:p>
        </w:tc>
      </w:tr>
      <w:tr w:rsidR="00AC0832" w:rsidTr="00BE20ED">
        <w:trPr>
          <w:jc w:val="center"/>
        </w:trPr>
        <w:tc>
          <w:tcPr>
            <w:tcW w:w="1300" w:type="dxa"/>
          </w:tcPr>
          <w:p w:rsidR="00AC0832" w:rsidRDefault="00AC0832">
            <w:pPr>
              <w:pStyle w:val="CellColumn"/>
            </w:pPr>
            <w:r>
              <w:t>održavanje pojavnosti zaraznih i nezaraznih bolesti s ciljem neprelaska u višu kategoriju</w:t>
            </w:r>
          </w:p>
        </w:tc>
        <w:tc>
          <w:tcPr>
            <w:tcW w:w="1300" w:type="dxa"/>
          </w:tcPr>
          <w:p w:rsidR="00AC0832" w:rsidRDefault="00AC0832">
            <w:pPr>
              <w:pStyle w:val="CellColumn"/>
            </w:pPr>
            <w:r>
              <w:t>ukazuje na stanje zdravlja i odstupanje od zdravlja populacije kao osnovu za usmjeravanje potrebnih javnozdravstvenih mjera usmjerenih zaštiti, očuvanju i unapređenju zdravlja; a veliki dio aktivnosti biti će usmjeren na osjetljive dobne skupine, djecu i osobe starije životne dobi te osobe s posebnim potrebama</w:t>
            </w:r>
          </w:p>
        </w:tc>
        <w:tc>
          <w:tcPr>
            <w:tcW w:w="1300" w:type="dxa"/>
          </w:tcPr>
          <w:p w:rsidR="00AC0832" w:rsidRDefault="00AC0832">
            <w:pPr>
              <w:pStyle w:val="CellColumn"/>
            </w:pPr>
            <w:r>
              <w:t>opisno</w:t>
            </w:r>
          </w:p>
        </w:tc>
        <w:tc>
          <w:tcPr>
            <w:tcW w:w="1300" w:type="dxa"/>
          </w:tcPr>
          <w:p w:rsidR="00AC0832" w:rsidRDefault="00AC0832">
            <w:pPr>
              <w:pStyle w:val="CellColumn"/>
            </w:pPr>
            <w:r>
              <w:t>podaci iz Hrvatskog zdravstveno-statističkog ljetopisa za 2009. godinu</w:t>
            </w:r>
          </w:p>
        </w:tc>
        <w:tc>
          <w:tcPr>
            <w:tcW w:w="1300" w:type="dxa"/>
          </w:tcPr>
          <w:p w:rsidR="00AC0832" w:rsidRDefault="00AC0832">
            <w:pPr>
              <w:pStyle w:val="CellColumn"/>
            </w:pPr>
            <w:r>
              <w:t>HZJZ</w:t>
            </w:r>
          </w:p>
        </w:tc>
        <w:tc>
          <w:tcPr>
            <w:tcW w:w="1300" w:type="dxa"/>
          </w:tcPr>
          <w:p w:rsidR="00AC0832" w:rsidRDefault="00AC0832">
            <w:pPr>
              <w:pStyle w:val="CellColumn"/>
            </w:pPr>
            <w:r>
              <w:t>održavanje postojećeg stanja ili prelazak u nižu kategoriju</w:t>
            </w:r>
          </w:p>
        </w:tc>
        <w:tc>
          <w:tcPr>
            <w:tcW w:w="1300" w:type="dxa"/>
          </w:tcPr>
          <w:p w:rsidR="00AC0832" w:rsidRDefault="00AC0832">
            <w:pPr>
              <w:pStyle w:val="CellColumn"/>
            </w:pPr>
            <w:r>
              <w:t>Podaci iz Hrvatskog zdravstveno statističkog ljetopisa za 2011. godinu**</w:t>
            </w:r>
          </w:p>
        </w:tc>
      </w:tr>
      <w:tr w:rsidR="00AC0832" w:rsidTr="00BE20ED">
        <w:trPr>
          <w:jc w:val="center"/>
        </w:trPr>
        <w:tc>
          <w:tcPr>
            <w:tcW w:w="1300" w:type="dxa"/>
          </w:tcPr>
          <w:p w:rsidR="00AC0832" w:rsidRDefault="00AC0832">
            <w:pPr>
              <w:pStyle w:val="CellColumn"/>
            </w:pPr>
            <w:r>
              <w:t>Održivost  broja darivatelja organa na razini iznad 120 godišnje</w:t>
            </w:r>
          </w:p>
        </w:tc>
        <w:tc>
          <w:tcPr>
            <w:tcW w:w="1300" w:type="dxa"/>
          </w:tcPr>
          <w:p w:rsidR="00AC0832" w:rsidRDefault="00AC0832">
            <w:pPr>
              <w:pStyle w:val="CellColumn"/>
            </w:pPr>
            <w:r>
              <w:t>rezultat provedbe Nacionalnog transplantacijskog programa pratiti će se broj realiziranih donora na milijun stanovnika kao indikator uspješnosti sustava za prikupljanje organa (prihvaćen od Vijeća Europe za praćenje i usporedbu statistike o darivanju</w:t>
            </w:r>
          </w:p>
        </w:tc>
        <w:tc>
          <w:tcPr>
            <w:tcW w:w="1300" w:type="dxa"/>
          </w:tcPr>
          <w:p w:rsidR="00AC0832" w:rsidRDefault="00AC0832">
            <w:pPr>
              <w:pStyle w:val="CellColumn"/>
            </w:pPr>
            <w:r>
              <w:t>Broj realiziranih darivatelja organa na godinu</w:t>
            </w:r>
          </w:p>
        </w:tc>
        <w:tc>
          <w:tcPr>
            <w:tcW w:w="1300" w:type="dxa"/>
          </w:tcPr>
          <w:p w:rsidR="00AC0832" w:rsidRDefault="00AC0832">
            <w:pPr>
              <w:pStyle w:val="CellColumn"/>
            </w:pPr>
            <w:r>
              <w:t>120</w:t>
            </w:r>
          </w:p>
        </w:tc>
        <w:tc>
          <w:tcPr>
            <w:tcW w:w="1300" w:type="dxa"/>
          </w:tcPr>
          <w:p w:rsidR="00AC0832" w:rsidRDefault="00AC0832">
            <w:pPr>
              <w:pStyle w:val="CellColumn"/>
            </w:pPr>
            <w:r>
              <w:t>MZ</w:t>
            </w:r>
          </w:p>
        </w:tc>
        <w:tc>
          <w:tcPr>
            <w:tcW w:w="1300" w:type="dxa"/>
          </w:tcPr>
          <w:p w:rsidR="00AC0832" w:rsidRDefault="00AC0832">
            <w:pPr>
              <w:pStyle w:val="CellColumn"/>
            </w:pPr>
            <w:r>
              <w:t>130</w:t>
            </w:r>
          </w:p>
        </w:tc>
        <w:tc>
          <w:tcPr>
            <w:tcW w:w="1300" w:type="dxa"/>
          </w:tcPr>
          <w:p w:rsidR="00AC0832" w:rsidRDefault="00AC0832">
            <w:pPr>
              <w:pStyle w:val="CellColumn"/>
            </w:pPr>
            <w:r>
              <w:t>147***</w:t>
            </w:r>
          </w:p>
        </w:tc>
      </w:tr>
      <w:tr w:rsidR="00AC0832" w:rsidTr="00BE20ED">
        <w:trPr>
          <w:jc w:val="center"/>
        </w:trPr>
        <w:tc>
          <w:tcPr>
            <w:tcW w:w="1300" w:type="dxa"/>
          </w:tcPr>
          <w:p w:rsidR="00AC0832" w:rsidRDefault="00AC0832">
            <w:pPr>
              <w:pStyle w:val="CellColumn"/>
            </w:pPr>
            <w:r>
              <w:t xml:space="preserve">Održivost broja </w:t>
            </w:r>
          </w:p>
          <w:p w:rsidR="00AC0832" w:rsidRDefault="00AC0832">
            <w:pPr>
              <w:pStyle w:val="CellColumn"/>
            </w:pPr>
            <w:r>
              <w:t>transplantacije bubrega iznad 200 godišnje</w:t>
            </w:r>
          </w:p>
        </w:tc>
        <w:tc>
          <w:tcPr>
            <w:tcW w:w="1300" w:type="dxa"/>
          </w:tcPr>
          <w:p w:rsidR="00AC0832" w:rsidRDefault="00AC0832">
            <w:pPr>
              <w:pStyle w:val="CellColumn"/>
            </w:pPr>
            <w:r>
              <w:t>pratit će se broj izvršenih transplantacija bubrega na milijun stanovnika (jedan je od prihvaćenih indikatora uspješnosti transplantacijskog sustava te je povezan s prethodnim indikatorom)</w:t>
            </w:r>
          </w:p>
        </w:tc>
        <w:tc>
          <w:tcPr>
            <w:tcW w:w="1300" w:type="dxa"/>
          </w:tcPr>
          <w:p w:rsidR="00AC0832" w:rsidRDefault="00AC0832">
            <w:pPr>
              <w:pStyle w:val="CellColumn"/>
            </w:pPr>
            <w:r>
              <w:t xml:space="preserve">Broj </w:t>
            </w:r>
          </w:p>
          <w:p w:rsidR="00AC0832" w:rsidRDefault="00AC0832">
            <w:pPr>
              <w:pStyle w:val="CellColumn"/>
            </w:pPr>
            <w:r>
              <w:t>transplantacije bubrega  na godinu</w:t>
            </w:r>
          </w:p>
        </w:tc>
        <w:tc>
          <w:tcPr>
            <w:tcW w:w="1300" w:type="dxa"/>
          </w:tcPr>
          <w:p w:rsidR="00AC0832" w:rsidRDefault="00AC0832">
            <w:pPr>
              <w:pStyle w:val="CellColumn"/>
            </w:pPr>
            <w:r>
              <w:t>200</w:t>
            </w:r>
          </w:p>
        </w:tc>
        <w:tc>
          <w:tcPr>
            <w:tcW w:w="1300" w:type="dxa"/>
          </w:tcPr>
          <w:p w:rsidR="00AC0832" w:rsidRDefault="00AC0832">
            <w:pPr>
              <w:pStyle w:val="CellColumn"/>
            </w:pPr>
            <w:r>
              <w:t>MZ</w:t>
            </w:r>
          </w:p>
        </w:tc>
        <w:tc>
          <w:tcPr>
            <w:tcW w:w="1300" w:type="dxa"/>
          </w:tcPr>
          <w:p w:rsidR="00AC0832" w:rsidRDefault="00AC0832">
            <w:pPr>
              <w:pStyle w:val="CellColumn"/>
            </w:pPr>
            <w:r>
              <w:t>41</w:t>
            </w:r>
          </w:p>
        </w:tc>
        <w:tc>
          <w:tcPr>
            <w:tcW w:w="1300" w:type="dxa"/>
          </w:tcPr>
          <w:p w:rsidR="00AC0832" w:rsidRDefault="00AC0832">
            <w:pPr>
              <w:pStyle w:val="CellColumn"/>
            </w:pPr>
            <w:r>
              <w:t>53***</w:t>
            </w:r>
          </w:p>
        </w:tc>
      </w:tr>
    </w:tbl>
    <w:p w:rsidR="00AC0832" w:rsidRDefault="00AC0832">
      <w:pPr>
        <w:jc w:val="left"/>
      </w:pPr>
    </w:p>
    <w:p w:rsidR="00AC0832" w:rsidRDefault="00AC0832">
      <w:pPr>
        <w:pStyle w:val="Heading6"/>
      </w:pPr>
      <w:r>
        <w:t>A734214 SURADNJA SA EUROTRANSPLANTOM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2279"/>
        <w:gridCol w:w="2279"/>
        <w:gridCol w:w="2291"/>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A734214-SURADNJA SA EUROTRANSPLANTOM</w:t>
            </w:r>
          </w:p>
        </w:tc>
        <w:tc>
          <w:tcPr>
            <w:tcW w:w="2322" w:type="dxa"/>
          </w:tcPr>
          <w:p w:rsidR="00AC0832" w:rsidRDefault="00AC0832">
            <w:pPr>
              <w:pStyle w:val="CellColumn"/>
            </w:pPr>
            <w:r>
              <w:t>3.270.000</w:t>
            </w:r>
          </w:p>
        </w:tc>
        <w:tc>
          <w:tcPr>
            <w:tcW w:w="2322" w:type="dxa"/>
          </w:tcPr>
          <w:p w:rsidR="00AC0832" w:rsidRDefault="00AC0832">
            <w:pPr>
              <w:pStyle w:val="CellColumn"/>
            </w:pPr>
            <w:r>
              <w:t>3.250.824</w:t>
            </w:r>
          </w:p>
        </w:tc>
        <w:tc>
          <w:tcPr>
            <w:tcW w:w="2322" w:type="dxa"/>
          </w:tcPr>
          <w:p w:rsidR="00AC0832" w:rsidRDefault="00AC0832">
            <w:pPr>
              <w:pStyle w:val="CellColumn"/>
            </w:pPr>
            <w:r>
              <w:t>99,4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2012. godini u odnosu na 2011. ostvaren  je jednak broj transplantacija ukupno 400 transplantacija  organa od toga  387 transplantacija s umrlih i 13 transplantacija s živih darivatelja. U odnosu na 2011. godinu povećan je broj transplantacija srca (14%) i jetre (5%),  nešto snižen broj transplantacija bubrega (-3%). </w:t>
      </w:r>
    </w:p>
    <w:p w:rsidR="00AC0832" w:rsidRDefault="00AC0832">
      <w:pPr>
        <w:pStyle w:val="Normal6"/>
      </w:pPr>
      <w:r>
        <w:t xml:space="preserve">Broj realiziranih darivatelja ostvaren  u 2012. iznosi 147 (34 na milijun stanovnika) što je povećanje u odnosu na 2011. od 3%. Broj stvarnih (actual) darivatelja iznosi 157 odnosno 36 na milijun stanovnika.  </w:t>
      </w:r>
    </w:p>
    <w:p w:rsidR="00AC0832" w:rsidRDefault="00AC0832">
      <w:pPr>
        <w:pStyle w:val="Normal6"/>
      </w:pPr>
      <w:r>
        <w:t xml:space="preserve">Lista čekanja na presađivanje organa smanjena je za 17 % u odnosu na prethodnu 2011. godinu.  </w:t>
      </w:r>
    </w:p>
    <w:p w:rsidR="00AC0832" w:rsidRDefault="00AC0832">
      <w:pPr>
        <w:pStyle w:val="Normal6"/>
      </w:pPr>
      <w:r>
        <w:t xml:space="preserve">No, ukupni rezultati postignuti u 2012. ostaju na razini rezultata iz 2011. godine koji su Republiku Hrvatsku pozicionirali u vodeću zemlju svijeta prema broju realiziranih darivatelja na milijun stanovnika. </w:t>
      </w:r>
    </w:p>
    <w:p w:rsidR="00AC0832" w:rsidRDefault="00AC0832">
      <w:pPr>
        <w:pStyle w:val="Normal6"/>
      </w:pPr>
      <w:r>
        <w:t xml:space="preserve">Uspješno je nastavljena međunarodna stručna suradnja i razmjena organa u okviru članstva u Eurotransplantu i rad Regionalnog zdravstvenog centra za razvoj donorskog i transplantacijskog programa u zemljama Jugoistočne Europe.  </w:t>
      </w:r>
    </w:p>
    <w:p w:rsidR="00AC0832" w:rsidRDefault="00AC0832">
      <w:pPr>
        <w:pStyle w:val="Normal6"/>
      </w:pPr>
      <w:r>
        <w:t xml:space="preserve">U području promotivnih aktivnosti  uspješno je realizirana kampanja  obilježavanja Europskog i Nacionalnog dana darivanja organa s ciljem podizanja svijesti o važnosti postmortalnog darivanja organa i tkiva.   </w:t>
      </w:r>
    </w:p>
    <w:p w:rsidR="00AC0832" w:rsidRDefault="00AC0832">
      <w:pPr>
        <w:pStyle w:val="Normal6"/>
      </w:pPr>
      <w:r>
        <w:t xml:space="preserve">Provedeno je usklađivanje zakonodavstva sa zahtjevima EU Direktiva, u prosincu 2012. Sabor je usvojio nove  Zakone: </w:t>
      </w:r>
    </w:p>
    <w:p w:rsidR="00AC0832" w:rsidRDefault="00AC0832">
      <w:pPr>
        <w:pStyle w:val="Normal6"/>
      </w:pPr>
      <w:r>
        <w:t xml:space="preserve">- Zakon o presađivanju ljudskih organa u svrhu liječenja („Narodne novine br. 144/12) </w:t>
      </w:r>
    </w:p>
    <w:p w:rsidR="00AC0832" w:rsidRDefault="00AC0832">
      <w:pPr>
        <w:pStyle w:val="Normal6"/>
      </w:pPr>
      <w:r>
        <w:t xml:space="preserve">- Zakon o primjeni ljudskih tkiva i stanica („Narodne novine br. 144/12) </w:t>
      </w:r>
    </w:p>
    <w:p w:rsidR="00AC0832" w:rsidRDefault="00AC0832">
      <w:pPr>
        <w:pStyle w:val="Normal6"/>
      </w:pPr>
      <w:r>
        <w:t xml:space="preserve"> </w:t>
      </w:r>
    </w:p>
    <w:p w:rsidR="00AC0832" w:rsidRDefault="00AC0832">
      <w:pPr>
        <w:pStyle w:val="Normal6"/>
      </w:pPr>
      <w:r>
        <w:t>Iz proračunskih sredstava u ovoj godini (5.465.000,00) za potrebe Registra (World Marroww Donor Association – WMDA) tipizirano je 5500 osoba.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7"/>
        <w:gridCol w:w="1506"/>
        <w:gridCol w:w="1236"/>
        <w:gridCol w:w="1258"/>
        <w:gridCol w:w="1252"/>
        <w:gridCol w:w="1258"/>
        <w:gridCol w:w="1271"/>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izvršenih transplantacija bubrega na milijun stanovnika (stopa)</w:t>
            </w:r>
          </w:p>
        </w:tc>
        <w:tc>
          <w:tcPr>
            <w:tcW w:w="1300" w:type="dxa"/>
          </w:tcPr>
          <w:p w:rsidR="00AC0832" w:rsidRDefault="00AC0832">
            <w:pPr>
              <w:pStyle w:val="CellColumn"/>
            </w:pPr>
            <w:r>
              <w:t>Pratiti će se broj izvršenih transplantacija bubrega na milijun stanovnika</w:t>
            </w:r>
          </w:p>
        </w:tc>
        <w:tc>
          <w:tcPr>
            <w:tcW w:w="1300" w:type="dxa"/>
          </w:tcPr>
          <w:p w:rsidR="00AC0832" w:rsidRDefault="00AC0832">
            <w:pPr>
              <w:pStyle w:val="CellColumn"/>
            </w:pPr>
            <w:r>
              <w:t>broj/mil.</w:t>
            </w:r>
          </w:p>
        </w:tc>
        <w:tc>
          <w:tcPr>
            <w:tcW w:w="1300" w:type="dxa"/>
          </w:tcPr>
          <w:p w:rsidR="00AC0832" w:rsidRDefault="00AC0832">
            <w:pPr>
              <w:pStyle w:val="CellColumn"/>
            </w:pPr>
            <w:r>
              <w:t>38,31</w:t>
            </w:r>
          </w:p>
        </w:tc>
        <w:tc>
          <w:tcPr>
            <w:tcW w:w="1300" w:type="dxa"/>
          </w:tcPr>
          <w:p w:rsidR="00AC0832" w:rsidRDefault="00AC0832">
            <w:pPr>
              <w:pStyle w:val="CellColumn"/>
            </w:pPr>
            <w:r>
              <w:t>MZ</w:t>
            </w:r>
          </w:p>
        </w:tc>
        <w:tc>
          <w:tcPr>
            <w:tcW w:w="1300" w:type="dxa"/>
          </w:tcPr>
          <w:p w:rsidR="00AC0832" w:rsidRDefault="00AC0832">
            <w:pPr>
              <w:pStyle w:val="CellColumn"/>
            </w:pPr>
            <w:r>
              <w:t>41</w:t>
            </w:r>
          </w:p>
        </w:tc>
        <w:tc>
          <w:tcPr>
            <w:tcW w:w="1300" w:type="dxa"/>
          </w:tcPr>
          <w:p w:rsidR="00AC0832" w:rsidRDefault="00AC0832">
            <w:pPr>
              <w:pStyle w:val="CellColumn"/>
            </w:pPr>
            <w:r>
              <w:t>53</w:t>
            </w:r>
          </w:p>
        </w:tc>
      </w:tr>
    </w:tbl>
    <w:p w:rsidR="00AC0832" w:rsidRDefault="00AC0832">
      <w:pPr>
        <w:jc w:val="left"/>
      </w:pPr>
    </w:p>
    <w:p w:rsidR="00AC0832" w:rsidRDefault="00AC0832">
      <w:pPr>
        <w:pStyle w:val="Heading6"/>
      </w:pPr>
      <w:r>
        <w:t>A795006 PREVENCIJA MALIGNIH BOLESTI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A795006-PREVENCIJA MALIGNIH BOLESTI</w:t>
            </w:r>
          </w:p>
        </w:tc>
        <w:tc>
          <w:tcPr>
            <w:tcW w:w="2322" w:type="dxa"/>
          </w:tcPr>
          <w:p w:rsidR="00AC0832" w:rsidRDefault="00AC0832">
            <w:pPr>
              <w:pStyle w:val="CellColumn"/>
            </w:pPr>
            <w:r>
              <w:t>14.555.600</w:t>
            </w:r>
          </w:p>
        </w:tc>
        <w:tc>
          <w:tcPr>
            <w:tcW w:w="2322" w:type="dxa"/>
          </w:tcPr>
          <w:p w:rsidR="00AC0832" w:rsidRDefault="00AC0832">
            <w:pPr>
              <w:pStyle w:val="CellColumn"/>
            </w:pPr>
            <w:r>
              <w:t>13.152.926</w:t>
            </w:r>
          </w:p>
        </w:tc>
        <w:tc>
          <w:tcPr>
            <w:tcW w:w="2322" w:type="dxa"/>
          </w:tcPr>
          <w:p w:rsidR="00AC0832" w:rsidRDefault="00AC0832">
            <w:pPr>
              <w:pStyle w:val="CellColumn"/>
            </w:pPr>
            <w:r>
              <w:t>90,4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Provodile su se aktivnosti na ranom otkrivanju malignih bolesti (rak debelog crijeva, rak dojke i započet je program ranog otkrivanja raka vrata maternice), a provođen je i pilot projekt ranog otkrivanja raka prostate. Naglasak je stavljen na promociju gore navedenih preventivnih programa s ciljem povećanja odaziva građana na iste. </w:t>
      </w:r>
    </w:p>
    <w:p w:rsidR="00AC0832" w:rsidRDefault="00AC0832">
      <w:pPr>
        <w:pStyle w:val="Normal6"/>
      </w:pPr>
      <w:r>
        <w:t xml:space="preserve"> </w:t>
      </w:r>
    </w:p>
    <w:p w:rsidR="00AC0832" w:rsidRDefault="00AC0832">
      <w:pPr>
        <w:pStyle w:val="Normal6"/>
      </w:pPr>
      <w:r>
        <w:t xml:space="preserve">* prikazani su rezultati drugog ciklusa koji je završio krajem 2010. godine. Treći ciklus je u tijeku, preliminarni rezultati se očekuju u 2014. godine </w:t>
      </w:r>
    </w:p>
    <w:p w:rsidR="00AC0832" w:rsidRDefault="00AC0832">
      <w:pPr>
        <w:pStyle w:val="Normal6"/>
      </w:pPr>
      <w:r>
        <w:t xml:space="preserve">** prikazan je preliminarni podatak iz prvog ciklusa, prikupljaju se i obrađuju završni podaci iz prvog ciklusa. Početak drugog ciklusa je tijekom 2013. godine </w:t>
      </w:r>
    </w:p>
    <w:p w:rsidR="00AC0832" w:rsidRDefault="00AC0832">
      <w:pPr>
        <w:pStyle w:val="Normal6"/>
      </w:pPr>
      <w:r>
        <w:t xml:space="preserve"> </w:t>
      </w:r>
    </w:p>
    <w:p w:rsidR="00AC0832" w:rsidRDefault="00AC0832">
      <w:pPr>
        <w:pStyle w:val="Normal6"/>
      </w:pPr>
      <w:r>
        <w:t>Mišljenja smo da se program provodi uspješno sa pozitivnim utjecajem na unapređenje dostupnosti zdravstvene zaštite, podizanje kvalitete zdravstvene zaštite i zaštitu javnozdravstvenog interesa provedbom mjera i postupaka usmjerenih na zaštitu zdravlja populacije određenog područja ili cijele države i provedbom zakonskih i drugih propisa u području nadležnosti Ministarstva zdravlja.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2"/>
        <w:gridCol w:w="1506"/>
        <w:gridCol w:w="1277"/>
        <w:gridCol w:w="1285"/>
        <w:gridCol w:w="1283"/>
        <w:gridCol w:w="1285"/>
        <w:gridCol w:w="129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odaziva žena na mamografski probir</w:t>
            </w:r>
          </w:p>
        </w:tc>
        <w:tc>
          <w:tcPr>
            <w:tcW w:w="1300" w:type="dxa"/>
          </w:tcPr>
          <w:p w:rsidR="00AC0832" w:rsidRDefault="00AC0832">
            <w:pPr>
              <w:pStyle w:val="CellColumn"/>
            </w:pPr>
            <w:r>
              <w:t>nastavak provedbe ranije započetih programa ranog otkrivanja raka i praćenja broja novootkrivenih malignih oboljenja po sijelima</w:t>
            </w:r>
          </w:p>
        </w:tc>
        <w:tc>
          <w:tcPr>
            <w:tcW w:w="1300" w:type="dxa"/>
          </w:tcPr>
          <w:p w:rsidR="00AC0832" w:rsidRDefault="00AC0832">
            <w:pPr>
              <w:pStyle w:val="CellColumn"/>
            </w:pPr>
            <w:r>
              <w:t>%</w:t>
            </w:r>
          </w:p>
        </w:tc>
        <w:tc>
          <w:tcPr>
            <w:tcW w:w="1300" w:type="dxa"/>
          </w:tcPr>
          <w:p w:rsidR="00AC0832" w:rsidRDefault="00AC0832">
            <w:pPr>
              <w:pStyle w:val="CellColumn"/>
            </w:pPr>
            <w:r>
              <w:t>58</w:t>
            </w:r>
          </w:p>
        </w:tc>
        <w:tc>
          <w:tcPr>
            <w:tcW w:w="1300" w:type="dxa"/>
          </w:tcPr>
          <w:p w:rsidR="00AC0832" w:rsidRDefault="00AC0832">
            <w:pPr>
              <w:pStyle w:val="CellColumn"/>
            </w:pPr>
            <w:r>
              <w:t>HZJZ</w:t>
            </w:r>
          </w:p>
        </w:tc>
        <w:tc>
          <w:tcPr>
            <w:tcW w:w="1300" w:type="dxa"/>
          </w:tcPr>
          <w:p w:rsidR="00AC0832" w:rsidRDefault="00AC0832">
            <w:pPr>
              <w:pStyle w:val="CellColumn"/>
            </w:pPr>
            <w:r>
              <w:t>65</w:t>
            </w:r>
          </w:p>
        </w:tc>
        <w:tc>
          <w:tcPr>
            <w:tcW w:w="1300" w:type="dxa"/>
          </w:tcPr>
          <w:p w:rsidR="00AC0832" w:rsidRDefault="00AC0832">
            <w:pPr>
              <w:pStyle w:val="CellColumn"/>
            </w:pPr>
            <w:r>
              <w:t>56*</w:t>
            </w:r>
          </w:p>
        </w:tc>
      </w:tr>
      <w:tr w:rsidR="00AC0832" w:rsidTr="00BE20ED">
        <w:trPr>
          <w:jc w:val="center"/>
        </w:trPr>
        <w:tc>
          <w:tcPr>
            <w:tcW w:w="1300" w:type="dxa"/>
          </w:tcPr>
          <w:p w:rsidR="00AC0832" w:rsidRDefault="00AC0832">
            <w:pPr>
              <w:pStyle w:val="CellColumn"/>
            </w:pPr>
            <w:r>
              <w:t>povećanje odaziva pozvanih na probir za testiranje nevidljivog krvarenja u stolici</w:t>
            </w:r>
          </w:p>
        </w:tc>
        <w:tc>
          <w:tcPr>
            <w:tcW w:w="1300" w:type="dxa"/>
          </w:tcPr>
          <w:p w:rsidR="00AC0832" w:rsidRDefault="00AC0832">
            <w:pPr>
              <w:pStyle w:val="CellColumn"/>
            </w:pPr>
            <w:r>
              <w:t>nastavak provedbe ranije započetih programa ranog otkrivanja raka i praćenja broja novootkrivenih malignih oboljenja po sijelima</w:t>
            </w:r>
          </w:p>
        </w:tc>
        <w:tc>
          <w:tcPr>
            <w:tcW w:w="1300" w:type="dxa"/>
          </w:tcPr>
          <w:p w:rsidR="00AC0832" w:rsidRDefault="00AC0832">
            <w:pPr>
              <w:pStyle w:val="CellColumn"/>
            </w:pPr>
            <w:r>
              <w:t>%</w:t>
            </w:r>
          </w:p>
        </w:tc>
        <w:tc>
          <w:tcPr>
            <w:tcW w:w="1300" w:type="dxa"/>
          </w:tcPr>
          <w:p w:rsidR="00AC0832" w:rsidRDefault="00AC0832">
            <w:pPr>
              <w:pStyle w:val="CellColumn"/>
            </w:pPr>
            <w:r>
              <w:t>20</w:t>
            </w:r>
          </w:p>
        </w:tc>
        <w:tc>
          <w:tcPr>
            <w:tcW w:w="1300" w:type="dxa"/>
          </w:tcPr>
          <w:p w:rsidR="00AC0832" w:rsidRDefault="00AC0832">
            <w:pPr>
              <w:pStyle w:val="CellColumn"/>
            </w:pPr>
            <w:r>
              <w:t>HZJZ</w:t>
            </w:r>
          </w:p>
        </w:tc>
        <w:tc>
          <w:tcPr>
            <w:tcW w:w="1300" w:type="dxa"/>
          </w:tcPr>
          <w:p w:rsidR="00AC0832" w:rsidRDefault="00AC0832">
            <w:pPr>
              <w:pStyle w:val="CellColumn"/>
            </w:pPr>
            <w:r>
              <w:t>25</w:t>
            </w:r>
          </w:p>
        </w:tc>
        <w:tc>
          <w:tcPr>
            <w:tcW w:w="1300" w:type="dxa"/>
          </w:tcPr>
          <w:p w:rsidR="00AC0832" w:rsidRDefault="00AC0832">
            <w:pPr>
              <w:pStyle w:val="CellColumn"/>
            </w:pPr>
            <w:r>
              <w:t>20**</w:t>
            </w:r>
          </w:p>
        </w:tc>
      </w:tr>
    </w:tbl>
    <w:p w:rsidR="00AC0832" w:rsidRDefault="00AC0832">
      <w:pPr>
        <w:jc w:val="left"/>
      </w:pPr>
    </w:p>
    <w:p w:rsidR="00AC0832" w:rsidRDefault="00AC0832">
      <w:pPr>
        <w:pStyle w:val="Heading5"/>
      </w:pPr>
      <w:r>
        <w:t>3602 INVESTICIJE U ZDRAVSTVENU INFRASTRUKTURU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3602-INVESTICIJE U ZDRAVSTVENU INFRASTRUKTURU</w:t>
            </w:r>
          </w:p>
        </w:tc>
        <w:tc>
          <w:tcPr>
            <w:tcW w:w="2322" w:type="dxa"/>
          </w:tcPr>
          <w:p w:rsidR="00AC0832" w:rsidRDefault="00AC0832">
            <w:pPr>
              <w:pStyle w:val="CellColumn"/>
            </w:pPr>
            <w:r>
              <w:t>356.393.464</w:t>
            </w:r>
          </w:p>
        </w:tc>
        <w:tc>
          <w:tcPr>
            <w:tcW w:w="2322" w:type="dxa"/>
          </w:tcPr>
          <w:p w:rsidR="00AC0832" w:rsidRDefault="00AC0832">
            <w:pPr>
              <w:pStyle w:val="CellColumn"/>
            </w:pPr>
            <w:r>
              <w:t>343.770.090</w:t>
            </w:r>
          </w:p>
        </w:tc>
        <w:tc>
          <w:tcPr>
            <w:tcW w:w="2322" w:type="dxa"/>
          </w:tcPr>
          <w:p w:rsidR="00AC0832" w:rsidRDefault="00AC0832">
            <w:pPr>
              <w:pStyle w:val="CellColumn"/>
            </w:pPr>
            <w:r>
              <w:t>96,5</w:t>
            </w:r>
          </w:p>
        </w:tc>
      </w:tr>
    </w:tbl>
    <w:p w:rsidR="00AC0832" w:rsidRDefault="00AC0832">
      <w:pPr>
        <w:jc w:val="left"/>
      </w:pPr>
    </w:p>
    <w:p w:rsidR="00AC0832" w:rsidRDefault="00AC0832">
      <w:pPr>
        <w:pStyle w:val="Heading6"/>
      </w:pPr>
      <w:r>
        <w:t>Opis programa</w:t>
      </w:r>
    </w:p>
    <w:p w:rsidR="00AC0832" w:rsidRDefault="00AC0832">
      <w:pPr>
        <w:pStyle w:val="Normal5"/>
      </w:pPr>
      <w:r>
        <w:t>Provedbom ovog programa ostvaruje se postizanje općeg cilja  1.1. Zaštita, očuvanje i unapređenje zdravlja te posebnih ciljeva 1.1. i 1.2. definiranih u Strateškom planu Ministarstva zdravlja za razdoblje 2012. -2014. Ovim programom provode se aktivnosti unapređenja i podizanja pružanja kvalitete zdravstvenih usluga ulaganjem u izgradnju, adaptaciju, opremanje/zanavljanje medicinsko- tehničke opreme u zdravstvenim ustanovama, aktivnosti razvoja, implementacije i integracije postojećih informacijskih sustava u cjeloviti informacijski sustav zdravstva (e-zdravstvo) te aktivnosti nabave potrebne informatičke opreme, odnosno razvoja sustava – e-Recept, e-Uputnica i e-Naručivanje.</w:t>
      </w:r>
    </w:p>
    <w:p w:rsidR="00AC0832" w:rsidRDefault="00AC0832">
      <w:pPr>
        <w:pStyle w:val="Heading6"/>
      </w:pPr>
      <w:r>
        <w:t>Zakonske i druge pravne osnove</w:t>
      </w:r>
    </w:p>
    <w:p w:rsidR="00AC0832" w:rsidRDefault="00AC0832">
      <w:pPr>
        <w:pStyle w:val="Normal5"/>
      </w:pPr>
      <w:r>
        <w:t>Nacionalna Strategija razvoja zdravstva 2012. – 2020. Zakon o zdravstvenoj zaštiti, Zakon o obveznom zdravstvenom osiguranju, Zakon o potvrđivanju Ugovora o zajmu između RH i Međunarodne banke za obnovu i razvoj za Projekt unaprjeđenja hitne medicinske pomoći i investicijskog planiranja u zdravstvu, Zakon o potvrđivanju Ugovora o zajmu CEB br. F/P 1576 (2006 W) za Projekt financiranja zdravstvenih  ustanova u RH, Odluka Vlade Republike Hrvatske o davanju suglasnosti Ministarstvu zdravstva i socijalne skrbi za preuzimanje obveza na teret sredstava državnog proračuna Republike Hrvatske za razdoblje od 2010. do 2015. godine za nabavu medicinske opreme za zdravstvene ustanove u Republici Hrvatskoj, s uređenjem prostora, servisiranjem i održavanjem u punoj funkciji od 29. prosinca 2008. godine; Odluka Vlade Republike Hrvatske o izmjenama Odluke o davanju suglasnosti Ministarstvu zdravstva i socijalne skrbi za preuzimanje obveza na teret sredstava Državnog proračuna Republike Hrvatske za razdoblje od 2010. do 2015. godine, za nabavu medicinske opreme za zdravstvene ustanove u Republici Hrvatskoj, s uređenjem prostora servisiranjem i održavanjem u punoj funkciji od 05. studenoga 2009. godine.</w:t>
      </w:r>
    </w:p>
    <w:p w:rsidR="00AC0832" w:rsidRDefault="00AC0832">
      <w:pPr>
        <w:pStyle w:val="Heading7"/>
      </w:pPr>
      <w:r>
        <w:t>Cilj 1. Dostupnija zdravstvena zaštita</w:t>
      </w:r>
    </w:p>
    <w:p w:rsidR="00AC0832" w:rsidRDefault="00AC0832">
      <w:pPr>
        <w:pStyle w:val="Heading8"/>
        <w:jc w:val="left"/>
      </w:pPr>
      <w:r>
        <w:t>Opis provedbe cilja programa</w:t>
      </w:r>
    </w:p>
    <w:p w:rsidR="00AC0832" w:rsidRDefault="00AC0832">
      <w:pPr>
        <w:pStyle w:val="Normal6"/>
      </w:pPr>
      <w:r>
        <w:t xml:space="preserve">U sklopu pozicije K618038 -  Informatizacija zdravstvenog sustava u Državnom proračunu 2012. godine  planirano je  48.314.376,00 kn, a utrošeno je 46.417.884,00 kn, odnosno 96% planiranog iznosa. Sredstva su bila osigurana za projekt informatizacije sustava primarne zdravstvene zaštite Republike Hrvatske. Ugovor o javnoj nabavi računalne opreme i softvera radi nadogradnje IT sustava primarne zdravstvene zaštite s održavanjem, instalacijom i implementacijom u IT sustav primarne zdravstvene zaštite Republike Hrvatske potpisan je između Ministarstva zdravstva i socijalne skrbi i tvrtke Ericsson Nikola Tesla 2. lipnja 2009. godine( u daljem tekstu: Ugovor). Ugovorna cijena iznosila je  55.580.760,00 kn s PDV- om. Isporuka je bila ugovorena u tri faze. Prve dvije faze su bile završene do 2012. godine. Tijekom 2012. godine potpisan je Aneks 3. Ugovora kojim je određen novi rok isporuke za 3. fazu kojim su ugovorene nove/dodatne funkcionalnosti na zahtjev Naručitelja sve u okviru iste ugovorne cijene. Tim činom je omogućeno  dovršavanje poslova na preuzimanju 3. faze iz Ugovora i osigurano normalno funkcioniranje sustava. Nadzor na  ispunjavanjem ugovornih obveza po Ugovoru obavljan je na temelju Ugovora o javnim uslugama za pružanje usluga stručnog nadzora nad  isporukom računalne opreme i softvera radi nadogradnje IT sustava primarne zdravstvene zaštite, održavanjem, instalacijom i implementacijom u IT sustav primarne zdravstvene  zaštite  Republike Hrvatske, koji je sklopljen između Ministarstva zdravstva i socijalne skrbi kao Naručitelja i Sveučilišta u Zagrebu Fakulteta elektrotehnike i računarstva, Unska 3, Zagreb,  klasa:  406-09/09-01/07, ur.broj:: 534-06-2-1/1-09-20, od 31. srpnja 2009. godine (u daljem tekstu: Ugovor o stručnom nadzoru).  Ugovorna cijena je iznosila 1.741.500,00kn s PDV-om. Osnovnom Ugovoru sklopljen je  I. Aneks  od  22. ožujka 2010. godine i II. Aneks, kojim se produžavao rok  trajanja  ugovora a ugovorna cijena nije se mijenjala. Dio ugovorne cijene  u iznosu od 1.218.750,00 kn plaćen je iz sredstava Državnog proračuna za 2012. godinu. Ministarstvo zdravlja i Hrvatski zavod za zdravstveno osiguranje sklopili su Sporazum o prijenosu ovlasti za provedbu postupaka javne nabave za usluge održavanja i nadogradnje aplikativnog (programskog) dijela sustava CEZIH (Informatički sustav primarne zdravstvene zaštite), klasa: 406-09/12-03/02, ur.broj: 534-01/9-12-02, od 17. rujna 2012. godine (u daljem tekstu: Sporazum).Temeljem Sporazuma Hrvatski zavod za zdravstveno osiguranje je proveo postupak nabave i s tvrtkom Ericsson Nikola Tesla je 9.studenog 2012. godine potpisao Ugovor broj 78/12 o nabavi usluge održavanja i nadogradnje aplikativnog (programskog) dijela sustava CEZIH (Informatički sustav primarne zdravstvene zaštite). Iz sredstava Državnog proračuna za 2012. godinu temeljem Ugovora broj 78/12 isplaćeno je 4.662.337,00  za uslugu inicijalne provjere stanja cjelokupnog sustava CEZIH i 673.546,50 kn za uslugu korektivnog održavanja aplikativnog (programskog) dijela sustava CEZIH  tijekom dijela mjeseca studenog 2012. godine </w:t>
      </w:r>
    </w:p>
    <w:p w:rsidR="00AC0832" w:rsidRDefault="00AC0832">
      <w:pPr>
        <w:pStyle w:val="Normal6"/>
      </w:pPr>
      <w:r>
        <w:t xml:space="preserve">U sklopu kapitalnog projekta K618229 - Zanavljanje medicinske opreme za zdravstvene ustanove u RH  planirano je 125.645.689,00 kn, a utrošeno je 122.770.411,28 kn,  odnosno 97,71% planiranog iznosa. Od toga je dio utrošen za financiranje obroka po ugovorima sklopljenim do 2012. godine u sklopu projekta zanavljanja medicinske opreme za zdravstvene ustanove u RH (MR-uređaji za 9 ustanova, anesteziološki aparati, gama kamere, SPECT/CT uređaji);  financirana je nabava NEURO BI- PLANE za KBC Zagreb, spect ct uređaja za KBC Zagreb i KBC Rijeku, PET/CT uređaja za KBC Zagreb, 50 UZV uređaja za 38 zdravstvenih ustanova u RH, 9 linearnih akceleratora za osam zdravstvenih ustanova u RH. </w:t>
      </w:r>
    </w:p>
    <w:p w:rsidR="00AC0832" w:rsidRDefault="00AC0832">
      <w:pPr>
        <w:pStyle w:val="Normal6"/>
      </w:pPr>
      <w:r>
        <w:t xml:space="preserve">U sklopu kapitalnog projekta  K618218 - Hitne intervencije na zgradama i opremi zdravstvenih ustanova  planirano je 64.744.646,00 kn, a utrošeno je 64.478.242,41 kn,  odnosno 99,59% planiranog iznosa za  hitnu nabavu i popravke medicinske opreme za zdravstvene ustanove u RH, financiranje građevinskih radova na adaptaciji odjela za metode potpomognute oplodnje IVF-a Zavoda za humanu reprodukciju Klinike za ženske bolesti i porode KBC Zagreb, sufinanciranje izgradnje ambulante Kali u sklopu DZ Zadarske županije, sufinanciranje radova i opreme za uređenje Klinike za pedijatriju, Odjela za hematoonkologiju i onkologiju KBC Rijeka, nastavak  sufinanciranja rekonstrukcije postojeće zgrade i dogradnje bolničke poliklinike Opće bolnice »Dr. Josip Benčević« u Slavonskom Brodu, sufinanciranje radova za rekonstrukciju i dogradnju II. kata Odjela II. za potrebe proširenja Odjela palijativne  skrbi  SB Novi Marof,  kao i hitne intervencije na građevinskim objektima zdravstvenih ustanova u RH.  </w:t>
      </w:r>
    </w:p>
    <w:p w:rsidR="00AC0832" w:rsidRDefault="00AC0832">
      <w:pPr>
        <w:pStyle w:val="Normal6"/>
      </w:pPr>
      <w:r>
        <w:t xml:space="preserve">U sklopu kapitalnog projekta  K618570- OB Pula planirano je 2.450.000,00 kn, a utrošeno je 2.450.000,00 kn,  odnosno 100,00% planiranog iznosa za plaćanje usluga izmjene i dopune idejnog projekta, te izrade glavnog i izvedbenog  projekta za izgradnju, dogradnju i rekonstrukciju  građevine  OB Pula na lokaciji Zagrebačka 30, Pula. </w:t>
      </w:r>
    </w:p>
    <w:p w:rsidR="00AC0832" w:rsidRDefault="00AC0832">
      <w:pPr>
        <w:pStyle w:val="Normal6"/>
      </w:pPr>
      <w:r>
        <w:t xml:space="preserve">OB Zabok – izvršena otplata dospjelog kredita za izgrađenu novu bolnicu na lokaciji Bračak. </w:t>
      </w:r>
    </w:p>
    <w:p w:rsidR="00AC0832" w:rsidRDefault="00AC0832">
      <w:pPr>
        <w:pStyle w:val="Normal6"/>
      </w:pPr>
      <w:r>
        <w:t xml:space="preserve"> </w:t>
      </w:r>
    </w:p>
    <w:p w:rsidR="00AC0832" w:rsidRDefault="00AC0832">
      <w:pPr>
        <w:pStyle w:val="Normal6"/>
      </w:pPr>
      <w:r>
        <w:t xml:space="preserve">* Blagi porast stopa mortaliteta rezultat je porasta  dijela populacije starije od 65 godina, a drugim  dijelom rezultat je otkrivanja karcinoma u okviru preventivnih  programa  uglavnom u kasnijim fazama bolesti. Ujedno je odaziv na preventivne programe još uvijek manji od očekivanog. Učinak nacionalnih preventivnih programa očekuje se  tek u narednim godinama. Epidemiološke trendovi ne promatraju se izolirano niti  u kratkim  vremenskim periodima. </w:t>
      </w:r>
    </w:p>
    <w:p w:rsidR="00AC0832" w:rsidRDefault="00AC0832">
      <w:pPr>
        <w:pStyle w:val="Normal6"/>
      </w:pPr>
      <w:r>
        <w:t>** podaci se prikupljaju na godišnjoj razini  te se podaci za prethodnu godinu objavljuju u rujnu slijedeće godine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760"/>
        <w:gridCol w:w="1117"/>
        <w:gridCol w:w="1406"/>
        <w:gridCol w:w="1106"/>
        <w:gridCol w:w="1160"/>
        <w:gridCol w:w="143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smanjenje čekanja za 10 zdravstvenih usluga za koje postoji lista čekanja</w:t>
            </w:r>
          </w:p>
        </w:tc>
        <w:tc>
          <w:tcPr>
            <w:tcW w:w="1300" w:type="dxa"/>
          </w:tcPr>
          <w:p w:rsidR="00AC0832" w:rsidRDefault="00AC0832">
            <w:pPr>
              <w:pStyle w:val="CellColumn"/>
            </w:pPr>
            <w:r>
              <w:t>djelatnost zdravstvene zaštite provodi se na razini primarne, sekundarne, tercijarne zdravstvene zaštite i razini zdravstvenih zavoda u okviru Mreže javne zdravstvene službe, u svrhu osiguranja jednake i pravovremene dostupnosti zdravstvene zaštite</w:t>
            </w:r>
          </w:p>
        </w:tc>
        <w:tc>
          <w:tcPr>
            <w:tcW w:w="1300" w:type="dxa"/>
          </w:tcPr>
          <w:p w:rsidR="00AC0832" w:rsidRDefault="00AC0832">
            <w:pPr>
              <w:pStyle w:val="CellColumn"/>
            </w:pPr>
            <w:r>
              <w:t>prosječan broj dana čekanja</w:t>
            </w:r>
          </w:p>
        </w:tc>
        <w:tc>
          <w:tcPr>
            <w:tcW w:w="1300" w:type="dxa"/>
          </w:tcPr>
          <w:p w:rsidR="00AC0832" w:rsidRDefault="00AC0832">
            <w:pPr>
              <w:pStyle w:val="CellColumn"/>
            </w:pPr>
            <w:r>
              <w:t>radioterapijski postupci</w:t>
            </w:r>
            <w:r>
              <w:tab/>
              <w:t xml:space="preserve">45 </w:t>
            </w:r>
          </w:p>
          <w:p w:rsidR="00AC0832" w:rsidRDefault="00AC0832">
            <w:pPr>
              <w:pStyle w:val="CellColumn"/>
            </w:pPr>
            <w:r>
              <w:t>CT</w:t>
            </w:r>
            <w:r>
              <w:tab/>
              <w:t xml:space="preserve">57 </w:t>
            </w:r>
          </w:p>
          <w:p w:rsidR="00AC0832" w:rsidRDefault="00AC0832">
            <w:pPr>
              <w:pStyle w:val="CellColumn"/>
            </w:pPr>
            <w:r>
              <w:t>MR</w:t>
            </w:r>
            <w:r>
              <w:tab/>
              <w:t xml:space="preserve">138 </w:t>
            </w:r>
          </w:p>
          <w:p w:rsidR="00AC0832" w:rsidRDefault="00AC0832">
            <w:pPr>
              <w:pStyle w:val="CellColumn"/>
            </w:pPr>
            <w:r>
              <w:t>UZV srca</w:t>
            </w:r>
            <w:r>
              <w:tab/>
              <w:t xml:space="preserve">132 </w:t>
            </w:r>
          </w:p>
          <w:p w:rsidR="00AC0832" w:rsidRDefault="00AC0832">
            <w:pPr>
              <w:pStyle w:val="CellColumn"/>
            </w:pPr>
            <w:r>
              <w:t>UZV dojke</w:t>
            </w:r>
            <w:r>
              <w:tab/>
              <w:t xml:space="preserve">126 </w:t>
            </w:r>
          </w:p>
          <w:p w:rsidR="00AC0832" w:rsidRDefault="00AC0832">
            <w:pPr>
              <w:pStyle w:val="CellColumn"/>
            </w:pPr>
            <w:r>
              <w:t>Holter</w:t>
            </w:r>
            <w:r>
              <w:tab/>
              <w:t xml:space="preserve">94 </w:t>
            </w:r>
          </w:p>
          <w:p w:rsidR="00AC0832" w:rsidRDefault="00AC0832">
            <w:pPr>
              <w:pStyle w:val="CellColumn"/>
            </w:pPr>
            <w:r>
              <w:t>ugradnja endoproteze kuka</w:t>
            </w:r>
            <w:r>
              <w:tab/>
              <w:t xml:space="preserve">236 </w:t>
            </w:r>
          </w:p>
          <w:p w:rsidR="00AC0832" w:rsidRDefault="00AC0832">
            <w:pPr>
              <w:pStyle w:val="CellColumn"/>
            </w:pPr>
            <w:r>
              <w:t>ugradnja endoproteze koljena</w:t>
            </w:r>
            <w:r>
              <w:tab/>
              <w:t xml:space="preserve">249 </w:t>
            </w:r>
          </w:p>
          <w:p w:rsidR="00AC0832" w:rsidRDefault="00AC0832">
            <w:pPr>
              <w:pStyle w:val="CellColumn"/>
            </w:pPr>
            <w:r>
              <w:t>kolonoskopija</w:t>
            </w:r>
            <w:r>
              <w:tab/>
              <w:t xml:space="preserve">101 </w:t>
            </w:r>
          </w:p>
          <w:p w:rsidR="00AC0832" w:rsidRDefault="00AC0832">
            <w:pPr>
              <w:pStyle w:val="CellColumn"/>
            </w:pPr>
            <w:r>
              <w:t>gastroskopija</w:t>
            </w:r>
            <w:r>
              <w:tab/>
              <w:t>55</w:t>
            </w:r>
          </w:p>
        </w:tc>
        <w:tc>
          <w:tcPr>
            <w:tcW w:w="1300" w:type="dxa"/>
          </w:tcPr>
          <w:p w:rsidR="00AC0832" w:rsidRDefault="00AC0832">
            <w:pPr>
              <w:pStyle w:val="CellColumn"/>
            </w:pPr>
            <w:r>
              <w:t>MZ</w:t>
            </w:r>
          </w:p>
        </w:tc>
        <w:tc>
          <w:tcPr>
            <w:tcW w:w="1300" w:type="dxa"/>
          </w:tcPr>
          <w:p w:rsidR="00AC0832" w:rsidRDefault="00AC0832">
            <w:pPr>
              <w:pStyle w:val="CellColumn"/>
            </w:pPr>
            <w:r>
              <w:t>↓10%</w:t>
            </w:r>
          </w:p>
        </w:tc>
        <w:tc>
          <w:tcPr>
            <w:tcW w:w="1300" w:type="dxa"/>
          </w:tcPr>
          <w:p w:rsidR="00AC0832" w:rsidRDefault="00AC0832">
            <w:pPr>
              <w:pStyle w:val="CellColumn"/>
            </w:pPr>
            <w:r>
              <w:t>↓16,7%</w:t>
            </w:r>
          </w:p>
        </w:tc>
      </w:tr>
      <w:tr w:rsidR="00AC0832" w:rsidTr="00BE20ED">
        <w:trPr>
          <w:jc w:val="center"/>
        </w:trPr>
        <w:tc>
          <w:tcPr>
            <w:tcW w:w="1300" w:type="dxa"/>
          </w:tcPr>
          <w:p w:rsidR="00AC0832" w:rsidRDefault="00AC0832">
            <w:pPr>
              <w:pStyle w:val="CellColumn"/>
            </w:pPr>
            <w:r>
              <w:t>povećanje zadovoljstva pacijenata korištenjem zdravstvene zaštite</w:t>
            </w:r>
          </w:p>
        </w:tc>
        <w:tc>
          <w:tcPr>
            <w:tcW w:w="1300" w:type="dxa"/>
          </w:tcPr>
          <w:p w:rsidR="00AC0832" w:rsidRDefault="00AC0832">
            <w:pPr>
              <w:pStyle w:val="CellColumn"/>
            </w:pPr>
            <w:r>
              <w:t>mjerama za ostvarivanje kvalitete zdravstvene zaštite osigurati će se provedba načela učinkovitosti i djelotvornosti sustava kvalitete zdravstvenih postupaka na svim razinama zdravstvene zaštite, osigurati će se načelo orijentiranosti prema pacijentu kao i načelo sigurnosti pacijenta</w:t>
            </w:r>
          </w:p>
        </w:tc>
        <w:tc>
          <w:tcPr>
            <w:tcW w:w="1300" w:type="dxa"/>
          </w:tcPr>
          <w:p w:rsidR="00AC0832" w:rsidRDefault="00AC0832">
            <w:pPr>
              <w:pStyle w:val="CellColumn"/>
            </w:pPr>
            <w:r>
              <w:t>broj bodova na skali Euro Health Consumer Indexa</w:t>
            </w:r>
          </w:p>
        </w:tc>
        <w:tc>
          <w:tcPr>
            <w:tcW w:w="1300" w:type="dxa"/>
          </w:tcPr>
          <w:p w:rsidR="00AC0832" w:rsidRDefault="00AC0832">
            <w:pPr>
              <w:pStyle w:val="CellColumn"/>
            </w:pPr>
            <w:r>
              <w:t>628 (2009.)</w:t>
            </w:r>
          </w:p>
        </w:tc>
        <w:tc>
          <w:tcPr>
            <w:tcW w:w="1300" w:type="dxa"/>
          </w:tcPr>
          <w:p w:rsidR="00AC0832" w:rsidRDefault="00AC0832">
            <w:pPr>
              <w:pStyle w:val="CellColumn"/>
            </w:pPr>
            <w:r>
              <w:t>Euro Health Consumer Indeks</w:t>
            </w:r>
          </w:p>
        </w:tc>
        <w:tc>
          <w:tcPr>
            <w:tcW w:w="1300" w:type="dxa"/>
          </w:tcPr>
          <w:p w:rsidR="00AC0832" w:rsidRDefault="00AC0832">
            <w:pPr>
              <w:pStyle w:val="CellColumn"/>
            </w:pPr>
            <w:r>
              <w:t xml:space="preserve">Napredak za 3  </w:t>
            </w:r>
          </w:p>
          <w:p w:rsidR="00AC0832" w:rsidRDefault="00AC0832">
            <w:pPr>
              <w:pStyle w:val="CellColumn"/>
            </w:pPr>
            <w:r>
              <w:t>boda</w:t>
            </w:r>
          </w:p>
        </w:tc>
        <w:tc>
          <w:tcPr>
            <w:tcW w:w="1300" w:type="dxa"/>
          </w:tcPr>
          <w:p w:rsidR="00AC0832" w:rsidRDefault="00AC0832">
            <w:pPr>
              <w:pStyle w:val="CellColumn"/>
            </w:pPr>
            <w:r>
              <w:t>655(2012)</w:t>
            </w:r>
          </w:p>
        </w:tc>
      </w:tr>
      <w:tr w:rsidR="00AC0832" w:rsidTr="00BE20ED">
        <w:trPr>
          <w:jc w:val="center"/>
        </w:trPr>
        <w:tc>
          <w:tcPr>
            <w:tcW w:w="1300" w:type="dxa"/>
          </w:tcPr>
          <w:p w:rsidR="00AC0832" w:rsidRDefault="00AC0832">
            <w:pPr>
              <w:pStyle w:val="CellColumn"/>
            </w:pPr>
            <w:r>
              <w:t>smanjenje smrtnosti od najčešćih sijela raka</w:t>
            </w:r>
          </w:p>
        </w:tc>
        <w:tc>
          <w:tcPr>
            <w:tcW w:w="1300" w:type="dxa"/>
          </w:tcPr>
          <w:p w:rsidR="00AC0832" w:rsidRDefault="00AC0832">
            <w:pPr>
              <w:pStyle w:val="CellColumn"/>
            </w:pPr>
            <w:r>
              <w:t>praćenje zdravstveno-statističkih pokazatelja</w:t>
            </w:r>
          </w:p>
        </w:tc>
        <w:tc>
          <w:tcPr>
            <w:tcW w:w="1300" w:type="dxa"/>
          </w:tcPr>
          <w:p w:rsidR="00AC0832" w:rsidRDefault="00AC0832">
            <w:pPr>
              <w:pStyle w:val="CellColumn"/>
            </w:pPr>
            <w:r>
              <w:t>ukupna stopa mortaliteta od raka</w:t>
            </w:r>
          </w:p>
        </w:tc>
        <w:tc>
          <w:tcPr>
            <w:tcW w:w="1300" w:type="dxa"/>
          </w:tcPr>
          <w:p w:rsidR="00AC0832" w:rsidRDefault="00AC0832">
            <w:pPr>
              <w:pStyle w:val="CellColumn"/>
            </w:pPr>
            <w:r>
              <w:t>304,71(2009)</w:t>
            </w:r>
          </w:p>
        </w:tc>
        <w:tc>
          <w:tcPr>
            <w:tcW w:w="1300" w:type="dxa"/>
          </w:tcPr>
          <w:p w:rsidR="00AC0832" w:rsidRDefault="00AC0832">
            <w:pPr>
              <w:pStyle w:val="CellColumn"/>
            </w:pPr>
            <w:r>
              <w:t>HZJZ</w:t>
            </w:r>
          </w:p>
        </w:tc>
        <w:tc>
          <w:tcPr>
            <w:tcW w:w="1300" w:type="dxa"/>
          </w:tcPr>
          <w:p w:rsidR="00AC0832" w:rsidRDefault="00AC0832">
            <w:pPr>
              <w:pStyle w:val="CellColumn"/>
            </w:pPr>
            <w:r>
              <w:t>bez promjene</w:t>
            </w:r>
          </w:p>
        </w:tc>
        <w:tc>
          <w:tcPr>
            <w:tcW w:w="1300" w:type="dxa"/>
          </w:tcPr>
          <w:p w:rsidR="00AC0832" w:rsidRDefault="00AC0832">
            <w:pPr>
              <w:pStyle w:val="CellColumn"/>
            </w:pPr>
            <w:r>
              <w:t xml:space="preserve">299,3(2008) </w:t>
            </w:r>
          </w:p>
          <w:p w:rsidR="00AC0832" w:rsidRDefault="00AC0832">
            <w:pPr>
              <w:pStyle w:val="CellColumn"/>
            </w:pPr>
            <w:r>
              <w:t xml:space="preserve">304,71(2009)* </w:t>
            </w:r>
          </w:p>
          <w:p w:rsidR="00AC0832" w:rsidRDefault="00AC0832">
            <w:pPr>
              <w:pStyle w:val="CellColumn"/>
            </w:pPr>
            <w:r>
              <w:t xml:space="preserve">310,07(2010)* </w:t>
            </w:r>
          </w:p>
          <w:p w:rsidR="00AC0832" w:rsidRDefault="00AC0832">
            <w:pPr>
              <w:pStyle w:val="CellColumn"/>
            </w:pPr>
            <w:r>
              <w:t>314,84(2011)*</w:t>
            </w:r>
          </w:p>
        </w:tc>
      </w:tr>
      <w:tr w:rsidR="00AC0832" w:rsidTr="00BE20ED">
        <w:trPr>
          <w:jc w:val="center"/>
        </w:trPr>
        <w:tc>
          <w:tcPr>
            <w:tcW w:w="1300" w:type="dxa"/>
          </w:tcPr>
          <w:p w:rsidR="00AC0832" w:rsidRDefault="00AC0832">
            <w:pPr>
              <w:pStyle w:val="CellColumn"/>
            </w:pPr>
            <w:r>
              <w:t>održavanje pojavnosti zaraznih i nezaraznih bolesti s ciljem neprelaska u višu kategoriju</w:t>
            </w:r>
          </w:p>
        </w:tc>
        <w:tc>
          <w:tcPr>
            <w:tcW w:w="1300" w:type="dxa"/>
          </w:tcPr>
          <w:p w:rsidR="00AC0832" w:rsidRDefault="00AC0832">
            <w:pPr>
              <w:pStyle w:val="CellColumn"/>
            </w:pPr>
            <w:r>
              <w:t>ukazuje na stanje zdravlja i odstupanje od zdravlja populacije kao osnovu za usmjeravanje potrebnih javnozdravstvenih mjera usmjerenih zaštiti, očuvanju i unapređenju zdravlja; a veliki dio aktivnosti biti će usmjeren na osjetljive dobne skupine, djecu i osobe starije životne dobi te osobe s posebnim potrebama</w:t>
            </w:r>
          </w:p>
        </w:tc>
        <w:tc>
          <w:tcPr>
            <w:tcW w:w="1300" w:type="dxa"/>
          </w:tcPr>
          <w:p w:rsidR="00AC0832" w:rsidRDefault="00AC0832">
            <w:pPr>
              <w:pStyle w:val="CellColumn"/>
            </w:pPr>
            <w:r>
              <w:t>opisno</w:t>
            </w:r>
          </w:p>
        </w:tc>
        <w:tc>
          <w:tcPr>
            <w:tcW w:w="1300" w:type="dxa"/>
          </w:tcPr>
          <w:p w:rsidR="00AC0832" w:rsidRDefault="00AC0832">
            <w:pPr>
              <w:pStyle w:val="CellColumn"/>
            </w:pPr>
            <w:r>
              <w:t>podaci iz Hrvatskog zdravstveno-statističkog ljetopisa za 2009. godinu</w:t>
            </w:r>
          </w:p>
        </w:tc>
        <w:tc>
          <w:tcPr>
            <w:tcW w:w="1300" w:type="dxa"/>
          </w:tcPr>
          <w:p w:rsidR="00AC0832" w:rsidRDefault="00AC0832">
            <w:pPr>
              <w:pStyle w:val="CellColumn"/>
            </w:pPr>
            <w:r>
              <w:t>HZJZ</w:t>
            </w:r>
          </w:p>
        </w:tc>
        <w:tc>
          <w:tcPr>
            <w:tcW w:w="1300" w:type="dxa"/>
          </w:tcPr>
          <w:p w:rsidR="00AC0832" w:rsidRDefault="00AC0832">
            <w:pPr>
              <w:pStyle w:val="CellColumn"/>
            </w:pPr>
            <w:r>
              <w:t>održavanje postojećeg stanja ili prelazak u nižu kategoriju</w:t>
            </w:r>
          </w:p>
        </w:tc>
        <w:tc>
          <w:tcPr>
            <w:tcW w:w="1300" w:type="dxa"/>
          </w:tcPr>
          <w:p w:rsidR="00AC0832" w:rsidRDefault="00AC0832">
            <w:pPr>
              <w:pStyle w:val="CellColumn"/>
            </w:pPr>
            <w:r>
              <w:t>Podaci Hrvatskog zdravstveno - statističkog ljetopisa za 2011. godinu**</w:t>
            </w:r>
          </w:p>
        </w:tc>
      </w:tr>
    </w:tbl>
    <w:p w:rsidR="00AC0832" w:rsidRDefault="00AC0832">
      <w:pPr>
        <w:jc w:val="left"/>
      </w:pPr>
    </w:p>
    <w:p w:rsidR="00AC0832" w:rsidRDefault="00AC0832">
      <w:pPr>
        <w:pStyle w:val="Heading6"/>
      </w:pPr>
      <w:r>
        <w:t>K798000 IBRD  III ZAJAM - INOZEMNA KOMPONENTA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K798000-IBRD  III ZAJAM - INOZEMNA KOMPONENTA</w:t>
            </w:r>
          </w:p>
        </w:tc>
        <w:tc>
          <w:tcPr>
            <w:tcW w:w="2322" w:type="dxa"/>
          </w:tcPr>
          <w:p w:rsidR="00AC0832" w:rsidRDefault="00AC0832">
            <w:pPr>
              <w:pStyle w:val="CellColumn"/>
            </w:pPr>
            <w:r>
              <w:t>25.007.274</w:t>
            </w:r>
          </w:p>
        </w:tc>
        <w:tc>
          <w:tcPr>
            <w:tcW w:w="2322" w:type="dxa"/>
          </w:tcPr>
          <w:p w:rsidR="00AC0832" w:rsidRDefault="00AC0832">
            <w:pPr>
              <w:pStyle w:val="CellColumn"/>
            </w:pPr>
            <w:r>
              <w:t>25.056.915</w:t>
            </w:r>
          </w:p>
        </w:tc>
        <w:tc>
          <w:tcPr>
            <w:tcW w:w="2322" w:type="dxa"/>
          </w:tcPr>
          <w:p w:rsidR="00AC0832" w:rsidRDefault="00AC0832">
            <w:pPr>
              <w:pStyle w:val="CellColumn"/>
            </w:pPr>
            <w:r>
              <w:t>100,2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Zajamom svjetske banke se planira poboljšati učinkovitost sustava hitne medicine, povećati usklađenost u standardima usluga među županijama, povećati učinkovitost i brzinu reakcije izvanbolničke hitne medicinske pomoći, poboljšati učinkovitost hitnih prijema u ciljanim bolnicama, jačati kapacitete Ministarstva zdravlja, za razvijanje i upravljanje projektima od kojih bi se neki mogli financirati sredstvimai Pretpristupnih i  Pristupnih fodnova EU.  U cilju povećanja dostupnosti  i učinkovitosti sustava hitne medicine  tijekom 2011. g sklopljeni su ugovori za nabavu 128 vozila hitne medicinske pomoći i opreme za vozila  od čega je 50 vozila isporučeno županijskim zavodima za hitnu medicinu u 2012. godini. U cilju  edukacije djelatnika hitne medicine održan je 21 tečaj  za djelatnike dispečerske službe, izvanbolničke hitne medicinske službe i djelatnike bolničkih hitnih prijema. Sklopljeni su sporazumi o financiranju izgradnje objedinjenih hitnih bolničkih  prijema  za OB Ogulin, OB Požega, OB Virovitica, OB Vinkovci, OB Pula, OB Šibenik, OB Karlovac.  </w:t>
      </w:r>
    </w:p>
    <w:p w:rsidR="00AC0832" w:rsidRDefault="00AC0832">
      <w:pPr>
        <w:pStyle w:val="Normal6"/>
      </w:pPr>
      <w:r>
        <w:t>Nabavljena je RTG, UZV, respiratorna, kardiološka i razna medicinska oprema za 4 objedinjena hitna bolnička prijema (OB čakovec, OB Bjelovar, OB Zabok, OB Karlovac).</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40"/>
        <w:gridCol w:w="1562"/>
        <w:gridCol w:w="1182"/>
        <w:gridCol w:w="1223"/>
        <w:gridCol w:w="1212"/>
        <w:gridCol w:w="1223"/>
        <w:gridCol w:w="124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Prosječno vrijeme dolaska na mjesto događaja u urbanim sredinama</w:t>
            </w:r>
          </w:p>
        </w:tc>
        <w:tc>
          <w:tcPr>
            <w:tcW w:w="1300" w:type="dxa"/>
          </w:tcPr>
          <w:p w:rsidR="00AC0832" w:rsidRDefault="00AC0832">
            <w:pPr>
              <w:pStyle w:val="CellColumn"/>
            </w:pPr>
            <w:r>
              <w:t>vrijeme od poziva do dolaska tima na intervenciju</w:t>
            </w:r>
          </w:p>
        </w:tc>
        <w:tc>
          <w:tcPr>
            <w:tcW w:w="1300" w:type="dxa"/>
          </w:tcPr>
          <w:p w:rsidR="00AC0832" w:rsidRDefault="00AC0832">
            <w:pPr>
              <w:pStyle w:val="CellColumn"/>
            </w:pPr>
            <w:r>
              <w:t>minute</w:t>
            </w:r>
          </w:p>
        </w:tc>
        <w:tc>
          <w:tcPr>
            <w:tcW w:w="1300" w:type="dxa"/>
          </w:tcPr>
          <w:p w:rsidR="00AC0832" w:rsidRDefault="00AC0832">
            <w:pPr>
              <w:pStyle w:val="CellColumn"/>
            </w:pPr>
            <w:r>
              <w:t>17</w:t>
            </w:r>
          </w:p>
        </w:tc>
        <w:tc>
          <w:tcPr>
            <w:tcW w:w="1300" w:type="dxa"/>
          </w:tcPr>
          <w:p w:rsidR="00AC0832" w:rsidRDefault="00AC0832">
            <w:pPr>
              <w:pStyle w:val="CellColumn"/>
            </w:pPr>
            <w:r>
              <w:t>HZHM</w:t>
            </w:r>
          </w:p>
        </w:tc>
        <w:tc>
          <w:tcPr>
            <w:tcW w:w="1300" w:type="dxa"/>
          </w:tcPr>
          <w:p w:rsidR="00AC0832" w:rsidRDefault="00AC0832">
            <w:pPr>
              <w:pStyle w:val="CellColumn"/>
            </w:pPr>
            <w:r>
              <w:t>14</w:t>
            </w:r>
          </w:p>
        </w:tc>
        <w:tc>
          <w:tcPr>
            <w:tcW w:w="1300" w:type="dxa"/>
          </w:tcPr>
          <w:p w:rsidR="00AC0832" w:rsidRDefault="00AC0832">
            <w:pPr>
              <w:pStyle w:val="CellColumn"/>
            </w:pPr>
            <w:r>
              <w:t>17</w:t>
            </w:r>
          </w:p>
        </w:tc>
      </w:tr>
      <w:tr w:rsidR="00AC0832" w:rsidTr="00BE20ED">
        <w:trPr>
          <w:jc w:val="center"/>
        </w:trPr>
        <w:tc>
          <w:tcPr>
            <w:tcW w:w="1300" w:type="dxa"/>
          </w:tcPr>
          <w:p w:rsidR="00AC0832" w:rsidRDefault="00AC0832">
            <w:pPr>
              <w:pStyle w:val="CellColumn"/>
            </w:pPr>
            <w:r>
              <w:t>Prosječno vrijeme dolaska na mjesto događaja u ruralnim područjima sredinama</w:t>
            </w:r>
          </w:p>
        </w:tc>
        <w:tc>
          <w:tcPr>
            <w:tcW w:w="1300" w:type="dxa"/>
          </w:tcPr>
          <w:p w:rsidR="00AC0832" w:rsidRDefault="00AC0832">
            <w:pPr>
              <w:pStyle w:val="CellColumn"/>
            </w:pPr>
            <w:r>
              <w:t>vrijeme od poziva do dolaska tima na intervenciju</w:t>
            </w:r>
          </w:p>
        </w:tc>
        <w:tc>
          <w:tcPr>
            <w:tcW w:w="1300" w:type="dxa"/>
          </w:tcPr>
          <w:p w:rsidR="00AC0832" w:rsidRDefault="00AC0832">
            <w:pPr>
              <w:pStyle w:val="CellColumn"/>
            </w:pPr>
            <w:r>
              <w:t>minute</w:t>
            </w:r>
          </w:p>
        </w:tc>
        <w:tc>
          <w:tcPr>
            <w:tcW w:w="1300" w:type="dxa"/>
          </w:tcPr>
          <w:p w:rsidR="00AC0832" w:rsidRDefault="00AC0832">
            <w:pPr>
              <w:pStyle w:val="CellColumn"/>
            </w:pPr>
            <w:r>
              <w:t>60</w:t>
            </w:r>
          </w:p>
        </w:tc>
        <w:tc>
          <w:tcPr>
            <w:tcW w:w="1300" w:type="dxa"/>
          </w:tcPr>
          <w:p w:rsidR="00AC0832" w:rsidRDefault="00AC0832">
            <w:pPr>
              <w:pStyle w:val="CellColumn"/>
            </w:pPr>
            <w:r>
              <w:t>HZHM</w:t>
            </w:r>
          </w:p>
        </w:tc>
        <w:tc>
          <w:tcPr>
            <w:tcW w:w="1300" w:type="dxa"/>
          </w:tcPr>
          <w:p w:rsidR="00AC0832" w:rsidRDefault="00AC0832">
            <w:pPr>
              <w:pStyle w:val="CellColumn"/>
            </w:pPr>
            <w:r>
              <w:t>40</w:t>
            </w:r>
          </w:p>
        </w:tc>
        <w:tc>
          <w:tcPr>
            <w:tcW w:w="1300" w:type="dxa"/>
          </w:tcPr>
          <w:p w:rsidR="00AC0832" w:rsidRDefault="00AC0832">
            <w:pPr>
              <w:pStyle w:val="CellColumn"/>
            </w:pPr>
            <w:r>
              <w:t>55</w:t>
            </w:r>
          </w:p>
        </w:tc>
      </w:tr>
      <w:tr w:rsidR="00AC0832" w:rsidTr="00BE20ED">
        <w:trPr>
          <w:jc w:val="center"/>
        </w:trPr>
        <w:tc>
          <w:tcPr>
            <w:tcW w:w="1300" w:type="dxa"/>
          </w:tcPr>
          <w:p w:rsidR="00AC0832" w:rsidRDefault="00AC0832">
            <w:pPr>
              <w:pStyle w:val="CellColumn"/>
            </w:pPr>
            <w:r>
              <w:t>Uvođenje specijalizacije za medicinske sestre/tehničare iz hitne medicine</w:t>
            </w:r>
          </w:p>
        </w:tc>
        <w:tc>
          <w:tcPr>
            <w:tcW w:w="1300" w:type="dxa"/>
          </w:tcPr>
          <w:p w:rsidR="00AC0832" w:rsidRDefault="00AC0832">
            <w:pPr>
              <w:pStyle w:val="CellColumn"/>
            </w:pPr>
            <w:r>
              <w:t>medicinska sestra/tehničar hitne medicinske pomoći je medicinska sestra/tehničar sa završenim specijalističkim usavršavanjem iz HMP koja je ovlaštena za obavljanje svih zadataka u okviru svojih kompetencija u pružanju HMP</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HZHM</w:t>
            </w:r>
          </w:p>
        </w:tc>
        <w:tc>
          <w:tcPr>
            <w:tcW w:w="1300" w:type="dxa"/>
          </w:tcPr>
          <w:p w:rsidR="00AC0832" w:rsidRDefault="00AC0832">
            <w:pPr>
              <w:pStyle w:val="CellColumn"/>
            </w:pPr>
            <w:r>
              <w:t>20</w:t>
            </w:r>
          </w:p>
        </w:tc>
        <w:tc>
          <w:tcPr>
            <w:tcW w:w="1300" w:type="dxa"/>
          </w:tcPr>
          <w:p w:rsidR="00AC0832" w:rsidRDefault="00AC0832">
            <w:pPr>
              <w:pStyle w:val="CellColumn"/>
            </w:pPr>
            <w:r>
              <w:t>28</w:t>
            </w:r>
          </w:p>
        </w:tc>
      </w:tr>
    </w:tbl>
    <w:p w:rsidR="00AC0832" w:rsidRDefault="00AC0832">
      <w:pPr>
        <w:jc w:val="left"/>
      </w:pPr>
    </w:p>
    <w:p w:rsidR="00AC0832" w:rsidRDefault="00AC0832">
      <w:pPr>
        <w:pStyle w:val="Heading5"/>
      </w:pPr>
      <w:r>
        <w:t>3603 SANITARNA INSPEKCIJA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3603-SANITARNA INSPEKCIJA</w:t>
            </w:r>
          </w:p>
        </w:tc>
        <w:tc>
          <w:tcPr>
            <w:tcW w:w="2322" w:type="dxa"/>
          </w:tcPr>
          <w:p w:rsidR="00AC0832" w:rsidRDefault="00AC0832">
            <w:pPr>
              <w:pStyle w:val="CellColumn"/>
            </w:pPr>
            <w:r>
              <w:t>13.038.030</w:t>
            </w:r>
          </w:p>
        </w:tc>
        <w:tc>
          <w:tcPr>
            <w:tcW w:w="2322" w:type="dxa"/>
          </w:tcPr>
          <w:p w:rsidR="00AC0832" w:rsidRDefault="00AC0832">
            <w:pPr>
              <w:pStyle w:val="CellColumn"/>
            </w:pPr>
            <w:r>
              <w:t>11.431.943</w:t>
            </w:r>
          </w:p>
        </w:tc>
        <w:tc>
          <w:tcPr>
            <w:tcW w:w="2322" w:type="dxa"/>
          </w:tcPr>
          <w:p w:rsidR="00AC0832" w:rsidRDefault="00AC0832">
            <w:pPr>
              <w:pStyle w:val="CellColumn"/>
            </w:pPr>
            <w:r>
              <w:t>87,7</w:t>
            </w:r>
          </w:p>
        </w:tc>
      </w:tr>
    </w:tbl>
    <w:p w:rsidR="00AC0832" w:rsidRDefault="00AC0832">
      <w:pPr>
        <w:jc w:val="left"/>
      </w:pPr>
    </w:p>
    <w:p w:rsidR="00AC0832" w:rsidRDefault="00AC0832">
      <w:pPr>
        <w:pStyle w:val="Heading6"/>
      </w:pPr>
      <w:r>
        <w:t>Opis programa</w:t>
      </w:r>
    </w:p>
    <w:p w:rsidR="00AC0832" w:rsidRDefault="00AC0832">
      <w:pPr>
        <w:pStyle w:val="Normal5"/>
      </w:pPr>
      <w:r>
        <w:t>Provedbom ovog programa ostvaruje se postizanje općeg cilja 1. Zaštita, očuvanje i unapređenje zdravlja te posebnog cilja 1.3. Zaštita javnozdravstvenog interesa kako su definirani u Strateškom planu Ministarstva zdravlja za razdoblje 2012. – 2014.g.</w:t>
      </w:r>
    </w:p>
    <w:p w:rsidR="00AC0832" w:rsidRDefault="00AC0832">
      <w:pPr>
        <w:pStyle w:val="Heading6"/>
      </w:pPr>
      <w:r>
        <w:t>Zakonske i druge pravne osnove</w:t>
      </w:r>
    </w:p>
    <w:p w:rsidR="00AC0832" w:rsidRDefault="00AC0832">
      <w:pPr>
        <w:pStyle w:val="Normal5"/>
      </w:pPr>
      <w:r>
        <w:t>Zakon o sanitarnoj inspekciji, Zakon o hrani, Zakon o zaštiti pučanstva od zaraznih bolesti, Zakon o GMO, Zakon o radiološkoj i nuklearnoj sigurnosti, Zakon o zaštiti od neionizirajućeg zračenja, Zakon o zaštiti od buke, Zakon o kemikalijama, Zakon o provedbi Uredbe (EZ) broj 1907/2006 Europskog parlamenta i Vijeća EZ o registraciji, evaluaciji, autorizaciji i ograničavanju kemikalije, Zakon o predmetima opće uporabe</w:t>
      </w:r>
    </w:p>
    <w:p w:rsidR="00AC0832" w:rsidRDefault="00AC0832">
      <w:pPr>
        <w:pStyle w:val="Heading7"/>
      </w:pPr>
      <w:r>
        <w:t>Cilj 1. Zaštita javnozdravstvenog interesa</w:t>
      </w:r>
    </w:p>
    <w:p w:rsidR="00AC0832" w:rsidRDefault="00AC0832">
      <w:pPr>
        <w:pStyle w:val="Heading8"/>
        <w:jc w:val="left"/>
      </w:pPr>
      <w:r>
        <w:t>Opis provedbe cilja programa</w:t>
      </w:r>
    </w:p>
    <w:p w:rsidR="00AC0832" w:rsidRDefault="00AC0832">
      <w:pPr>
        <w:pStyle w:val="Normal6"/>
      </w:pPr>
      <w:r>
        <w:t xml:space="preserve">Sanitarna inspekcija Ministarstva uspostavljena je Zakonom o sanitarnoj inspekciji ("Narodne Novine", broj 113/08 i 88/10), te je podijeljena na dva sektora, Sektor državne i granične sanitarne inspekcije i Sektor županijske sanitarne inspekcije i pravne podrške te četiri službe: državnu sanitarnu inspekciju, graničnu sanitarnu inspekciju, županijsku sanitarnu inspekciju i pravnu podršku i stručni nadzor. </w:t>
      </w:r>
    </w:p>
    <w:p w:rsidR="00AC0832" w:rsidRDefault="00AC0832">
      <w:pPr>
        <w:pStyle w:val="Normal6"/>
      </w:pPr>
      <w:r>
        <w:t xml:space="preserve">Sanitarna inspekcija obavlja poslove od javnozdravstvenog interesa te se inspekcijski nadzor provodi nad provedbom zakona i drugih propisa kojima se utvrđuje zaštita zdravlja ljudi i to na području sprečavanja i suzbijanja zaraznih bolesti, proizvodnje i stavljanja na tržište hrane, uključujući i genetski modificiranu hranu i novu hranu te genetski modificirane organizme (u daljnjem tekstu: GMO), proizvodnje i stavljanja na tržište predmeta opće uporabe, proizvodnje, stavljanja na tržište i uporabe opasnih kemikalija, stavljanja na tržište i uporabe biocidnih pripravaka, zaštite od buke i zaštite od ionizirajućeg i neionizirajućeg zračenja.  </w:t>
      </w:r>
    </w:p>
    <w:p w:rsidR="00AC0832" w:rsidRDefault="00AC0832">
      <w:pPr>
        <w:pStyle w:val="Normal6"/>
      </w:pPr>
      <w:r>
        <w:t xml:space="preserve">Inspekcijski nadzor obavlja se nad građevinama, postrojenjima, prostorom, prostorijama, uređajima, opremom i osobama koje obavljaju gospodarske djelatnosti i djelatnosti na području zdravstva, odgoja, obrazovanja, socijalne skrbi, ugostiteljstva, turizma, obrta i usluga, športa i rekreacije i prometa te na ostalim javnim mjestima.  </w:t>
      </w:r>
    </w:p>
    <w:p w:rsidR="00AC0832" w:rsidRDefault="00AC0832">
      <w:pPr>
        <w:pStyle w:val="Normal6"/>
      </w:pPr>
      <w:r>
        <w:t xml:space="preserve">U okviru priključenja Republike Hrvatske Europskoj uniji, inspekcija će imati važnu ulogu u razmjeni informacija sa službama u zemljama članicama Europske unije koje  imaju za cilj zaštitu zdravlja potrošača. </w:t>
      </w:r>
    </w:p>
    <w:p w:rsidR="00AC0832" w:rsidRDefault="00AC0832">
      <w:pPr>
        <w:pStyle w:val="Normal6"/>
      </w:pPr>
      <w:r>
        <w:t>* U 2012 godini planirano je 185200 sanitarnih nadzora, a ostvareno 181900. Do smanjenja sanitarnih nadzora došlo je zbog nedostatnog broja sanitarnih inspektora.</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1"/>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nadzori nad provedbom zakona na područjima obuhvaćenih nadzorom</w:t>
            </w:r>
          </w:p>
        </w:tc>
        <w:tc>
          <w:tcPr>
            <w:tcW w:w="1300" w:type="dxa"/>
          </w:tcPr>
          <w:p w:rsidR="00AC0832" w:rsidRDefault="00AC0832">
            <w:pPr>
              <w:pStyle w:val="CellColumn"/>
            </w:pPr>
            <w:r>
              <w:t>broj obavljenih sanitarnih nadzora obavljenih u cilju zaštite zdravlja i života ljudi</w:t>
            </w:r>
          </w:p>
        </w:tc>
        <w:tc>
          <w:tcPr>
            <w:tcW w:w="1300" w:type="dxa"/>
          </w:tcPr>
          <w:p w:rsidR="00AC0832" w:rsidRDefault="00AC0832">
            <w:pPr>
              <w:pStyle w:val="CellColumn"/>
            </w:pPr>
            <w:r>
              <w:t>broj nadzora</w:t>
            </w:r>
          </w:p>
        </w:tc>
        <w:tc>
          <w:tcPr>
            <w:tcW w:w="1300" w:type="dxa"/>
          </w:tcPr>
          <w:p w:rsidR="00AC0832" w:rsidRDefault="00AC0832">
            <w:pPr>
              <w:pStyle w:val="CellColumn"/>
            </w:pPr>
            <w:r>
              <w:t>170.000</w:t>
            </w:r>
          </w:p>
        </w:tc>
        <w:tc>
          <w:tcPr>
            <w:tcW w:w="1300" w:type="dxa"/>
          </w:tcPr>
          <w:p w:rsidR="00AC0832" w:rsidRDefault="00AC0832">
            <w:pPr>
              <w:pStyle w:val="CellColumn"/>
            </w:pPr>
            <w:r>
              <w:t>MZ</w:t>
            </w:r>
          </w:p>
        </w:tc>
        <w:tc>
          <w:tcPr>
            <w:tcW w:w="1300" w:type="dxa"/>
          </w:tcPr>
          <w:p w:rsidR="00AC0832" w:rsidRDefault="00AC0832">
            <w:pPr>
              <w:pStyle w:val="CellColumn"/>
            </w:pPr>
            <w:r>
              <w:t>185.200</w:t>
            </w:r>
          </w:p>
        </w:tc>
        <w:tc>
          <w:tcPr>
            <w:tcW w:w="1300" w:type="dxa"/>
          </w:tcPr>
          <w:p w:rsidR="00AC0832" w:rsidRDefault="00AC0832">
            <w:pPr>
              <w:pStyle w:val="CellColumn"/>
            </w:pPr>
            <w:r>
              <w:t>181.900*</w:t>
            </w:r>
          </w:p>
        </w:tc>
      </w:tr>
    </w:tbl>
    <w:p w:rsidR="00AC0832" w:rsidRDefault="00AC0832">
      <w:pPr>
        <w:jc w:val="left"/>
      </w:pPr>
    </w:p>
    <w:p w:rsidR="00AC0832" w:rsidRDefault="00AC0832">
      <w:pPr>
        <w:pStyle w:val="Heading6"/>
      </w:pPr>
      <w:r>
        <w:t>A803004 OBAVLJANJE INSPEKCIJSKOG NADZORA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A803004-OBAVLJANJE INSPEKCIJSKOG NADZORA</w:t>
            </w:r>
          </w:p>
        </w:tc>
        <w:tc>
          <w:tcPr>
            <w:tcW w:w="2322" w:type="dxa"/>
          </w:tcPr>
          <w:p w:rsidR="00AC0832" w:rsidRDefault="00AC0832">
            <w:pPr>
              <w:pStyle w:val="CellColumn"/>
            </w:pPr>
            <w:r>
              <w:t>2.600.000</w:t>
            </w:r>
          </w:p>
        </w:tc>
        <w:tc>
          <w:tcPr>
            <w:tcW w:w="2322" w:type="dxa"/>
          </w:tcPr>
          <w:p w:rsidR="00AC0832" w:rsidRDefault="00AC0832">
            <w:pPr>
              <w:pStyle w:val="CellColumn"/>
            </w:pPr>
            <w:r>
              <w:t>2.122.005</w:t>
            </w:r>
          </w:p>
        </w:tc>
        <w:tc>
          <w:tcPr>
            <w:tcW w:w="2322" w:type="dxa"/>
          </w:tcPr>
          <w:p w:rsidR="00AC0832" w:rsidRDefault="00AC0832">
            <w:pPr>
              <w:pStyle w:val="CellColumn"/>
            </w:pPr>
            <w:r>
              <w:t>81,6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Ovom aktivnošću osiguravaju se sredstva za uzorkovanje polazeći od nadležnosti </w:t>
      </w:r>
    </w:p>
    <w:p w:rsidR="00AC0832" w:rsidRDefault="00AC0832">
      <w:pPr>
        <w:pStyle w:val="Normal6"/>
      </w:pPr>
      <w:r>
        <w:t xml:space="preserve">sanitarne inspekcije kako je određeno Zakonom o sanitarnoj inspekciji, odnosno </w:t>
      </w:r>
    </w:p>
    <w:p w:rsidR="00AC0832" w:rsidRDefault="00AC0832">
      <w:pPr>
        <w:pStyle w:val="Normal6"/>
      </w:pPr>
      <w:r>
        <w:t xml:space="preserve">drugim zakonima temeljem kojih se provodi sanitarni nadzor (Zakon o hrani, Zakon o </w:t>
      </w:r>
    </w:p>
    <w:p w:rsidR="00AC0832" w:rsidRDefault="00AC0832">
      <w:pPr>
        <w:pStyle w:val="Normal6"/>
      </w:pPr>
      <w:r>
        <w:t xml:space="preserve">vodama, Zakon o zaštiti pučanstva od zaraznih bolesti, Zakon o zaštiti od buke, </w:t>
      </w:r>
    </w:p>
    <w:p w:rsidR="00AC0832" w:rsidRDefault="00AC0832">
      <w:pPr>
        <w:pStyle w:val="Normal6"/>
      </w:pPr>
      <w:r>
        <w:t xml:space="preserve">Zakon o kemikalijama, Zakon o predmetima opće uporabe, Zakon o radiološkoj i </w:t>
      </w:r>
    </w:p>
    <w:p w:rsidR="00AC0832" w:rsidRDefault="00AC0832">
      <w:pPr>
        <w:pStyle w:val="Normal6"/>
      </w:pPr>
      <w:r>
        <w:t>nuklearnoj sigurnosti).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59"/>
        <w:gridCol w:w="1773"/>
        <w:gridCol w:w="1213"/>
        <w:gridCol w:w="1296"/>
        <w:gridCol w:w="1235"/>
        <w:gridCol w:w="1252"/>
        <w:gridCol w:w="126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sanitarnih inspektora</w:t>
            </w:r>
          </w:p>
        </w:tc>
        <w:tc>
          <w:tcPr>
            <w:tcW w:w="1300" w:type="dxa"/>
          </w:tcPr>
          <w:p w:rsidR="00AC0832" w:rsidRDefault="00AC0832">
            <w:pPr>
              <w:pStyle w:val="CellColumn"/>
            </w:pPr>
            <w:r>
              <w:t>kretanje broja sanitarnih inspektora u skladu sa zakonom određenim modalitetom, koji iznosi 1 sanitarni inspektor na 15.000 stanovnika (300 sanitarnih inspektora/100%)</w:t>
            </w:r>
          </w:p>
        </w:tc>
        <w:tc>
          <w:tcPr>
            <w:tcW w:w="1300" w:type="dxa"/>
          </w:tcPr>
          <w:p w:rsidR="00AC0832" w:rsidRDefault="00AC0832">
            <w:pPr>
              <w:pStyle w:val="CellColumn"/>
            </w:pPr>
            <w:r>
              <w:t>broj/%</w:t>
            </w:r>
          </w:p>
        </w:tc>
        <w:tc>
          <w:tcPr>
            <w:tcW w:w="1300" w:type="dxa"/>
          </w:tcPr>
          <w:p w:rsidR="00AC0832" w:rsidRDefault="00AC0832">
            <w:pPr>
              <w:pStyle w:val="CellColumn"/>
            </w:pPr>
            <w:r>
              <w:t>283/94,33%</w:t>
            </w:r>
          </w:p>
        </w:tc>
        <w:tc>
          <w:tcPr>
            <w:tcW w:w="1300" w:type="dxa"/>
          </w:tcPr>
          <w:p w:rsidR="00AC0832" w:rsidRDefault="00AC0832">
            <w:pPr>
              <w:pStyle w:val="CellColumn"/>
            </w:pPr>
            <w:r>
              <w:t>MZ</w:t>
            </w:r>
          </w:p>
        </w:tc>
        <w:tc>
          <w:tcPr>
            <w:tcW w:w="1300" w:type="dxa"/>
          </w:tcPr>
          <w:p w:rsidR="00AC0832" w:rsidRDefault="00AC0832">
            <w:pPr>
              <w:pStyle w:val="CellColumn"/>
            </w:pPr>
            <w:r>
              <w:t>275/91,66</w:t>
            </w:r>
          </w:p>
        </w:tc>
        <w:tc>
          <w:tcPr>
            <w:tcW w:w="1300" w:type="dxa"/>
          </w:tcPr>
          <w:p w:rsidR="00AC0832" w:rsidRDefault="00AC0832">
            <w:pPr>
              <w:pStyle w:val="CellColumn"/>
            </w:pPr>
            <w:r>
              <w:t>250</w:t>
            </w:r>
          </w:p>
        </w:tc>
      </w:tr>
      <w:tr w:rsidR="00AC0832" w:rsidTr="00BE20ED">
        <w:trPr>
          <w:jc w:val="center"/>
        </w:trPr>
        <w:tc>
          <w:tcPr>
            <w:tcW w:w="1300" w:type="dxa"/>
          </w:tcPr>
          <w:p w:rsidR="00AC0832" w:rsidRDefault="00AC0832">
            <w:pPr>
              <w:pStyle w:val="CellColumn"/>
            </w:pPr>
            <w:r>
              <w:t>broj obavljenih sanitarnih nadzora</w:t>
            </w:r>
          </w:p>
        </w:tc>
        <w:tc>
          <w:tcPr>
            <w:tcW w:w="1300" w:type="dxa"/>
          </w:tcPr>
          <w:p w:rsidR="00AC0832" w:rsidRDefault="00AC0832">
            <w:pPr>
              <w:pStyle w:val="CellColumn"/>
            </w:pPr>
            <w:r>
              <w:t>broj obavljenih sanitarnih nadzora obavljenih u cilju zaštite zdravlja i života ljudi</w:t>
            </w:r>
          </w:p>
        </w:tc>
        <w:tc>
          <w:tcPr>
            <w:tcW w:w="1300" w:type="dxa"/>
          </w:tcPr>
          <w:p w:rsidR="00AC0832" w:rsidRDefault="00AC0832">
            <w:pPr>
              <w:pStyle w:val="CellColumn"/>
            </w:pPr>
            <w:r>
              <w:t>broj</w:t>
            </w:r>
          </w:p>
        </w:tc>
        <w:tc>
          <w:tcPr>
            <w:tcW w:w="1300" w:type="dxa"/>
          </w:tcPr>
          <w:p w:rsidR="00AC0832" w:rsidRDefault="00AC0832">
            <w:pPr>
              <w:pStyle w:val="CellColumn"/>
            </w:pPr>
            <w:r>
              <w:t>190.707</w:t>
            </w:r>
          </w:p>
        </w:tc>
        <w:tc>
          <w:tcPr>
            <w:tcW w:w="1300" w:type="dxa"/>
          </w:tcPr>
          <w:p w:rsidR="00AC0832" w:rsidRDefault="00AC0832">
            <w:pPr>
              <w:pStyle w:val="CellColumn"/>
            </w:pPr>
            <w:r>
              <w:t>MZ</w:t>
            </w:r>
          </w:p>
        </w:tc>
        <w:tc>
          <w:tcPr>
            <w:tcW w:w="1300" w:type="dxa"/>
          </w:tcPr>
          <w:p w:rsidR="00AC0832" w:rsidRDefault="00AC0832">
            <w:pPr>
              <w:pStyle w:val="CellColumn"/>
            </w:pPr>
            <w:r>
              <w:t>185.200</w:t>
            </w:r>
          </w:p>
        </w:tc>
        <w:tc>
          <w:tcPr>
            <w:tcW w:w="1300" w:type="dxa"/>
          </w:tcPr>
          <w:p w:rsidR="00AC0832" w:rsidRDefault="00AC0832">
            <w:pPr>
              <w:pStyle w:val="CellColumn"/>
            </w:pPr>
            <w:r>
              <w:t>181.900</w:t>
            </w:r>
          </w:p>
        </w:tc>
      </w:tr>
    </w:tbl>
    <w:p w:rsidR="00AC0832" w:rsidRDefault="00AC0832">
      <w:pPr>
        <w:jc w:val="left"/>
      </w:pPr>
    </w:p>
    <w:p w:rsidR="00AC0832" w:rsidRDefault="00AC0832">
      <w:pPr>
        <w:pStyle w:val="Heading5"/>
      </w:pPr>
      <w:r>
        <w:t>3604 UPRAVLJANJE U SUSTAVU ZDRAVLJA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3604-UPRAVLJANJE U SUSTAVU ZDRAVLJA</w:t>
            </w:r>
          </w:p>
        </w:tc>
        <w:tc>
          <w:tcPr>
            <w:tcW w:w="2322" w:type="dxa"/>
          </w:tcPr>
          <w:p w:rsidR="00AC0832" w:rsidRDefault="00AC0832">
            <w:pPr>
              <w:pStyle w:val="CellColumn"/>
            </w:pPr>
            <w:r>
              <w:t>128.567.166</w:t>
            </w:r>
          </w:p>
        </w:tc>
        <w:tc>
          <w:tcPr>
            <w:tcW w:w="2322" w:type="dxa"/>
          </w:tcPr>
          <w:p w:rsidR="00AC0832" w:rsidRDefault="00AC0832">
            <w:pPr>
              <w:pStyle w:val="CellColumn"/>
            </w:pPr>
            <w:r>
              <w:t>112.011.158</w:t>
            </w:r>
          </w:p>
        </w:tc>
        <w:tc>
          <w:tcPr>
            <w:tcW w:w="2322" w:type="dxa"/>
          </w:tcPr>
          <w:p w:rsidR="00AC0832" w:rsidRDefault="00AC0832">
            <w:pPr>
              <w:pStyle w:val="CellColumn"/>
            </w:pPr>
            <w:r>
              <w:t>87,1</w:t>
            </w:r>
          </w:p>
        </w:tc>
      </w:tr>
    </w:tbl>
    <w:p w:rsidR="00AC0832" w:rsidRDefault="00AC0832">
      <w:pPr>
        <w:jc w:val="left"/>
      </w:pPr>
    </w:p>
    <w:p w:rsidR="00AC0832" w:rsidRDefault="00AC0832">
      <w:pPr>
        <w:pStyle w:val="Heading6"/>
      </w:pPr>
      <w:r>
        <w:t>Opis programa</w:t>
      </w:r>
    </w:p>
    <w:p w:rsidR="00AC0832" w:rsidRDefault="00AC0832">
      <w:pPr>
        <w:pStyle w:val="Normal5"/>
      </w:pPr>
      <w:r>
        <w:t>Ministarstvo  obavlja  upravne, stručne i druge poslove koji se odnose na sustav zdravstvene  zaštite i zdravstvenog osiguranja. Republika Hrvatska, u sklopu međunarodne suradnje, članica je SZO te sudjeluje u uspostavi tehničko - savjetodavne suradnje, a ostvaruje se i regionalna suradnja na području javnog zdravstva u Jugoistočnoj Europi. Isplaćuju se i štete po sudskim presudama kao i naknade za pružanje duhovne  pomoći u ustanovama.</w:t>
      </w:r>
    </w:p>
    <w:p w:rsidR="00AC0832" w:rsidRDefault="00AC0832">
      <w:pPr>
        <w:pStyle w:val="Heading6"/>
      </w:pPr>
      <w:r>
        <w:t>Zakonske i druge pravne osnove</w:t>
      </w:r>
    </w:p>
    <w:p w:rsidR="00AC0832" w:rsidRDefault="00AC0832">
      <w:pPr>
        <w:pStyle w:val="Normal5"/>
      </w:pPr>
      <w:r>
        <w:t>Uredba o unutarnjem ustrojstvu Ministarstva zdravlja ( »Narodne novine«, broj 28/2012 i    31/2013),  Međunarodni sporazum o reintegraciji zatečenih osoba prilikom reintegracije   Hrvatskog Podunavlja, Zakon o kvaliteti zdravstvene zaštite, (Narodne Novine“ 107/07, 124/11), Zakon o područjima posebne državne skrbi, (Narodne Novine“ 57/11),  Ugovor o dušobrižništvu sklopljen između Vlade Republike Hrvatske  i Hrvatske biskupske konferencije, Program Vlade Republike Hrvatske, Memorandum o  razumijevanju o budućnosti Zdravstvene mreže Jugoistočne Europe u okviru procesa suradnje u Jugoistočnoj Europi, Zakon o zdravstvenoj zaštiti ( „Narodne Novine „ 139/10,22/11,84/11,154/11), Pravilnik o ustroju i načinu rada Kriznog stožera</w:t>
      </w:r>
    </w:p>
    <w:p w:rsidR="00AC0832" w:rsidRDefault="00AC0832">
      <w:pPr>
        <w:pStyle w:val="Heading7"/>
      </w:pPr>
      <w:r>
        <w:t xml:space="preserve">Cilj 1. </w:t>
      </w:r>
    </w:p>
    <w:p w:rsidR="00AC0832" w:rsidRDefault="00AC0832">
      <w:pPr>
        <w:pStyle w:val="Heading8"/>
        <w:jc w:val="left"/>
      </w:pPr>
      <w:r>
        <w:t>Opis provedbe cilja programa</w:t>
      </w:r>
    </w:p>
    <w:p w:rsidR="00AC0832" w:rsidRDefault="00AC0832">
      <w:pPr>
        <w:pStyle w:val="Normal6"/>
      </w:pPr>
      <w:r>
        <w:t>Ovim programom osigurana su sredstva za materijalne rashode za funkcioniranje Ministarstva, za unaprjeđenje komunikacijskog sustava, održavanje postojećeg informacijskog sustava, obnavljanje i nabavu opreme i poslovnog prostora te za održavanje i obnovu voznog parka,   naknada šteta po sudskim presudama. U sklopu kapitalnog projekta  K 794006 -  Informatizacija planirano je 10.575.894,00 kn, a utrošeno 8.750.936,43, odnosno 83% planiranog iznosa. Sredstva su bila osigurana za poslovanje Ministarstva u užem smislu za unaprjeđenje komunikacijskog sustava i održavanje postojećeg informacijskog sustava. Temeljem okvirnog sporazuma između Državnog ureda za središnju javnu nabavu i tvrtke KING ICT d.o.o, nabavljena je informatička oprema u vrijednosti od 1.126.630,44 kn u cilju obnavljanja stare informatičke opreme Ministarstva i informatizacije sanitarne inspekcije. U sklopu održavanja informacijskog sustava Ministarstva zdravlja, temeljem okvirnog sporazuma Državnog ureda za središnju javnu nabavu i tvrtke Comping d.o.o nabavljene su Microsoft licence u iznosu od 326.578,39 kn. Obzirom je Republika Hrvatska  članica  SZO,  uplaćene su i sve potrebne članarine. Za isplatu šteta po sudskim presudama u okviru ovog programa utrošeno je 13.142.958,19 kn, a za duhovnu pomoć 776.000,00 kn.</w:t>
      </w:r>
    </w:p>
    <w:p w:rsidR="00AC0832" w:rsidRDefault="00AC0832">
      <w:pPr>
        <w:pStyle w:val="Heading5"/>
      </w:pPr>
      <w:r>
        <w:t>3606 ZAŠTITA ZDRAVLJA I SIGURNOST RADNIKA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3606-ZAŠTITA ZDRAVLJA I SIGURNOST RADNIKA</w:t>
            </w:r>
          </w:p>
        </w:tc>
        <w:tc>
          <w:tcPr>
            <w:tcW w:w="2322" w:type="dxa"/>
          </w:tcPr>
          <w:p w:rsidR="00AC0832" w:rsidRDefault="00AC0832">
            <w:pPr>
              <w:pStyle w:val="CellColumn"/>
            </w:pPr>
            <w:r>
              <w:t>9.000.400</w:t>
            </w:r>
          </w:p>
        </w:tc>
        <w:tc>
          <w:tcPr>
            <w:tcW w:w="2322" w:type="dxa"/>
          </w:tcPr>
          <w:p w:rsidR="00AC0832" w:rsidRDefault="00AC0832">
            <w:pPr>
              <w:pStyle w:val="CellColumn"/>
            </w:pPr>
            <w:r>
              <w:t>9.000.400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Opis programa</w:t>
      </w:r>
    </w:p>
    <w:p w:rsidR="00AC0832" w:rsidRDefault="00AC0832">
      <w:pPr>
        <w:pStyle w:val="Normal5"/>
      </w:pPr>
      <w:r>
        <w:t>Povećanje kontrole izloženosti štetnim učincima na radnom mjestu, provođenje edukacija radnika, donošenje tehničkih i zdravstvenih smjernica; analiza uzroka pojavnosti profesionalnih bolesti i ozljeda na radu s ciljem smanjenja profesionalnih bolesti i ozljeda na radu.</w:t>
      </w:r>
    </w:p>
    <w:p w:rsidR="00AC0832" w:rsidRDefault="00AC0832">
      <w:pPr>
        <w:pStyle w:val="Heading6"/>
      </w:pPr>
      <w:r>
        <w:t>Zakonske i druge pravne osnove</w:t>
      </w:r>
    </w:p>
    <w:p w:rsidR="00AC0832" w:rsidRDefault="00AC0832">
      <w:pPr>
        <w:pStyle w:val="Normal5"/>
      </w:pPr>
      <w:r>
        <w:t xml:space="preserve">Zakon o zdravstvenoj zaštiti, Zakon o zaštiti na radu, Nacionalni plan zaštite na radu </w:t>
      </w:r>
    </w:p>
    <w:p w:rsidR="00AC0832" w:rsidRDefault="00AC0832">
      <w:pPr>
        <w:pStyle w:val="Normal5"/>
      </w:pPr>
      <w:r>
        <w:t>Ciljevi provedbe programa u razdoblju 2011.-2013. i pokazatelji uspješnosti kojima će se mjeriti ostvarenje tih ciljeva</w:t>
      </w:r>
    </w:p>
    <w:p w:rsidR="00AC0832" w:rsidRDefault="00AC0832">
      <w:pPr>
        <w:pStyle w:val="Heading7"/>
      </w:pPr>
      <w:r>
        <w:t>Cilj 1. Zaštita javnozdravstvenog interesa</w:t>
      </w:r>
    </w:p>
    <w:p w:rsidR="00AC0832" w:rsidRDefault="00AC0832">
      <w:pPr>
        <w:pStyle w:val="Heading8"/>
        <w:jc w:val="left"/>
      </w:pPr>
      <w:r>
        <w:t>Opis provedbe cilja programa</w:t>
      </w:r>
    </w:p>
    <w:p w:rsidR="00AC0832" w:rsidRDefault="00AC0832">
      <w:pPr>
        <w:pStyle w:val="Normal6"/>
      </w:pPr>
      <w:r>
        <w:t xml:space="preserve">Promicane su stručne spoznaje o primjeni mjera kojima se smanjuje ili sprječava izloženost radnika opasnostima i štetnostima na radnom mjestu. Aktivnosti su prvenstveno bile usmjerene na specijaliste medicine rada, stručnjake u zaštiti na radu, radnike i poslodavce, a sadržajem će obuhvaćati sigurnosne i zdravstvene aspekte zaštite zdravlja radnika. </w:t>
      </w:r>
    </w:p>
    <w:p w:rsidR="00AC0832" w:rsidRDefault="00AC0832">
      <w:pPr>
        <w:pStyle w:val="Normal6"/>
      </w:pPr>
      <w:r>
        <w:t>* U 2012. godine ukupan broj utvrđenih profesionalnih bolesti bio je 307, od  toga je 243 profesionalnih bolesti koje su izazvane azbestom , dok  je  ostalih   profesionalnih  bolesti bilo 64.  Kako razdoblje od izlaganja azbestu do dijagnoze iznosi 20 i više godina, često i 40 godina sada se otkrivaju bolesnici koji su bili izloženi azbestu prije 20-40 godina. Podaci ukazuju na mogući  trend pada ovih bolesti jer je za najveći broj izloženih  već prošlo  vršno  vrijeme za pojavu ovih bolesti , osobito nemalignih.  Ostale bolesti, kod kojih je vrijeme latencije daleko kraće su na razini prošle tri godine, što  smatramo uspjehom primjene  mjera zaštite na radu.</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62"/>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 xml:space="preserve">smanjenje broja </w:t>
            </w:r>
          </w:p>
          <w:p w:rsidR="00AC0832" w:rsidRDefault="00AC0832">
            <w:pPr>
              <w:pStyle w:val="CellColumn"/>
            </w:pPr>
            <w:r>
              <w:t>profesionalnih bolesti</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 xml:space="preserve">broj </w:t>
            </w:r>
          </w:p>
          <w:p w:rsidR="00AC0832" w:rsidRDefault="00AC0832">
            <w:pPr>
              <w:pStyle w:val="CellColumn"/>
            </w:pPr>
            <w:r>
              <w:t xml:space="preserve">profesion </w:t>
            </w:r>
          </w:p>
          <w:p w:rsidR="00AC0832" w:rsidRDefault="00AC0832">
            <w:pPr>
              <w:pStyle w:val="CellColumn"/>
            </w:pPr>
            <w:r>
              <w:t xml:space="preserve">alnih </w:t>
            </w:r>
          </w:p>
          <w:p w:rsidR="00AC0832" w:rsidRDefault="00AC0832">
            <w:pPr>
              <w:pStyle w:val="CellColumn"/>
            </w:pPr>
            <w:r>
              <w:t>bolesti</w:t>
            </w:r>
          </w:p>
        </w:tc>
        <w:tc>
          <w:tcPr>
            <w:tcW w:w="1300" w:type="dxa"/>
          </w:tcPr>
          <w:p w:rsidR="00AC0832" w:rsidRDefault="00AC0832">
            <w:pPr>
              <w:pStyle w:val="CellColumn"/>
            </w:pPr>
            <w:r>
              <w:t>200</w:t>
            </w:r>
          </w:p>
        </w:tc>
        <w:tc>
          <w:tcPr>
            <w:tcW w:w="1300" w:type="dxa"/>
          </w:tcPr>
          <w:p w:rsidR="00AC0832" w:rsidRDefault="00AC0832">
            <w:pPr>
              <w:pStyle w:val="CellColumn"/>
            </w:pPr>
            <w:r>
              <w:t>HZZZSR</w:t>
            </w:r>
          </w:p>
        </w:tc>
        <w:tc>
          <w:tcPr>
            <w:tcW w:w="1300" w:type="dxa"/>
          </w:tcPr>
          <w:p w:rsidR="00AC0832" w:rsidRDefault="00AC0832">
            <w:pPr>
              <w:pStyle w:val="CellColumn"/>
            </w:pPr>
            <w:r>
              <w:t>200</w:t>
            </w:r>
          </w:p>
        </w:tc>
        <w:tc>
          <w:tcPr>
            <w:tcW w:w="1300" w:type="dxa"/>
          </w:tcPr>
          <w:p w:rsidR="00AC0832" w:rsidRDefault="00AC0832">
            <w:pPr>
              <w:pStyle w:val="CellColumn"/>
            </w:pPr>
            <w:r>
              <w:t>307*</w:t>
            </w:r>
          </w:p>
        </w:tc>
      </w:tr>
    </w:tbl>
    <w:p w:rsidR="00AC0832" w:rsidRDefault="00AC0832">
      <w:pPr>
        <w:jc w:val="left"/>
      </w:pPr>
    </w:p>
    <w:p w:rsidR="00AC0832" w:rsidRDefault="00AC0832">
      <w:pPr>
        <w:pStyle w:val="Heading6"/>
      </w:pPr>
      <w:r>
        <w:t>A618210 HRVATSKI ZAVOD ZA ZAŠTITU ZDRAVLJA I SIGURNOSTI NA RADU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A618210-HRVATSKI ZAVOD ZA ZAŠTITU ZDRAVLJA I SIGURNOSTI NA RADU</w:t>
            </w:r>
          </w:p>
        </w:tc>
        <w:tc>
          <w:tcPr>
            <w:tcW w:w="2322" w:type="dxa"/>
          </w:tcPr>
          <w:p w:rsidR="00AC0832" w:rsidRDefault="00AC0832">
            <w:pPr>
              <w:pStyle w:val="CellColumn"/>
            </w:pPr>
            <w:r>
              <w:t>9.000.400</w:t>
            </w:r>
          </w:p>
        </w:tc>
        <w:tc>
          <w:tcPr>
            <w:tcW w:w="2322" w:type="dxa"/>
          </w:tcPr>
          <w:p w:rsidR="00AC0832" w:rsidRDefault="00AC0832">
            <w:pPr>
              <w:pStyle w:val="CellColumn"/>
            </w:pPr>
            <w:r>
              <w:t>9.000.400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Ovom aktivnošću osigurava se povećanje kontrole izloženosti štetnim učincima na radnom mjestu, provođenje edukacija radnika, donošenje tehničkih i zdravstvenih smjernica; analiza uzroka pojavnosti profesionalnih bolesti i ozljeda na radu s ciljem smanjenja profesionalnih bolesti i ozljeda na radu. </w:t>
      </w:r>
    </w:p>
    <w:p w:rsidR="00AC0832" w:rsidRDefault="00AC0832">
      <w:pPr>
        <w:pStyle w:val="Normal6"/>
      </w:pPr>
      <w:r>
        <w:t>Mišljenja smo da se program provodi uspješno sa pozitivnim utjecajem na unapređenje zaštite javnozdravstvenog interesa  i to upravo na području povećanja razine zdravlja radnika u cjelini uz smanjenje čimbenika rizika za zdravlje kao i provedbi zakonskih i drugih propisa u području nadležnosti Ministarstva zdravlja. Na pojavnost  bolesti uzrokovanih azbestom ne može se utjecati mjerama koje su se provodile tijekom 2012. godine jer se radi o  bolestima koje nastaju nakon duge latencije nakon početka izloženosti.  Ostale bolesti, kod kojih je vrijeme latencije daleko kraće su u padu kontinuirano i smatramo uspjehom primjena mjera zaštite na radu.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9"/>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uspostava sustava praćenja i zaštite zdravlja radnika radi sprječavanja štetnog utjecaja rada na zdravlje</w:t>
            </w:r>
          </w:p>
        </w:tc>
        <w:tc>
          <w:tcPr>
            <w:tcW w:w="1300" w:type="dxa"/>
          </w:tcPr>
          <w:p w:rsidR="00AC0832" w:rsidRDefault="00AC0832">
            <w:pPr>
              <w:pStyle w:val="CellColumn"/>
            </w:pPr>
            <w:r>
              <w:t>povećanje broja educiranih i informiranih dionika  o utjecaju štetnosti radnog mjesta na zdravlje</w:t>
            </w:r>
          </w:p>
        </w:tc>
        <w:tc>
          <w:tcPr>
            <w:tcW w:w="1300" w:type="dxa"/>
          </w:tcPr>
          <w:p w:rsidR="00AC0832" w:rsidRDefault="00AC0832">
            <w:pPr>
              <w:pStyle w:val="CellColumn"/>
            </w:pPr>
            <w:r>
              <w:t>broj educiranih i informiranih dionika</w:t>
            </w:r>
          </w:p>
        </w:tc>
        <w:tc>
          <w:tcPr>
            <w:tcW w:w="1300" w:type="dxa"/>
          </w:tcPr>
          <w:p w:rsidR="00AC0832" w:rsidRDefault="00AC0832">
            <w:pPr>
              <w:pStyle w:val="CellColumn"/>
            </w:pPr>
            <w:r>
              <w:t>2500</w:t>
            </w:r>
          </w:p>
        </w:tc>
        <w:tc>
          <w:tcPr>
            <w:tcW w:w="1300" w:type="dxa"/>
          </w:tcPr>
          <w:p w:rsidR="00AC0832" w:rsidRDefault="00AC0832">
            <w:pPr>
              <w:pStyle w:val="CellColumn"/>
            </w:pPr>
            <w:r>
              <w:t>HZZZSR</w:t>
            </w:r>
          </w:p>
        </w:tc>
        <w:tc>
          <w:tcPr>
            <w:tcW w:w="1300" w:type="dxa"/>
          </w:tcPr>
          <w:p w:rsidR="00AC0832" w:rsidRDefault="00AC0832">
            <w:pPr>
              <w:pStyle w:val="CellColumn"/>
            </w:pPr>
            <w:r>
              <w:t>Uvećanje 20%</w:t>
            </w:r>
          </w:p>
        </w:tc>
        <w:tc>
          <w:tcPr>
            <w:tcW w:w="1300" w:type="dxa"/>
          </w:tcPr>
          <w:p w:rsidR="00AC0832" w:rsidRDefault="00AC0832">
            <w:pPr>
              <w:pStyle w:val="CellColumn"/>
            </w:pPr>
            <w:r>
              <w:t>9906</w:t>
            </w:r>
          </w:p>
        </w:tc>
      </w:tr>
    </w:tbl>
    <w:p w:rsidR="00AC0832" w:rsidRDefault="00AC0832">
      <w:pPr>
        <w:jc w:val="left"/>
      </w:pPr>
    </w:p>
    <w:p w:rsidR="00AC0832" w:rsidRDefault="00AC0832">
      <w:pPr>
        <w:pStyle w:val="Heading2"/>
      </w:pPr>
      <w:r>
        <w:t>09615 Hrvatski zavod za zdravstveno osiguranje</w:t>
      </w:r>
    </w:p>
    <w:p w:rsidR="00AC0832" w:rsidRDefault="00AC0832">
      <w:pPr>
        <w:pStyle w:val="Heading4"/>
      </w:pPr>
      <w:r>
        <w:t>Uvod</w:t>
      </w:r>
    </w:p>
    <w:p w:rsidR="00AC0832" w:rsidRDefault="00AC0832">
      <w:pPr>
        <w:pStyle w:val="Normal3"/>
      </w:pPr>
      <w:r>
        <w:t xml:space="preserve">Hrvatski zavod  za zdravstveno osiguranje (Zavod) sa sjedištem u Zagrebu, Margaretska 3, osnovan je radi provođenja obveznog zdravstvenog osiguranja, te obavljanja drugih poslova prema Zakonu o obveznom zdravstvenom osiguranju, te Zakonu o zdravstvenoj zaštiti.   </w:t>
      </w:r>
    </w:p>
    <w:p w:rsidR="00AC0832" w:rsidRDefault="00AC0832">
      <w:pPr>
        <w:pStyle w:val="Normal3"/>
      </w:pPr>
      <w:r>
        <w:t xml:space="preserve">Zavod organizira i provodi poslove obveznog zdravstvenog osiguranja u skladu s Zakonom, te poslove dopunskog zdravstvenog osiguranja u skladu s Zakonom o dobrovoljnom zdravstvenom osiguranju. </w:t>
      </w:r>
    </w:p>
    <w:p w:rsidR="00AC0832" w:rsidRDefault="00AC0832">
      <w:pPr>
        <w:pStyle w:val="Normal3"/>
      </w:pPr>
      <w:r>
        <w:t xml:space="preserve">Svaki građanin Republike Hrvatske obvezan je prijaviti se na obvezno zdravstveno osiguranje, te su svim osiguranim osobama osigurana prava i obveze iz obveznog zdravstvenog osiguranja na načelima uzajamnosti, solidarnosti i jednakosti na način i pod uvjetima utvrđenim Zakonom. </w:t>
      </w:r>
    </w:p>
    <w:p w:rsidR="00AC0832" w:rsidRDefault="00AC0832">
      <w:pPr>
        <w:pStyle w:val="Normal3"/>
      </w:pPr>
      <w:r>
        <w:t xml:space="preserve">Opseg i prava iz obveznog zdravstvenog osiguranja osigurava se svim osiguranim osobama pod jednakim uvjetima. Prema podacima iz baze podataka osiguranika,  prosječan broj osiguranih osoba  u razdoblju siječanj-prosinac 2012. godine iznosi 4.356.486 osiguranika. </w:t>
      </w:r>
    </w:p>
    <w:p w:rsidR="00AC0832" w:rsidRDefault="00AC0832">
      <w:pPr>
        <w:pStyle w:val="Normal3"/>
      </w:pPr>
      <w:r>
        <w:t xml:space="preserve">Prava iz obveznog zdravstvenog osiguranja obuhvaćaju prava na zdravstvenu zaštitu i prava na novčane naknade.  </w:t>
      </w:r>
    </w:p>
    <w:p w:rsidR="00AC0832" w:rsidRDefault="00AC0832">
      <w:pPr>
        <w:pStyle w:val="Normal3"/>
      </w:pPr>
      <w:r>
        <w:t xml:space="preserve">Dopunsko zdravstveno osiguranje koje provodi Zavod je dobrovoljno zdravstveno osiguranje, kojim se osiguranim osobama na obvezno zdravstveno osiguranje osigurava pokriće sudjelovanja u troškovima zdravstvene zaštite iz obveznog zdravstvenog osiguranja iz članka 16.  Zakona o obveznom osiguranju. </w:t>
      </w:r>
    </w:p>
    <w:p w:rsidR="00AC0832" w:rsidRDefault="00AC0832">
      <w:pPr>
        <w:pStyle w:val="Normal3"/>
      </w:pPr>
      <w:r>
        <w:t xml:space="preserve"> Napominjemo da su ukupno izvršena sredstva po pojedinim pozicijama proračuna u skladu s osiguranim sredstvima za 2012.godinu. </w:t>
      </w:r>
    </w:p>
    <w:p w:rsidR="00AC0832" w:rsidRDefault="00AC0832">
      <w:pPr>
        <w:pStyle w:val="Normal3"/>
      </w:pPr>
      <w:r>
        <w:t>Izvori financiranja doprinosi (22) i proračun (11) izvršeni su u skladu s raspoloživim sredstvima, a izvor financiranja posebni propisi (43) izvršen je više od plana, jer su i naplaćena sredstva više od planiranih, posebice u dopunskom zdravstvenom osiguranju.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09615-Hrvatski zavod za zdravstveno osiguranje</w:t>
            </w:r>
          </w:p>
        </w:tc>
        <w:tc>
          <w:tcPr>
            <w:tcW w:w="2322" w:type="dxa"/>
          </w:tcPr>
          <w:p w:rsidR="00AC0832" w:rsidRDefault="00AC0832">
            <w:pPr>
              <w:pStyle w:val="CellColumn"/>
            </w:pPr>
            <w:r>
              <w:t>21.119.925.828</w:t>
            </w:r>
          </w:p>
        </w:tc>
        <w:tc>
          <w:tcPr>
            <w:tcW w:w="2322" w:type="dxa"/>
          </w:tcPr>
          <w:p w:rsidR="00AC0832" w:rsidRDefault="00AC0832">
            <w:pPr>
              <w:pStyle w:val="CellColumn"/>
            </w:pPr>
            <w:r>
              <w:t>21.342.882.980</w:t>
            </w:r>
          </w:p>
        </w:tc>
        <w:tc>
          <w:tcPr>
            <w:tcW w:w="2322" w:type="dxa"/>
          </w:tcPr>
          <w:p w:rsidR="00AC0832" w:rsidRDefault="00AC0832">
            <w:pPr>
              <w:pStyle w:val="CellColumn"/>
            </w:pPr>
            <w:r>
              <w:t>101,1</w:t>
            </w:r>
          </w:p>
        </w:tc>
      </w:tr>
      <w:tr w:rsidR="00AC0832" w:rsidTr="00BE20ED">
        <w:trPr>
          <w:jc w:val="center"/>
        </w:trPr>
        <w:tc>
          <w:tcPr>
            <w:tcW w:w="2322" w:type="dxa"/>
          </w:tcPr>
          <w:p w:rsidR="00AC0832" w:rsidRDefault="00AC0832">
            <w:pPr>
              <w:pStyle w:val="CellColumnSmall"/>
            </w:pPr>
            <w:r>
              <w:t>3605-SIGURNOST GRAĐANA I PRAVA NA ZDRAVSTVENE USLUGE</w:t>
            </w:r>
          </w:p>
        </w:tc>
        <w:tc>
          <w:tcPr>
            <w:tcW w:w="2322" w:type="dxa"/>
          </w:tcPr>
          <w:p w:rsidR="00AC0832" w:rsidRDefault="00AC0832">
            <w:pPr>
              <w:pStyle w:val="CellColumnSmall"/>
            </w:pPr>
            <w:r>
              <w:t>21.119.925.828</w:t>
            </w:r>
          </w:p>
        </w:tc>
        <w:tc>
          <w:tcPr>
            <w:tcW w:w="2322" w:type="dxa"/>
          </w:tcPr>
          <w:p w:rsidR="00AC0832" w:rsidRDefault="00AC0832">
            <w:pPr>
              <w:pStyle w:val="CellColumnSmall"/>
            </w:pPr>
            <w:r>
              <w:t>21.342.882.980</w:t>
            </w:r>
          </w:p>
        </w:tc>
        <w:tc>
          <w:tcPr>
            <w:tcW w:w="2322" w:type="dxa"/>
          </w:tcPr>
          <w:p w:rsidR="00AC0832" w:rsidRDefault="00AC0832">
            <w:pPr>
              <w:pStyle w:val="CellColumnSmall"/>
            </w:pPr>
            <w:r>
              <w:t>101,1</w:t>
            </w:r>
          </w:p>
        </w:tc>
      </w:tr>
    </w:tbl>
    <w:p w:rsidR="00AC0832" w:rsidRDefault="00AC0832">
      <w:pPr>
        <w:jc w:val="left"/>
      </w:pPr>
    </w:p>
    <w:p w:rsidR="00AC0832" w:rsidRDefault="00AC0832">
      <w:pPr>
        <w:pStyle w:val="Heading4"/>
      </w:pPr>
      <w:r>
        <w:t>OBRAZLOŽENJE PROGRAMA</w:t>
      </w:r>
    </w:p>
    <w:p w:rsidR="00AC0832" w:rsidRDefault="00AC0832">
      <w:pPr>
        <w:pStyle w:val="Heading5"/>
      </w:pPr>
      <w:r>
        <w:t>3605 SIGURNOST GRAĐANA I PRAVA NA ZDRAVSTVENE USLUGE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3605-SIGURNOST GRAĐANA I PRAVA NA ZDRAVSTVENE USLUGE</w:t>
            </w:r>
          </w:p>
        </w:tc>
        <w:tc>
          <w:tcPr>
            <w:tcW w:w="2322" w:type="dxa"/>
          </w:tcPr>
          <w:p w:rsidR="00AC0832" w:rsidRDefault="00AC0832">
            <w:pPr>
              <w:pStyle w:val="CellColumn"/>
            </w:pPr>
            <w:r>
              <w:t>21.119.925.828</w:t>
            </w:r>
          </w:p>
        </w:tc>
        <w:tc>
          <w:tcPr>
            <w:tcW w:w="2322" w:type="dxa"/>
          </w:tcPr>
          <w:p w:rsidR="00AC0832" w:rsidRDefault="00AC0832">
            <w:pPr>
              <w:pStyle w:val="CellColumn"/>
            </w:pPr>
            <w:r>
              <w:t>21.342.882.980</w:t>
            </w:r>
          </w:p>
        </w:tc>
        <w:tc>
          <w:tcPr>
            <w:tcW w:w="2322" w:type="dxa"/>
          </w:tcPr>
          <w:p w:rsidR="00AC0832" w:rsidRDefault="00AC0832">
            <w:pPr>
              <w:pStyle w:val="CellColumn"/>
            </w:pPr>
            <w:r>
              <w:t>101,1</w:t>
            </w:r>
          </w:p>
        </w:tc>
      </w:tr>
    </w:tbl>
    <w:p w:rsidR="00AC0832" w:rsidRDefault="00AC0832">
      <w:pPr>
        <w:jc w:val="left"/>
      </w:pPr>
    </w:p>
    <w:p w:rsidR="00AC0832" w:rsidRDefault="00AC0832">
      <w:pPr>
        <w:pStyle w:val="Heading6"/>
      </w:pPr>
      <w:r>
        <w:t>Opis programa</w:t>
      </w:r>
    </w:p>
    <w:p w:rsidR="00AC0832" w:rsidRDefault="00AC0832">
      <w:pPr>
        <w:pStyle w:val="Normal5"/>
      </w:pPr>
      <w:r>
        <w:t>Opći cilj ovog programa je osigurati zdravstvenu zaštitu i naknade osiguranim osobama Zavoda. Sredstvima dopunskog zdravstvenog osiguranja osigurava se pokriće sudjelovanja osigurane osobe do pune cijene troškova usluge obveznog zdravstvenog osiguranja.</w:t>
      </w:r>
    </w:p>
    <w:p w:rsidR="00AC0832" w:rsidRDefault="00AC0832">
      <w:pPr>
        <w:pStyle w:val="Heading6"/>
      </w:pPr>
      <w:r>
        <w:t>Zakonske i druge pravne osnove</w:t>
      </w:r>
    </w:p>
    <w:p w:rsidR="00AC0832" w:rsidRDefault="00AC0832">
      <w:pPr>
        <w:pStyle w:val="Normal5"/>
      </w:pPr>
      <w:r>
        <w:t>Navedeni opći cilj proizlazi iz Zakona o obveznom zdravstvenom osiguranju i Zakona o dobrovoljnom zdravstvenom osiguranju.</w:t>
      </w:r>
    </w:p>
    <w:p w:rsidR="00AC0832" w:rsidRDefault="00AC0832">
      <w:pPr>
        <w:pStyle w:val="Heading6"/>
      </w:pPr>
      <w:r>
        <w:t>A690001 PRIMARNA ZDRAVSTVENA ZAŠTITA - UGOVOR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A690001-PRIMARNA ZDRAVSTVENA ZAŠTITA - UGOVOR</w:t>
            </w:r>
          </w:p>
        </w:tc>
        <w:tc>
          <w:tcPr>
            <w:tcW w:w="2322" w:type="dxa"/>
          </w:tcPr>
          <w:p w:rsidR="00AC0832" w:rsidRDefault="00AC0832">
            <w:pPr>
              <w:pStyle w:val="CellColumn"/>
            </w:pPr>
            <w:r>
              <w:t>2.904.200.000</w:t>
            </w:r>
          </w:p>
        </w:tc>
        <w:tc>
          <w:tcPr>
            <w:tcW w:w="2322" w:type="dxa"/>
          </w:tcPr>
          <w:p w:rsidR="00AC0832" w:rsidRDefault="00AC0832">
            <w:pPr>
              <w:pStyle w:val="CellColumn"/>
            </w:pPr>
            <w:r>
              <w:t>2.904.186.510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2012. godini ugovoreno je 2.343 tima opće/obiteljske medicine, 272 tima zdravstvene zaštite predškolske djece, 272 tima zdravstvene zaštite žena, 1.955 timova polivalentne dentalne zdravstvene zaštite, 155 timova u djelatnosti preventivno- odgojnih mjera školske djece i studenata, 134 tima u djelatnosti primarne laboratorijske dijagnostike, 871 tim patronažne zdravstvene zaštite, 112 timova higijensko- epidemiološke zdravstvene zaštite... a sve u cilju osiguranja primarne zdravstvene zaštite za sve osigurane osobe Zavoda. Uz utvrđeni iznos sredstava za određenu djelatnost ( glavarine ), dio usluga u primarnoj zdravstvenoj zaštiti plaća se po dijagnostičko-terapijskom postupku (DTP ) koji se posebno zaračunava Zavodu. Sredstva za ovu aktivnost izvršena su u planiranom iznosu.</w:t>
      </w:r>
    </w:p>
    <w:p w:rsidR="00AC0832" w:rsidRDefault="00AC0832">
      <w:pPr>
        <w:pStyle w:val="Heading6"/>
      </w:pPr>
      <w:r>
        <w:t>A690002 LIJEKOVI NA RECEPTE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A690002-LIJEKOVI NA RECEPTE</w:t>
            </w:r>
          </w:p>
        </w:tc>
        <w:tc>
          <w:tcPr>
            <w:tcW w:w="2322" w:type="dxa"/>
          </w:tcPr>
          <w:p w:rsidR="00AC0832" w:rsidRDefault="00AC0832">
            <w:pPr>
              <w:pStyle w:val="CellColumn"/>
            </w:pPr>
            <w:r>
              <w:t>3.129.182.000</w:t>
            </w:r>
          </w:p>
        </w:tc>
        <w:tc>
          <w:tcPr>
            <w:tcW w:w="2322" w:type="dxa"/>
          </w:tcPr>
          <w:p w:rsidR="00AC0832" w:rsidRDefault="00AC0832">
            <w:pPr>
              <w:pStyle w:val="CellColumn"/>
            </w:pPr>
            <w:r>
              <w:t>3.129.182.000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HZZO putem ugovora s ljekarnama osigurava osiguranim osobama lijekove potrebne za liječenje sukladno Listi lijekova. Tijekom 2012.g. sklopljeni su ugovori s 1.094 ljekarne - ljekarničke jedinice. Da bi se ublažila nestašica lijekova, u svibnju i srpnju 2012.g. s ove pozicije plaćene su obveze bolničkih zdravstvenih ustanova i domova zdravlja u ukupnom iznosu od 465.423.245,84 kn i to za lijekove i potrošni medicinski materijal, sukladno Odluci Ministarstva zdravlja i Upravnog vijeća HZZO-a. Zbog nedostatka sredstava, na ovoj poziciji su na kraju 2012.g. iskazane znatne obveze.</w:t>
      </w:r>
    </w:p>
    <w:p w:rsidR="00AC0832" w:rsidRDefault="00AC0832">
      <w:pPr>
        <w:pStyle w:val="Heading6"/>
      </w:pPr>
      <w:r>
        <w:t>A690008 NAKNADE ZA BOLOVANJA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A690008-NAKNADE ZA BOLOVANJA</w:t>
            </w:r>
          </w:p>
        </w:tc>
        <w:tc>
          <w:tcPr>
            <w:tcW w:w="2322" w:type="dxa"/>
          </w:tcPr>
          <w:p w:rsidR="00AC0832" w:rsidRDefault="00AC0832">
            <w:pPr>
              <w:pStyle w:val="CellColumn"/>
            </w:pPr>
            <w:r>
              <w:t>930.000.000</w:t>
            </w:r>
          </w:p>
        </w:tc>
        <w:tc>
          <w:tcPr>
            <w:tcW w:w="2322" w:type="dxa"/>
          </w:tcPr>
          <w:p w:rsidR="00AC0832" w:rsidRDefault="00AC0832">
            <w:pPr>
              <w:pStyle w:val="CellColumn"/>
            </w:pPr>
            <w:r>
              <w:t>930.000.000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Sukladno Zakonu o obveznom zdravstvenom osiguranju, HZZO osigurava osiguranoj osobi naknadu plaće  nakon 42. dana bolovanja. Osnov za isplatu je doznaka koju izdaje izabarani obiteljski liječnik. Naknade bolovanja u pravilu isplaćuje poslodavac i refundira od HZZO-a. Ostvarena vrijednost u 2012.godini veća je od Izvornog plana za 2012.g. jer raspoloživa sredstva nisu bila dovoljna za isplatu naknada, te su se preraspodjelom proračuna osigurala dodatna sredstva. Napominjemo da su na ovoj stavci iskazane dospjele obveze za neisplaćene naknade bolovanja u visini od 196,6 mil kuna. Broj dana bolovanja na teret HZZO-a u 2012.g. iznosi 7.876.288 dana, dok je u 2011.g. iznosio 7.906.511 dana, što je manje za 30.223 dana. Broj zaposlenika na bolovanju u 2011.g bio je 25.260, a u 2012.g. prosječno dnevno zbog bolovanja izostaje 25.163 zaposlenika.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29"/>
        <w:gridCol w:w="1300"/>
        <w:gridCol w:w="1329"/>
        <w:gridCol w:w="132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Smanjenje sredstava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Kuna</w:t>
            </w:r>
          </w:p>
        </w:tc>
        <w:tc>
          <w:tcPr>
            <w:tcW w:w="1300" w:type="dxa"/>
          </w:tcPr>
          <w:p w:rsidR="00AC0832" w:rsidRDefault="00AC0832">
            <w:pPr>
              <w:pStyle w:val="CellColumn"/>
            </w:pPr>
            <w:r>
              <w:t>983.500.000</w:t>
            </w:r>
          </w:p>
        </w:tc>
        <w:tc>
          <w:tcPr>
            <w:tcW w:w="1300" w:type="dxa"/>
          </w:tcPr>
          <w:p w:rsidR="00AC0832" w:rsidRDefault="00AC0832">
            <w:pPr>
              <w:pStyle w:val="CellColumn"/>
            </w:pPr>
            <w:r>
              <w:t>HZZO</w:t>
            </w:r>
          </w:p>
        </w:tc>
        <w:tc>
          <w:tcPr>
            <w:tcW w:w="1300" w:type="dxa"/>
          </w:tcPr>
          <w:p w:rsidR="00AC0832" w:rsidRDefault="00AC0832">
            <w:pPr>
              <w:pStyle w:val="CellColumn"/>
            </w:pPr>
            <w:r>
              <w:t>900.000.000</w:t>
            </w:r>
          </w:p>
        </w:tc>
        <w:tc>
          <w:tcPr>
            <w:tcW w:w="1300" w:type="dxa"/>
          </w:tcPr>
          <w:p w:rsidR="00AC0832" w:rsidRDefault="00AC0832">
            <w:pPr>
              <w:pStyle w:val="CellColumn"/>
            </w:pPr>
            <w:r>
              <w:t>930.000.000</w:t>
            </w:r>
          </w:p>
        </w:tc>
      </w:tr>
    </w:tbl>
    <w:p w:rsidR="00AC0832" w:rsidRDefault="00AC0832">
      <w:pPr>
        <w:jc w:val="left"/>
      </w:pPr>
    </w:p>
    <w:p w:rsidR="00AC0832" w:rsidRDefault="00AC0832">
      <w:pPr>
        <w:pStyle w:val="Heading6"/>
      </w:pPr>
      <w:r>
        <w:t>A690019 BOLNIČKA ZDRAVSTVENA ZAŠTITA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A690019-BOLNIČKA ZDRAVSTVENA ZAŠTITA</w:t>
            </w:r>
          </w:p>
        </w:tc>
        <w:tc>
          <w:tcPr>
            <w:tcW w:w="2322" w:type="dxa"/>
          </w:tcPr>
          <w:p w:rsidR="00AC0832" w:rsidRDefault="00AC0832">
            <w:pPr>
              <w:pStyle w:val="CellColumn"/>
            </w:pPr>
            <w:r>
              <w:t>7.860.321.117</w:t>
            </w:r>
          </w:p>
        </w:tc>
        <w:tc>
          <w:tcPr>
            <w:tcW w:w="2322" w:type="dxa"/>
          </w:tcPr>
          <w:p w:rsidR="00AC0832" w:rsidRDefault="00AC0832">
            <w:pPr>
              <w:pStyle w:val="CellColumn"/>
            </w:pPr>
            <w:r>
              <w:t>7.897.419.197</w:t>
            </w:r>
          </w:p>
        </w:tc>
        <w:tc>
          <w:tcPr>
            <w:tcW w:w="2322" w:type="dxa"/>
          </w:tcPr>
          <w:p w:rsidR="00AC0832" w:rsidRDefault="00AC0832">
            <w:pPr>
              <w:pStyle w:val="CellColumn"/>
            </w:pPr>
            <w:r>
              <w:t>100,5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Bolnička zdravstvena zaštita ugovorena je sa 64 bolničke zdravstvene ustanove. U izvornom planu 2012.g. sredstva za bolničku zdravstvenu zaštitu bila su nedostatna, te se kroz izmjene i dopune plana ova pozicija povećala kako bi se osigurala isplata plaća i materijalni rashodi bolnica. U 2012. g povećan je broj liječenih bolesnika, kako akutnih, tako i kroničnih, a prosjek trajanja liječenja se smanjio. Usluge liječenja akutnih bolesti plaćaju se prema dijagnostičko-terapijskim skupinama ( DTS ), odnosno DBL- dani bolničkog liječenja za kronične bolesti. Ugovoreno je 22.372 postelje, s tim da je 15.940 postelja za akutne bolesti, a 6.432 postelje za kronične bolesti, dugotrajno liječenje i fizikalnu medicinu i rehabilitaciju.</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6"/>
        <w:gridCol w:w="1193"/>
        <w:gridCol w:w="1163"/>
        <w:gridCol w:w="1496"/>
        <w:gridCol w:w="1198"/>
        <w:gridCol w:w="1496"/>
        <w:gridCol w:w="149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Smanjenje izdataka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Kuna</w:t>
            </w:r>
          </w:p>
        </w:tc>
        <w:tc>
          <w:tcPr>
            <w:tcW w:w="1300" w:type="dxa"/>
          </w:tcPr>
          <w:p w:rsidR="00AC0832" w:rsidRDefault="00AC0832">
            <w:pPr>
              <w:pStyle w:val="CellColumn"/>
            </w:pPr>
            <w:r>
              <w:t>8.133.602.917</w:t>
            </w:r>
          </w:p>
        </w:tc>
        <w:tc>
          <w:tcPr>
            <w:tcW w:w="1300" w:type="dxa"/>
          </w:tcPr>
          <w:p w:rsidR="00AC0832" w:rsidRDefault="00AC0832">
            <w:pPr>
              <w:pStyle w:val="CellColumn"/>
            </w:pPr>
            <w:r>
              <w:t>HZZO</w:t>
            </w:r>
          </w:p>
        </w:tc>
        <w:tc>
          <w:tcPr>
            <w:tcW w:w="1300" w:type="dxa"/>
          </w:tcPr>
          <w:p w:rsidR="00AC0832" w:rsidRDefault="00AC0832">
            <w:pPr>
              <w:pStyle w:val="CellColumn"/>
            </w:pPr>
            <w:r>
              <w:t>7.349.950.289</w:t>
            </w:r>
          </w:p>
        </w:tc>
        <w:tc>
          <w:tcPr>
            <w:tcW w:w="1300" w:type="dxa"/>
          </w:tcPr>
          <w:p w:rsidR="00AC0832" w:rsidRDefault="00AC0832">
            <w:pPr>
              <w:pStyle w:val="CellColumn"/>
            </w:pPr>
            <w:r>
              <w:t>7.897.419.197</w:t>
            </w:r>
          </w:p>
        </w:tc>
      </w:tr>
      <w:tr w:rsidR="00AC0832" w:rsidTr="00BE20ED">
        <w:trPr>
          <w:jc w:val="center"/>
        </w:trPr>
        <w:tc>
          <w:tcPr>
            <w:tcW w:w="1300" w:type="dxa"/>
          </w:tcPr>
          <w:p w:rsidR="00AC0832" w:rsidRDefault="00AC0832">
            <w:pPr>
              <w:pStyle w:val="CellColumn"/>
            </w:pPr>
            <w:r>
              <w:t>Smanjenje broja dana bolničkog liječenja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Broj dana bol. liječenja</w:t>
            </w:r>
          </w:p>
        </w:tc>
        <w:tc>
          <w:tcPr>
            <w:tcW w:w="1300" w:type="dxa"/>
          </w:tcPr>
          <w:p w:rsidR="00AC0832" w:rsidRDefault="00AC0832">
            <w:pPr>
              <w:pStyle w:val="CellColumn"/>
            </w:pPr>
            <w:r>
              <w:t>6.410.492</w:t>
            </w:r>
          </w:p>
        </w:tc>
        <w:tc>
          <w:tcPr>
            <w:tcW w:w="1300" w:type="dxa"/>
          </w:tcPr>
          <w:p w:rsidR="00AC0832" w:rsidRDefault="00AC0832">
            <w:pPr>
              <w:pStyle w:val="CellColumn"/>
            </w:pPr>
            <w:r>
              <w:t>HZZO</w:t>
            </w:r>
          </w:p>
        </w:tc>
        <w:tc>
          <w:tcPr>
            <w:tcW w:w="1300" w:type="dxa"/>
          </w:tcPr>
          <w:p w:rsidR="00AC0832" w:rsidRDefault="00AC0832">
            <w:pPr>
              <w:pStyle w:val="CellColumn"/>
            </w:pPr>
            <w:r>
              <w:t>6.325.153</w:t>
            </w:r>
          </w:p>
        </w:tc>
        <w:tc>
          <w:tcPr>
            <w:tcW w:w="1300" w:type="dxa"/>
          </w:tcPr>
          <w:p w:rsidR="00AC0832" w:rsidRDefault="00AC0832">
            <w:pPr>
              <w:pStyle w:val="CellColumn"/>
            </w:pPr>
            <w:r>
              <w:t>6.408.752</w:t>
            </w:r>
          </w:p>
        </w:tc>
      </w:tr>
    </w:tbl>
    <w:p w:rsidR="00AC0832" w:rsidRDefault="00AC0832">
      <w:pPr>
        <w:jc w:val="left"/>
      </w:pPr>
    </w:p>
    <w:p w:rsidR="00AC0832" w:rsidRDefault="00AC0832">
      <w:pPr>
        <w:pStyle w:val="Heading6"/>
      </w:pPr>
      <w:r>
        <w:t>A690047 OSTALE ISPLATE OSIGURANICIMA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A690047-OSTALE ISPLATE OSIGURANICIMA</w:t>
            </w:r>
          </w:p>
        </w:tc>
        <w:tc>
          <w:tcPr>
            <w:tcW w:w="2322" w:type="dxa"/>
          </w:tcPr>
          <w:p w:rsidR="00AC0832" w:rsidRDefault="00AC0832">
            <w:pPr>
              <w:pStyle w:val="CellColumn"/>
            </w:pPr>
            <w:r>
              <w:t>195.000.000</w:t>
            </w:r>
          </w:p>
        </w:tc>
        <w:tc>
          <w:tcPr>
            <w:tcW w:w="2322" w:type="dxa"/>
          </w:tcPr>
          <w:p w:rsidR="00AC0832" w:rsidRDefault="00AC0832">
            <w:pPr>
              <w:pStyle w:val="CellColumn"/>
            </w:pPr>
            <w:r>
              <w:t>195.000.000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Osigurana osoba ima pravo na naknadu troškova prijevoza ako je zdravstvenu zaštitu koristila u ugovornoj zdravstvenoj ustanovi, odnosno ordinaciji ugovornog doktora privatne prakse ili kod ugovornog isporučitelja pomagala u mjestu koje je udaljeno više od 30 km, ( prije izmjene je 50km ), od mjesta njezina prebivališta, odnosno njezina boravka jer potrebnu zdravstvenu zaštitu nije mogla ostvariti u bližoj ugovornoj zdravstvenoj ustanovi, odnosno ordinaciji ugovornog doktora, ili kod bližeg isporučitelja pomagala. Promjena Zakona je utjecala na smanjenje sredstava u 2012.g u odnosu na prethodnu godinu. Broj isplaćenih putnih troškova manji je za 27,54% u odnosu na prethodnu godinu, što je u skladu s planiranim sredstvima za 2012.g.</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29"/>
        <w:gridCol w:w="1300"/>
        <w:gridCol w:w="1329"/>
        <w:gridCol w:w="132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Smanjenje sredstava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Kuna</w:t>
            </w:r>
          </w:p>
        </w:tc>
        <w:tc>
          <w:tcPr>
            <w:tcW w:w="1300" w:type="dxa"/>
          </w:tcPr>
          <w:p w:rsidR="00AC0832" w:rsidRDefault="00AC0832">
            <w:pPr>
              <w:pStyle w:val="CellColumn"/>
            </w:pPr>
            <w:r>
              <w:t>245.000.000</w:t>
            </w:r>
          </w:p>
        </w:tc>
        <w:tc>
          <w:tcPr>
            <w:tcW w:w="1300" w:type="dxa"/>
          </w:tcPr>
          <w:p w:rsidR="00AC0832" w:rsidRDefault="00AC0832">
            <w:pPr>
              <w:pStyle w:val="CellColumn"/>
            </w:pPr>
            <w:r>
              <w:t>HZZO</w:t>
            </w:r>
          </w:p>
        </w:tc>
        <w:tc>
          <w:tcPr>
            <w:tcW w:w="1300" w:type="dxa"/>
          </w:tcPr>
          <w:p w:rsidR="00AC0832" w:rsidRDefault="00AC0832">
            <w:pPr>
              <w:pStyle w:val="CellColumn"/>
            </w:pPr>
            <w:r>
              <w:t>195.000.000</w:t>
            </w:r>
          </w:p>
        </w:tc>
        <w:tc>
          <w:tcPr>
            <w:tcW w:w="1300" w:type="dxa"/>
          </w:tcPr>
          <w:p w:rsidR="00AC0832" w:rsidRDefault="00AC0832">
            <w:pPr>
              <w:pStyle w:val="CellColumn"/>
            </w:pPr>
            <w:r>
              <w:t>195.000.000</w:t>
            </w:r>
          </w:p>
        </w:tc>
      </w:tr>
    </w:tbl>
    <w:p w:rsidR="00AC0832" w:rsidRDefault="00AC0832">
      <w:pPr>
        <w:jc w:val="left"/>
      </w:pPr>
    </w:p>
    <w:p w:rsidR="00AC0832" w:rsidRDefault="00AC0832">
      <w:pPr>
        <w:pStyle w:val="Heading6"/>
      </w:pPr>
      <w:r>
        <w:t>A690052 PRIPRAVNIČKI STAŽ ZA ZDRAVSTVENE DJELATNIKE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A690052-PRIPRAVNIČKI STAŽ ZA ZDRAVSTVENE DJELATNIKE</w:t>
            </w:r>
          </w:p>
        </w:tc>
        <w:tc>
          <w:tcPr>
            <w:tcW w:w="2322" w:type="dxa"/>
          </w:tcPr>
          <w:p w:rsidR="00AC0832" w:rsidRDefault="00AC0832">
            <w:pPr>
              <w:pStyle w:val="CellColumn"/>
            </w:pPr>
            <w:r>
              <w:t>73.800.000</w:t>
            </w:r>
          </w:p>
        </w:tc>
        <w:tc>
          <w:tcPr>
            <w:tcW w:w="2322" w:type="dxa"/>
          </w:tcPr>
          <w:p w:rsidR="00AC0832" w:rsidRDefault="00AC0832">
            <w:pPr>
              <w:pStyle w:val="CellColumn"/>
            </w:pPr>
            <w:r>
              <w:t>73.800.000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2012.g. HZZO je financirao pripravnički staž zatečenih  pripravnika iz 2011.g., a u 2012.g. provedena su dva javna natječaja čime je osigurano plaćanje pripravničkog staža za 752 pripravnika medicinskog usmjerenja. Ostvarena vrijednost u 2012.g je veća od početnog plana jer su osigurana sredstva za veći broj pripravnika.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Smanjenje sredstava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Kuna</w:t>
            </w:r>
          </w:p>
        </w:tc>
        <w:tc>
          <w:tcPr>
            <w:tcW w:w="1300" w:type="dxa"/>
          </w:tcPr>
          <w:p w:rsidR="00AC0832" w:rsidRDefault="00AC0832">
            <w:pPr>
              <w:pStyle w:val="CellColumn"/>
            </w:pPr>
            <w:r>
              <w:t>88.000.000</w:t>
            </w:r>
          </w:p>
        </w:tc>
        <w:tc>
          <w:tcPr>
            <w:tcW w:w="1300" w:type="dxa"/>
          </w:tcPr>
          <w:p w:rsidR="00AC0832" w:rsidRDefault="00AC0832">
            <w:pPr>
              <w:pStyle w:val="CellColumn"/>
            </w:pPr>
            <w:r>
              <w:t>HZZO</w:t>
            </w:r>
          </w:p>
        </w:tc>
        <w:tc>
          <w:tcPr>
            <w:tcW w:w="1300" w:type="dxa"/>
          </w:tcPr>
          <w:p w:rsidR="00AC0832" w:rsidRDefault="00AC0832">
            <w:pPr>
              <w:pStyle w:val="CellColumn"/>
            </w:pPr>
            <w:r>
              <w:t>60.000.000</w:t>
            </w:r>
          </w:p>
        </w:tc>
        <w:tc>
          <w:tcPr>
            <w:tcW w:w="1300" w:type="dxa"/>
          </w:tcPr>
          <w:p w:rsidR="00AC0832" w:rsidRDefault="00AC0832">
            <w:pPr>
              <w:pStyle w:val="CellColumn"/>
            </w:pPr>
            <w:r>
              <w:t>73.800.000</w:t>
            </w:r>
          </w:p>
        </w:tc>
      </w:tr>
    </w:tbl>
    <w:p w:rsidR="00AC0832" w:rsidRDefault="00AC0832">
      <w:pPr>
        <w:jc w:val="left"/>
      </w:pPr>
    </w:p>
    <w:p w:rsidR="00AC0832" w:rsidRDefault="00AC0832">
      <w:pPr>
        <w:pStyle w:val="Heading6"/>
      </w:pPr>
      <w:r>
        <w:t>A690073 ZDRAVSTVENA ZAŠTITA DOPUNSKOG OSIGURANJA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A690073-ZDRAVSTVENA ZAŠTITA DOPUNSKOG OSIGURANJA</w:t>
            </w:r>
          </w:p>
        </w:tc>
        <w:tc>
          <w:tcPr>
            <w:tcW w:w="2322" w:type="dxa"/>
          </w:tcPr>
          <w:p w:rsidR="00AC0832" w:rsidRDefault="00AC0832">
            <w:pPr>
              <w:pStyle w:val="CellColumn"/>
            </w:pPr>
            <w:r>
              <w:t>1.162.020.000</w:t>
            </w:r>
          </w:p>
        </w:tc>
        <w:tc>
          <w:tcPr>
            <w:tcW w:w="2322" w:type="dxa"/>
          </w:tcPr>
          <w:p w:rsidR="00AC0832" w:rsidRDefault="00AC0832">
            <w:pPr>
              <w:pStyle w:val="CellColumn"/>
            </w:pPr>
            <w:r>
              <w:t>1.439.659.712</w:t>
            </w:r>
          </w:p>
        </w:tc>
        <w:tc>
          <w:tcPr>
            <w:tcW w:w="2322" w:type="dxa"/>
          </w:tcPr>
          <w:p w:rsidR="00AC0832" w:rsidRDefault="00AC0832">
            <w:pPr>
              <w:pStyle w:val="CellColumn"/>
            </w:pPr>
            <w:r>
              <w:t>123,9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Policom dopunskog zdravstvenog osiguranja pokriva se razlika do pune cijene zdravstvene usluge. U 2012.g. broj osiguranika koji sami plaćaju policu dopunskog zdravstvenog osiguranja iznosi 1.455.286 osoba, a broj osiguranika koji ispunjavaju uvjete da im se polica plaća na teret Državnog proračuna iznosi 909.003 osoba. Budući su naplaćeni veći prihodi temeljem polica DZO, i izvršeni rashodi su veći , jer je ovo izvor financiranja koji može biti izvršen u visini naplaćenog, a ne planiranog.</w:t>
      </w:r>
    </w:p>
    <w:p w:rsidR="00AC0832" w:rsidRDefault="00AC0832">
      <w:pPr>
        <w:pStyle w:val="Heading6"/>
      </w:pPr>
      <w:r>
        <w:t>A690087 HITNA MEDICINSKA POMOĆ I SANITETSKI PRIJEVOZ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A690087-HITNA MEDICINSKA POMOĆ I SANITETSKI PRIJEVOZ</w:t>
            </w:r>
          </w:p>
        </w:tc>
        <w:tc>
          <w:tcPr>
            <w:tcW w:w="2322" w:type="dxa"/>
          </w:tcPr>
          <w:p w:rsidR="00AC0832" w:rsidRDefault="00AC0832">
            <w:pPr>
              <w:pStyle w:val="CellColumn"/>
            </w:pPr>
            <w:r>
              <w:t>671.334.295</w:t>
            </w:r>
          </w:p>
        </w:tc>
        <w:tc>
          <w:tcPr>
            <w:tcW w:w="2322" w:type="dxa"/>
          </w:tcPr>
          <w:p w:rsidR="00AC0832" w:rsidRDefault="00AC0832">
            <w:pPr>
              <w:pStyle w:val="CellColumn"/>
            </w:pPr>
            <w:r>
              <w:t>671.334.295</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Tijekom 2012.g. izvršena je reorganizacija hitne medicinske pomoći u skladu s Mrežom hitne medicine, te su osnovani Zavodi za hitnu medicinu na nivou županija, a utrošena sredstva su u okviru planiranih za 2012.g.</w:t>
      </w:r>
    </w:p>
    <w:p w:rsidR="00AC0832" w:rsidRDefault="00AC0832">
      <w:pPr>
        <w:pStyle w:val="Heading1"/>
      </w:pPr>
      <w:r>
        <w:t>102 MINISTARSTVO SOCIJALNE POLITIKE I MLADIH</w:t>
      </w:r>
    </w:p>
    <w:p w:rsidR="00AC0832" w:rsidRDefault="00AC0832">
      <w:pPr>
        <w:pStyle w:val="Heading4"/>
      </w:pPr>
      <w:r>
        <w:t>Uvod</w:t>
      </w:r>
    </w:p>
    <w:p w:rsidR="00AC0832" w:rsidRDefault="00AC0832">
      <w:pPr>
        <w:pStyle w:val="Normal3"/>
      </w:pPr>
      <w:r>
        <w:t>Ministarstvo obavlja upravne i stručne poslove savjetovanja koji se odnose na: brak i bračne odnose, te posebnu zaštitu obitelji u kojima su narušeni međusobni odnosi; međusobne odnose roditelja i djece; zaštitu djece čiji roditelji žive odvojeno, zaštitu djece bez odgovarajuće roditeljske skrbi, poticanje odgovornog roditeljstva, uzdržavanja i skrbi o članovima obitelji; poticanje razvoja programa rada u zajednici, razvoja i afirmacije volonterstva i rada udruga građana koje su potpora roditeljima, obitelji, djeci, mladima, osobama s invaliditetom i starijim osobama, te svim socijalno osjetljivim skupinama stanovništva; poticanje i osnivanje savjetovališta za djecu, mlade, roditelje, osobe s invaliditetom, starije osobe i žrtve obiteljskog nasilja te obavljanje stručnog i inspekcijskog nadzora nad njihovim radom; proučavanje i istraživanje suvremenih problema obitelji, djece, mladih, osoba s invaliditetom i starijih osoba, te pružanje preventivno-terapijske pomoći; sudjeluje u pripremi programa i projekata te provedbi projekata iz programa Europske unije i ostalih oblika međunarodne pomoći iz njegove nadležnosti.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10205-Ministarstvo socijalne politike i mladih</w:t>
            </w:r>
          </w:p>
        </w:tc>
        <w:tc>
          <w:tcPr>
            <w:tcW w:w="2322" w:type="dxa"/>
          </w:tcPr>
          <w:p w:rsidR="00AC0832" w:rsidRDefault="00AC0832">
            <w:pPr>
              <w:pStyle w:val="CellColumn"/>
            </w:pPr>
            <w:r>
              <w:t>3.425.018.325</w:t>
            </w:r>
          </w:p>
        </w:tc>
        <w:tc>
          <w:tcPr>
            <w:tcW w:w="2322" w:type="dxa"/>
          </w:tcPr>
          <w:p w:rsidR="00AC0832" w:rsidRDefault="00AC0832">
            <w:pPr>
              <w:pStyle w:val="CellColumn"/>
            </w:pPr>
            <w:r>
              <w:t>3.398.182.324</w:t>
            </w:r>
          </w:p>
        </w:tc>
        <w:tc>
          <w:tcPr>
            <w:tcW w:w="2322" w:type="dxa"/>
          </w:tcPr>
          <w:p w:rsidR="00AC0832" w:rsidRDefault="00AC0832">
            <w:pPr>
              <w:pStyle w:val="CellColumn"/>
            </w:pPr>
            <w:r>
              <w:t>99,2</w:t>
            </w:r>
          </w:p>
        </w:tc>
      </w:tr>
      <w:tr w:rsidR="00AC0832" w:rsidTr="00BE20ED">
        <w:trPr>
          <w:jc w:val="center"/>
        </w:trPr>
        <w:tc>
          <w:tcPr>
            <w:tcW w:w="2322" w:type="dxa"/>
          </w:tcPr>
          <w:p w:rsidR="00AC0832" w:rsidRDefault="00AC0832">
            <w:pPr>
              <w:pStyle w:val="CellColumn"/>
            </w:pPr>
            <w:r>
              <w:t>10208-Proračunski  korisnici u socijalnoj skrbi</w:t>
            </w:r>
          </w:p>
        </w:tc>
        <w:tc>
          <w:tcPr>
            <w:tcW w:w="2322" w:type="dxa"/>
          </w:tcPr>
          <w:p w:rsidR="00AC0832" w:rsidRDefault="00AC0832">
            <w:pPr>
              <w:pStyle w:val="CellColumn"/>
            </w:pPr>
            <w:r>
              <w:t>2.743.463.560</w:t>
            </w:r>
          </w:p>
        </w:tc>
        <w:tc>
          <w:tcPr>
            <w:tcW w:w="2322" w:type="dxa"/>
          </w:tcPr>
          <w:p w:rsidR="00AC0832" w:rsidRDefault="00AC0832">
            <w:pPr>
              <w:pStyle w:val="CellColumn"/>
            </w:pPr>
            <w:r>
              <w:t>2.758.876.222</w:t>
            </w:r>
          </w:p>
        </w:tc>
        <w:tc>
          <w:tcPr>
            <w:tcW w:w="2322" w:type="dxa"/>
          </w:tcPr>
          <w:p w:rsidR="00AC0832" w:rsidRDefault="00AC0832">
            <w:pPr>
              <w:pStyle w:val="CellColumn"/>
            </w:pPr>
            <w:r>
              <w:t>100,6</w:t>
            </w:r>
          </w:p>
        </w:tc>
      </w:tr>
      <w:tr w:rsidR="00AC0832" w:rsidTr="00BE20ED">
        <w:trPr>
          <w:jc w:val="center"/>
        </w:trPr>
        <w:tc>
          <w:tcPr>
            <w:tcW w:w="2322" w:type="dxa"/>
          </w:tcPr>
          <w:p w:rsidR="00AC0832" w:rsidRDefault="00AC0832">
            <w:pPr>
              <w:pStyle w:val="CellColumn"/>
            </w:pPr>
            <w:r>
              <w:t>10230-Obiteljski centri</w:t>
            </w:r>
          </w:p>
        </w:tc>
        <w:tc>
          <w:tcPr>
            <w:tcW w:w="2322" w:type="dxa"/>
          </w:tcPr>
          <w:p w:rsidR="00AC0832" w:rsidRDefault="00AC0832">
            <w:pPr>
              <w:pStyle w:val="CellColumn"/>
            </w:pPr>
            <w:r>
              <w:t>20.158.300</w:t>
            </w:r>
          </w:p>
        </w:tc>
        <w:tc>
          <w:tcPr>
            <w:tcW w:w="2322" w:type="dxa"/>
          </w:tcPr>
          <w:p w:rsidR="00AC0832" w:rsidRDefault="00AC0832">
            <w:pPr>
              <w:pStyle w:val="CellColumn"/>
            </w:pPr>
            <w:r>
              <w:t>18.748.620</w:t>
            </w:r>
          </w:p>
        </w:tc>
        <w:tc>
          <w:tcPr>
            <w:tcW w:w="2322" w:type="dxa"/>
          </w:tcPr>
          <w:p w:rsidR="00AC0832" w:rsidRDefault="00AC0832">
            <w:pPr>
              <w:pStyle w:val="CellColumn"/>
            </w:pPr>
            <w:r>
              <w:t>93,0</w:t>
            </w:r>
          </w:p>
        </w:tc>
      </w:tr>
      <w:tr w:rsidR="00AC0832" w:rsidTr="00BE20ED">
        <w:trPr>
          <w:jc w:val="center"/>
        </w:trPr>
        <w:tc>
          <w:tcPr>
            <w:tcW w:w="2322" w:type="dxa"/>
            <w:shd w:val="clear" w:color="auto" w:fill="B5C0D8"/>
          </w:tcPr>
          <w:p w:rsidR="00AC0832" w:rsidRDefault="00AC0832">
            <w:pPr>
              <w:pStyle w:val="CellColumn"/>
            </w:pPr>
            <w:r>
              <w:t>Ukupno 102-MINISTARSTVO SOCIJALNE POLITIKE I MLADIH</w:t>
            </w:r>
          </w:p>
        </w:tc>
        <w:tc>
          <w:tcPr>
            <w:tcW w:w="2322" w:type="dxa"/>
            <w:shd w:val="clear" w:color="auto" w:fill="B5C0D8"/>
          </w:tcPr>
          <w:p w:rsidR="00AC0832" w:rsidRDefault="00AC0832">
            <w:pPr>
              <w:pStyle w:val="CellColumn"/>
            </w:pPr>
            <w:r>
              <w:t>6.188.640.185</w:t>
            </w:r>
          </w:p>
        </w:tc>
        <w:tc>
          <w:tcPr>
            <w:tcW w:w="2322" w:type="dxa"/>
            <w:shd w:val="clear" w:color="auto" w:fill="B5C0D8"/>
          </w:tcPr>
          <w:p w:rsidR="00AC0832" w:rsidRDefault="00AC0832">
            <w:pPr>
              <w:pStyle w:val="CellColumn"/>
            </w:pPr>
            <w:r>
              <w:t>6.175.807.167</w:t>
            </w:r>
          </w:p>
        </w:tc>
        <w:tc>
          <w:tcPr>
            <w:tcW w:w="2322" w:type="dxa"/>
            <w:shd w:val="clear" w:color="auto" w:fill="B5C0D8"/>
          </w:tcPr>
          <w:p w:rsidR="00AC0832" w:rsidRDefault="00AC0832">
            <w:pPr>
              <w:pStyle w:val="CellColumn"/>
            </w:pPr>
            <w:r>
              <w:t>99,8</w:t>
            </w:r>
          </w:p>
        </w:tc>
      </w:tr>
    </w:tbl>
    <w:p w:rsidR="00AC0832" w:rsidRDefault="00AC0832">
      <w:pPr>
        <w:jc w:val="left"/>
      </w:pPr>
    </w:p>
    <w:p w:rsidR="00AC0832" w:rsidRDefault="00AC0832">
      <w:pPr>
        <w:pStyle w:val="Heading2"/>
      </w:pPr>
      <w:r>
        <w:t>10205 Ministarstvo socijalne politike i mladih</w:t>
      </w:r>
    </w:p>
    <w:p w:rsidR="00AC0832" w:rsidRDefault="00AC0832">
      <w:pPr>
        <w:pStyle w:val="Heading4"/>
      </w:pPr>
      <w:r>
        <w:t>Uvod</w:t>
      </w:r>
    </w:p>
    <w:p w:rsidR="00AC0832" w:rsidRDefault="00AC0832">
      <w:pPr>
        <w:pStyle w:val="Normal3"/>
      </w:pPr>
      <w:r>
        <w:t>Ministarstvo obavlja upravne i druge poslove koji se odnose na: brigu o obitelji, provođenje mjera pronatalitetne populacijske politike, doplatka za djecu, poticanje osnivanja savjetovališta i usklađivanje njihovih djelovanja, poticanje preventivnih djelovanja radi smanjivanja razvoda brakova i pobačaja, proučavanje i istraživanje suvremenih problema obitelji i mladeži, poduzimanje mjera za jačanje zdravih i skladnih obiteljskih odnosa, posebnu zaštitu obitelji u kojima su narušeni međusobni odnosi, posebice među bračnim partnerima, zaštitu djece čiji roditelji žive odvojeno, zaštitu djece o kojima se roditelji ne brinu, posvojenje, zaštitu djece i mlađih punoljetnika s poremećajima u ponašanju, te djece i odraslih osoba pod skrbništvom, prevenciju ovisnosti o drogama, kao i praćenje izvršenja obveza, te postupanje po preuzetim međunarodnim konvencijama o zaštiti interesa i prava djece organizira i sudjeluje u međunarodnim aktivnostima, promiče prava osoba s invaliditetom,osigurava sredstva za financiranje nedržavnih domova i drugih pravnih i fizičkih osoba  na  temelju Ugovora o međusobnim odnosima, provodi mjere za poboljšanje izvaninstitucionalnih oblika skrbi za osobe s invaliditetom, potiče podizanje kvalitete obiteljskog života osoba s invaliditetom.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0"/>
        <w:gridCol w:w="2313"/>
        <w:gridCol w:w="2313"/>
        <w:gridCol w:w="231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10205-Ministarstvo socijalne politike i mladih</w:t>
            </w:r>
          </w:p>
        </w:tc>
        <w:tc>
          <w:tcPr>
            <w:tcW w:w="2322" w:type="dxa"/>
          </w:tcPr>
          <w:p w:rsidR="00AC0832" w:rsidRDefault="00AC0832">
            <w:pPr>
              <w:pStyle w:val="CellColumn"/>
            </w:pPr>
            <w:r>
              <w:t>3.425.018.325</w:t>
            </w:r>
          </w:p>
        </w:tc>
        <w:tc>
          <w:tcPr>
            <w:tcW w:w="2322" w:type="dxa"/>
          </w:tcPr>
          <w:p w:rsidR="00AC0832" w:rsidRDefault="00AC0832">
            <w:pPr>
              <w:pStyle w:val="CellColumn"/>
            </w:pPr>
            <w:r>
              <w:t>3.398.182.324</w:t>
            </w:r>
          </w:p>
        </w:tc>
        <w:tc>
          <w:tcPr>
            <w:tcW w:w="2322" w:type="dxa"/>
          </w:tcPr>
          <w:p w:rsidR="00AC0832" w:rsidRDefault="00AC0832">
            <w:pPr>
              <w:pStyle w:val="CellColumn"/>
            </w:pPr>
            <w:r>
              <w:t>99,2</w:t>
            </w:r>
          </w:p>
        </w:tc>
      </w:tr>
      <w:tr w:rsidR="00AC0832" w:rsidTr="00BE20ED">
        <w:trPr>
          <w:jc w:val="center"/>
        </w:trPr>
        <w:tc>
          <w:tcPr>
            <w:tcW w:w="2322" w:type="dxa"/>
          </w:tcPr>
          <w:p w:rsidR="00AC0832" w:rsidRDefault="00AC0832">
            <w:pPr>
              <w:pStyle w:val="CellColumnSmall"/>
            </w:pPr>
            <w:r>
              <w:t>4001-SOCIJALNE POMOĆI I NAKNADE</w:t>
            </w:r>
          </w:p>
        </w:tc>
        <w:tc>
          <w:tcPr>
            <w:tcW w:w="2322" w:type="dxa"/>
          </w:tcPr>
          <w:p w:rsidR="00AC0832" w:rsidRDefault="00AC0832">
            <w:pPr>
              <w:pStyle w:val="CellColumnSmall"/>
            </w:pPr>
            <w:r>
              <w:t>20.140.000</w:t>
            </w:r>
          </w:p>
        </w:tc>
        <w:tc>
          <w:tcPr>
            <w:tcW w:w="2322" w:type="dxa"/>
          </w:tcPr>
          <w:p w:rsidR="00AC0832" w:rsidRDefault="00AC0832">
            <w:pPr>
              <w:pStyle w:val="CellColumnSmall"/>
            </w:pPr>
            <w:r>
              <w:t>20.077.094</w:t>
            </w:r>
          </w:p>
        </w:tc>
        <w:tc>
          <w:tcPr>
            <w:tcW w:w="2322" w:type="dxa"/>
          </w:tcPr>
          <w:p w:rsidR="00AC0832" w:rsidRDefault="00AC0832">
            <w:pPr>
              <w:pStyle w:val="CellColumnSmall"/>
            </w:pPr>
            <w:r>
              <w:t>99,7</w:t>
            </w:r>
          </w:p>
        </w:tc>
      </w:tr>
      <w:tr w:rsidR="00AC0832" w:rsidTr="00BE20ED">
        <w:trPr>
          <w:jc w:val="center"/>
        </w:trPr>
        <w:tc>
          <w:tcPr>
            <w:tcW w:w="2322" w:type="dxa"/>
          </w:tcPr>
          <w:p w:rsidR="00AC0832" w:rsidRDefault="00AC0832">
            <w:pPr>
              <w:pStyle w:val="CellColumnSmall"/>
            </w:pPr>
            <w:r>
              <w:t>4002-SKRB ZA SOCIJALNO OSJETLJIVE SKUPINE</w:t>
            </w:r>
          </w:p>
        </w:tc>
        <w:tc>
          <w:tcPr>
            <w:tcW w:w="2322" w:type="dxa"/>
          </w:tcPr>
          <w:p w:rsidR="00AC0832" w:rsidRDefault="00AC0832">
            <w:pPr>
              <w:pStyle w:val="CellColumnSmall"/>
            </w:pPr>
            <w:r>
              <w:t>276.362.469</w:t>
            </w:r>
          </w:p>
        </w:tc>
        <w:tc>
          <w:tcPr>
            <w:tcW w:w="2322" w:type="dxa"/>
          </w:tcPr>
          <w:p w:rsidR="00AC0832" w:rsidRDefault="00AC0832">
            <w:pPr>
              <w:pStyle w:val="CellColumnSmall"/>
            </w:pPr>
            <w:r>
              <w:t>281.257.074</w:t>
            </w:r>
          </w:p>
        </w:tc>
        <w:tc>
          <w:tcPr>
            <w:tcW w:w="2322" w:type="dxa"/>
          </w:tcPr>
          <w:p w:rsidR="00AC0832" w:rsidRDefault="00AC0832">
            <w:pPr>
              <w:pStyle w:val="CellColumnSmall"/>
            </w:pPr>
            <w:r>
              <w:t>101,8</w:t>
            </w:r>
          </w:p>
        </w:tc>
      </w:tr>
      <w:tr w:rsidR="00AC0832" w:rsidTr="00BE20ED">
        <w:trPr>
          <w:jc w:val="center"/>
        </w:trPr>
        <w:tc>
          <w:tcPr>
            <w:tcW w:w="2322" w:type="dxa"/>
          </w:tcPr>
          <w:p w:rsidR="00AC0832" w:rsidRDefault="00AC0832">
            <w:pPr>
              <w:pStyle w:val="CellColumnSmall"/>
            </w:pPr>
            <w:r>
              <w:t>4003-PODIZANJE KVALITETE I DOSTUPNOSTI SOCIJALNE SKRBI</w:t>
            </w:r>
          </w:p>
        </w:tc>
        <w:tc>
          <w:tcPr>
            <w:tcW w:w="2322" w:type="dxa"/>
          </w:tcPr>
          <w:p w:rsidR="00AC0832" w:rsidRDefault="00AC0832">
            <w:pPr>
              <w:pStyle w:val="CellColumnSmall"/>
            </w:pPr>
            <w:r>
              <w:t>29.953.400</w:t>
            </w:r>
          </w:p>
        </w:tc>
        <w:tc>
          <w:tcPr>
            <w:tcW w:w="2322" w:type="dxa"/>
          </w:tcPr>
          <w:p w:rsidR="00AC0832" w:rsidRDefault="00AC0832">
            <w:pPr>
              <w:pStyle w:val="CellColumnSmall"/>
            </w:pPr>
            <w:r>
              <w:t>25.859.294</w:t>
            </w:r>
          </w:p>
        </w:tc>
        <w:tc>
          <w:tcPr>
            <w:tcW w:w="2322" w:type="dxa"/>
          </w:tcPr>
          <w:p w:rsidR="00AC0832" w:rsidRDefault="00AC0832">
            <w:pPr>
              <w:pStyle w:val="CellColumnSmall"/>
            </w:pPr>
            <w:r>
              <w:t>86,3</w:t>
            </w:r>
          </w:p>
        </w:tc>
      </w:tr>
      <w:tr w:rsidR="00AC0832" w:rsidTr="00BE20ED">
        <w:trPr>
          <w:jc w:val="center"/>
        </w:trPr>
        <w:tc>
          <w:tcPr>
            <w:tcW w:w="2322" w:type="dxa"/>
          </w:tcPr>
          <w:p w:rsidR="00AC0832" w:rsidRDefault="00AC0832">
            <w:pPr>
              <w:pStyle w:val="CellColumnSmall"/>
            </w:pPr>
            <w:r>
              <w:t>4005-SOCIJALNO OSNAŽIVANJE OBITELJI, MLADIH I DJECE</w:t>
            </w:r>
          </w:p>
        </w:tc>
        <w:tc>
          <w:tcPr>
            <w:tcW w:w="2322" w:type="dxa"/>
          </w:tcPr>
          <w:p w:rsidR="00AC0832" w:rsidRDefault="00AC0832">
            <w:pPr>
              <w:pStyle w:val="CellColumnSmall"/>
            </w:pPr>
            <w:r>
              <w:t>2.985.193.948</w:t>
            </w:r>
          </w:p>
        </w:tc>
        <w:tc>
          <w:tcPr>
            <w:tcW w:w="2322" w:type="dxa"/>
          </w:tcPr>
          <w:p w:rsidR="00AC0832" w:rsidRDefault="00AC0832">
            <w:pPr>
              <w:pStyle w:val="CellColumnSmall"/>
            </w:pPr>
            <w:r>
              <w:t>2.961.802.491</w:t>
            </w:r>
          </w:p>
        </w:tc>
        <w:tc>
          <w:tcPr>
            <w:tcW w:w="2322" w:type="dxa"/>
          </w:tcPr>
          <w:p w:rsidR="00AC0832" w:rsidRDefault="00AC0832">
            <w:pPr>
              <w:pStyle w:val="CellColumnSmall"/>
            </w:pPr>
            <w:r>
              <w:t>99,2</w:t>
            </w:r>
          </w:p>
        </w:tc>
      </w:tr>
      <w:tr w:rsidR="00AC0832" w:rsidTr="00BE20ED">
        <w:trPr>
          <w:jc w:val="center"/>
        </w:trPr>
        <w:tc>
          <w:tcPr>
            <w:tcW w:w="2322" w:type="dxa"/>
          </w:tcPr>
          <w:p w:rsidR="00AC0832" w:rsidRDefault="00AC0832">
            <w:pPr>
              <w:pStyle w:val="CellColumnSmall"/>
            </w:pPr>
            <w:r>
              <w:t>4006-SOCIJALNO OSNAŽIVANJE OSOBA S INVALIDITETOM</w:t>
            </w:r>
          </w:p>
        </w:tc>
        <w:tc>
          <w:tcPr>
            <w:tcW w:w="2322" w:type="dxa"/>
          </w:tcPr>
          <w:p w:rsidR="00AC0832" w:rsidRDefault="00AC0832">
            <w:pPr>
              <w:pStyle w:val="CellColumnSmall"/>
            </w:pPr>
            <w:r>
              <w:t>63.506.708</w:t>
            </w:r>
          </w:p>
        </w:tc>
        <w:tc>
          <w:tcPr>
            <w:tcW w:w="2322" w:type="dxa"/>
          </w:tcPr>
          <w:p w:rsidR="00AC0832" w:rsidRDefault="00AC0832">
            <w:pPr>
              <w:pStyle w:val="CellColumnSmall"/>
            </w:pPr>
            <w:r>
              <w:t>59.449.882</w:t>
            </w:r>
          </w:p>
        </w:tc>
        <w:tc>
          <w:tcPr>
            <w:tcW w:w="2322" w:type="dxa"/>
          </w:tcPr>
          <w:p w:rsidR="00AC0832" w:rsidRDefault="00AC0832">
            <w:pPr>
              <w:pStyle w:val="CellColumnSmall"/>
            </w:pPr>
            <w:r>
              <w:t>93,6</w:t>
            </w:r>
          </w:p>
        </w:tc>
      </w:tr>
      <w:tr w:rsidR="00AC0832" w:rsidTr="00BE20ED">
        <w:trPr>
          <w:jc w:val="center"/>
        </w:trPr>
        <w:tc>
          <w:tcPr>
            <w:tcW w:w="2322" w:type="dxa"/>
          </w:tcPr>
          <w:p w:rsidR="00AC0832" w:rsidRDefault="00AC0832">
            <w:pPr>
              <w:pStyle w:val="CellColumnSmall"/>
            </w:pPr>
            <w:r>
              <w:t>4103-MEĐUGENERACIJSKA SOLIDARNOST</w:t>
            </w:r>
          </w:p>
        </w:tc>
        <w:tc>
          <w:tcPr>
            <w:tcW w:w="2322" w:type="dxa"/>
          </w:tcPr>
          <w:p w:rsidR="00AC0832" w:rsidRDefault="00AC0832">
            <w:pPr>
              <w:pStyle w:val="CellColumnSmall"/>
            </w:pPr>
            <w:r>
              <w:t>49.861.800</w:t>
            </w:r>
          </w:p>
        </w:tc>
        <w:tc>
          <w:tcPr>
            <w:tcW w:w="2322" w:type="dxa"/>
          </w:tcPr>
          <w:p w:rsidR="00AC0832" w:rsidRDefault="00AC0832">
            <w:pPr>
              <w:pStyle w:val="CellColumnSmall"/>
            </w:pPr>
            <w:r>
              <w:t>49.736.489</w:t>
            </w:r>
          </w:p>
        </w:tc>
        <w:tc>
          <w:tcPr>
            <w:tcW w:w="2322" w:type="dxa"/>
          </w:tcPr>
          <w:p w:rsidR="00AC0832" w:rsidRDefault="00AC0832">
            <w:pPr>
              <w:pStyle w:val="CellColumnSmall"/>
            </w:pPr>
            <w:r>
              <w:t>99,7</w:t>
            </w:r>
          </w:p>
        </w:tc>
      </w:tr>
    </w:tbl>
    <w:p w:rsidR="00AC0832" w:rsidRDefault="00AC0832">
      <w:pPr>
        <w:jc w:val="left"/>
      </w:pPr>
    </w:p>
    <w:p w:rsidR="00AC0832" w:rsidRDefault="00AC0832">
      <w:pPr>
        <w:pStyle w:val="Heading4"/>
      </w:pPr>
      <w:r>
        <w:t>OBRAZLOŽENJE PROGRAMA</w:t>
      </w:r>
    </w:p>
    <w:p w:rsidR="00AC0832" w:rsidRDefault="00AC0832">
      <w:pPr>
        <w:pStyle w:val="Heading5"/>
      </w:pPr>
      <w:r>
        <w:t>4001 SOCIJALNE POMOĆI I NAKNADE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4001-SOCIJALNE POMOĆI I NAKNADE</w:t>
            </w:r>
          </w:p>
        </w:tc>
        <w:tc>
          <w:tcPr>
            <w:tcW w:w="2322" w:type="dxa"/>
          </w:tcPr>
          <w:p w:rsidR="00AC0832" w:rsidRDefault="00AC0832">
            <w:pPr>
              <w:pStyle w:val="CellColumn"/>
            </w:pPr>
            <w:r>
              <w:t>20.140.000</w:t>
            </w:r>
          </w:p>
        </w:tc>
        <w:tc>
          <w:tcPr>
            <w:tcW w:w="2322" w:type="dxa"/>
          </w:tcPr>
          <w:p w:rsidR="00AC0832" w:rsidRDefault="00AC0832">
            <w:pPr>
              <w:pStyle w:val="CellColumn"/>
            </w:pPr>
            <w:r>
              <w:t>20.077.094</w:t>
            </w:r>
          </w:p>
        </w:tc>
        <w:tc>
          <w:tcPr>
            <w:tcW w:w="2322" w:type="dxa"/>
          </w:tcPr>
          <w:p w:rsidR="00AC0832" w:rsidRDefault="00AC0832">
            <w:pPr>
              <w:pStyle w:val="CellColumn"/>
            </w:pPr>
            <w:r>
              <w:t>99,7</w:t>
            </w:r>
          </w:p>
        </w:tc>
      </w:tr>
    </w:tbl>
    <w:p w:rsidR="00AC0832" w:rsidRDefault="00AC0832">
      <w:pPr>
        <w:jc w:val="left"/>
      </w:pPr>
    </w:p>
    <w:p w:rsidR="00AC0832" w:rsidRDefault="00AC0832">
      <w:pPr>
        <w:pStyle w:val="Heading6"/>
      </w:pPr>
      <w:r>
        <w:t>Opis programa</w:t>
      </w:r>
    </w:p>
    <w:p w:rsidR="00AC0832" w:rsidRDefault="00AC0832">
      <w:pPr>
        <w:pStyle w:val="Normal5"/>
      </w:pPr>
      <w:r>
        <w:t>Posebna zaštita osigurava se ratnim vojnim invalidima II. svjetskog rata, mirnodopskim invalidima, civilnim invalidima Domovinskog rata i II. svjetskog rata, sudionicima II. svjetskog rata te članovima njihovih obitelji te političkim zatvorenicima i članovima njihovih obitelji.</w:t>
      </w:r>
    </w:p>
    <w:p w:rsidR="00AC0832" w:rsidRDefault="00AC0832">
      <w:pPr>
        <w:pStyle w:val="Heading6"/>
      </w:pPr>
      <w:r>
        <w:t>Zakonske i druge pravne osnove</w:t>
      </w:r>
    </w:p>
    <w:p w:rsidR="00AC0832" w:rsidRDefault="00AC0832">
      <w:pPr>
        <w:pStyle w:val="Normal5"/>
      </w:pPr>
      <w:r>
        <w:t>Zakon o socijalnoj skrbi, Zakon o zaštiti vojnih i civilnih invalida rata, Zakon o pravima bivših političkih zatvorenika.</w:t>
      </w:r>
    </w:p>
    <w:p w:rsidR="00AC0832" w:rsidRDefault="00AC0832">
      <w:pPr>
        <w:pStyle w:val="Heading5"/>
      </w:pPr>
      <w:r>
        <w:t>4002 SKRB ZA SOCIJALNO OSJETLJIVE SKUPINE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4002-SKRB ZA SOCIJALNO OSJETLJIVE SKUPINE</w:t>
            </w:r>
          </w:p>
        </w:tc>
        <w:tc>
          <w:tcPr>
            <w:tcW w:w="2322" w:type="dxa"/>
          </w:tcPr>
          <w:p w:rsidR="00AC0832" w:rsidRDefault="00AC0832">
            <w:pPr>
              <w:pStyle w:val="CellColumn"/>
            </w:pPr>
            <w:r>
              <w:t>276.362.469</w:t>
            </w:r>
          </w:p>
        </w:tc>
        <w:tc>
          <w:tcPr>
            <w:tcW w:w="2322" w:type="dxa"/>
          </w:tcPr>
          <w:p w:rsidR="00AC0832" w:rsidRDefault="00AC0832">
            <w:pPr>
              <w:pStyle w:val="CellColumn"/>
            </w:pPr>
            <w:r>
              <w:t>281.257.074</w:t>
            </w:r>
          </w:p>
        </w:tc>
        <w:tc>
          <w:tcPr>
            <w:tcW w:w="2322" w:type="dxa"/>
          </w:tcPr>
          <w:p w:rsidR="00AC0832" w:rsidRDefault="00AC0832">
            <w:pPr>
              <w:pStyle w:val="CellColumn"/>
            </w:pPr>
            <w:r>
              <w:t>101,8</w:t>
            </w:r>
          </w:p>
        </w:tc>
      </w:tr>
    </w:tbl>
    <w:p w:rsidR="00AC0832" w:rsidRDefault="00AC0832">
      <w:pPr>
        <w:jc w:val="left"/>
      </w:pPr>
    </w:p>
    <w:p w:rsidR="00AC0832" w:rsidRDefault="00AC0832">
      <w:pPr>
        <w:pStyle w:val="Heading6"/>
      </w:pPr>
      <w:r>
        <w:t>Opis programa</w:t>
      </w:r>
    </w:p>
    <w:p w:rsidR="00AC0832" w:rsidRDefault="00AC0832">
      <w:pPr>
        <w:pStyle w:val="Normal5"/>
      </w:pPr>
      <w:r>
        <w:t>Ovaj program pokriva troškove institucionalnog smještaja korisnika u socijalnim ustanovama drugih osnivača i financira rad udruga koje se bave socijalnom i humanitarnom djelatnošću i nacionalne saveze udruga osoba s invaliditetom.</w:t>
      </w:r>
    </w:p>
    <w:p w:rsidR="00AC0832" w:rsidRDefault="00AC0832">
      <w:pPr>
        <w:pStyle w:val="Heading6"/>
      </w:pPr>
      <w:r>
        <w:t>Zakonske i druge pravne osnove</w:t>
      </w:r>
    </w:p>
    <w:p w:rsidR="00AC0832" w:rsidRDefault="00AC0832">
      <w:pPr>
        <w:pStyle w:val="Normal5"/>
      </w:pPr>
      <w:r>
        <w:t>Zakon o socijalnoj skrbi</w:t>
      </w:r>
    </w:p>
    <w:p w:rsidR="00AC0832" w:rsidRDefault="00AC0832">
      <w:pPr>
        <w:pStyle w:val="Heading6"/>
      </w:pPr>
      <w:r>
        <w:t>A734189 UDRUGE U SOCIJALNOJ SKRBI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A734189-UDRUGE U SOCIJALNOJ SKRBI</w:t>
            </w:r>
          </w:p>
        </w:tc>
        <w:tc>
          <w:tcPr>
            <w:tcW w:w="2322" w:type="dxa"/>
          </w:tcPr>
          <w:p w:rsidR="00AC0832" w:rsidRDefault="00AC0832">
            <w:pPr>
              <w:pStyle w:val="CellColumn"/>
            </w:pPr>
            <w:r>
              <w:t>16.016.939</w:t>
            </w:r>
          </w:p>
        </w:tc>
        <w:tc>
          <w:tcPr>
            <w:tcW w:w="2322" w:type="dxa"/>
          </w:tcPr>
          <w:p w:rsidR="00AC0832" w:rsidRDefault="00AC0832">
            <w:pPr>
              <w:pStyle w:val="CellColumn"/>
            </w:pPr>
            <w:r>
              <w:t>21.595.969</w:t>
            </w:r>
          </w:p>
        </w:tc>
        <w:tc>
          <w:tcPr>
            <w:tcW w:w="2322" w:type="dxa"/>
          </w:tcPr>
          <w:p w:rsidR="00AC0832" w:rsidRDefault="00AC0832">
            <w:pPr>
              <w:pStyle w:val="CellColumn"/>
            </w:pPr>
            <w:r>
              <w:t>134,8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Sredstva namijenjena udrugama izdvajala su se za provedbu treće godine trogodišnjih programa (u trajanju 2010. - 2013. godine) – financiranje u razdoblju od 1. lipnja do 31. prosinca 2012. godine, provedbu druge godine trogodišnjih programa (u trajanju 2011. - 2014. godine) – financiranje u razdoblju od 1. lipnja do 31. prosinca 2012. godine i jednokratne potpore za provođenje planiranih aktivnosti udruga. </w:t>
      </w:r>
    </w:p>
    <w:p w:rsidR="00AC0832" w:rsidRDefault="00AC0832">
      <w:pPr>
        <w:pStyle w:val="Normal6"/>
      </w:pPr>
      <w:r>
        <w:t xml:space="preserve">Tijekom 2012. dodijeljeno je 120 financijskih potpora udrugama, od kojih udrugama osoba s invaliditetom 87 potpora,  a udrugama koje se bave socijalnom i humanitarnom djelatnošću 33 potpore.  </w:t>
      </w:r>
    </w:p>
    <w:p w:rsidR="00AC0832" w:rsidRDefault="00AC0832">
      <w:pPr>
        <w:pStyle w:val="Normal6"/>
      </w:pPr>
      <w:r>
        <w:t>Ugovorena je  provedba pružanja 31 različite socijalne usluge raznim grupama korisnika, kao što su djeca bez odgovarajuće roditeljske skrbi, obitelji koje zanemaruju djecu i kojima prijeti rizik od gubitka roditeljske skrbi, mladi bez odgovarajuće roditeljske skrbi kojima prestaje smještaj u domovima socijalne skrbi, djeca i mladi s poremećajima u ponašanju,  djeca i mladi s rizičnim ponašanjem i njihove obitelji, djeca s teškoćama u razvoju,  mladi s invaliditetom, odrasle osobe s invaliditetom, žene žrtve nasilja u obitelji, starije i nemoćne osobe te beskućnici.</w:t>
      </w:r>
    </w:p>
    <w:p w:rsidR="00AC0832" w:rsidRDefault="00AC0832">
      <w:pPr>
        <w:pStyle w:val="Heading6"/>
      </w:pPr>
    </w:p>
    <w:p w:rsidR="00AC0832" w:rsidRDefault="00AC0832">
      <w:pPr>
        <w:pStyle w:val="Heading6"/>
      </w:pPr>
    </w:p>
    <w:p w:rsidR="00AC0832" w:rsidRDefault="00AC0832">
      <w:pPr>
        <w:pStyle w:val="Heading6"/>
      </w:pPr>
      <w:r>
        <w:t>A734191 SKRB ZA DJECU, MLADEŽ I ODRASLE OSOBE - DRUGI OSNIVAČI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A734191-SKRB ZA DJECU, MLADEŽ I ODRASLE OSOBE - DRUGI OSNIVAČI</w:t>
            </w:r>
          </w:p>
        </w:tc>
        <w:tc>
          <w:tcPr>
            <w:tcW w:w="2322" w:type="dxa"/>
          </w:tcPr>
          <w:p w:rsidR="00AC0832" w:rsidRDefault="00AC0832">
            <w:pPr>
              <w:pStyle w:val="CellColumn"/>
            </w:pPr>
            <w:r>
              <w:t>260.345.530</w:t>
            </w:r>
          </w:p>
        </w:tc>
        <w:tc>
          <w:tcPr>
            <w:tcW w:w="2322" w:type="dxa"/>
          </w:tcPr>
          <w:p w:rsidR="00AC0832" w:rsidRDefault="00AC0832">
            <w:pPr>
              <w:pStyle w:val="CellColumn"/>
            </w:pPr>
            <w:r>
              <w:t>259.661.105</w:t>
            </w:r>
          </w:p>
        </w:tc>
        <w:tc>
          <w:tcPr>
            <w:tcW w:w="2322" w:type="dxa"/>
          </w:tcPr>
          <w:p w:rsidR="00AC0832" w:rsidRDefault="00AC0832">
            <w:pPr>
              <w:pStyle w:val="CellColumn"/>
            </w:pPr>
            <w:r>
              <w:t>99,7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Tijekom 2012.g. financirale su se usluge smještaja, organiziranog stanovanja i dodatka za osobne potrebe smještenih korisnika, usluge dnevnog i povremenog boravka, te usluge osposobljavanja i privređivanja korisnika, i to za sljedeće korisničke skupine: djeca bez odgovarajuće roditeljske skrbi, djeca i mladi s poremećajima u ponašanju, osobe s mentalnim oštećenjem, osobe s intelektualnim i/ili tjelesnim oštećenjem, starije i nemoćne osobe, žrtve trgovanja ljudima, žrtve obiteljskog nasilja, osobe ovisne o alkoholu, drogama i drugim opojnim sredstvima, te beskućnici. Navedene usluge pružale su se i financirale  temeljem ugovora o međusobnim odnosima za pružanje socijalnih usluga koje je Ministarstvo sklopilo sa privatnim ustanovama, vjerskim zajednicama, udrugama, te drugim pravnim i fizičkim osobama.</w:t>
      </w:r>
    </w:p>
    <w:p w:rsidR="00AC0832" w:rsidRDefault="00AC0832">
      <w:pPr>
        <w:pStyle w:val="Heading5"/>
      </w:pPr>
      <w:r>
        <w:t>4003 PODIZANJE KVALITETE I DOSTUPNOSTI SOCIJALNE SKRBI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4003-PODIZANJE KVALITETE I DOSTUPNOSTI SOCIJALNE SKRBI</w:t>
            </w:r>
          </w:p>
        </w:tc>
        <w:tc>
          <w:tcPr>
            <w:tcW w:w="2322" w:type="dxa"/>
          </w:tcPr>
          <w:p w:rsidR="00AC0832" w:rsidRDefault="00AC0832">
            <w:pPr>
              <w:pStyle w:val="CellColumn"/>
            </w:pPr>
            <w:r>
              <w:t>29.953.400</w:t>
            </w:r>
          </w:p>
        </w:tc>
        <w:tc>
          <w:tcPr>
            <w:tcW w:w="2322" w:type="dxa"/>
          </w:tcPr>
          <w:p w:rsidR="00AC0832" w:rsidRDefault="00AC0832">
            <w:pPr>
              <w:pStyle w:val="CellColumn"/>
            </w:pPr>
            <w:r>
              <w:t>25.859.294</w:t>
            </w:r>
          </w:p>
        </w:tc>
        <w:tc>
          <w:tcPr>
            <w:tcW w:w="2322" w:type="dxa"/>
          </w:tcPr>
          <w:p w:rsidR="00AC0832" w:rsidRDefault="00AC0832">
            <w:pPr>
              <w:pStyle w:val="CellColumn"/>
            </w:pPr>
            <w:r>
              <w:t>86,3</w:t>
            </w:r>
          </w:p>
        </w:tc>
      </w:tr>
    </w:tbl>
    <w:p w:rsidR="00AC0832" w:rsidRDefault="00AC0832">
      <w:pPr>
        <w:jc w:val="left"/>
      </w:pPr>
    </w:p>
    <w:p w:rsidR="00AC0832" w:rsidRDefault="00AC0832">
      <w:pPr>
        <w:pStyle w:val="Heading6"/>
      </w:pPr>
      <w:r>
        <w:t>Opis programa</w:t>
      </w:r>
    </w:p>
    <w:p w:rsidR="00AC0832" w:rsidRDefault="00AC0832">
      <w:pPr>
        <w:pStyle w:val="Normal5"/>
      </w:pPr>
      <w:r>
        <w:t xml:space="preserve">U sklopu ove pozicije provodit ce se aktivnosti stvaranja boljih uvjeta života za sve kategorije korisnika sto podrazumijeva razvoj ljudskih potencijala, informatičko umrežavanje sustava, te poboljšanje infrastrukture u ustanovama socijalne skrbi.  </w:t>
      </w:r>
    </w:p>
    <w:p w:rsidR="00AC0832" w:rsidRDefault="00AC0832">
      <w:pPr>
        <w:pStyle w:val="Normal5"/>
      </w:pPr>
      <w:r>
        <w:t>Radi pripreme punog sudjelovanja u započetim metodama koordinacije na području socijalnog uključivanja, provode se aktivnosti u okviru JIM-a koje pridonose suzbijanju siromaštva i socijalne isključenosti, sukladno politici EU u području socijalnog uključivanja. U okviru ovog programa osiguravaju se i sredstva za provedbu mjera JIM-a iz područja resorne nadležnosti, kao i organiziranje konferencija i drugih aktivnosti u cilju realizacije samog procesa.</w:t>
      </w:r>
    </w:p>
    <w:p w:rsidR="00AC0832" w:rsidRDefault="00AC0832">
      <w:pPr>
        <w:pStyle w:val="Heading6"/>
      </w:pPr>
      <w:r>
        <w:t>Zakonske i druge pravne osnove</w:t>
      </w:r>
    </w:p>
    <w:p w:rsidR="00AC0832" w:rsidRDefault="00AC0832">
      <w:pPr>
        <w:pStyle w:val="Normal5"/>
      </w:pPr>
      <w:r>
        <w:t>Zakon o socijalnoj skrbi, Zajednički memorandum o socijalnom uključivanju Republike Hrvatske (JIM), Nacionalni program djelovanja za djecu, Nacionalni program djelovanja za mlade, Nacionalna strategija izjednačavanja mogućnosti za osobe s invaliditetom od 2007. do 2015. godine</w:t>
      </w:r>
    </w:p>
    <w:p w:rsidR="00AC0832" w:rsidRDefault="00AC0832">
      <w:pPr>
        <w:pStyle w:val="Heading5"/>
      </w:pPr>
      <w:r>
        <w:t>4005 SOCIJALNO OSNAŽIVANJE OBITELJI, MLADIH I DJECE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4005-SOCIJALNO OSNAŽIVANJE OBITELJI, MLADIH I DJECE</w:t>
            </w:r>
          </w:p>
        </w:tc>
        <w:tc>
          <w:tcPr>
            <w:tcW w:w="2322" w:type="dxa"/>
          </w:tcPr>
          <w:p w:rsidR="00AC0832" w:rsidRDefault="00AC0832">
            <w:pPr>
              <w:pStyle w:val="CellColumn"/>
            </w:pPr>
            <w:r>
              <w:t>2.985.193.948</w:t>
            </w:r>
          </w:p>
        </w:tc>
        <w:tc>
          <w:tcPr>
            <w:tcW w:w="2322" w:type="dxa"/>
          </w:tcPr>
          <w:p w:rsidR="00AC0832" w:rsidRDefault="00AC0832">
            <w:pPr>
              <w:pStyle w:val="CellColumn"/>
            </w:pPr>
            <w:r>
              <w:t>2.961.802.491</w:t>
            </w:r>
          </w:p>
        </w:tc>
        <w:tc>
          <w:tcPr>
            <w:tcW w:w="2322" w:type="dxa"/>
          </w:tcPr>
          <w:p w:rsidR="00AC0832" w:rsidRDefault="00AC0832">
            <w:pPr>
              <w:pStyle w:val="CellColumn"/>
            </w:pPr>
            <w:r>
              <w:t>99,2</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Programom „Socijalno osnaživanje obitelji, mladih i djece“ osiguravaju se sredstva za unapređenje kvalitete obiteljskog života, promicanje prava i poboljšanje uvjeta života djece i mladih. </w:t>
      </w:r>
    </w:p>
    <w:p w:rsidR="00AC0832" w:rsidRDefault="00AC0832">
      <w:pPr>
        <w:pStyle w:val="Normal5"/>
      </w:pPr>
      <w:r>
        <w:t>Promicanjem obiteljskih vrijednosti, brige za djecu, mlade osigurat će se postizanje ravnopravnosti u svim područjima suvremenog društva.Radi osnaživanja djece i obitelji, te pružanja usluga i potpora u skladu sa potrebama zajednice razvijat će se suradnja sa tijelima državne uprave i organizacijama civilnog društva usmjerenih zaštiti, poštivanju i promicanu prava djece i mladih, te pružanje podrške obitelji.</w:t>
      </w:r>
    </w:p>
    <w:p w:rsidR="00AC0832" w:rsidRDefault="00AC0832">
      <w:pPr>
        <w:pStyle w:val="Heading6"/>
      </w:pPr>
      <w:r>
        <w:t>Zakonske i druge pravne osnove</w:t>
      </w:r>
    </w:p>
    <w:p w:rsidR="00AC0832" w:rsidRDefault="00AC0832">
      <w:pPr>
        <w:pStyle w:val="Normal5"/>
      </w:pPr>
      <w:r>
        <w:t xml:space="preserve">-Konvencija o pravima djeteta, </w:t>
      </w:r>
    </w:p>
    <w:p w:rsidR="00AC0832" w:rsidRDefault="00AC0832">
      <w:pPr>
        <w:pStyle w:val="Normal5"/>
      </w:pPr>
      <w:r>
        <w:t xml:space="preserve">-Obiteljski zakon, </w:t>
      </w:r>
    </w:p>
    <w:p w:rsidR="00AC0832" w:rsidRDefault="00AC0832">
      <w:pPr>
        <w:pStyle w:val="Normal5"/>
      </w:pPr>
      <w:r>
        <w:t xml:space="preserve">-Zakon o zaštiti od nasilja u obitelji, </w:t>
      </w:r>
    </w:p>
    <w:p w:rsidR="00AC0832" w:rsidRDefault="00AC0832">
      <w:pPr>
        <w:pStyle w:val="Normal5"/>
      </w:pPr>
      <w:r>
        <w:t xml:space="preserve">-Zakon o ravnopravnosti spolova, </w:t>
      </w:r>
    </w:p>
    <w:p w:rsidR="00AC0832" w:rsidRDefault="00AC0832">
      <w:pPr>
        <w:pStyle w:val="Normal5"/>
      </w:pPr>
      <w:r>
        <w:t xml:space="preserve">-Zakon o nagradi za promicanje prava djeteta, </w:t>
      </w:r>
    </w:p>
    <w:p w:rsidR="00AC0832" w:rsidRDefault="00AC0832">
      <w:pPr>
        <w:pStyle w:val="Normal5"/>
      </w:pPr>
      <w:r>
        <w:t xml:space="preserve">-Zakon o rodiljnim i roditeljskim potporama, </w:t>
      </w:r>
    </w:p>
    <w:p w:rsidR="00AC0832" w:rsidRDefault="00AC0832">
      <w:pPr>
        <w:pStyle w:val="Normal5"/>
      </w:pPr>
      <w:r>
        <w:t xml:space="preserve">-Zakon o doplatku za djecu, </w:t>
      </w:r>
    </w:p>
    <w:p w:rsidR="00AC0832" w:rsidRDefault="00AC0832">
      <w:pPr>
        <w:pStyle w:val="Normal5"/>
      </w:pPr>
      <w:r>
        <w:t xml:space="preserve">-Zakon o socijalnoj skrbi, </w:t>
      </w:r>
    </w:p>
    <w:p w:rsidR="00AC0832" w:rsidRDefault="00AC0832">
      <w:pPr>
        <w:pStyle w:val="Normal5"/>
      </w:pPr>
      <w:r>
        <w:t xml:space="preserve">-Zakon o udomiteljstvu, </w:t>
      </w:r>
    </w:p>
    <w:p w:rsidR="00AC0832" w:rsidRDefault="00AC0832">
      <w:pPr>
        <w:pStyle w:val="Normal5"/>
      </w:pPr>
      <w:r>
        <w:t xml:space="preserve">-Zakon o Agenciji za mobilnost i programe Europske unije, </w:t>
      </w:r>
    </w:p>
    <w:p w:rsidR="00AC0832" w:rsidRDefault="00AC0832">
      <w:pPr>
        <w:pStyle w:val="Normal5"/>
      </w:pPr>
      <w:r>
        <w:t xml:space="preserve">-Nacionalni plan aktivnosti za prava i interese djece od 2002. do 2012. godine, </w:t>
      </w:r>
    </w:p>
    <w:p w:rsidR="00AC0832" w:rsidRDefault="00AC0832">
      <w:pPr>
        <w:pStyle w:val="Normal5"/>
      </w:pPr>
      <w:r>
        <w:t xml:space="preserve">-Program aktivnosti za sprječavanje nasilja među djecom i mladima i Protokol o postupanju u slučaju nasilja među mladima, </w:t>
      </w:r>
    </w:p>
    <w:p w:rsidR="00AC0832" w:rsidRDefault="00AC0832">
      <w:pPr>
        <w:pStyle w:val="Normal5"/>
      </w:pPr>
      <w:r>
        <w:t xml:space="preserve">-Nacionalna strategija prevencije poremećaja u ponašanju djece i mladih od 2009. do 2012. godine, </w:t>
      </w:r>
    </w:p>
    <w:p w:rsidR="00AC0832" w:rsidRDefault="00AC0832">
      <w:pPr>
        <w:pStyle w:val="Normal5"/>
      </w:pPr>
      <w:r>
        <w:t xml:space="preserve">-Nacionalni program prevencije ovisnosti u sustavu obrazovanja i sustavu socijalne skrbi 2010 do 2014. godine, </w:t>
      </w:r>
    </w:p>
    <w:p w:rsidR="00AC0832" w:rsidRDefault="00AC0832">
      <w:pPr>
        <w:pStyle w:val="Normal5"/>
      </w:pPr>
      <w:r>
        <w:t xml:space="preserve">-Nacionalna strategija zaštite od nasilja u obitelji i protokol o postupanju u slučaju nasilja u obitelji, </w:t>
      </w:r>
    </w:p>
    <w:p w:rsidR="00AC0832" w:rsidRDefault="00AC0832">
      <w:pPr>
        <w:pStyle w:val="Normal5"/>
      </w:pPr>
      <w:r>
        <w:t xml:space="preserve">-Nacionalna politika za promicanje ravnopravnosti spolova od 2011. do 2015. godine, </w:t>
      </w:r>
    </w:p>
    <w:p w:rsidR="00AC0832" w:rsidRDefault="00AC0832">
      <w:pPr>
        <w:pStyle w:val="Normal5"/>
      </w:pPr>
      <w:r>
        <w:t xml:space="preserve">-Nacionalni plan za borbu protiv diskriminacije 2008. do 2013. </w:t>
      </w:r>
    </w:p>
    <w:p w:rsidR="00AC0832" w:rsidRDefault="00AC0832">
      <w:pPr>
        <w:pStyle w:val="Normal5"/>
      </w:pPr>
      <w:r>
        <w:t xml:space="preserve">-Nacionalna populacijska politika, </w:t>
      </w:r>
    </w:p>
    <w:p w:rsidR="00AC0832" w:rsidRDefault="00AC0832">
      <w:pPr>
        <w:pStyle w:val="Normal5"/>
      </w:pPr>
      <w:r>
        <w:t xml:space="preserve">-Nacionalna obiteljska politika, </w:t>
      </w:r>
    </w:p>
    <w:p w:rsidR="00AC0832" w:rsidRDefault="00AC0832">
      <w:pPr>
        <w:pStyle w:val="Normal5"/>
      </w:pPr>
      <w:r>
        <w:t xml:space="preserve">-Nacionalna politika za promicanje ravnopravnosti spolova, </w:t>
      </w:r>
    </w:p>
    <w:p w:rsidR="00AC0832" w:rsidRDefault="00AC0832">
      <w:pPr>
        <w:pStyle w:val="Normal5"/>
      </w:pPr>
      <w:r>
        <w:t xml:space="preserve">-Nacionalni program za mlade od 2009. do 2013. godine, </w:t>
      </w:r>
    </w:p>
    <w:p w:rsidR="00AC0832" w:rsidRDefault="00AC0832">
      <w:pPr>
        <w:pStyle w:val="Normal5"/>
      </w:pPr>
      <w:r>
        <w:t xml:space="preserve">-Nacionalni program za savez civilizacija, </w:t>
      </w:r>
    </w:p>
    <w:p w:rsidR="00AC0832" w:rsidRDefault="00AC0832">
      <w:pPr>
        <w:pStyle w:val="Normal5"/>
      </w:pPr>
      <w:r>
        <w:t xml:space="preserve">Nacionalne strategije na području ljudskih prava, suzbijanja zlouporabe droga, Roma te pripadajući akcijski planovi. </w:t>
      </w:r>
    </w:p>
    <w:p w:rsidR="00AC0832" w:rsidRDefault="00AC0832">
      <w:pPr>
        <w:pStyle w:val="Normal5"/>
      </w:pPr>
      <w:r>
        <w:t xml:space="preserve">-Zajedničkom memorandumu o socijalnom uključivanju RH (JIM) i pripadajućem Nacionalnom provedbenom planu, </w:t>
      </w:r>
    </w:p>
    <w:p w:rsidR="00AC0832" w:rsidRDefault="00AC0832">
      <w:pPr>
        <w:pStyle w:val="Normal5"/>
      </w:pPr>
      <w:r>
        <w:t xml:space="preserve">-Sporazumu o stabilizaciji i pridruživanju između republike Hrvatske i Europske unije (SSP), </w:t>
      </w:r>
    </w:p>
    <w:p w:rsidR="00AC0832" w:rsidRDefault="00AC0832">
      <w:pPr>
        <w:pStyle w:val="Normal5"/>
      </w:pPr>
      <w:r>
        <w:t xml:space="preserve">-Pregovaračko poglavlje 26. obrazovanje i kultura, </w:t>
      </w:r>
    </w:p>
    <w:p w:rsidR="00AC0832" w:rsidRDefault="00AC0832">
      <w:pPr>
        <w:pStyle w:val="Normal5"/>
      </w:pPr>
      <w:r>
        <w:t xml:space="preserve">-Zaključak Vlade od 28. veljače 2007. g. o određivanju prioritetnih programa Europske zajednice za koje će Republika Hrvatska pokrenuti postupak pristupanja, </w:t>
      </w:r>
    </w:p>
    <w:p w:rsidR="00AC0832" w:rsidRDefault="00AC0832">
      <w:pPr>
        <w:pStyle w:val="Normal5"/>
      </w:pPr>
      <w:r>
        <w:t xml:space="preserve">-Zaključak Vlade od 16. listopada 2008. g. kojim se Ministarstvo znanosti  obrazovanja i športa određuje tijelom državne uprave nadležnim za Program za cjeloživotno učenje, a Ministarstvo obitelji, branitelja i međugeneracijske solidarnosti nadležnim za program Mladi na djelu, </w:t>
      </w:r>
    </w:p>
    <w:p w:rsidR="00AC0832" w:rsidRDefault="00AC0832">
      <w:pPr>
        <w:pStyle w:val="Normal5"/>
      </w:pPr>
      <w:r>
        <w:t xml:space="preserve">-Nacionalni program Republike Hrvatske za pristupanje Europskoj uniji, </w:t>
      </w:r>
    </w:p>
    <w:p w:rsidR="00AC0832" w:rsidRDefault="00AC0832">
      <w:pPr>
        <w:pStyle w:val="Normal5"/>
      </w:pPr>
      <w:r>
        <w:t xml:space="preserve">-Okvirni sporazum između Republike Hrvatske i Europske Zajednice o općim  </w:t>
      </w:r>
    </w:p>
    <w:p w:rsidR="00AC0832" w:rsidRDefault="00AC0832">
      <w:pPr>
        <w:pStyle w:val="Normal5"/>
      </w:pPr>
      <w:r>
        <w:t xml:space="preserve">  načelima sudjelovanja Republike Hrvatske u programima Zajednice </w:t>
      </w:r>
    </w:p>
    <w:p w:rsidR="00AC0832" w:rsidRDefault="00AC0832">
      <w:pPr>
        <w:pStyle w:val="Normal5"/>
      </w:pPr>
      <w:r>
        <w:t xml:space="preserve">- Zakon o nagradi za promicanje prava djeteta i Pravilnik o nagradi za promicanje prava djeteta,  </w:t>
      </w:r>
    </w:p>
    <w:p w:rsidR="00AC0832" w:rsidRDefault="00AC0832">
      <w:pPr>
        <w:pStyle w:val="Normal5"/>
      </w:pPr>
      <w:r>
        <w:t xml:space="preserve">- Nacionalni program za Rome, </w:t>
      </w:r>
    </w:p>
    <w:p w:rsidR="00AC0832" w:rsidRDefault="00AC0832">
      <w:pPr>
        <w:pStyle w:val="Normal5"/>
      </w:pPr>
      <w:r>
        <w:t xml:space="preserve">- Program psihosocijalne pomoći na dječjim onkološkim odjelima, </w:t>
      </w:r>
    </w:p>
    <w:p w:rsidR="00AC0832" w:rsidRDefault="00AC0832">
      <w:pPr>
        <w:pStyle w:val="Normal5"/>
      </w:pPr>
      <w:r>
        <w:t xml:space="preserve">- Program aktivnosti za sprječavanje nasilja među djecom i mladima i Protokol o postupanju u slučaju nasilja među djecom i mladima, </w:t>
      </w:r>
    </w:p>
    <w:p w:rsidR="00AC0832" w:rsidRDefault="00AC0832">
      <w:pPr>
        <w:pStyle w:val="Normal5"/>
      </w:pPr>
      <w:r>
        <w:t xml:space="preserve">- Zakonu o savjetima mladih  </w:t>
      </w:r>
    </w:p>
    <w:p w:rsidR="00AC0832" w:rsidRDefault="00AC0832">
      <w:pPr>
        <w:pStyle w:val="Normal5"/>
      </w:pPr>
      <w:r>
        <w:t xml:space="preserve">-Nacionalnom programu za mlade od 2009. do 2013. godine, </w:t>
      </w:r>
    </w:p>
    <w:p w:rsidR="00AC0832" w:rsidRDefault="00AC0832">
      <w:pPr>
        <w:pStyle w:val="Normal5"/>
      </w:pPr>
      <w:r>
        <w:t xml:space="preserve">-Nacionalnoj strategiji za suzbijanje zloupotrebe opojnih droga Republike Hrvatske od 2006.-2012 godine </w:t>
      </w:r>
    </w:p>
    <w:p w:rsidR="00AC0832" w:rsidRDefault="00AC0832">
      <w:pPr>
        <w:pStyle w:val="Normal5"/>
      </w:pPr>
      <w:r>
        <w:t xml:space="preserve">-Nacionalnom planu za borbu protiv diskriminacije 2008. do 2013. </w:t>
      </w:r>
    </w:p>
    <w:p w:rsidR="00AC0832" w:rsidRDefault="00AC0832">
      <w:pPr>
        <w:pStyle w:val="Normal5"/>
      </w:pPr>
      <w:r>
        <w:t xml:space="preserve">-Strategija Europa 2020. </w:t>
      </w:r>
    </w:p>
    <w:p w:rsidR="00AC0832" w:rsidRDefault="00AC0832">
      <w:pPr>
        <w:pStyle w:val="Normal5"/>
      </w:pPr>
      <w:r>
        <w:t xml:space="preserve">-Europska platforma za borbu protiv siromaštva </w:t>
      </w:r>
    </w:p>
    <w:p w:rsidR="00AC0832" w:rsidRDefault="00AC0832">
      <w:pPr>
        <w:pStyle w:val="Normal5"/>
      </w:pPr>
      <w:r>
        <w:t xml:space="preserve">-Zakon o procjeni učinaka propisa (NN, broj 90/11) </w:t>
      </w:r>
    </w:p>
    <w:p w:rsidR="00AC0832" w:rsidRDefault="00AC0832">
      <w:pPr>
        <w:pStyle w:val="Normal5"/>
      </w:pPr>
      <w:r>
        <w:t xml:space="preserve">-Odluka Vlade RH o obrascu standardne metodologije za procjenu socijalnog učinka (NN, broj 37/07) </w:t>
      </w:r>
    </w:p>
    <w:p w:rsidR="00AC0832" w:rsidRDefault="00AC0832">
      <w:pPr>
        <w:pStyle w:val="Normal5"/>
      </w:pPr>
      <w:r>
        <w:t xml:space="preserve">-Strategija razvoja sustava socijalne skrbi u Republici Hrvatskoj 2011. – 2016. </w:t>
      </w:r>
    </w:p>
    <w:p w:rsidR="00AC0832" w:rsidRDefault="00AC0832">
      <w:pPr>
        <w:pStyle w:val="Normal5"/>
      </w:pPr>
      <w:r>
        <w:t xml:space="preserve">-Plan deinstitucionalizacije i transformacije domova socijalne skrbi i drugih pravnih osoba koje obavljaju djelatnost socijalne skrbi u Republici Hrvatskoj 2011. – 2016 (2018.) – Odluka ministra zdravstva i socijalne skrbi od 24. siječnja 2011. godine </w:t>
      </w:r>
    </w:p>
    <w:p w:rsidR="00AC0832" w:rsidRDefault="00AC0832">
      <w:pPr>
        <w:pStyle w:val="Normal5"/>
      </w:pPr>
      <w:r>
        <w:t xml:space="preserve">-Zakon o potvrđivanju Sporazuma između Vlade Republike Hrvatske i Europske komisije kojim se mijenja Sporazum o financiranju između Vlade Republike Hrvatske i Europske komisije za višegodišnji Operativni program „Razvoj ljudskih potencijala“ za pomoć zajednice iz Instrumenta pretpristupne pomoći u sklopu komponente „Razvoj ljudskih potencijala“ u Hrvatskoj (NN 3/11) </w:t>
      </w:r>
    </w:p>
    <w:p w:rsidR="00AC0832" w:rsidRDefault="00AC0832">
      <w:pPr>
        <w:pStyle w:val="Normal5"/>
      </w:pPr>
      <w:r>
        <w:t xml:space="preserve">-Zakon o potvrđivanju Sporazuma o financiranju između Vlade Republike Hrvatske i Europske komisije u vezi s nacionalnim programom za Hrvatsku u okviru Programa IPA – komponenta Pomoć u tranziciji i izgradnji institucija za 2009. godinu (NN 5/10) </w:t>
      </w:r>
    </w:p>
    <w:p w:rsidR="00AC0832" w:rsidRDefault="00AC0832">
      <w:pPr>
        <w:pStyle w:val="Normal5"/>
      </w:pPr>
      <w:r>
        <w:t xml:space="preserve">-Zakon o potvrđivanju Sporazuma o financiranju između Vlade Republike Hrvatske i Europske komisije u vezi s nacionalnim programom za Hrvatsku u okviru Programa IPA – komponenta Pomoć u tranziciji i izgradnji institucija za 2010. godinu (13/11) </w:t>
      </w:r>
    </w:p>
    <w:p w:rsidR="00AC0832" w:rsidRDefault="00AC0832">
      <w:pPr>
        <w:pStyle w:val="Normal5"/>
      </w:pPr>
      <w:r>
        <w:t>-Zaključak Vlade Republike Hrvatske o sudjelovanju Republike Hrvatske u Programima zajednice od 16.listopada 2008. i Zaključak o izmjeni Zaključka Vlade Republike Hrvatske o sudjelovanju Republike Hrvatske u Programima zajednice od 06. svibnja 2010. godine.</w:t>
      </w:r>
    </w:p>
    <w:p w:rsidR="00AC0832" w:rsidRDefault="00AC0832">
      <w:pPr>
        <w:pStyle w:val="Heading7"/>
      </w:pPr>
      <w:r>
        <w:t>Cilj 1. Podizanje kvalitete obiteljskog života</w:t>
      </w:r>
    </w:p>
    <w:p w:rsidR="00AC0832" w:rsidRDefault="00AC0832">
      <w:pPr>
        <w:pStyle w:val="Heading8"/>
        <w:jc w:val="left"/>
      </w:pPr>
      <w:r>
        <w:t>Opis provedbe cilja programa</w:t>
      </w:r>
    </w:p>
    <w:p w:rsidR="00AC0832" w:rsidRDefault="00AC0832">
      <w:pPr>
        <w:pStyle w:val="Normal6"/>
      </w:pPr>
      <w:r>
        <w:t>Osiguravanjem kvalitetne suradnje nadležnih tijela državne uprave, jedinica lokalne i područne (regionalne) samouprave te organizacija civilnog društva provodio se niz mjera u području senzibilizacije i informiranja, sustava obiteljskih potpora, usklađivanja obiteljskog i poslovnog života te skrbi o djeci. U skladu s navedenim, putem natječaja osigurane su financijske potpore za 18 projekata udruga usmjerenih obitelji te četiri odlukom čelnika tijela. U svrhu poboljšanja rodiljnih i roditeljskih potpora te njihovog usklađivanja sa pravnom stečevinom EU pripremljen je Nacrt prijedloga Zakona o izmjenama i dopunama Zakona o rodiljnim i roditeljskih potporama. Također je pri Ministarstvu socijalne politike i mladih osnovana Radna skupina za izradu Nacrta prijedloga Nacionalne obiteljske politike. U svrhu jačanja kapaciteta stručnjaka u suradnji s Uredom UNICEF-a za Hrvatsku održana je edukacija za voditelje programa „Rastimo zajedno“, održana je 3. Konferencija programa „Rastimo zajedno“ te su održani regionalni sastanci s udomiteljima i stručnim radnicima centara za socijalnu skrb.</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1"/>
        <w:gridCol w:w="2674"/>
        <w:gridCol w:w="996"/>
        <w:gridCol w:w="1102"/>
        <w:gridCol w:w="1073"/>
        <w:gridCol w:w="1102"/>
        <w:gridCol w:w="116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Stvoreni dugoročno održivi uvjeti za podizanje kvalitete obiteljskog života</w:t>
            </w:r>
          </w:p>
        </w:tc>
        <w:tc>
          <w:tcPr>
            <w:tcW w:w="1300" w:type="dxa"/>
          </w:tcPr>
          <w:p w:rsidR="00AC0832" w:rsidRDefault="00AC0832">
            <w:pPr>
              <w:pStyle w:val="CellColumn"/>
            </w:pPr>
            <w:r>
              <w:t>Povećanjem  udjela zaposlenih/samozaposlenih roditelja korisnika fleksibilnih oblika roditeljskih dopusta te posvojitelja i udomitelja korisnika prava iz Zakona o rodiljnim i roditeljskim potporama u odnosu na ukupan broj korisnika prava pridonosi se podizanju kvalitete života obitelji i djece</w:t>
            </w:r>
          </w:p>
        </w:tc>
        <w:tc>
          <w:tcPr>
            <w:tcW w:w="1300" w:type="dxa"/>
          </w:tcPr>
          <w:p w:rsidR="00AC0832" w:rsidRDefault="00AC0832">
            <w:pPr>
              <w:pStyle w:val="CellColumn"/>
            </w:pPr>
            <w:r>
              <w:t>%</w:t>
            </w:r>
          </w:p>
        </w:tc>
        <w:tc>
          <w:tcPr>
            <w:tcW w:w="1300" w:type="dxa"/>
          </w:tcPr>
          <w:p w:rsidR="00AC0832" w:rsidRDefault="00AC0832">
            <w:pPr>
              <w:pStyle w:val="CellColumn"/>
            </w:pPr>
            <w:r>
              <w:t>11,18</w:t>
            </w:r>
          </w:p>
        </w:tc>
        <w:tc>
          <w:tcPr>
            <w:tcW w:w="1300" w:type="dxa"/>
          </w:tcPr>
          <w:p w:rsidR="00AC0832" w:rsidRDefault="00AC0832">
            <w:pPr>
              <w:pStyle w:val="CellColumn"/>
            </w:pPr>
            <w:r>
              <w:t>MSPM, HZZO</w:t>
            </w:r>
          </w:p>
        </w:tc>
        <w:tc>
          <w:tcPr>
            <w:tcW w:w="1300" w:type="dxa"/>
          </w:tcPr>
          <w:p w:rsidR="00AC0832" w:rsidRDefault="00AC0832">
            <w:pPr>
              <w:pStyle w:val="CellColumn"/>
            </w:pPr>
            <w:r>
              <w:t>11,28</w:t>
            </w:r>
          </w:p>
        </w:tc>
        <w:tc>
          <w:tcPr>
            <w:tcW w:w="1300" w:type="dxa"/>
          </w:tcPr>
          <w:p w:rsidR="00AC0832" w:rsidRDefault="00AC0832">
            <w:pPr>
              <w:pStyle w:val="CellColumn"/>
            </w:pPr>
            <w:r>
              <w:t>10,44</w:t>
            </w:r>
          </w:p>
        </w:tc>
      </w:tr>
    </w:tbl>
    <w:p w:rsidR="00AC0832" w:rsidRDefault="00AC0832">
      <w:pPr>
        <w:jc w:val="left"/>
      </w:pPr>
    </w:p>
    <w:p w:rsidR="00AC0832" w:rsidRDefault="00AC0832">
      <w:pPr>
        <w:pStyle w:val="Heading7"/>
      </w:pPr>
      <w:r>
        <w:t>Cilj 2. Zaštita, poštivanje i promicanje prava djece</w:t>
      </w:r>
    </w:p>
    <w:p w:rsidR="00AC0832" w:rsidRDefault="00AC0832" w:rsidP="00B43923">
      <w:pPr>
        <w:pStyle w:val="Heading8"/>
        <w:ind w:left="0"/>
        <w:jc w:val="left"/>
      </w:pPr>
    </w:p>
    <w:p w:rsidR="00AC0832" w:rsidRDefault="00AC0832" w:rsidP="00B43923">
      <w:pPr>
        <w:pStyle w:val="Heading8"/>
        <w:ind w:left="0"/>
        <w:jc w:val="left"/>
      </w:pPr>
    </w:p>
    <w:p w:rsidR="00AC0832" w:rsidRDefault="00AC0832" w:rsidP="00B43923">
      <w:pPr>
        <w:pStyle w:val="Heading8"/>
        <w:ind w:left="0"/>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8"/>
        <w:gridCol w:w="1806"/>
        <w:gridCol w:w="1317"/>
        <w:gridCol w:w="1153"/>
        <w:gridCol w:w="1133"/>
        <w:gridCol w:w="1154"/>
        <w:gridCol w:w="119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 broj provedenih mjera i aktivnosti na nacionalnoj razini te izrađenih i usklađenih nacionalnih dokumenata</w:t>
            </w:r>
          </w:p>
        </w:tc>
        <w:tc>
          <w:tcPr>
            <w:tcW w:w="1300" w:type="dxa"/>
          </w:tcPr>
          <w:p w:rsidR="00AC0832" w:rsidRDefault="00AC0832">
            <w:pPr>
              <w:pStyle w:val="CellColumn"/>
            </w:pPr>
            <w:r>
              <w:t>Koordinacijom provedbe nacionalnih dokumenata povećat će se broj provedenih mjera kojim će se unaprijediti kvaliteta života djece na svim područjima djelovanja. Organizacija edukacije koordinatora provedbe te informatizacija sustava praćenja provedbe i izvješćivanja pridonijet će učinkovitosti praćenja provedbe. Izradom novih strateških nacionalnih dokumenata osigurat će se pretpostavke za provedbu mjera u narednom razdoblju te usklađivanje politika u svim područjima zaštite prava djece.</w:t>
            </w:r>
          </w:p>
        </w:tc>
        <w:tc>
          <w:tcPr>
            <w:tcW w:w="1300" w:type="dxa"/>
          </w:tcPr>
          <w:p w:rsidR="00AC0832" w:rsidRDefault="00AC0832">
            <w:pPr>
              <w:pStyle w:val="CellColumn"/>
            </w:pPr>
            <w:r>
              <w:t>% provedenih mjera od strane nositelja</w:t>
            </w:r>
          </w:p>
        </w:tc>
        <w:tc>
          <w:tcPr>
            <w:tcW w:w="1300" w:type="dxa"/>
          </w:tcPr>
          <w:p w:rsidR="00AC0832" w:rsidRDefault="00AC0832">
            <w:pPr>
              <w:pStyle w:val="CellColumn"/>
            </w:pPr>
            <w:r>
              <w:t>90</w:t>
            </w:r>
          </w:p>
        </w:tc>
        <w:tc>
          <w:tcPr>
            <w:tcW w:w="1300" w:type="dxa"/>
          </w:tcPr>
          <w:p w:rsidR="00AC0832" w:rsidRDefault="00AC0832">
            <w:pPr>
              <w:pStyle w:val="CellColumn"/>
            </w:pPr>
            <w:r>
              <w:t>MSPM</w:t>
            </w:r>
          </w:p>
        </w:tc>
        <w:tc>
          <w:tcPr>
            <w:tcW w:w="1300" w:type="dxa"/>
          </w:tcPr>
          <w:p w:rsidR="00AC0832" w:rsidRDefault="00AC0832">
            <w:pPr>
              <w:pStyle w:val="CellColumn"/>
            </w:pPr>
            <w:r>
              <w:t>97</w:t>
            </w:r>
          </w:p>
        </w:tc>
        <w:tc>
          <w:tcPr>
            <w:tcW w:w="1300" w:type="dxa"/>
          </w:tcPr>
          <w:p w:rsidR="00AC0832" w:rsidRDefault="00AC0832">
            <w:pPr>
              <w:pStyle w:val="CellColumn"/>
            </w:pPr>
            <w:r>
              <w:t>98</w:t>
            </w:r>
          </w:p>
        </w:tc>
      </w:tr>
      <w:tr w:rsidR="00AC0832" w:rsidTr="00BE20ED">
        <w:trPr>
          <w:jc w:val="center"/>
        </w:trPr>
        <w:tc>
          <w:tcPr>
            <w:tcW w:w="1300" w:type="dxa"/>
          </w:tcPr>
          <w:p w:rsidR="00AC0832" w:rsidRDefault="00AC0832">
            <w:pPr>
              <w:pStyle w:val="CellColumn"/>
            </w:pPr>
            <w:r>
              <w:t>Povećan broj provedenih preporuka jedinica lokalne i područne (regionalne) samouprave i unaprijeđena kvaliteta rada koordinacijskih tijela na lokalnoj razini</w:t>
            </w:r>
          </w:p>
        </w:tc>
        <w:tc>
          <w:tcPr>
            <w:tcW w:w="1300" w:type="dxa"/>
          </w:tcPr>
          <w:p w:rsidR="00AC0832" w:rsidRDefault="00AC0832">
            <w:pPr>
              <w:pStyle w:val="CellColumn"/>
            </w:pPr>
            <w:r>
              <w:t>Povećanjem broja provedenih preporuka nacionalnih dokumenata potaknut će se veće uključivanje jedinica lokalne i područne (regionalne) samouprave u unapređenje kvalitete života djece, kao i usklađivanje programa sukladno potrebama djece u pojedinoj lokalnoj zajednici. Organizacijom edukacije članova koordinacijskih tijela te razvojem informatizacijskog sustava vertikalne koordinacije i izvješćivanja povećat će se učinkovitost praćenja provedbe mjera na lokalnoj razini.</w:t>
            </w:r>
          </w:p>
        </w:tc>
        <w:tc>
          <w:tcPr>
            <w:tcW w:w="1300" w:type="dxa"/>
          </w:tcPr>
          <w:p w:rsidR="00AC0832" w:rsidRDefault="00AC0832">
            <w:pPr>
              <w:pStyle w:val="CellColumn"/>
            </w:pPr>
            <w:r>
              <w:t>% preporuka provedenih od strane jedinica lokalne i područne (regionalne) samouprave</w:t>
            </w:r>
          </w:p>
        </w:tc>
        <w:tc>
          <w:tcPr>
            <w:tcW w:w="1300" w:type="dxa"/>
          </w:tcPr>
          <w:p w:rsidR="00AC0832" w:rsidRDefault="00AC0832">
            <w:pPr>
              <w:pStyle w:val="CellColumn"/>
            </w:pPr>
            <w:r>
              <w:t>20</w:t>
            </w:r>
          </w:p>
        </w:tc>
        <w:tc>
          <w:tcPr>
            <w:tcW w:w="1300" w:type="dxa"/>
          </w:tcPr>
          <w:p w:rsidR="00AC0832" w:rsidRDefault="00AC0832">
            <w:pPr>
              <w:pStyle w:val="CellColumn"/>
            </w:pPr>
            <w:r>
              <w:t>MSPM</w:t>
            </w:r>
          </w:p>
        </w:tc>
        <w:tc>
          <w:tcPr>
            <w:tcW w:w="1300" w:type="dxa"/>
          </w:tcPr>
          <w:p w:rsidR="00AC0832" w:rsidRDefault="00AC0832">
            <w:pPr>
              <w:pStyle w:val="CellColumn"/>
            </w:pPr>
            <w:r>
              <w:t>30</w:t>
            </w:r>
          </w:p>
        </w:tc>
        <w:tc>
          <w:tcPr>
            <w:tcW w:w="1300" w:type="dxa"/>
          </w:tcPr>
          <w:p w:rsidR="00AC0832" w:rsidRDefault="00AC0832">
            <w:pPr>
              <w:pStyle w:val="CellColumn"/>
            </w:pPr>
            <w:r>
              <w:t>30</w:t>
            </w:r>
          </w:p>
        </w:tc>
      </w:tr>
      <w:tr w:rsidR="00AC0832" w:rsidTr="00BE20ED">
        <w:trPr>
          <w:jc w:val="center"/>
        </w:trPr>
        <w:tc>
          <w:tcPr>
            <w:tcW w:w="1300" w:type="dxa"/>
          </w:tcPr>
          <w:p w:rsidR="00AC0832" w:rsidRDefault="00AC0832">
            <w:pPr>
              <w:pStyle w:val="CellColumn"/>
            </w:pPr>
            <w:r>
              <w:t>Povećan broj sjednica savjetodavnih tijela Vlade Republike Hrvatske i unaprjeđena kvaliteta njihova rada.</w:t>
            </w:r>
          </w:p>
        </w:tc>
        <w:tc>
          <w:tcPr>
            <w:tcW w:w="1300" w:type="dxa"/>
          </w:tcPr>
          <w:p w:rsidR="00AC0832" w:rsidRDefault="00AC0832">
            <w:pPr>
              <w:pStyle w:val="CellColumn"/>
            </w:pPr>
            <w:r>
              <w:t>Povećanjem broja sjednica i kvalitete rada Savjetodavnih tijela Vlade Republike Hrvatske uskladit će se i koordinirati rad svih tijela državne uprave, organizacija civilnog društva i znanstvenih institucija na području unapređenja kvalitete života djece.</w:t>
            </w:r>
          </w:p>
        </w:tc>
        <w:tc>
          <w:tcPr>
            <w:tcW w:w="1300" w:type="dxa"/>
          </w:tcPr>
          <w:p w:rsidR="00AC0832" w:rsidRDefault="00AC0832">
            <w:pPr>
              <w:pStyle w:val="CellColumn"/>
            </w:pPr>
            <w:r>
              <w:t>broj</w:t>
            </w:r>
          </w:p>
        </w:tc>
        <w:tc>
          <w:tcPr>
            <w:tcW w:w="1300" w:type="dxa"/>
          </w:tcPr>
          <w:p w:rsidR="00AC0832" w:rsidRDefault="00AC0832">
            <w:pPr>
              <w:pStyle w:val="CellColumn"/>
            </w:pPr>
            <w:r>
              <w:t>3</w:t>
            </w:r>
          </w:p>
        </w:tc>
        <w:tc>
          <w:tcPr>
            <w:tcW w:w="1300" w:type="dxa"/>
          </w:tcPr>
          <w:p w:rsidR="00AC0832" w:rsidRDefault="00AC0832">
            <w:pPr>
              <w:pStyle w:val="CellColumn"/>
            </w:pPr>
            <w:r>
              <w:t>MSPM</w:t>
            </w:r>
          </w:p>
        </w:tc>
        <w:tc>
          <w:tcPr>
            <w:tcW w:w="1300" w:type="dxa"/>
          </w:tcPr>
          <w:p w:rsidR="00AC0832" w:rsidRDefault="00AC0832">
            <w:pPr>
              <w:pStyle w:val="CellColumn"/>
            </w:pPr>
            <w:r>
              <w:t>4</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Povećan broj stručnih analiza i istraživanja i novih zakonskih i podzakonskih prijedloga</w:t>
            </w:r>
          </w:p>
        </w:tc>
        <w:tc>
          <w:tcPr>
            <w:tcW w:w="1300" w:type="dxa"/>
          </w:tcPr>
          <w:p w:rsidR="00AC0832" w:rsidRDefault="00AC0832">
            <w:pPr>
              <w:pStyle w:val="CellColumn"/>
            </w:pPr>
            <w:r>
              <w:t>Povećanjem broja stručnih analiza i istraživanja pratit će se učinak primjene pojedinih zakonskih rješenja te predložiti nova zakonska rješenja kojima će se podići razina zaštite prava djece.</w:t>
            </w:r>
          </w:p>
        </w:tc>
        <w:tc>
          <w:tcPr>
            <w:tcW w:w="1300" w:type="dxa"/>
          </w:tcPr>
          <w:p w:rsidR="00AC0832" w:rsidRDefault="00AC0832">
            <w:pPr>
              <w:pStyle w:val="CellColumn"/>
            </w:pPr>
            <w:r>
              <w:t>broj</w:t>
            </w:r>
          </w:p>
        </w:tc>
        <w:tc>
          <w:tcPr>
            <w:tcW w:w="1300" w:type="dxa"/>
          </w:tcPr>
          <w:p w:rsidR="00AC0832" w:rsidRDefault="00AC0832">
            <w:pPr>
              <w:pStyle w:val="CellColumn"/>
            </w:pPr>
            <w:r>
              <w:t>1</w:t>
            </w:r>
          </w:p>
        </w:tc>
        <w:tc>
          <w:tcPr>
            <w:tcW w:w="1300" w:type="dxa"/>
          </w:tcPr>
          <w:p w:rsidR="00AC0832" w:rsidRDefault="00AC0832">
            <w:pPr>
              <w:pStyle w:val="CellColumn"/>
            </w:pPr>
            <w:r>
              <w:t>MSPM</w:t>
            </w:r>
          </w:p>
        </w:tc>
        <w:tc>
          <w:tcPr>
            <w:tcW w:w="1300" w:type="dxa"/>
          </w:tcPr>
          <w:p w:rsidR="00AC0832" w:rsidRDefault="00AC0832">
            <w:pPr>
              <w:pStyle w:val="CellColumn"/>
            </w:pPr>
            <w:r>
              <w:t>2</w:t>
            </w:r>
          </w:p>
        </w:tc>
        <w:tc>
          <w:tcPr>
            <w:tcW w:w="1300" w:type="dxa"/>
          </w:tcPr>
          <w:p w:rsidR="00AC0832" w:rsidRDefault="00AC0832">
            <w:pPr>
              <w:pStyle w:val="CellColumn"/>
            </w:pPr>
            <w:r>
              <w:t>2</w:t>
            </w:r>
          </w:p>
        </w:tc>
      </w:tr>
    </w:tbl>
    <w:p w:rsidR="00AC0832" w:rsidRDefault="00AC0832">
      <w:pPr>
        <w:jc w:val="left"/>
      </w:pPr>
    </w:p>
    <w:p w:rsidR="00AC0832" w:rsidRDefault="00AC0832">
      <w:pPr>
        <w:pStyle w:val="Heading7"/>
      </w:pPr>
      <w:r>
        <w:t xml:space="preserve">Cilj 3. Poboljšanje kvalitete života mladih </w:t>
      </w:r>
    </w:p>
    <w:p w:rsidR="00AC0832" w:rsidRDefault="00AC0832">
      <w:pPr>
        <w:pStyle w:val="Heading8"/>
        <w:jc w:val="left"/>
      </w:pPr>
      <w:r>
        <w:t>Opis provedbe cilja programa</w:t>
      </w:r>
    </w:p>
    <w:p w:rsidR="00AC0832" w:rsidRDefault="00AC0832">
      <w:pPr>
        <w:pStyle w:val="Normal6"/>
      </w:pPr>
      <w:r>
        <w:t xml:space="preserve">Pojedinim aktivnostima unaprijedilo se sudjelovanje mladih u procesu donošenja odluka kroz praksu suupravljanja i suodlučivanja (co-management) kao i u procesima pripreme i izrade akata i strateških dokumenata koji se tiču mladih.   </w:t>
      </w:r>
    </w:p>
    <w:p w:rsidR="00AC0832" w:rsidRDefault="00AC0832">
      <w:pPr>
        <w:pStyle w:val="Normal6"/>
      </w:pPr>
      <w:r>
        <w:t>Proširena je i suradnja s udrugama mladih i za mlade kroz veći broj prioriteta što za posljedicu ima unaprjeđenje suradnje, ali i zadovoljavanje brojnih potreba mladih u zajednici.</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8"/>
        <w:gridCol w:w="1617"/>
        <w:gridCol w:w="1275"/>
        <w:gridCol w:w="1240"/>
        <w:gridCol w:w="1231"/>
        <w:gridCol w:w="1240"/>
        <w:gridCol w:w="125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 postotak mladih uključenih u različita područja života u zajednici te povećan broj kvalitetnih usluga u zajednici koje zadovoljavaju potrebe mladih</w:t>
            </w:r>
          </w:p>
        </w:tc>
        <w:tc>
          <w:tcPr>
            <w:tcW w:w="1300" w:type="dxa"/>
          </w:tcPr>
          <w:p w:rsidR="00AC0832" w:rsidRDefault="00AC0832">
            <w:pPr>
              <w:pStyle w:val="CellColumn"/>
            </w:pPr>
            <w:r>
              <w:t>Međunarodnom i međuresornom suradnjom, suradnjom s mladima te povećanjem broja provedenih mjera nacionalnih dokumenata usmjerenih mladima unaprijedit će se kvaliteta života mladih na svim područjima djelovanja.</w:t>
            </w:r>
          </w:p>
        </w:tc>
        <w:tc>
          <w:tcPr>
            <w:tcW w:w="1300" w:type="dxa"/>
          </w:tcPr>
          <w:p w:rsidR="00AC0832" w:rsidRDefault="00AC0832">
            <w:pPr>
              <w:pStyle w:val="CellColumn"/>
            </w:pPr>
            <w:r>
              <w:t>% provedenih mjera</w:t>
            </w:r>
          </w:p>
        </w:tc>
        <w:tc>
          <w:tcPr>
            <w:tcW w:w="1300" w:type="dxa"/>
          </w:tcPr>
          <w:p w:rsidR="00AC0832" w:rsidRDefault="00AC0832">
            <w:pPr>
              <w:pStyle w:val="CellColumn"/>
            </w:pPr>
            <w:r>
              <w:t>92</w:t>
            </w:r>
          </w:p>
        </w:tc>
        <w:tc>
          <w:tcPr>
            <w:tcW w:w="1300" w:type="dxa"/>
          </w:tcPr>
          <w:p w:rsidR="00AC0832" w:rsidRDefault="00AC0832">
            <w:pPr>
              <w:pStyle w:val="CellColumn"/>
            </w:pPr>
            <w:r>
              <w:t>MSPM</w:t>
            </w:r>
          </w:p>
        </w:tc>
        <w:tc>
          <w:tcPr>
            <w:tcW w:w="1300" w:type="dxa"/>
          </w:tcPr>
          <w:p w:rsidR="00AC0832" w:rsidRDefault="00AC0832">
            <w:pPr>
              <w:pStyle w:val="CellColumn"/>
            </w:pPr>
            <w:r>
              <w:t>95</w:t>
            </w:r>
          </w:p>
        </w:tc>
        <w:tc>
          <w:tcPr>
            <w:tcW w:w="1300" w:type="dxa"/>
          </w:tcPr>
          <w:p w:rsidR="00AC0832" w:rsidRDefault="00AC0832">
            <w:pPr>
              <w:pStyle w:val="CellColumn"/>
            </w:pPr>
            <w:r>
              <w:t>89</w:t>
            </w:r>
          </w:p>
        </w:tc>
      </w:tr>
    </w:tbl>
    <w:p w:rsidR="00AC0832" w:rsidRDefault="00AC0832">
      <w:pPr>
        <w:jc w:val="left"/>
      </w:pPr>
    </w:p>
    <w:p w:rsidR="00AC0832" w:rsidRDefault="00AC0832">
      <w:pPr>
        <w:pStyle w:val="Heading7"/>
      </w:pPr>
      <w:r>
        <w:t>Cilj 4. Izvršenje preuzetih obveza na području međunarodne suradnje i aktivnosti usmjerene na pristupanje i članstvo u EU</w:t>
      </w:r>
    </w:p>
    <w:p w:rsidR="00AC0832" w:rsidRDefault="00AC0832">
      <w:pPr>
        <w:pStyle w:val="Heading8"/>
        <w:jc w:val="left"/>
      </w:pPr>
      <w:r>
        <w:t>Opis provedbe cilja programa</w:t>
      </w:r>
    </w:p>
    <w:p w:rsidR="00AC0832" w:rsidRDefault="00AC0832">
      <w:pPr>
        <w:pStyle w:val="Normal6"/>
      </w:pPr>
      <w:r>
        <w:t xml:space="preserve">Ministarstvo je tijekom 2012. godine obavljalo poslove provedbe pretpristupnih i pristupnih aktivnosti Europske unije na području socijalnog uključivanja i borbe protiv siromaštva te je sudjelovalo u organiziranju međunarodnih skupova. U skladu sa strateškim dokumentom – Zajedničkim memorandumom o socijalnom uključivanju (JIM) izrađeno je Izvješće o provedbi zajedničkog memoranduma o socijalnom uključivanju Republike Hrvatske u 2011. godini te je u svibnju 2012. godine organizirana zajednička JIM/JAP konferencija „Rad i socijalna politika Republike Hrvatske u EU kontekstu“. Sastanak koji je uslijedilo predmetnoj konferenciji bio je sastanak s predstavnicima država iz regije: Republika Albanija, Bosna i Hercegovina, Crna Gora, BJ Republika Makedonija i Turska. Tema sastanka bila je razmjena iskustava RH u pretpristupnim procesima, prvenstveno vezanim uz JIM i JAP procese te pregovaračka poglavlja 2. Sloboda kretanja radnika, poglavlje 19. Socijalna politika i zapošljavanje i poglavlje 22. Regionalna politika i koordinacija strukturnih instrumenata. Vezano uz navedeno, na sjednici 11. listopada 2012. godine, Vlada RH je prihvatila Izvješće o provedbi Zajedničkog memoranduma o socijalnom uključivanju RH (JIM) u 2011. godini, koji je proslijeđen Europskoj komisiji na mišljenje. Također, pristupilo se aktivnostima vezanim uz izradu Ekonomskog programa Republike Hrvatske. </w:t>
      </w:r>
    </w:p>
    <w:p w:rsidR="00AC0832" w:rsidRDefault="00AC0832">
      <w:pPr>
        <w:pStyle w:val="Normal6"/>
      </w:pPr>
      <w:r>
        <w:t xml:space="preserve">Održan je i sastanak predstavnicima nizozemske delegacije s ciljem razmjene iskustava dviju država u području zapošljavanja i socijalne politike te u području suradnje u tijelima Europske komisije. </w:t>
      </w:r>
    </w:p>
    <w:p w:rsidR="00AC0832" w:rsidRDefault="00AC0832">
      <w:pPr>
        <w:pStyle w:val="Normal6"/>
      </w:pPr>
      <w:r>
        <w:t xml:space="preserve">Sudjelovalo se u pripremi dokumenata vezanih uz pristupanje Republike Hrvatskoj Europskoj uniji – izrada dokumenata Samoprocjene, priprema Izvješća o napretku Republike Hrvatske   kao i u izradi Monitoring tablica u nadležnosti Ministarstva. Izrađena su i objedinjena odgovarajuća izvješća, upitnici i drugi dokumenti za Vijeće Europe, Europsku uniju i Ujedinjene narode. Provedena je i neposredna suradnja i koordinacija zaprimljenih dokumenata dostavljenih iz Europske komisije te Misije Republike Hrvatske u Bruxellesu. </w:t>
      </w:r>
    </w:p>
    <w:p w:rsidR="00AC0832" w:rsidRDefault="00AC0832">
      <w:pPr>
        <w:pStyle w:val="Normal6"/>
      </w:pPr>
      <w:r>
        <w:t xml:space="preserve">Predstavnici Ministarstva sudjelovali su na sastancima Europske komisije poput sastanka Podgrupe za indikatore Odbora za socijalnu zaštitu EK. Organizirane su pripremne radnje sudjelovanja predstavnika Republike Hrvatske na sastancima Vijeća Europske unije te na drugim međunarodnim skupovima.  </w:t>
      </w:r>
    </w:p>
    <w:p w:rsidR="00AC0832" w:rsidRDefault="00AC0832">
      <w:pPr>
        <w:pStyle w:val="Normal6"/>
      </w:pPr>
      <w:r>
        <w:t>Ministarstvo je provodilo projekt funkcionalne analize ustanova socijalne skrbi u suradnji s Programom ujedinjenih naroda za razvoj (UNDP) s ciljem poboljšanja učinkovitosti sustava i provođenja potrebnih reformi.</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5"/>
        <w:gridCol w:w="1517"/>
        <w:gridCol w:w="2080"/>
        <w:gridCol w:w="1065"/>
        <w:gridCol w:w="1032"/>
        <w:gridCol w:w="1065"/>
        <w:gridCol w:w="115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Unaprijeđen međunarodni status RH na području socijalne politike i mladih.</w:t>
            </w:r>
          </w:p>
        </w:tc>
        <w:tc>
          <w:tcPr>
            <w:tcW w:w="1300" w:type="dxa"/>
          </w:tcPr>
          <w:p w:rsidR="00AC0832" w:rsidRDefault="00AC0832">
            <w:pPr>
              <w:pStyle w:val="CellColumn"/>
            </w:pPr>
            <w:r>
              <w:t>Izvršavanjem aktivnosti vezanih uz ispunjenje preuzetih obveza Republike Hrvatske kao članice Ujedinjenih naroda, Vijeća Europe, Unije za Mediteran i drugih međunarodnih i regionalnih organizacija te poslova pretpristupnih i pristupnih aktivnosti Europske unije na području socijalnog uključivanja i smanjenja siromaštva, suradnjom na pripremi međunarodnih projekata i organiziranjem međunarodnih susreta, kao i razmjena iskustava i dobrih primjera iz prakse unaprijeđena je međunarodna suradnja iz djelokruga rada Ministarstva.</w:t>
            </w:r>
          </w:p>
        </w:tc>
        <w:tc>
          <w:tcPr>
            <w:tcW w:w="1300" w:type="dxa"/>
          </w:tcPr>
          <w:p w:rsidR="00AC0832" w:rsidRDefault="00AC0832">
            <w:pPr>
              <w:pStyle w:val="CellColumn"/>
            </w:pPr>
            <w:r>
              <w:t>broj sastanaka/potpisanih međuna-rodnih akata/o-držanih skupova/izrađenih izvješća</w:t>
            </w:r>
          </w:p>
        </w:tc>
        <w:tc>
          <w:tcPr>
            <w:tcW w:w="1300" w:type="dxa"/>
          </w:tcPr>
          <w:p w:rsidR="00AC0832" w:rsidRDefault="00AC0832">
            <w:pPr>
              <w:pStyle w:val="CellColumn"/>
            </w:pPr>
            <w:r>
              <w:t>5/11/6/2</w:t>
            </w:r>
          </w:p>
        </w:tc>
        <w:tc>
          <w:tcPr>
            <w:tcW w:w="1300" w:type="dxa"/>
          </w:tcPr>
          <w:p w:rsidR="00AC0832" w:rsidRDefault="00AC0832">
            <w:pPr>
              <w:pStyle w:val="CellColumn"/>
            </w:pPr>
            <w:r>
              <w:t>MSPM</w:t>
            </w:r>
          </w:p>
        </w:tc>
        <w:tc>
          <w:tcPr>
            <w:tcW w:w="1300" w:type="dxa"/>
          </w:tcPr>
          <w:p w:rsidR="00AC0832" w:rsidRDefault="00AC0832">
            <w:pPr>
              <w:pStyle w:val="CellColumn"/>
            </w:pPr>
            <w:r>
              <w:t>5/10/6/2</w:t>
            </w:r>
          </w:p>
        </w:tc>
        <w:tc>
          <w:tcPr>
            <w:tcW w:w="1300" w:type="dxa"/>
          </w:tcPr>
          <w:p w:rsidR="00AC0832" w:rsidRDefault="00AC0832">
            <w:pPr>
              <w:pStyle w:val="CellColumn"/>
            </w:pPr>
            <w:r>
              <w:t>7/19/12/11</w:t>
            </w:r>
          </w:p>
        </w:tc>
      </w:tr>
    </w:tbl>
    <w:p w:rsidR="00AC0832" w:rsidRDefault="00AC0832">
      <w:pPr>
        <w:jc w:val="left"/>
      </w:pPr>
    </w:p>
    <w:p w:rsidR="00AC0832" w:rsidRDefault="00AC0832">
      <w:pPr>
        <w:pStyle w:val="Heading6"/>
      </w:pPr>
      <w:r>
        <w:t>A653012 DOPLATAK ZA DJECU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A653012-DOPLATAK ZA DJECU</w:t>
            </w:r>
          </w:p>
        </w:tc>
        <w:tc>
          <w:tcPr>
            <w:tcW w:w="2322" w:type="dxa"/>
          </w:tcPr>
          <w:p w:rsidR="00AC0832" w:rsidRDefault="00AC0832">
            <w:pPr>
              <w:pStyle w:val="CellColumn"/>
            </w:pPr>
            <w:r>
              <w:t>1.719.648.939</w:t>
            </w:r>
          </w:p>
        </w:tc>
        <w:tc>
          <w:tcPr>
            <w:tcW w:w="2322" w:type="dxa"/>
          </w:tcPr>
          <w:p w:rsidR="00AC0832" w:rsidRDefault="00AC0832">
            <w:pPr>
              <w:pStyle w:val="CellColumn"/>
            </w:pPr>
            <w:r>
              <w:t>1.709.667.271</w:t>
            </w:r>
          </w:p>
        </w:tc>
        <w:tc>
          <w:tcPr>
            <w:tcW w:w="2322" w:type="dxa"/>
          </w:tcPr>
          <w:p w:rsidR="00AC0832" w:rsidRDefault="00AC0832">
            <w:pPr>
              <w:pStyle w:val="CellColumn"/>
            </w:pPr>
            <w:r>
              <w:t>99,4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Doplatak za djecu novčano je primanje koje koristi roditelj ili druga osoba određena Zakonom, radi potpore uzdržavanja i odgoja djece. Isplata doplatka za djecu je provedena kroz tri dohodovna razreda, uključuju pronatalitetni dodatak za treće i četvrto dijete za korisnike doplatka za djecu čime su pravedno raspodijeljena sredstva između korisnika doplatka za djecu. Dodatno navedene mjere i općenito doplatak za djecu u velikoj mjeri pridonosi smanjenju siromaštva djece u Republici Hrvatskoj.</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0"/>
        <w:gridCol w:w="1540"/>
        <w:gridCol w:w="1183"/>
        <w:gridCol w:w="1225"/>
        <w:gridCol w:w="1328"/>
        <w:gridCol w:w="1225"/>
        <w:gridCol w:w="124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posvojitelja korisnika prava iz Zakona o rodiljnim i roditeljskim potporama u odnosu na ukupan broj korisnika</w:t>
            </w:r>
          </w:p>
        </w:tc>
        <w:tc>
          <w:tcPr>
            <w:tcW w:w="1300" w:type="dxa"/>
          </w:tcPr>
          <w:p w:rsidR="00AC0832" w:rsidRDefault="00AC0832">
            <w:pPr>
              <w:pStyle w:val="CellColumn"/>
            </w:pPr>
            <w:r>
              <w:t>Povećanjem broja posvojitelja i korisnika prava iz Zakona o rodiljnim i roditeljskim potporama u odnosu na ukupan broj korisnika pridonosi se podizanju kvalitete života obitelji i djece iz tih obitelji.</w:t>
            </w:r>
          </w:p>
        </w:tc>
        <w:tc>
          <w:tcPr>
            <w:tcW w:w="1300" w:type="dxa"/>
          </w:tcPr>
          <w:p w:rsidR="00AC0832" w:rsidRDefault="00AC0832">
            <w:pPr>
              <w:pStyle w:val="CellColumn"/>
            </w:pPr>
            <w:r>
              <w:t>%</w:t>
            </w:r>
          </w:p>
        </w:tc>
        <w:tc>
          <w:tcPr>
            <w:tcW w:w="1300" w:type="dxa"/>
          </w:tcPr>
          <w:p w:rsidR="00AC0832" w:rsidRDefault="00AC0832">
            <w:pPr>
              <w:pStyle w:val="CellColumn"/>
            </w:pPr>
            <w:r>
              <w:t xml:space="preserve">0,08 </w:t>
            </w:r>
          </w:p>
          <w:p w:rsidR="00AC0832" w:rsidRDefault="00AC0832">
            <w:pPr>
              <w:pStyle w:val="CellColumn"/>
            </w:pPr>
            <w:r>
              <w:t>Izračun na bazi 10 mjeseci 2011. godine</w:t>
            </w:r>
          </w:p>
        </w:tc>
        <w:tc>
          <w:tcPr>
            <w:tcW w:w="1300" w:type="dxa"/>
          </w:tcPr>
          <w:p w:rsidR="00AC0832" w:rsidRDefault="00AC0832">
            <w:pPr>
              <w:pStyle w:val="CellColumn"/>
            </w:pPr>
            <w:r>
              <w:t>HZZO</w:t>
            </w:r>
          </w:p>
        </w:tc>
        <w:tc>
          <w:tcPr>
            <w:tcW w:w="1300" w:type="dxa"/>
          </w:tcPr>
          <w:p w:rsidR="00AC0832" w:rsidRDefault="00AC0832">
            <w:pPr>
              <w:pStyle w:val="CellColumn"/>
            </w:pPr>
            <w:r>
              <w:t>0,08</w:t>
            </w:r>
          </w:p>
        </w:tc>
        <w:tc>
          <w:tcPr>
            <w:tcW w:w="1300" w:type="dxa"/>
          </w:tcPr>
          <w:p w:rsidR="00AC0832" w:rsidRDefault="00AC0832">
            <w:pPr>
              <w:pStyle w:val="CellColumn"/>
            </w:pPr>
            <w:r>
              <w:t>0,14</w:t>
            </w:r>
          </w:p>
        </w:tc>
      </w:tr>
      <w:tr w:rsidR="00AC0832" w:rsidTr="00BE20ED">
        <w:trPr>
          <w:jc w:val="center"/>
        </w:trPr>
        <w:tc>
          <w:tcPr>
            <w:tcW w:w="1300" w:type="dxa"/>
          </w:tcPr>
          <w:p w:rsidR="00AC0832" w:rsidRDefault="00AC0832">
            <w:pPr>
              <w:pStyle w:val="CellColumn"/>
            </w:pPr>
            <w:r>
              <w:t>Povećanje broja udomitelja korisnika prava iz Zakona o rodiljnim i roditeljskim potporama u odnosu na ukupan broj korisnika</w:t>
            </w:r>
          </w:p>
        </w:tc>
        <w:tc>
          <w:tcPr>
            <w:tcW w:w="1300" w:type="dxa"/>
          </w:tcPr>
          <w:p w:rsidR="00AC0832" w:rsidRDefault="00AC0832">
            <w:pPr>
              <w:pStyle w:val="CellColumn"/>
            </w:pPr>
            <w:r>
              <w:t>Povećanjem broja udomitelja i korisnika prava iz Zakona o rodiljnim i roditeljskim potporama u odnosu na ukupan broj korisnika pridonosi se podizanju kvalitete života obitelji i djece iz tih obitelji.</w:t>
            </w:r>
          </w:p>
        </w:tc>
        <w:tc>
          <w:tcPr>
            <w:tcW w:w="1300" w:type="dxa"/>
          </w:tcPr>
          <w:p w:rsidR="00AC0832" w:rsidRDefault="00AC0832">
            <w:pPr>
              <w:pStyle w:val="CellColumn"/>
            </w:pPr>
            <w:r>
              <w:t>broj</w:t>
            </w:r>
          </w:p>
        </w:tc>
        <w:tc>
          <w:tcPr>
            <w:tcW w:w="1300" w:type="dxa"/>
          </w:tcPr>
          <w:p w:rsidR="00AC0832" w:rsidRDefault="00AC0832">
            <w:pPr>
              <w:pStyle w:val="CellColumn"/>
            </w:pPr>
            <w:r>
              <w:t xml:space="preserve">0  </w:t>
            </w:r>
          </w:p>
          <w:p w:rsidR="00AC0832" w:rsidRDefault="00AC0832">
            <w:pPr>
              <w:pStyle w:val="CellColumn"/>
            </w:pPr>
            <w:r>
              <w:t>Izračun na bazi 10 mjeseci 2011. godine</w:t>
            </w:r>
          </w:p>
        </w:tc>
        <w:tc>
          <w:tcPr>
            <w:tcW w:w="1300" w:type="dxa"/>
          </w:tcPr>
          <w:p w:rsidR="00AC0832" w:rsidRDefault="00AC0832">
            <w:pPr>
              <w:pStyle w:val="CellColumn"/>
            </w:pPr>
            <w:r>
              <w:t>HZZO – u dostavljenim tablicama ne navodi podatke</w:t>
            </w:r>
          </w:p>
        </w:tc>
        <w:tc>
          <w:tcPr>
            <w:tcW w:w="1300" w:type="dxa"/>
          </w:tcPr>
          <w:p w:rsidR="00AC0832" w:rsidRDefault="00AC0832">
            <w:pPr>
              <w:pStyle w:val="CellColumn"/>
            </w:pPr>
            <w:r>
              <w:t>0</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Zadržavanje podjednakog  udjela pronatalitetnog dodatka u ukupnom broju korisnika prava na doplatak za djecu</w:t>
            </w:r>
          </w:p>
        </w:tc>
        <w:tc>
          <w:tcPr>
            <w:tcW w:w="1300" w:type="dxa"/>
          </w:tcPr>
          <w:p w:rsidR="00AC0832" w:rsidRDefault="00AC0832">
            <w:pPr>
              <w:pStyle w:val="CellColumn"/>
            </w:pPr>
            <w:r>
              <w:t>Zadržavanjem udjela pronatalitetnog dodatka za treće i četvrto dijete u obitelji korisnika prava na doplatak, u ukupnom broju korisnika prava na doplatak za djecu,  utječe se na održanje kvalitete života djece u obiteljima te potiče rađanje većeg broja djece (3. i 4. djeteta u obitelji).</w:t>
            </w:r>
          </w:p>
        </w:tc>
        <w:tc>
          <w:tcPr>
            <w:tcW w:w="1300" w:type="dxa"/>
          </w:tcPr>
          <w:p w:rsidR="00AC0832" w:rsidRDefault="00AC0832">
            <w:pPr>
              <w:pStyle w:val="CellColumn"/>
            </w:pPr>
            <w:r>
              <w:t>%</w:t>
            </w:r>
          </w:p>
        </w:tc>
        <w:tc>
          <w:tcPr>
            <w:tcW w:w="1300" w:type="dxa"/>
          </w:tcPr>
          <w:p w:rsidR="00AC0832" w:rsidRDefault="00AC0832">
            <w:pPr>
              <w:pStyle w:val="CellColumn"/>
            </w:pPr>
            <w:r>
              <w:t xml:space="preserve">25,2 </w:t>
            </w:r>
          </w:p>
          <w:p w:rsidR="00AC0832" w:rsidRDefault="00AC0832">
            <w:pPr>
              <w:pStyle w:val="CellColumn"/>
            </w:pPr>
            <w:r>
              <w:t>Izračun na bazi 11 mjeseci 2011. godine</w:t>
            </w:r>
          </w:p>
        </w:tc>
        <w:tc>
          <w:tcPr>
            <w:tcW w:w="1300" w:type="dxa"/>
          </w:tcPr>
          <w:p w:rsidR="00AC0832" w:rsidRDefault="00AC0832">
            <w:pPr>
              <w:pStyle w:val="CellColumn"/>
            </w:pPr>
            <w:r>
              <w:t>MSPM</w:t>
            </w:r>
          </w:p>
        </w:tc>
        <w:tc>
          <w:tcPr>
            <w:tcW w:w="1300" w:type="dxa"/>
          </w:tcPr>
          <w:p w:rsidR="00AC0832" w:rsidRDefault="00AC0832">
            <w:pPr>
              <w:pStyle w:val="CellColumn"/>
            </w:pPr>
            <w:r>
              <w:t>25,2</w:t>
            </w:r>
          </w:p>
        </w:tc>
        <w:tc>
          <w:tcPr>
            <w:tcW w:w="1300" w:type="dxa"/>
          </w:tcPr>
          <w:p w:rsidR="00AC0832" w:rsidRDefault="00AC0832">
            <w:pPr>
              <w:pStyle w:val="CellColumn"/>
            </w:pPr>
            <w:r>
              <w:t>20,89</w:t>
            </w:r>
          </w:p>
        </w:tc>
      </w:tr>
    </w:tbl>
    <w:p w:rsidR="00AC0832" w:rsidRDefault="00AC0832">
      <w:pPr>
        <w:jc w:val="left"/>
      </w:pPr>
    </w:p>
    <w:p w:rsidR="00AC0832" w:rsidRDefault="00AC0832">
      <w:pPr>
        <w:pStyle w:val="Heading6"/>
      </w:pPr>
      <w:r>
        <w:t>A653028 DODATNI PORODILJNI DOPUST I OPREMA ZA NOVOROĐENO DIJETE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A653028-DODATNI PORODILJNI DOPUST I OPREMA ZA NOVOROĐENO DIJETE</w:t>
            </w:r>
          </w:p>
        </w:tc>
        <w:tc>
          <w:tcPr>
            <w:tcW w:w="2322" w:type="dxa"/>
          </w:tcPr>
          <w:p w:rsidR="00AC0832" w:rsidRDefault="00AC0832">
            <w:pPr>
              <w:pStyle w:val="CellColumn"/>
            </w:pPr>
            <w:r>
              <w:t>1.215.760.725</w:t>
            </w:r>
          </w:p>
        </w:tc>
        <w:tc>
          <w:tcPr>
            <w:tcW w:w="2322" w:type="dxa"/>
          </w:tcPr>
          <w:p w:rsidR="00AC0832" w:rsidRDefault="00AC0832">
            <w:pPr>
              <w:pStyle w:val="CellColumn"/>
            </w:pPr>
            <w:r>
              <w:t>1.201.323.508</w:t>
            </w:r>
          </w:p>
        </w:tc>
        <w:tc>
          <w:tcPr>
            <w:tcW w:w="2322" w:type="dxa"/>
          </w:tcPr>
          <w:p w:rsidR="00AC0832" w:rsidRDefault="00AC0832">
            <w:pPr>
              <w:pStyle w:val="CellColumn"/>
            </w:pPr>
            <w:r>
              <w:t>98,8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Zakonom o rodiljnim i roditeljskim potporama cjelovito je uređeno pravo na vremenske i novčane potpore roditelja i s njima izjednačenih osoba radi zaštite rodilja i njege novorođenog djeteta te osiguravanja adekvatne skrbi o djetetu i pravilnog rasta i razvoja djece. Vremenske potpore prema Zakonu su dopusti, poštede od rada i propisano vrijeme za brigu o djetetu, a novčane potpore su naknada plaće, novčana naknada, novčana pomoć i jednokratna novčana potpora za novorođeno dijete.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4"/>
        <w:gridCol w:w="2314"/>
        <w:gridCol w:w="843"/>
        <w:gridCol w:w="947"/>
        <w:gridCol w:w="919"/>
        <w:gridCol w:w="947"/>
        <w:gridCol w:w="100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Udio zaposlenih/samozaposlenih  roditelja korisnika fleksibilnih oblika roditeljskih dopusta u ukupnom broju korisnika prava</w:t>
            </w:r>
          </w:p>
        </w:tc>
        <w:tc>
          <w:tcPr>
            <w:tcW w:w="1300" w:type="dxa"/>
          </w:tcPr>
          <w:p w:rsidR="00AC0832" w:rsidRDefault="00AC0832">
            <w:pPr>
              <w:pStyle w:val="CellColumn"/>
            </w:pPr>
            <w:r>
              <w:t>Povećanjem udjela zaposlenih/samozaposlenih roditelja korisnika fleksibilnih oblika roditeljskih dopusta stvaraju se predispozicije za kvalitetniju skrb o djeci te podizanje kvalitete života djece u obitelji.</w:t>
            </w:r>
          </w:p>
        </w:tc>
        <w:tc>
          <w:tcPr>
            <w:tcW w:w="1300" w:type="dxa"/>
          </w:tcPr>
          <w:p w:rsidR="00AC0832" w:rsidRDefault="00AC0832">
            <w:pPr>
              <w:pStyle w:val="CellColumn"/>
            </w:pPr>
            <w:r>
              <w:t>%</w:t>
            </w:r>
          </w:p>
        </w:tc>
        <w:tc>
          <w:tcPr>
            <w:tcW w:w="1300" w:type="dxa"/>
          </w:tcPr>
          <w:p w:rsidR="00AC0832" w:rsidRDefault="00AC0832">
            <w:pPr>
              <w:pStyle w:val="CellColumn"/>
            </w:pPr>
            <w:r>
              <w:t xml:space="preserve">11,1 </w:t>
            </w:r>
          </w:p>
          <w:p w:rsidR="00AC0832" w:rsidRDefault="00AC0832">
            <w:pPr>
              <w:pStyle w:val="CellColumn"/>
            </w:pPr>
            <w:r>
              <w:t>Izračun na bazi 10 mjeseci 2011. godine</w:t>
            </w:r>
          </w:p>
        </w:tc>
        <w:tc>
          <w:tcPr>
            <w:tcW w:w="1300" w:type="dxa"/>
          </w:tcPr>
          <w:p w:rsidR="00AC0832" w:rsidRDefault="00AC0832">
            <w:pPr>
              <w:pStyle w:val="CellColumn"/>
            </w:pPr>
            <w:r>
              <w:t>HZZO</w:t>
            </w:r>
          </w:p>
        </w:tc>
        <w:tc>
          <w:tcPr>
            <w:tcW w:w="1300" w:type="dxa"/>
          </w:tcPr>
          <w:p w:rsidR="00AC0832" w:rsidRDefault="00AC0832">
            <w:pPr>
              <w:pStyle w:val="CellColumn"/>
            </w:pPr>
            <w:r>
              <w:t>11,2</w:t>
            </w:r>
          </w:p>
        </w:tc>
        <w:tc>
          <w:tcPr>
            <w:tcW w:w="1300" w:type="dxa"/>
          </w:tcPr>
          <w:p w:rsidR="00AC0832" w:rsidRDefault="00AC0832">
            <w:pPr>
              <w:pStyle w:val="CellColumn"/>
            </w:pPr>
            <w:r>
              <w:t>10,30</w:t>
            </w:r>
          </w:p>
        </w:tc>
      </w:tr>
      <w:tr w:rsidR="00AC0832" w:rsidTr="00BE20ED">
        <w:trPr>
          <w:jc w:val="center"/>
        </w:trPr>
        <w:tc>
          <w:tcPr>
            <w:tcW w:w="1300" w:type="dxa"/>
          </w:tcPr>
          <w:p w:rsidR="00AC0832" w:rsidRDefault="00AC0832">
            <w:pPr>
              <w:pStyle w:val="CellColumn"/>
            </w:pPr>
            <w:r>
              <w:t>Udio očeva korisnika prava u skrbi za djecu u ukupnom broju korisnika</w:t>
            </w:r>
          </w:p>
        </w:tc>
        <w:tc>
          <w:tcPr>
            <w:tcW w:w="1300" w:type="dxa"/>
          </w:tcPr>
          <w:p w:rsidR="00AC0832" w:rsidRDefault="00AC0832">
            <w:pPr>
              <w:pStyle w:val="CellColumn"/>
            </w:pPr>
            <w:r>
              <w:t>Povećanje udjela očeva korisnika prava u skrbi za djecu omogućava raniji povratak žene na tržište rada, ekonomsku neovisnost i poštivanje ravnopravnosti spolova.</w:t>
            </w:r>
          </w:p>
        </w:tc>
        <w:tc>
          <w:tcPr>
            <w:tcW w:w="1300" w:type="dxa"/>
          </w:tcPr>
          <w:p w:rsidR="00AC0832" w:rsidRDefault="00AC0832">
            <w:pPr>
              <w:pStyle w:val="CellColumn"/>
            </w:pPr>
            <w:r>
              <w:t>%</w:t>
            </w:r>
          </w:p>
        </w:tc>
        <w:tc>
          <w:tcPr>
            <w:tcW w:w="1300" w:type="dxa"/>
          </w:tcPr>
          <w:p w:rsidR="00AC0832" w:rsidRDefault="00AC0832">
            <w:pPr>
              <w:pStyle w:val="CellColumn"/>
            </w:pPr>
            <w:r>
              <w:t xml:space="preserve">2 </w:t>
            </w:r>
          </w:p>
          <w:p w:rsidR="00AC0832" w:rsidRDefault="00AC0832">
            <w:pPr>
              <w:pStyle w:val="CellColumn"/>
            </w:pPr>
            <w:r>
              <w:t>Izračun na bazi 10 mjeseci 2011. godine</w:t>
            </w:r>
          </w:p>
        </w:tc>
        <w:tc>
          <w:tcPr>
            <w:tcW w:w="1300" w:type="dxa"/>
          </w:tcPr>
          <w:p w:rsidR="00AC0832" w:rsidRDefault="00AC0832">
            <w:pPr>
              <w:pStyle w:val="CellColumn"/>
            </w:pPr>
            <w:r>
              <w:t>HZZO</w:t>
            </w:r>
          </w:p>
        </w:tc>
        <w:tc>
          <w:tcPr>
            <w:tcW w:w="1300" w:type="dxa"/>
          </w:tcPr>
          <w:p w:rsidR="00AC0832" w:rsidRDefault="00AC0832">
            <w:pPr>
              <w:pStyle w:val="CellColumn"/>
            </w:pPr>
            <w:r>
              <w:t>2,05</w:t>
            </w:r>
          </w:p>
        </w:tc>
        <w:tc>
          <w:tcPr>
            <w:tcW w:w="1300" w:type="dxa"/>
          </w:tcPr>
          <w:p w:rsidR="00AC0832" w:rsidRDefault="00AC0832">
            <w:pPr>
              <w:pStyle w:val="CellColumn"/>
            </w:pPr>
            <w:r>
              <w:t>2,20</w:t>
            </w:r>
          </w:p>
        </w:tc>
      </w:tr>
    </w:tbl>
    <w:p w:rsidR="00AC0832" w:rsidRDefault="00AC0832">
      <w:pPr>
        <w:jc w:val="left"/>
      </w:pPr>
    </w:p>
    <w:p w:rsidR="00AC0832" w:rsidRDefault="00AC0832">
      <w:pPr>
        <w:pStyle w:val="Heading6"/>
      </w:pPr>
      <w:r>
        <w:t>A753020 PROVEDBA PROGRAMA ZAJEDNICE-MLADI NA DJELU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A753020-PROVEDBA PROGRAMA ZAJEDNICE-MLADI NA DJELU</w:t>
            </w:r>
          </w:p>
        </w:tc>
        <w:tc>
          <w:tcPr>
            <w:tcW w:w="2322" w:type="dxa"/>
          </w:tcPr>
          <w:p w:rsidR="00AC0832" w:rsidRDefault="00AC0832">
            <w:pPr>
              <w:pStyle w:val="CellColumn"/>
            </w:pPr>
            <w:r>
              <w:t>15.192.200</w:t>
            </w:r>
          </w:p>
        </w:tc>
        <w:tc>
          <w:tcPr>
            <w:tcW w:w="2322" w:type="dxa"/>
          </w:tcPr>
          <w:p w:rsidR="00AC0832" w:rsidRDefault="00AC0832">
            <w:pPr>
              <w:pStyle w:val="CellColumn"/>
            </w:pPr>
            <w:r>
              <w:t>15.080.388</w:t>
            </w:r>
          </w:p>
        </w:tc>
        <w:tc>
          <w:tcPr>
            <w:tcW w:w="2322" w:type="dxa"/>
          </w:tcPr>
          <w:p w:rsidR="00AC0832" w:rsidRDefault="00AC0832">
            <w:pPr>
              <w:pStyle w:val="CellColumn"/>
            </w:pPr>
            <w:r>
              <w:t>99,3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provedbi programa Mladi na djelu osobito se koordinirao i pratio rad Agencije za mobilnost i programe EU. </w:t>
      </w:r>
    </w:p>
    <w:p w:rsidR="00AC0832" w:rsidRDefault="00AC0832">
      <w:pPr>
        <w:pStyle w:val="Normal6"/>
      </w:pPr>
      <w:r>
        <w:t>Izrađena je i od strane Europske komisije prihvaćena Deklaracija o jamstvu za 2011. godinu, o radu Agencije za mobilnost i programe Europske unije u provedbi Programa Unije Mladi na djelu. Osigurano je plaćanje pripadajuće članarine za sudjelovanje RH u programu i provedena je revizija u svrhu pružanja usluga iz Programa.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2"/>
        <w:gridCol w:w="2045"/>
        <w:gridCol w:w="1759"/>
        <w:gridCol w:w="1003"/>
        <w:gridCol w:w="972"/>
        <w:gridCol w:w="1003"/>
        <w:gridCol w:w="106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doprinosa međunarodnim inicijativama na području socijalne politike i mladih i izvršenje međunarodnih aktivnosti vezanih uz ispunjenje preuzetih obveza RH</w:t>
            </w:r>
          </w:p>
        </w:tc>
        <w:tc>
          <w:tcPr>
            <w:tcW w:w="1300" w:type="dxa"/>
          </w:tcPr>
          <w:p w:rsidR="00AC0832" w:rsidRDefault="00AC0832">
            <w:pPr>
              <w:pStyle w:val="CellColumn"/>
            </w:pPr>
            <w:r>
              <w:t>Izvršavanjem aktivnosti vezanih uz ispunjenje preuzetih obveza Republike Hrvatske kao članice Ujedinjenih naroda, Vijeća Europe, Unije za Mediteran i drugih međunarodnih i regionalnih organizacija unaprijedit će se međunarodna suradnja iz djelokruga rada Ministarstva. Osiguravanjem koordinacije distribucije dokumentacije Ujedinjenih naroda, Vijeća Europe, Unije za Mediteran i drugih međunarodnih organizacija odgovarajućim ustrojstvenim jedinicama Ministarstva te koordinacijom i objedinjavanjem izvješća i odgovora iz djelokruga Ministarstva izrvršit će se odgovarajuće preuzete obveze RH na području socijalne politike i mladih. Izradom nacrta prijedloga međunarodnih ugovora i akata iz djelokruga Ministarstva te praćenjem njihove provedbe i pripremom potpisivanja i ratificiranja međunarodnih konvencija iz djelokruga rada Ministarstva unaprijedit će se međunarodni status RH na odgovarajućim područjima.Praćenjem provedbe Memoranduma o suglasnosti između Vlade RH i Vlade Kanade o mobilnosti mladih pridonijet će se povećanoj obrazovnoj, kulturnoj i radnoj mobilnosti mladih obiju država.Poticanjem i koordiniranjem bilateralne i multilateralne suradnje s ministarstvima ili srodnim organizacijama te suradnjom na pripremi međunarodnih projekata i organiziranjem međunarodnih susreta iz djelokruga Ministarstva ostvarit će se nužna suradnja na međunarodnoj razini, kao i razmjena iskustava i dobrih primjera iz prakse, te unaprijediti odnosi s međunarodnim institucijama i institucijama iz djelokruga socijalne politike i mladih. Sudjelovanjem u edukacijama, stručnom usavršavanju, međunarodnim seminarima, okruglim stolovima i savjetovanjima iz djelokruga Ministarstva, kao i organizacijom raznih skupova, konferencija i ostalih događanja na međunarodnoj razini osnažit će se međunarodni status RH i osnažiti administrativni kapaciteti Ministarstva.</w:t>
            </w:r>
          </w:p>
        </w:tc>
        <w:tc>
          <w:tcPr>
            <w:tcW w:w="1300" w:type="dxa"/>
          </w:tcPr>
          <w:p w:rsidR="00AC0832" w:rsidRDefault="00AC0832">
            <w:pPr>
              <w:pStyle w:val="CellColumn"/>
            </w:pPr>
            <w:r>
              <w:t xml:space="preserve">broj sastanaka/potpisa-nih međuna-rodnih akata/ </w:t>
            </w:r>
          </w:p>
          <w:p w:rsidR="00AC0832" w:rsidRDefault="00AC0832">
            <w:pPr>
              <w:pStyle w:val="CellColumn"/>
            </w:pPr>
            <w:r>
              <w:t>održanih skupova</w:t>
            </w:r>
          </w:p>
        </w:tc>
        <w:tc>
          <w:tcPr>
            <w:tcW w:w="1300" w:type="dxa"/>
          </w:tcPr>
          <w:p w:rsidR="00AC0832" w:rsidRDefault="00AC0832">
            <w:pPr>
              <w:pStyle w:val="CellColumn"/>
            </w:pPr>
            <w:r>
              <w:t>5</w:t>
            </w:r>
          </w:p>
        </w:tc>
        <w:tc>
          <w:tcPr>
            <w:tcW w:w="1300" w:type="dxa"/>
          </w:tcPr>
          <w:p w:rsidR="00AC0832" w:rsidRDefault="00AC0832">
            <w:pPr>
              <w:pStyle w:val="CellColumn"/>
            </w:pPr>
            <w:r>
              <w:t>MSPM</w:t>
            </w:r>
          </w:p>
        </w:tc>
        <w:tc>
          <w:tcPr>
            <w:tcW w:w="1300" w:type="dxa"/>
          </w:tcPr>
          <w:p w:rsidR="00AC0832" w:rsidRDefault="00AC0832">
            <w:pPr>
              <w:pStyle w:val="CellColumn"/>
            </w:pPr>
            <w:r>
              <w:t>5</w:t>
            </w:r>
          </w:p>
        </w:tc>
        <w:tc>
          <w:tcPr>
            <w:tcW w:w="1300" w:type="dxa"/>
          </w:tcPr>
          <w:p w:rsidR="00AC0832" w:rsidRDefault="00AC0832">
            <w:pPr>
              <w:pStyle w:val="CellColumn"/>
            </w:pPr>
            <w:r>
              <w:t>7</w:t>
            </w:r>
          </w:p>
        </w:tc>
      </w:tr>
    </w:tbl>
    <w:p w:rsidR="00AC0832" w:rsidRDefault="00AC0832">
      <w:pPr>
        <w:jc w:val="left"/>
      </w:pPr>
    </w:p>
    <w:p w:rsidR="00AC0832" w:rsidRDefault="00AC0832">
      <w:pPr>
        <w:pStyle w:val="Heading6"/>
      </w:pPr>
      <w:r>
        <w:t>A788007 MEĐUNARODNA SURADNJA I POSLOVI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A788007-MEĐUNARODNA SURADNJA I POSLOVI EU</w:t>
            </w:r>
          </w:p>
        </w:tc>
        <w:tc>
          <w:tcPr>
            <w:tcW w:w="2322" w:type="dxa"/>
          </w:tcPr>
          <w:p w:rsidR="00AC0832" w:rsidRDefault="00AC0832">
            <w:pPr>
              <w:pStyle w:val="CellColumn"/>
            </w:pPr>
            <w:r>
              <w:t>875.520</w:t>
            </w:r>
          </w:p>
        </w:tc>
        <w:tc>
          <w:tcPr>
            <w:tcW w:w="2322" w:type="dxa"/>
          </w:tcPr>
          <w:p w:rsidR="00AC0832" w:rsidRDefault="00AC0832">
            <w:pPr>
              <w:pStyle w:val="CellColumn"/>
            </w:pPr>
            <w:r>
              <w:t>578.135</w:t>
            </w:r>
          </w:p>
        </w:tc>
        <w:tc>
          <w:tcPr>
            <w:tcW w:w="2322" w:type="dxa"/>
          </w:tcPr>
          <w:p w:rsidR="00AC0832" w:rsidRDefault="00AC0832">
            <w:pPr>
              <w:pStyle w:val="CellColumn"/>
            </w:pPr>
            <w:r>
              <w:t>66,0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Organizirana su sudjelovanja hrvatskih izaslanstava na brojnim sastancima od kojih izdvajamo sljedeće: neformalni sastanak Vijeća ministara za zapošljavanje i socijalnu politiku – EPSCO (Horsens, Danska, 24. i 25. travnja 2012.), 9. Konferencija ministara Vijeća Europe zaduženih za pitanja mladih (Sankt Peterburg, 23. - 25. rujna 2012. godine) i 2. konferencija ministara Vijeća Europe zaduženih za socijalnu koheziju (Istanbul, 11. - 12. listopada 2012. godine). Ministarstvo je i sudjelovalo u suorganizaciji „Regionalnog seminara o sudjelovanju osoba s invaliditetom u političkom i javnom životu“, u suradnji s Vijećem Europe 15. i 16. studenog 2012. godine. </w:t>
      </w:r>
    </w:p>
    <w:p w:rsidR="00AC0832" w:rsidRDefault="00AC0832">
      <w:pPr>
        <w:pStyle w:val="Normal6"/>
      </w:pPr>
      <w:r>
        <w:t xml:space="preserve">Pristupilo se i uspostavljanju bilateralne suradnje u području mladih postupkom donošenja Memoranduma o suglasnosti između Ministarstva socijalne politike i mladih Republike Hrvatske i Ministarstva mladih i sporta Republike Azerbajdžana. </w:t>
      </w:r>
    </w:p>
    <w:p w:rsidR="00AC0832" w:rsidRDefault="00AC0832">
      <w:pPr>
        <w:pStyle w:val="Normal6"/>
      </w:pPr>
      <w:r>
        <w:t>Vlada RH je prihvatila Izvješće o provedbi Zajedničkog memoranduma o socijalnom uključivanju RH (JIM) u 2011. godini koji je proslijeđen Europskoj komisiji na mišljenje.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61"/>
        <w:gridCol w:w="1950"/>
        <w:gridCol w:w="1102"/>
        <w:gridCol w:w="1112"/>
        <w:gridCol w:w="1084"/>
        <w:gridCol w:w="1112"/>
        <w:gridCol w:w="116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Izrada izvješća o provedbi mjera Zajedničkog memoranduma o socijalnom uključivanju(JIM), priprema i izrada strateških dokumenata usklađenih sa Strategijom Europa 2020, koordinacija i provedba aktivnosti na uključivanju i sudjelovanju Republike Hrvatske u modelu otvorene koordinacije, izvršenje drugih preuzetih obveza na području socijalnog isključivanja i smanjenja siromaštva, kao i sudjelovanje u izradi i koordinaciji učinaka propisa</w:t>
            </w:r>
          </w:p>
        </w:tc>
        <w:tc>
          <w:tcPr>
            <w:tcW w:w="1300" w:type="dxa"/>
          </w:tcPr>
          <w:p w:rsidR="00AC0832" w:rsidRDefault="00AC0832">
            <w:pPr>
              <w:pStyle w:val="CellColumn"/>
            </w:pPr>
            <w:r>
              <w:t>Obavljanjem poslova pretpristupnih i pristupnih aktivnosti Europske unije na području socijalnog uključivanja i smanjenja siromaštva,izradom izvješća i praćenjem provedbe mjera iz svoje nadležnosti postići usklađenost nacionalnih strateških dokumenata i unapređenje politike u području socijalnog uključivanja i smanjenja siromaštva i usklađenost međuresornih politika na tom području, razmjenjivati iskustva dobre prakse sudjelovanjem u modelu otvorene koordinacije, te izrađivati i pratiti učinke donesenih propisa</w:t>
            </w:r>
          </w:p>
        </w:tc>
        <w:tc>
          <w:tcPr>
            <w:tcW w:w="1300" w:type="dxa"/>
          </w:tcPr>
          <w:p w:rsidR="00AC0832" w:rsidRDefault="00AC0832">
            <w:pPr>
              <w:pStyle w:val="CellColumn"/>
            </w:pPr>
            <w:r>
              <w:t xml:space="preserve">broj dokume-nata/ </w:t>
            </w:r>
          </w:p>
          <w:p w:rsidR="00AC0832" w:rsidRDefault="00AC0832">
            <w:pPr>
              <w:pStyle w:val="CellColumn"/>
            </w:pPr>
            <w:r>
              <w:t xml:space="preserve">izvješća/ </w:t>
            </w:r>
          </w:p>
          <w:p w:rsidR="00AC0832" w:rsidRDefault="00AC0832">
            <w:pPr>
              <w:pStyle w:val="CellColumn"/>
            </w:pPr>
            <w:r>
              <w:t>održanih skupova i konferen-cija</w:t>
            </w:r>
          </w:p>
        </w:tc>
        <w:tc>
          <w:tcPr>
            <w:tcW w:w="1300" w:type="dxa"/>
          </w:tcPr>
          <w:p w:rsidR="00AC0832" w:rsidRDefault="00AC0832">
            <w:pPr>
              <w:pStyle w:val="CellColumn"/>
            </w:pPr>
            <w:r>
              <w:t>11</w:t>
            </w:r>
          </w:p>
        </w:tc>
        <w:tc>
          <w:tcPr>
            <w:tcW w:w="1300" w:type="dxa"/>
          </w:tcPr>
          <w:p w:rsidR="00AC0832" w:rsidRDefault="00AC0832">
            <w:pPr>
              <w:pStyle w:val="CellColumn"/>
            </w:pPr>
            <w:r>
              <w:t>MSPM</w:t>
            </w:r>
          </w:p>
        </w:tc>
        <w:tc>
          <w:tcPr>
            <w:tcW w:w="1300" w:type="dxa"/>
          </w:tcPr>
          <w:p w:rsidR="00AC0832" w:rsidRDefault="00AC0832">
            <w:pPr>
              <w:pStyle w:val="CellColumn"/>
            </w:pPr>
            <w:r>
              <w:t>10</w:t>
            </w:r>
          </w:p>
        </w:tc>
        <w:tc>
          <w:tcPr>
            <w:tcW w:w="1300" w:type="dxa"/>
          </w:tcPr>
          <w:p w:rsidR="00AC0832" w:rsidRDefault="00AC0832">
            <w:pPr>
              <w:pStyle w:val="CellColumn"/>
            </w:pPr>
            <w:r>
              <w:t>19</w:t>
            </w:r>
          </w:p>
        </w:tc>
      </w:tr>
    </w:tbl>
    <w:p w:rsidR="00AC0832" w:rsidRDefault="00AC0832">
      <w:pPr>
        <w:jc w:val="left"/>
      </w:pPr>
    </w:p>
    <w:p w:rsidR="00AC0832" w:rsidRDefault="00AC0832">
      <w:pPr>
        <w:pStyle w:val="Heading6"/>
      </w:pPr>
      <w:r>
        <w:t>A788008 PRISTUPNI I STRUKTURNI FONDOVI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A788008-PRISTUPNI I STRUKTURNI FONDOVI EU</w:t>
            </w:r>
          </w:p>
        </w:tc>
        <w:tc>
          <w:tcPr>
            <w:tcW w:w="2322" w:type="dxa"/>
          </w:tcPr>
          <w:p w:rsidR="00AC0832" w:rsidRDefault="00AC0832">
            <w:pPr>
              <w:pStyle w:val="CellColumn"/>
            </w:pPr>
            <w:r>
              <w:t>261.670</w:t>
            </w:r>
          </w:p>
        </w:tc>
        <w:tc>
          <w:tcPr>
            <w:tcW w:w="2322" w:type="dxa"/>
          </w:tcPr>
          <w:p w:rsidR="00AC0832" w:rsidRDefault="00AC0832">
            <w:pPr>
              <w:pStyle w:val="CellColumn"/>
            </w:pPr>
            <w:r>
              <w:t>19.390</w:t>
            </w:r>
          </w:p>
        </w:tc>
        <w:tc>
          <w:tcPr>
            <w:tcW w:w="2322" w:type="dxa"/>
          </w:tcPr>
          <w:p w:rsidR="00AC0832" w:rsidRDefault="00AC0832">
            <w:pPr>
              <w:pStyle w:val="CellColumn"/>
            </w:pPr>
            <w:r>
              <w:t>7,4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Ovim posebnim ciljem postiže se povećanje socijalne uključenosti osjetljivih skupina kroz pristupne i strukturne fondove sudjelovanjem Ministarstva socijalne politike i mladih u upravljanju i korištenju Instrumenta pretpristupne pomoći (IPA), u korištenju Programa zajednice PROGRESS i pripremi za upravljanje i korištenje Europskog socijalnog fonda, u okviru sektorske nadležnosti iz područja socijalnog uključivanja, razvoja ljudskih potencijala i pomoći pri tranziciji i izgradnji institucija. </w:t>
      </w:r>
    </w:p>
    <w:p w:rsidR="00AC0832" w:rsidRDefault="00AC0832">
      <w:pPr>
        <w:pStyle w:val="Normal6"/>
      </w:pPr>
      <w:r>
        <w:t>Cilj se ostvaruje povećanjem iznosa ugovorenih sredstava, povećanjem broja natječaja i broja ugovorenih projekata za podršku stručnjacima iz sustava u daljnjem razvoju učinkovitih i uključivanih socijalnih usluga, za razvoj socijalnih usluga u zajednici te za potporu osjetljivim skupinama pri njihovu socijalnom uključivanju kroz pristup zapošljavanju.</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4"/>
        <w:gridCol w:w="1562"/>
        <w:gridCol w:w="1231"/>
        <w:gridCol w:w="1251"/>
        <w:gridCol w:w="1244"/>
        <w:gridCol w:w="1251"/>
        <w:gridCol w:w="126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doprinosa inicijativama EU na području unapređivanja dobrobiti mladih, suzbijanja obiteljskog nasilja i nasilja nad ženama te na području zapošljavanja, socijalnih pitanja i jednakih mogućnosti, te izvršenje  aktivnosti vezanih uz ispunjenje preuzetih obveza RH prema EU</w:t>
            </w:r>
          </w:p>
        </w:tc>
        <w:tc>
          <w:tcPr>
            <w:tcW w:w="1300" w:type="dxa"/>
          </w:tcPr>
          <w:p w:rsidR="00AC0832" w:rsidRDefault="00AC0832">
            <w:pPr>
              <w:pStyle w:val="CellColumn"/>
            </w:pPr>
            <w:r>
              <w:t xml:space="preserve">Obavljanjem poslova vezanih uz uključivanje i članstvo Republike Hrvatske u Europskoj uniji u dijelu koji se odnosi na programe Europske unije: Mladi na djelu; Daphne III i PROGRESS Ministarstvo će vršiti preuzete obveze RH na području unapređivanja dobrobiti mladih, suzbijanja obiteljskog nasilja i nasilja nad ženama, te  na području zapošljavanja, socijalnih pitanja i jednakih mogućnosti. Koordiniranjem i praćenjem rada Agencije za mobilnost i programe EU Ministarstvo će vršiti preuzete međunarodne obveze usmjerene na poticanje mobilnosti mladih. </w:t>
            </w:r>
          </w:p>
          <w:p w:rsidR="00AC0832" w:rsidRDefault="00AC0832">
            <w:pPr>
              <w:pStyle w:val="CellColumn"/>
            </w:pPr>
            <w:r>
              <w:t xml:space="preserve">Sudjelovanjem predstavnika Ministarstva u radu Odbora za socijalnu zaštitu Europske komisije i njenih Podgrupa; Pododbora Republike Hrvatske i EU za inovacije, tehnološki razvitak i socijalnu politiku, Pododbora Republike Hrvatske i EU za ekonomska i financijska pitanja i statistiku, te radnih tijela Vijeća Europske unije ostvarit će se doprinos RH na razini EU vezano uz populaciju na koju se primjenjuje socijalna politika. </w:t>
            </w:r>
          </w:p>
          <w:p w:rsidR="00AC0832" w:rsidRDefault="00AC0832">
            <w:pPr>
              <w:pStyle w:val="CellColumn"/>
            </w:pPr>
            <w:r>
              <w:t xml:space="preserve">Osiguranjem redovne distribucije EU dokumenata na nacionalnoj razini i koordinacijom izrade odgovarajućih stajališta Republike Hrvatske izvršit će se obveze tijekom pristupanja odnosno nakon ostvarenja članstva RH u EU, a u cilju usklađenja socijalne politike i politike prema mladima u RH s odgovarajućim strategijama i dokumentima EU.  </w:t>
            </w:r>
          </w:p>
          <w:p w:rsidR="00AC0832" w:rsidRDefault="00AC0832">
            <w:pPr>
              <w:pStyle w:val="CellColumn"/>
            </w:pPr>
            <w:r>
              <w:t>Izradom periodičkih izvješća o procesu pristupanja Republike Hrvatske EU za političke kriterije te pregovaračka poglavlja: Sloboda kretanja radnika, Socijalna politika i zapošljavanje te Obrazovanje i kultura ostvarit će se obveza RH prema EU u izvješćivanju o postignutom napretku s ciljem ulaska RH u EU.</w:t>
            </w:r>
          </w:p>
        </w:tc>
        <w:tc>
          <w:tcPr>
            <w:tcW w:w="1300" w:type="dxa"/>
          </w:tcPr>
          <w:p w:rsidR="00AC0832" w:rsidRDefault="00AC0832">
            <w:pPr>
              <w:pStyle w:val="CellColumn"/>
            </w:pPr>
            <w:r>
              <w:t>broj periodič-nih izvješća</w:t>
            </w:r>
          </w:p>
        </w:tc>
        <w:tc>
          <w:tcPr>
            <w:tcW w:w="1300" w:type="dxa"/>
          </w:tcPr>
          <w:p w:rsidR="00AC0832" w:rsidRDefault="00AC0832">
            <w:pPr>
              <w:pStyle w:val="CellColumn"/>
            </w:pPr>
            <w:r>
              <w:t>6/2</w:t>
            </w:r>
          </w:p>
        </w:tc>
        <w:tc>
          <w:tcPr>
            <w:tcW w:w="1300" w:type="dxa"/>
          </w:tcPr>
          <w:p w:rsidR="00AC0832" w:rsidRDefault="00AC0832">
            <w:pPr>
              <w:pStyle w:val="CellColumn"/>
            </w:pPr>
            <w:r>
              <w:t>MSPM</w:t>
            </w:r>
          </w:p>
        </w:tc>
        <w:tc>
          <w:tcPr>
            <w:tcW w:w="1300" w:type="dxa"/>
          </w:tcPr>
          <w:p w:rsidR="00AC0832" w:rsidRDefault="00AC0832">
            <w:pPr>
              <w:pStyle w:val="CellColumn"/>
            </w:pPr>
            <w:r>
              <w:t>6/2</w:t>
            </w:r>
          </w:p>
        </w:tc>
        <w:tc>
          <w:tcPr>
            <w:tcW w:w="1300" w:type="dxa"/>
          </w:tcPr>
          <w:p w:rsidR="00AC0832" w:rsidRDefault="00AC0832">
            <w:pPr>
              <w:pStyle w:val="CellColumn"/>
            </w:pPr>
            <w:r>
              <w:t>12/11</w:t>
            </w:r>
          </w:p>
        </w:tc>
      </w:tr>
    </w:tbl>
    <w:p w:rsidR="00AC0832" w:rsidRDefault="00AC0832">
      <w:pPr>
        <w:jc w:val="left"/>
      </w:pPr>
    </w:p>
    <w:p w:rsidR="00AC0832" w:rsidRDefault="00AC0832">
      <w:pPr>
        <w:pStyle w:val="Heading5"/>
      </w:pPr>
      <w:r>
        <w:t>4006 SOCIJALNO OSNAŽIVANJE OSOBA S INVALIDITETOM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4006-SOCIJALNO OSNAŽIVANJE OSOBA S INVALIDITETOM</w:t>
            </w:r>
          </w:p>
        </w:tc>
        <w:tc>
          <w:tcPr>
            <w:tcW w:w="2322" w:type="dxa"/>
          </w:tcPr>
          <w:p w:rsidR="00AC0832" w:rsidRDefault="00AC0832">
            <w:pPr>
              <w:pStyle w:val="CellColumn"/>
            </w:pPr>
            <w:r>
              <w:t>63.506.708</w:t>
            </w:r>
          </w:p>
        </w:tc>
        <w:tc>
          <w:tcPr>
            <w:tcW w:w="2322" w:type="dxa"/>
          </w:tcPr>
          <w:p w:rsidR="00AC0832" w:rsidRDefault="00AC0832">
            <w:pPr>
              <w:pStyle w:val="CellColumn"/>
            </w:pPr>
            <w:r>
              <w:t>59.449.882</w:t>
            </w:r>
          </w:p>
        </w:tc>
        <w:tc>
          <w:tcPr>
            <w:tcW w:w="2322" w:type="dxa"/>
          </w:tcPr>
          <w:p w:rsidR="00AC0832" w:rsidRDefault="00AC0832">
            <w:pPr>
              <w:pStyle w:val="CellColumn"/>
            </w:pPr>
            <w:r>
              <w:t>93,6</w:t>
            </w:r>
          </w:p>
        </w:tc>
      </w:tr>
    </w:tbl>
    <w:p w:rsidR="00AC0832" w:rsidRDefault="00AC0832">
      <w:pPr>
        <w:jc w:val="left"/>
      </w:pPr>
    </w:p>
    <w:p w:rsidR="00AC0832" w:rsidRDefault="00AC0832">
      <w:pPr>
        <w:pStyle w:val="Heading6"/>
      </w:pPr>
      <w:r>
        <w:t>Opis programa</w:t>
      </w:r>
    </w:p>
    <w:p w:rsidR="00AC0832" w:rsidRDefault="00AC0832">
      <w:pPr>
        <w:pStyle w:val="Normal5"/>
      </w:pPr>
      <w:r>
        <w:t xml:space="preserve">U svrhu učinkovitije integracije osoba s invaliditetom u život zajednice i prevencije njihove institucionalizacije, a time i jačanjem mogućnosti deinstitucionalizacije, Ministarstvo će u narednom razdoblju i dalje poticati razvoj trajnih izvaninstitucionalnih oblika skrbi i potpora namijenjenih djeci s teškoćama u razvoju, osobama s invaliditetom i njihovim obiteljima. </w:t>
      </w:r>
    </w:p>
    <w:p w:rsidR="00AC0832" w:rsidRDefault="00AC0832">
      <w:pPr>
        <w:pStyle w:val="Normal5"/>
      </w:pPr>
      <w:r>
        <w:t xml:space="preserve">Jedan od trajnih oblika skrbi o osobama s invaliditetom je skrb o osobama s najtežom vrstom i stupnjem invaliditeta kojima će Ministarstvo i dalje osiguravati uslugu osobne asistencije, a za što je planirano i zakonsko reguliranje ove usluge kojim će se trajno uspostaviti pravni, organizacijski i financijski sustav koji će jamčiti osobama s najtežom vrstom i stupnjem invaliditeta neovisno življenje. Do donošenja zakonske regulative, usluga osobnog asistenta osobama s najtežom vrstom i stupnjem invaliditeta osiguravat će se i dalje u suradnji s udrugama osoba s invaliditetom putem javnog natječaja koristeći sredstva državnog proračuna. </w:t>
      </w:r>
    </w:p>
    <w:p w:rsidR="00AC0832" w:rsidRDefault="00AC0832">
      <w:pPr>
        <w:pStyle w:val="Normal5"/>
      </w:pPr>
      <w:r>
        <w:t>Navedena usluga osigurana je za 551 korisnika (od toga za 329 korisnika usluga su osigurana u Državnom proračunu, dok je za 225 korisnika usluga osigurano iz dijela prihoda od igara na sreću) u suradnji s 78 udruga u 20 županija u Republici Hrvatskoj, a prednost pri zapošljavanju, u ulozi osobnog asistenta, imaju  nezaposlene osobe.</w:t>
      </w:r>
    </w:p>
    <w:p w:rsidR="00AC0832" w:rsidRDefault="00AC0832">
      <w:pPr>
        <w:pStyle w:val="Heading6"/>
      </w:pPr>
      <w:r>
        <w:t>Zakonske i druge pravne osnove</w:t>
      </w:r>
    </w:p>
    <w:p w:rsidR="00AC0832" w:rsidRDefault="00AC0832">
      <w:pPr>
        <w:pStyle w:val="Normal5"/>
      </w:pPr>
      <w:r>
        <w:t xml:space="preserve">- Zakon o potvrđivanju Konvencije o pravima osoba s invaliditetom Ujedinjenih naroda i Fakultativnog protokola uz Konvenciju o pravima osoba s invaliditetom </w:t>
      </w:r>
    </w:p>
    <w:p w:rsidR="00AC0832" w:rsidRDefault="00AC0832">
      <w:pPr>
        <w:pStyle w:val="Normal5"/>
      </w:pPr>
      <w:r>
        <w:t>- Nacionalna strategija izjednačavanja mogućnosti za osobe s invaliditetom od 2007. do 2015. godine</w:t>
      </w:r>
    </w:p>
    <w:p w:rsidR="00AC0832" w:rsidRDefault="00AC0832">
      <w:pPr>
        <w:pStyle w:val="Heading7"/>
      </w:pPr>
      <w:r>
        <w:t>Cilj 1. Poboljšanje kvalitete života osoba s invaliditetom u zajednici</w:t>
      </w:r>
    </w:p>
    <w:p w:rsidR="00AC0832" w:rsidRDefault="00AC0832">
      <w:pPr>
        <w:pStyle w:val="Heading8"/>
        <w:jc w:val="left"/>
      </w:pPr>
      <w:r>
        <w:t>Opis provedbe cilja programa</w:t>
      </w:r>
    </w:p>
    <w:p w:rsidR="00AC0832" w:rsidRDefault="00AC0832">
      <w:pPr>
        <w:pStyle w:val="Normal6"/>
      </w:pPr>
      <w:r>
        <w:t>U svrhu učinkovitije integracije osoba s invaliditetom u život zajednice i prevencije njihove institucionalizacije, a time i jačanje mogućnosti deinstitucionalizacije, Ministarstvo je poticalo razvoj trajnih izvaninstitucionalnih oblika skrbi i potpora namijenjenih djeci s teškoćama u razvoju, osobama s invaliditetom i njihovim obiteljima.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1"/>
        <w:gridCol w:w="1384"/>
        <w:gridCol w:w="1250"/>
        <w:gridCol w:w="1179"/>
        <w:gridCol w:w="1540"/>
        <w:gridCol w:w="1179"/>
        <w:gridCol w:w="121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 broj provedenih aktivnosti definiranih Nacionalnom strategijom izjednačavanja mogućnosti za osobe s invaliditetom od 2007. do 2015. godine</w:t>
            </w:r>
          </w:p>
        </w:tc>
        <w:tc>
          <w:tcPr>
            <w:tcW w:w="1300" w:type="dxa"/>
          </w:tcPr>
          <w:p w:rsidR="00AC0832" w:rsidRDefault="00AC0832">
            <w:pPr>
              <w:pStyle w:val="CellColumn"/>
            </w:pPr>
            <w:r>
              <w:t>Provedbom većeg broja mjera odnosno definiranih aktivnosti iz Nacionalne strategije povećava se kvaliteta života osoba  s invaliditetom.</w:t>
            </w:r>
          </w:p>
        </w:tc>
        <w:tc>
          <w:tcPr>
            <w:tcW w:w="1300" w:type="dxa"/>
          </w:tcPr>
          <w:p w:rsidR="00AC0832" w:rsidRDefault="00AC0832">
            <w:pPr>
              <w:pStyle w:val="CellColumn"/>
            </w:pPr>
            <w:r>
              <w:t>broj provedenih aktivnosti</w:t>
            </w:r>
          </w:p>
        </w:tc>
        <w:tc>
          <w:tcPr>
            <w:tcW w:w="1300" w:type="dxa"/>
          </w:tcPr>
          <w:p w:rsidR="00AC0832" w:rsidRDefault="00AC0832">
            <w:pPr>
              <w:pStyle w:val="CellColumn"/>
            </w:pPr>
            <w:r>
              <w:t>232</w:t>
            </w:r>
          </w:p>
        </w:tc>
        <w:tc>
          <w:tcPr>
            <w:tcW w:w="1300" w:type="dxa"/>
          </w:tcPr>
          <w:p w:rsidR="00AC0832" w:rsidRDefault="00AC0832">
            <w:pPr>
              <w:pStyle w:val="CellColumn"/>
            </w:pPr>
            <w:r>
              <w:t>Izvješće o provedbi mjera Nacional-ne strategije izjednačavanja mogućnosti za osobe s invalidite-tom u 2009. godini</w:t>
            </w:r>
          </w:p>
        </w:tc>
        <w:tc>
          <w:tcPr>
            <w:tcW w:w="1300" w:type="dxa"/>
          </w:tcPr>
          <w:p w:rsidR="00AC0832" w:rsidRDefault="00AC0832">
            <w:pPr>
              <w:pStyle w:val="CellColumn"/>
            </w:pPr>
            <w:r>
              <w:t>256</w:t>
            </w:r>
          </w:p>
        </w:tc>
        <w:tc>
          <w:tcPr>
            <w:tcW w:w="1300" w:type="dxa"/>
          </w:tcPr>
          <w:p w:rsidR="00AC0832" w:rsidRDefault="00AC0832">
            <w:pPr>
              <w:pStyle w:val="CellColumn"/>
            </w:pPr>
            <w:r>
              <w:t>241</w:t>
            </w:r>
          </w:p>
        </w:tc>
      </w:tr>
    </w:tbl>
    <w:p w:rsidR="00AC0832" w:rsidRDefault="00AC0832">
      <w:pPr>
        <w:jc w:val="left"/>
      </w:pPr>
    </w:p>
    <w:p w:rsidR="00AC0832" w:rsidRDefault="00AC0832">
      <w:pPr>
        <w:pStyle w:val="Heading6"/>
      </w:pPr>
      <w:r>
        <w:t>A754019 ODOBRAVANJE FINANCIJSKE POTPORE ZA PROGRAME I PROJEKTE USMJERENE DJECI S TEŠKOĆAMA I ODRASLIM OSOBAMA S INVALIDITETOM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A754019-ODOBRAVANJE FINANCIJSKE POTPORE ZA PROGRAME I PROJEKTE USMJERENE DJECI S TEŠKOĆAMA I ODRASLIM OSOBAMA S INVALIDITETOM</w:t>
            </w:r>
          </w:p>
        </w:tc>
        <w:tc>
          <w:tcPr>
            <w:tcW w:w="2322" w:type="dxa"/>
          </w:tcPr>
          <w:p w:rsidR="00AC0832" w:rsidRDefault="00AC0832">
            <w:pPr>
              <w:pStyle w:val="CellColumn"/>
            </w:pPr>
            <w:r>
              <w:t>37.194.708</w:t>
            </w:r>
          </w:p>
        </w:tc>
        <w:tc>
          <w:tcPr>
            <w:tcW w:w="2322" w:type="dxa"/>
          </w:tcPr>
          <w:p w:rsidR="00AC0832" w:rsidRDefault="00AC0832">
            <w:pPr>
              <w:pStyle w:val="CellColumn"/>
            </w:pPr>
            <w:r>
              <w:t>34.507.214</w:t>
            </w:r>
          </w:p>
        </w:tc>
        <w:tc>
          <w:tcPr>
            <w:tcW w:w="2322" w:type="dxa"/>
          </w:tcPr>
          <w:p w:rsidR="00AC0832" w:rsidRDefault="00AC0832">
            <w:pPr>
              <w:pStyle w:val="CellColumn"/>
            </w:pPr>
            <w:r>
              <w:t>92,8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Jedan od trajnih oblika skrbi o osobama s invaliditetom je skrb o djeci s teškoćama u razvoju, osobama s najtežom vrstom i stupnjem invaliditeta, gluhim i gluhoslijepim osobama te slijepim osobama s motoričkim teškoćama. U svrhu intenzivnijeg uključivanja djece s teškoćama u razvoju, mladih i odraslih osoba s invaliditetom u život zajednice Ministarstvo socijalne politike i mladih u 2012. godini osiguralo je financijsku potporu za ukupno 148 projekata te je osiguralo dodatnih 80 osobnih asistenata pa ih je tako u 2012. bilo zaposleno 631 (551 korisnik usluge u 2011.), za djecu s teškoćama u razvoju uključenu u redovan sustav obrazovanja osiguralo je 147 asistenata u nastavi (povećanje za 31 asistenta u odnosu na 2011.) te je također osiguralo 52 tumača znakovnog jezika (povećanje za 20 tumača u odnosu na prethodnu godinu) vodeći računa o regionalnoj ravnomjernosti pružatelja usluga.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2"/>
        <w:gridCol w:w="1384"/>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Udio uključenih nositelja i sunositelja na nacionalnoj, područnoj (regionalnoj) i lokalnoj razini u edukacije vezane uz provedbu, praćenje, vrednovanje i izvještavanje o provedbi mjera Nacionalne strategije</w:t>
            </w:r>
          </w:p>
        </w:tc>
        <w:tc>
          <w:tcPr>
            <w:tcW w:w="1300" w:type="dxa"/>
          </w:tcPr>
          <w:p w:rsidR="00AC0832" w:rsidRDefault="00AC0832">
            <w:pPr>
              <w:pStyle w:val="CellColumn"/>
            </w:pPr>
            <w:r>
              <w:t>Poboljšana suradnja između koordinatora, nositelja i sunositelja mjera na svim razinama pridonosi poboljšanju kvalitete provedbe, praćenja, vrednovanja i izvještavanja o provedbi mjera Nacionalne strategije.</w:t>
            </w:r>
          </w:p>
        </w:tc>
        <w:tc>
          <w:tcPr>
            <w:tcW w:w="1300" w:type="dxa"/>
          </w:tcPr>
          <w:p w:rsidR="00AC0832" w:rsidRDefault="00AC0832">
            <w:pPr>
              <w:pStyle w:val="CellColumn"/>
            </w:pPr>
            <w:r>
              <w:t>%</w:t>
            </w:r>
          </w:p>
        </w:tc>
        <w:tc>
          <w:tcPr>
            <w:tcW w:w="1300" w:type="dxa"/>
          </w:tcPr>
          <w:p w:rsidR="00AC0832" w:rsidRDefault="00AC0832">
            <w:pPr>
              <w:pStyle w:val="CellColumn"/>
            </w:pPr>
            <w:r>
              <w:t>60</w:t>
            </w:r>
          </w:p>
        </w:tc>
        <w:tc>
          <w:tcPr>
            <w:tcW w:w="1300" w:type="dxa"/>
          </w:tcPr>
          <w:p w:rsidR="00AC0832" w:rsidRDefault="00AC0832">
            <w:pPr>
              <w:pStyle w:val="CellColumn"/>
            </w:pPr>
            <w:r>
              <w:t>Izvješće o provedbi Nacionalne strategije</w:t>
            </w:r>
          </w:p>
        </w:tc>
        <w:tc>
          <w:tcPr>
            <w:tcW w:w="1300" w:type="dxa"/>
          </w:tcPr>
          <w:p w:rsidR="00AC0832" w:rsidRDefault="00AC0832">
            <w:pPr>
              <w:pStyle w:val="CellColumn"/>
            </w:pPr>
            <w:r>
              <w:t>70</w:t>
            </w:r>
          </w:p>
        </w:tc>
        <w:tc>
          <w:tcPr>
            <w:tcW w:w="1300" w:type="dxa"/>
          </w:tcPr>
          <w:p w:rsidR="00AC0832" w:rsidRDefault="00AC0832">
            <w:pPr>
              <w:pStyle w:val="CellColumn"/>
            </w:pPr>
            <w:r>
              <w:t>65</w:t>
            </w:r>
          </w:p>
        </w:tc>
      </w:tr>
      <w:tr w:rsidR="00AC0832" w:rsidTr="00BE20ED">
        <w:trPr>
          <w:jc w:val="center"/>
        </w:trPr>
        <w:tc>
          <w:tcPr>
            <w:tcW w:w="1300" w:type="dxa"/>
          </w:tcPr>
          <w:p w:rsidR="00AC0832" w:rsidRDefault="00AC0832">
            <w:pPr>
              <w:pStyle w:val="CellColumn"/>
            </w:pPr>
            <w:r>
              <w:t>Povećan broj lokalnih strategija</w:t>
            </w:r>
          </w:p>
        </w:tc>
        <w:tc>
          <w:tcPr>
            <w:tcW w:w="1300" w:type="dxa"/>
          </w:tcPr>
          <w:p w:rsidR="00AC0832" w:rsidRDefault="00AC0832">
            <w:pPr>
              <w:pStyle w:val="CellColumn"/>
            </w:pPr>
            <w:r>
              <w:t>Donošenje lokalnih strategija (operativnih planova i sl.) pridonosi boljim rezultatima provedbe Nacionalne strategije.</w:t>
            </w:r>
          </w:p>
        </w:tc>
        <w:tc>
          <w:tcPr>
            <w:tcW w:w="1300" w:type="dxa"/>
          </w:tcPr>
          <w:p w:rsidR="00AC0832" w:rsidRDefault="00AC0832">
            <w:pPr>
              <w:pStyle w:val="CellColumn"/>
            </w:pPr>
            <w:r>
              <w:t>broj</w:t>
            </w:r>
          </w:p>
        </w:tc>
        <w:tc>
          <w:tcPr>
            <w:tcW w:w="1300" w:type="dxa"/>
          </w:tcPr>
          <w:p w:rsidR="00AC0832" w:rsidRDefault="00AC0832">
            <w:pPr>
              <w:pStyle w:val="CellColumn"/>
            </w:pPr>
            <w:r>
              <w:t>12</w:t>
            </w:r>
          </w:p>
        </w:tc>
        <w:tc>
          <w:tcPr>
            <w:tcW w:w="1300" w:type="dxa"/>
          </w:tcPr>
          <w:p w:rsidR="00AC0832" w:rsidRDefault="00AC0832">
            <w:pPr>
              <w:pStyle w:val="CellColumn"/>
            </w:pPr>
            <w:r>
              <w:t>Izvješće</w:t>
            </w:r>
          </w:p>
        </w:tc>
        <w:tc>
          <w:tcPr>
            <w:tcW w:w="1300" w:type="dxa"/>
          </w:tcPr>
          <w:p w:rsidR="00AC0832" w:rsidRDefault="00AC0832">
            <w:pPr>
              <w:pStyle w:val="CellColumn"/>
            </w:pPr>
            <w:r>
              <w:t>40</w:t>
            </w:r>
          </w:p>
        </w:tc>
        <w:tc>
          <w:tcPr>
            <w:tcW w:w="1300" w:type="dxa"/>
          </w:tcPr>
          <w:p w:rsidR="00AC0832" w:rsidRDefault="00AC0832">
            <w:pPr>
              <w:pStyle w:val="CellColumn"/>
            </w:pPr>
            <w:r>
              <w:t>16</w:t>
            </w:r>
          </w:p>
        </w:tc>
      </w:tr>
      <w:tr w:rsidR="00AC0832" w:rsidTr="00BE20ED">
        <w:trPr>
          <w:jc w:val="center"/>
        </w:trPr>
        <w:tc>
          <w:tcPr>
            <w:tcW w:w="1300" w:type="dxa"/>
          </w:tcPr>
          <w:p w:rsidR="00AC0832" w:rsidRDefault="00AC0832">
            <w:pPr>
              <w:pStyle w:val="CellColumn"/>
            </w:pPr>
            <w:r>
              <w:t>Udio partnera (tijela državne uprave, jedinica lokalne i područne (regionalne) samouprave i organizacija civilnog društva) u procesu provedbe, praćenja, vrednovanja i izvještavanja o provedbi mjera</w:t>
            </w:r>
          </w:p>
        </w:tc>
        <w:tc>
          <w:tcPr>
            <w:tcW w:w="1300" w:type="dxa"/>
          </w:tcPr>
          <w:p w:rsidR="00AC0832" w:rsidRDefault="00AC0832">
            <w:pPr>
              <w:pStyle w:val="CellColumn"/>
            </w:pPr>
            <w:r>
              <w:t>Uključivanje svih čimbenika u provedbu mjera pridonosi kvalitetnijoj i učinkovitijoj provedbi.</w:t>
            </w:r>
          </w:p>
        </w:tc>
        <w:tc>
          <w:tcPr>
            <w:tcW w:w="1300" w:type="dxa"/>
          </w:tcPr>
          <w:p w:rsidR="00AC0832" w:rsidRDefault="00AC0832">
            <w:pPr>
              <w:pStyle w:val="CellColumn"/>
            </w:pPr>
            <w:r>
              <w:t>%</w:t>
            </w:r>
          </w:p>
        </w:tc>
        <w:tc>
          <w:tcPr>
            <w:tcW w:w="1300" w:type="dxa"/>
          </w:tcPr>
          <w:p w:rsidR="00AC0832" w:rsidRDefault="00AC0832">
            <w:pPr>
              <w:pStyle w:val="CellColumn"/>
            </w:pPr>
            <w:r>
              <w:t>25</w:t>
            </w:r>
          </w:p>
        </w:tc>
        <w:tc>
          <w:tcPr>
            <w:tcW w:w="1300" w:type="dxa"/>
          </w:tcPr>
          <w:p w:rsidR="00AC0832" w:rsidRDefault="00AC0832">
            <w:pPr>
              <w:pStyle w:val="CellColumn"/>
            </w:pPr>
            <w:r>
              <w:t>Izvješće</w:t>
            </w:r>
          </w:p>
        </w:tc>
        <w:tc>
          <w:tcPr>
            <w:tcW w:w="1300" w:type="dxa"/>
          </w:tcPr>
          <w:p w:rsidR="00AC0832" w:rsidRDefault="00AC0832">
            <w:pPr>
              <w:pStyle w:val="CellColumn"/>
            </w:pPr>
            <w:r>
              <w:t>35</w:t>
            </w:r>
          </w:p>
        </w:tc>
        <w:tc>
          <w:tcPr>
            <w:tcW w:w="1300" w:type="dxa"/>
          </w:tcPr>
          <w:p w:rsidR="00AC0832" w:rsidRDefault="00AC0832">
            <w:pPr>
              <w:pStyle w:val="CellColumn"/>
            </w:pPr>
            <w:r>
              <w:t>30</w:t>
            </w:r>
          </w:p>
        </w:tc>
      </w:tr>
    </w:tbl>
    <w:p w:rsidR="00AC0832" w:rsidRDefault="00AC0832">
      <w:pPr>
        <w:jc w:val="left"/>
      </w:pPr>
    </w:p>
    <w:p w:rsidR="00AC0832" w:rsidRDefault="00AC0832">
      <w:pPr>
        <w:pStyle w:val="Heading5"/>
      </w:pPr>
      <w:r>
        <w:t>4103 MEĐUGENERACIJSKA SOLIDARNOST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0"/>
        <w:gridCol w:w="2312"/>
        <w:gridCol w:w="2312"/>
        <w:gridCol w:w="2314"/>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4103-MEĐUGENERACIJSKA SOLIDARNOST</w:t>
            </w:r>
          </w:p>
        </w:tc>
        <w:tc>
          <w:tcPr>
            <w:tcW w:w="2322" w:type="dxa"/>
          </w:tcPr>
          <w:p w:rsidR="00AC0832" w:rsidRDefault="00AC0832">
            <w:pPr>
              <w:pStyle w:val="CellColumn"/>
            </w:pPr>
            <w:r>
              <w:t>49.861.800</w:t>
            </w:r>
          </w:p>
        </w:tc>
        <w:tc>
          <w:tcPr>
            <w:tcW w:w="2322" w:type="dxa"/>
          </w:tcPr>
          <w:p w:rsidR="00AC0832" w:rsidRDefault="00AC0832">
            <w:pPr>
              <w:pStyle w:val="CellColumn"/>
            </w:pPr>
            <w:r>
              <w:t>49.736.489</w:t>
            </w:r>
          </w:p>
        </w:tc>
        <w:tc>
          <w:tcPr>
            <w:tcW w:w="2322" w:type="dxa"/>
          </w:tcPr>
          <w:p w:rsidR="00AC0832" w:rsidRDefault="00AC0832">
            <w:pPr>
              <w:pStyle w:val="CellColumn"/>
            </w:pPr>
            <w:r>
              <w:t>99,7</w:t>
            </w:r>
          </w:p>
        </w:tc>
      </w:tr>
    </w:tbl>
    <w:p w:rsidR="00AC0832" w:rsidRDefault="00AC0832">
      <w:pPr>
        <w:jc w:val="left"/>
      </w:pPr>
    </w:p>
    <w:p w:rsidR="00AC0832" w:rsidRDefault="00AC0832">
      <w:pPr>
        <w:pStyle w:val="Heading6"/>
      </w:pPr>
      <w:r>
        <w:t>Opis programa</w:t>
      </w:r>
    </w:p>
    <w:p w:rsidR="00AC0832" w:rsidRDefault="00AC0832">
      <w:pPr>
        <w:pStyle w:val="Normal5"/>
      </w:pPr>
      <w:r>
        <w:t xml:space="preserve">Hrvatska se ubraja u zemlje s vrlo starim stanovništvom. Starenje stanovništva djeluje na sveukupni gospodarski razvoj, opterećuje mirovinski i zdravstveni te socijalni sustav. Programom „Međugeneracijska solidarnosti“ Ministarstvo pruža usluge za starije u njihovim domovima, potiče obitelji za zadržavanje starijih i nemoćnih članova u krugu obitelji, pridonosi se stvaranju društvenih uvjeta za dostojanstveno življenje starijih ljudi, ostvarivanje ljudskih prava, osiguranje neovisnosti, društvene uključenosti i aktivnog sudjelovanja u odlučivanju o vlastitom životu i životu zajednice. </w:t>
      </w:r>
    </w:p>
    <w:p w:rsidR="00AC0832" w:rsidRDefault="00AC0832">
      <w:pPr>
        <w:pStyle w:val="Normal5"/>
      </w:pPr>
      <w:r>
        <w:t xml:space="preserve">Ministarstvo je i jedan od provoditelja Nacionalne strategije stvaranja poticajnog okruženja za razvoj civilnog društva, te je  zaduženo za stvaranje i poticanje stvaranja modela samopomoći, volonterstva i solidarnosti, prikupljanje podataka o volonterskim aktivnostima, izradu i provođenje  programa volontiranja u institucijama. </w:t>
      </w:r>
    </w:p>
    <w:p w:rsidR="00AC0832" w:rsidRDefault="00AC0832">
      <w:pPr>
        <w:pStyle w:val="Normal5"/>
      </w:pPr>
      <w:r>
        <w:t>Volontiranje je aktivnost od posebnog interesa za Republiku Hrvatsku koja dovodi do poboljšanja kvalitete života, aktivnog uključivanja osoba u društvena zbivanja te do razvoja humanijeg i ravnopravnijeg demokratskog društva. Aktivnosti koje će doprinijeti razvoju volonterstva su provedba Zakona o volonterstvu i drugih propisa, izrada prvog Nacionalnog programa za razvoj volonterstva, jačanje regionalnih i lokalnih volonterskih centara, promocija vrijednosti volontiranja i mobilnosti volontera, izrada modela institucionalnog priznavanja volonterskog rada i priznavanje iskustva volonterskog angažmana prilikom zapošljavanja, poticanje međugeneracijske solidarnosti i volontiranja svih dobnih skupina, stručna podrška organizatorima volontiranja, te mjerenje volonterskog doprinosa.</w:t>
      </w:r>
    </w:p>
    <w:p w:rsidR="00AC0832" w:rsidRDefault="00AC0832">
      <w:pPr>
        <w:pStyle w:val="Heading6"/>
      </w:pPr>
      <w:r>
        <w:t>Zakonske i druge pravne osnove</w:t>
      </w:r>
    </w:p>
    <w:p w:rsidR="00AC0832" w:rsidRDefault="00AC0832">
      <w:pPr>
        <w:pStyle w:val="Normal5"/>
      </w:pPr>
      <w:r>
        <w:t xml:space="preserve">-Zakona o socijalnoj skrbi (NN 57/11), </w:t>
      </w:r>
    </w:p>
    <w:p w:rsidR="00AC0832" w:rsidRDefault="00AC0832">
      <w:pPr>
        <w:pStyle w:val="Normal5"/>
      </w:pPr>
      <w:r>
        <w:t xml:space="preserve">-Uredba o nadležnosti, postupku i uvjetima za ostvarivanje prava na usluge međugeneracijske solidarnosti i usluge boravka međugeneracijske solidarnosti (NN 124/11), </w:t>
      </w:r>
    </w:p>
    <w:p w:rsidR="00AC0832" w:rsidRDefault="00AC0832">
      <w:pPr>
        <w:pStyle w:val="Normal5"/>
      </w:pPr>
      <w:r>
        <w:t xml:space="preserve">-Nacionalni program zaštite i promicanja ljudskih prava,  </w:t>
      </w:r>
    </w:p>
    <w:p w:rsidR="00AC0832" w:rsidRDefault="00AC0832">
      <w:pPr>
        <w:pStyle w:val="Normal5"/>
      </w:pPr>
      <w:r>
        <w:t xml:space="preserve">-Zajednički memorandum o socijalnom uključivanju (JIM), mjera 3.4.2. pod nazivom „Širenje mreže izvaninstitucionalnih usluga za starije i nemoćne“,  </w:t>
      </w:r>
    </w:p>
    <w:p w:rsidR="00AC0832" w:rsidRDefault="00AC0832">
      <w:pPr>
        <w:pStyle w:val="Normal5"/>
      </w:pPr>
      <w:r>
        <w:t xml:space="preserve">-Zakon o volonterstvu, </w:t>
      </w:r>
    </w:p>
    <w:p w:rsidR="00AC0832" w:rsidRDefault="00AC0832">
      <w:pPr>
        <w:pStyle w:val="Normal5"/>
      </w:pPr>
      <w:r>
        <w:t xml:space="preserve">- Etički kodeks volontera, </w:t>
      </w:r>
    </w:p>
    <w:p w:rsidR="00AC0832" w:rsidRDefault="00AC0832">
      <w:pPr>
        <w:pStyle w:val="Normal5"/>
      </w:pPr>
      <w:r>
        <w:t xml:space="preserve">- Pravilnik o Državnoj nagradi za volontiranje, </w:t>
      </w:r>
    </w:p>
    <w:p w:rsidR="00AC0832" w:rsidRDefault="00AC0832">
      <w:pPr>
        <w:pStyle w:val="Normal5"/>
      </w:pPr>
      <w:r>
        <w:t xml:space="preserve">- Pravilnik o sadržaju izvješća o obavljenim uslugama i aktivnostima organizatora volontiranja, </w:t>
      </w:r>
    </w:p>
    <w:p w:rsidR="00AC0832" w:rsidRDefault="00AC0832">
      <w:pPr>
        <w:pStyle w:val="Normal5"/>
      </w:pPr>
      <w:r>
        <w:t xml:space="preserve">- Nacionalna strategija stvaranja poticajnog okruženja za razvoj civilnoga društva,  </w:t>
      </w:r>
    </w:p>
    <w:p w:rsidR="00AC0832" w:rsidRDefault="00AC0832">
      <w:pPr>
        <w:pStyle w:val="Normal5"/>
      </w:pPr>
      <w:r>
        <w:t xml:space="preserve">- Rješenje o imenovanju članova Nacionalnog odbora za razvoj volonterstva, </w:t>
      </w:r>
    </w:p>
    <w:p w:rsidR="00AC0832" w:rsidRDefault="00AC0832">
      <w:pPr>
        <w:pStyle w:val="Normal5"/>
      </w:pPr>
      <w:r>
        <w:t>- Nacionalni plan za borbu protiv diskriminacije 2008. – 2013.</w:t>
      </w:r>
    </w:p>
    <w:p w:rsidR="00AC0832" w:rsidRDefault="00AC0832">
      <w:pPr>
        <w:pStyle w:val="Heading7"/>
      </w:pPr>
      <w:r>
        <w:t>Cilj 1. Poboljšanje kvalitete života starijih osoba</w:t>
      </w:r>
    </w:p>
    <w:p w:rsidR="00AC0832" w:rsidRDefault="00AC0832">
      <w:pPr>
        <w:pStyle w:val="Heading8"/>
        <w:jc w:val="left"/>
      </w:pPr>
      <w:r>
        <w:t>Opis provedbe cilja programa</w:t>
      </w:r>
    </w:p>
    <w:p w:rsidR="00AC0832" w:rsidRDefault="00AC0832">
      <w:pPr>
        <w:pStyle w:val="Normal6"/>
      </w:pPr>
      <w:r>
        <w:t>Proračunske aktivnosti namijenjene starijim osobama odnose se na poboljšavanje kvalitete života starijih osoba, i to razvijanjem ponude socijalnih usluga za samostalno življenje starijih u suradnji s lokalnim/područnim samoupravama i organizacijama civilnog društva. Pritom se prvenstveno misli na usluge pomoći u kući i organiziranje dnevnih boravaka za starije osobe, u svrhu sprečavanja socijalne isključenosti te prevencije institucionalizacije.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1995"/>
        <w:gridCol w:w="970"/>
        <w:gridCol w:w="1085"/>
        <w:gridCol w:w="1054"/>
        <w:gridCol w:w="1085"/>
        <w:gridCol w:w="114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 lokalnih zajednica u kojima se pružaju izvaninstitucionalne usluge za starije osobe</w:t>
            </w:r>
          </w:p>
        </w:tc>
        <w:tc>
          <w:tcPr>
            <w:tcW w:w="1300" w:type="dxa"/>
          </w:tcPr>
          <w:p w:rsidR="00AC0832" w:rsidRDefault="00AC0832">
            <w:pPr>
              <w:pStyle w:val="CellColumn"/>
            </w:pPr>
            <w:r>
              <w:t>Proširenjem mreže izvaninstitucionalnih usluga za starije povećava se dostupnost usluga i omogućava duži boravak u vlastitom domu starijih, bolja socijalna uključenost i smanjenje broja zahtjeva za smještajem  u institucijama</w:t>
            </w:r>
          </w:p>
        </w:tc>
        <w:tc>
          <w:tcPr>
            <w:tcW w:w="1300" w:type="dxa"/>
          </w:tcPr>
          <w:p w:rsidR="00AC0832" w:rsidRDefault="00AC0832">
            <w:pPr>
              <w:pStyle w:val="CellColumn"/>
            </w:pPr>
            <w:r>
              <w:t>%</w:t>
            </w:r>
          </w:p>
        </w:tc>
        <w:tc>
          <w:tcPr>
            <w:tcW w:w="1300" w:type="dxa"/>
          </w:tcPr>
          <w:p w:rsidR="00AC0832" w:rsidRDefault="00AC0832">
            <w:pPr>
              <w:pStyle w:val="CellColumn"/>
            </w:pPr>
            <w:r>
              <w:t>25</w:t>
            </w:r>
          </w:p>
        </w:tc>
        <w:tc>
          <w:tcPr>
            <w:tcW w:w="1300" w:type="dxa"/>
          </w:tcPr>
          <w:p w:rsidR="00AC0832" w:rsidRDefault="00AC0832">
            <w:pPr>
              <w:pStyle w:val="CellColumn"/>
            </w:pPr>
            <w:r>
              <w:t>MSPM</w:t>
            </w:r>
          </w:p>
        </w:tc>
        <w:tc>
          <w:tcPr>
            <w:tcW w:w="1300" w:type="dxa"/>
          </w:tcPr>
          <w:p w:rsidR="00AC0832" w:rsidRDefault="00AC0832">
            <w:pPr>
              <w:pStyle w:val="CellColumn"/>
            </w:pPr>
            <w:r>
              <w:t>28</w:t>
            </w:r>
          </w:p>
        </w:tc>
        <w:tc>
          <w:tcPr>
            <w:tcW w:w="1300" w:type="dxa"/>
          </w:tcPr>
          <w:p w:rsidR="00AC0832" w:rsidRDefault="00AC0832">
            <w:pPr>
              <w:pStyle w:val="CellColumn"/>
            </w:pPr>
            <w:r>
              <w:t>25</w:t>
            </w:r>
          </w:p>
        </w:tc>
      </w:tr>
    </w:tbl>
    <w:p w:rsidR="00AC0832" w:rsidRDefault="00AC0832">
      <w:pPr>
        <w:jc w:val="left"/>
      </w:pPr>
    </w:p>
    <w:p w:rsidR="00AC0832" w:rsidRDefault="00AC0832">
      <w:pPr>
        <w:pStyle w:val="Heading7"/>
      </w:pPr>
    </w:p>
    <w:p w:rsidR="00AC0832" w:rsidRDefault="00AC0832">
      <w:pPr>
        <w:pStyle w:val="Heading7"/>
      </w:pPr>
    </w:p>
    <w:p w:rsidR="00AC0832" w:rsidRDefault="00AC0832">
      <w:pPr>
        <w:pStyle w:val="Heading7"/>
      </w:pPr>
      <w:r>
        <w:t>Cilj 2. Razvoj volonterstva i sustava mjerenja volonterskog doprinosa</w:t>
      </w:r>
    </w:p>
    <w:p w:rsidR="00AC0832" w:rsidRDefault="00AC0832">
      <w:pPr>
        <w:pStyle w:val="Heading8"/>
        <w:jc w:val="left"/>
      </w:pPr>
      <w:r>
        <w:t>Opis provedbe cilja programa</w:t>
      </w:r>
    </w:p>
    <w:p w:rsidR="00AC0832" w:rsidRDefault="00AC0832">
      <w:pPr>
        <w:pStyle w:val="Normal6"/>
      </w:pPr>
      <w:r>
        <w:t xml:space="preserve">Razvoj volonterstva dovodi do poboljšanja kvalitete života mnogih korisnika kao i samih volontera te doprinosi aktivnoj participaciji hrvatskog građanstva. Volonterski rad smanjuje proračunska sredstva u raznim uslugama i aktivnostima, pridonosi uključenju marginaliziranih skupina, potiče usvajanje novih znanja i vještina te povećava kompetencije i zapošljavanje, posebice mladih. Većom afirmacijom volontiranja mobilizira se kreativni potencijal svih dobnih skupina u predlaganju inovativnih rješenja i boljeg iskorištavanja resursa zajednice. </w:t>
      </w:r>
      <w:r>
        <w:tab/>
        <w:t xml:space="preserve"> </w:t>
      </w:r>
    </w:p>
    <w:p w:rsidR="00AC0832" w:rsidRDefault="00AC0832">
      <w:pPr>
        <w:pStyle w:val="Normal6"/>
      </w:pPr>
      <w:r>
        <w:t xml:space="preserve">Ministarstvo je pružalo administrativnu, logističku, stručnu i financijsku podršku Nacionalnom odboru za razvoj volonterstva u provedbi mjera za razvoj volonterstva, izradu prvog Nacionalnog programa razvoja volonterstva te modela institucionalnog priznavanja volonterskog rada za razvoj kulture volontiranja i ostvarivanja prednosti u korištenju usluga ili kod zapošljavanja. Tijekom 2012. godine održano je ukupno pet (5) sjednica Nacionalnog odbora od čega četiri radne sjednice i jedna svečana sjednica na kojoj je dodijeljena Državna nagrada za volontiranje u kategoriji fizičke i pravne osobe. Državnu nagradu dodijelio je premijer Zoran Milanović u prostorijama Vlade RH.   </w:t>
      </w:r>
    </w:p>
    <w:p w:rsidR="00AC0832" w:rsidRDefault="00AC0832">
      <w:pPr>
        <w:pStyle w:val="Normal6"/>
      </w:pPr>
      <w:r>
        <w:t xml:space="preserve">Ministarstvo je u suradnji s Nacionalnim odborom za razvoj volonterstva i Hrvatskom mrežom volonterskih centara, iniciralo izmjene i dopune Zakona o volonterstvu te je istim povodom organizirana javna rasprava i internetsko savjetovanje. </w:t>
      </w:r>
    </w:p>
    <w:p w:rsidR="00AC0832" w:rsidRDefault="00AC0832">
      <w:pPr>
        <w:pStyle w:val="Normal6"/>
      </w:pPr>
      <w:r>
        <w:t xml:space="preserve">Ministarstvo je u istom razdoblju razvijalo strateško partnerstvo s četiri (4) Regionalna volonterska centra u izgradnji volonterske infrastrukture u Republici Hrvatskoj kroz njihovo sufinanciranje te su/financiralo pilot-programe četiri (4) Lokalna volonterska centra koji su svojim programima obuhvatili tri prioritetna područja: razmjenu informacija o ponudi i potražnji volonterskog rada, izobrazbu građana, volontera i organizatora volontiranja te promociju volonterskog rada. </w:t>
      </w:r>
    </w:p>
    <w:p w:rsidR="00AC0832" w:rsidRDefault="00AC0832">
      <w:pPr>
        <w:pStyle w:val="Normal6"/>
      </w:pPr>
      <w:r>
        <w:t xml:space="preserve">Ministarstvo je još u procesu prikupljanja podataka za 2012. godinu o volonterskim aktivnostima, uslugama i volonterima radi dobivanja vjerodostojne slike o strukturi i broju volontera te organizatora volontiranja u Republici Hrvatskoj. Službene podatke o organiziranom volontiranju Ministarstvo će naknadno objaviti.  </w:t>
      </w:r>
    </w:p>
    <w:p w:rsidR="00AC0832" w:rsidRDefault="00AC0832">
      <w:pPr>
        <w:pStyle w:val="Normal6"/>
      </w:pPr>
      <w:r>
        <w:t xml:space="preserve">Provedbom Pravilnika o sadržaju izvješća o obavljenim uslugama ili aktivnostima volontiranja koji je organizatorima volontiranja propisao obvezu dostave podataka o broju volonterskih sati, broju volontera i volonterskih aktivnosti u Republici Hrvatskoj, podaci su se prikupljali putem web aplikacije pod nazivom „Izvješća organizatora volontiranja“ koja je omogućavala izravno unošenje podataka. Prikupljanjem podataka o volontiranju koji uključuju broj volontera, spol, broj i vrstu organizatora volontiranja, vrste volonterskog rada te sredstva izdvojena za troškove volontiranja dobila se baza podataka o organiziranom volontiranju u Republici Hrvatskoj.  </w:t>
      </w:r>
    </w:p>
    <w:p w:rsidR="00AC0832" w:rsidRDefault="00AC0832">
      <w:pPr>
        <w:pStyle w:val="Normal6"/>
      </w:pPr>
      <w:r>
        <w:t>Ministarstvo je promoviranjem volontiranja i solidarnosti u zajednici u okviru pet (5) javnih događanja i kampanja poticalo odaziv volontera i njihovo sudjelovanje u raznim socijalnim uslugama i drugim aktivnostima u zajednici te na taj način poticalo građanski aktivizam, socijalni kapital i sudioničku demokraciju. Promotivnim aktivnostima, tako je obilježen i Europski dan solidarnosti među generacijama, 29. travanja. Povodom obilježavanja 2012. Europske godine aktivnog starenja i međugeneracijske solidarnosti, Delegacija Europske unije u Republici Hrvatskoj i Ministarstvo socijalne politike i mladih, organizirali su natječaj pod nazivom „Mladi u srcu – Nagrada Europske godine aktivnog starenja" kroz koji su se promovirale europske i hrvatske vrijednosti aktivnog starenja. Natječajem se željelo potaknuti prepoznavanje i vrednovanje potencijala starijih osoba i njihovog doprinosa svim dobnim skupinama unutar našeg društva te se posebno istaklo volontiranje starije životne dobi.</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8"/>
        <w:gridCol w:w="1384"/>
        <w:gridCol w:w="1292"/>
        <w:gridCol w:w="1296"/>
        <w:gridCol w:w="1295"/>
        <w:gridCol w:w="1296"/>
        <w:gridCol w:w="129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zastupljenosti hrvatskog stanovništva starijeg od 15 godina koji volontiraju</w:t>
            </w:r>
          </w:p>
        </w:tc>
        <w:tc>
          <w:tcPr>
            <w:tcW w:w="1300" w:type="dxa"/>
          </w:tcPr>
          <w:p w:rsidR="00AC0832" w:rsidRDefault="00AC0832">
            <w:pPr>
              <w:pStyle w:val="CellColumn"/>
            </w:pPr>
            <w:r>
              <w:t>Razvojem volonterske infrastrukture i uspostavom sustava mjerenja i vrednovanja volonterskog doprinosa povećat će se % volontiranja u hrvatskom društvu te smanjiti materijalna izdvajanja za aktivnosti i usluge u kojima sudjeluju volonteri</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MSPM</w:t>
            </w:r>
          </w:p>
        </w:tc>
        <w:tc>
          <w:tcPr>
            <w:tcW w:w="1300" w:type="dxa"/>
          </w:tcPr>
          <w:p w:rsidR="00AC0832" w:rsidRDefault="00AC0832">
            <w:pPr>
              <w:pStyle w:val="CellColumn"/>
            </w:pPr>
            <w:r>
              <w:t>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A754002 IZVANINSTITUCIONALNE USLUGE ZA STARIJE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6"/>
        <w:gridCol w:w="2220"/>
        <w:gridCol w:w="2221"/>
        <w:gridCol w:w="2241"/>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A754002-IZVANINSTITUCIONALNE USLUGE ZA STARIJE</w:t>
            </w:r>
          </w:p>
        </w:tc>
        <w:tc>
          <w:tcPr>
            <w:tcW w:w="2322" w:type="dxa"/>
          </w:tcPr>
          <w:p w:rsidR="00AC0832" w:rsidRDefault="00AC0832">
            <w:pPr>
              <w:pStyle w:val="CellColumn"/>
            </w:pPr>
            <w:r>
              <w:t>47.538.200</w:t>
            </w:r>
          </w:p>
        </w:tc>
        <w:tc>
          <w:tcPr>
            <w:tcW w:w="2322" w:type="dxa"/>
          </w:tcPr>
          <w:p w:rsidR="00AC0832" w:rsidRDefault="00AC0832">
            <w:pPr>
              <w:pStyle w:val="CellColumn"/>
            </w:pPr>
            <w:r>
              <w:t>47.536.500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Tijekom 2012. provedene su usluge iz Programa “Pomoć u kući za starije osobe osobe” i Programa “Dnevni boravak i pomoć u kući za starije osobe” temeljem kojih je Ministarstvo sklopilo ugovore o međusobnim odnosima s 58 jedinica lokalne i područne samouprave na čijem su području pružene usluge za 9.275 korisnika. Za provedbu Programa “Dnevni boravak i pomoć u kući za starije osobe”  Ministarstvo je sklopilo ugovore o međusobnim odnosima s 33 jedinice lokalne i područne samouprave na čijem su području pružene usluge za 6.275 korisnika.  </w:t>
      </w:r>
    </w:p>
    <w:p w:rsidR="00AC0832" w:rsidRDefault="00AC0832">
      <w:pPr>
        <w:pStyle w:val="Normal6"/>
      </w:pPr>
      <w:r>
        <w:t>Međutim ciljana vrijednost nije ostvarena iz razloga što je u tijeku izrada prijedloga sadržajnog i normativnog uređenja prava na pomoć i njegu u kući te usluga iz programa „Pomoć u kući starijim osobama“ i „Dnevni boravak i pomoć u kući starijim osobama“ na način da se novim Zakonom o socijalnoj skrbi propiše kao jedinstveno pravo tj. usluga. Na taj način definirat će se novi kriteriji za pružanje ovih usluga a time će se izmjeniti pokazatelji učinka.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93"/>
        <w:gridCol w:w="1520"/>
        <w:gridCol w:w="1562"/>
        <w:gridCol w:w="1045"/>
        <w:gridCol w:w="1013"/>
        <w:gridCol w:w="1045"/>
        <w:gridCol w:w="111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 broj JLR(P)S s kojima je potpisan ugovor temeljem Javnog poziva/broj lokalnih zajednica obuhvaćenih uslugama (veća teritorijalna pokrivenost izvaninstitucionalnim uslugama)</w:t>
            </w:r>
          </w:p>
        </w:tc>
        <w:tc>
          <w:tcPr>
            <w:tcW w:w="1300" w:type="dxa"/>
          </w:tcPr>
          <w:p w:rsidR="00AC0832" w:rsidRDefault="00AC0832">
            <w:pPr>
              <w:pStyle w:val="CellColumn"/>
            </w:pPr>
            <w:r>
              <w:t>Proširenjem mreže usluga za starije u lokalnim zajednicama povećava se dostupnost usluga i omogućava duži boravak u vlastitom domu starijih, bolja socijalna uključenost i smanjenje broja zahtjeva za smještajem  u institucijama.</w:t>
            </w:r>
          </w:p>
        </w:tc>
        <w:tc>
          <w:tcPr>
            <w:tcW w:w="1300" w:type="dxa"/>
          </w:tcPr>
          <w:p w:rsidR="00AC0832" w:rsidRDefault="00AC0832">
            <w:pPr>
              <w:pStyle w:val="CellColumn"/>
            </w:pPr>
            <w:r>
              <w:t>Broj potpisanih ugovora/broj obuhvaćenih JLR(P)S uslugama</w:t>
            </w:r>
          </w:p>
        </w:tc>
        <w:tc>
          <w:tcPr>
            <w:tcW w:w="1300" w:type="dxa"/>
          </w:tcPr>
          <w:p w:rsidR="00AC0832" w:rsidRDefault="00AC0832">
            <w:pPr>
              <w:pStyle w:val="CellColumn"/>
            </w:pPr>
            <w:r>
              <w:t>91/160</w:t>
            </w:r>
          </w:p>
        </w:tc>
        <w:tc>
          <w:tcPr>
            <w:tcW w:w="1300" w:type="dxa"/>
          </w:tcPr>
          <w:p w:rsidR="00AC0832" w:rsidRDefault="00AC0832">
            <w:pPr>
              <w:pStyle w:val="CellColumn"/>
            </w:pPr>
            <w:r>
              <w:t>MSPM</w:t>
            </w:r>
          </w:p>
        </w:tc>
        <w:tc>
          <w:tcPr>
            <w:tcW w:w="1300" w:type="dxa"/>
          </w:tcPr>
          <w:p w:rsidR="00AC0832" w:rsidRDefault="00AC0832">
            <w:pPr>
              <w:pStyle w:val="CellColumn"/>
            </w:pPr>
            <w:r>
              <w:t>96/165</w:t>
            </w:r>
          </w:p>
        </w:tc>
        <w:tc>
          <w:tcPr>
            <w:tcW w:w="1300" w:type="dxa"/>
          </w:tcPr>
          <w:p w:rsidR="00AC0832" w:rsidRDefault="00AC0832">
            <w:pPr>
              <w:pStyle w:val="CellColumn"/>
            </w:pPr>
            <w:r>
              <w:t>91/160</w:t>
            </w:r>
          </w:p>
        </w:tc>
      </w:tr>
      <w:tr w:rsidR="00AC0832" w:rsidTr="00BE20ED">
        <w:trPr>
          <w:jc w:val="center"/>
        </w:trPr>
        <w:tc>
          <w:tcPr>
            <w:tcW w:w="1300" w:type="dxa"/>
          </w:tcPr>
          <w:p w:rsidR="00AC0832" w:rsidRDefault="00AC0832">
            <w:pPr>
              <w:pStyle w:val="CellColumn"/>
            </w:pPr>
            <w:r>
              <w:t>Povećanje broja korisnika u skladu s kriterijima</w:t>
            </w:r>
          </w:p>
        </w:tc>
        <w:tc>
          <w:tcPr>
            <w:tcW w:w="1300" w:type="dxa"/>
          </w:tcPr>
          <w:p w:rsidR="00AC0832" w:rsidRDefault="00AC0832">
            <w:pPr>
              <w:pStyle w:val="CellColumn"/>
            </w:pPr>
            <w:r>
              <w:t>Širenjem mreže usluga na nova područja obuhvatit  će se sve veći broj starijih osoba starijih kojima će biti omogućeno kvalitetnije starenje u vlastitom domu i bolja socijalna uključenost  u zajednicu kroz različite socijalizacijske aktivnosti boravaka.</w:t>
            </w:r>
          </w:p>
        </w:tc>
        <w:tc>
          <w:tcPr>
            <w:tcW w:w="1300" w:type="dxa"/>
          </w:tcPr>
          <w:p w:rsidR="00AC0832" w:rsidRDefault="00AC0832">
            <w:pPr>
              <w:pStyle w:val="CellColumn"/>
            </w:pPr>
            <w:r>
              <w:t>Broj starijih osoba/korisnika obuhvaćenih uslugama</w:t>
            </w:r>
          </w:p>
        </w:tc>
        <w:tc>
          <w:tcPr>
            <w:tcW w:w="1300" w:type="dxa"/>
          </w:tcPr>
          <w:p w:rsidR="00AC0832" w:rsidRDefault="00AC0832">
            <w:pPr>
              <w:pStyle w:val="CellColumn"/>
            </w:pPr>
            <w:r>
              <w:t>15.550</w:t>
            </w:r>
          </w:p>
        </w:tc>
        <w:tc>
          <w:tcPr>
            <w:tcW w:w="1300" w:type="dxa"/>
          </w:tcPr>
          <w:p w:rsidR="00AC0832" w:rsidRDefault="00AC0832">
            <w:pPr>
              <w:pStyle w:val="CellColumn"/>
            </w:pPr>
            <w:r>
              <w:t>MSPM</w:t>
            </w:r>
          </w:p>
        </w:tc>
        <w:tc>
          <w:tcPr>
            <w:tcW w:w="1300" w:type="dxa"/>
          </w:tcPr>
          <w:p w:rsidR="00AC0832" w:rsidRDefault="00AC0832">
            <w:pPr>
              <w:pStyle w:val="CellColumn"/>
            </w:pPr>
            <w:r>
              <w:t>16.550</w:t>
            </w:r>
          </w:p>
        </w:tc>
        <w:tc>
          <w:tcPr>
            <w:tcW w:w="1300" w:type="dxa"/>
          </w:tcPr>
          <w:p w:rsidR="00AC0832" w:rsidRDefault="00AC0832">
            <w:pPr>
              <w:pStyle w:val="CellColumn"/>
            </w:pPr>
            <w:r>
              <w:t>15.550</w:t>
            </w:r>
          </w:p>
        </w:tc>
      </w:tr>
      <w:tr w:rsidR="00AC0832" w:rsidTr="00BE20ED">
        <w:trPr>
          <w:jc w:val="center"/>
        </w:trPr>
        <w:tc>
          <w:tcPr>
            <w:tcW w:w="1300" w:type="dxa"/>
          </w:tcPr>
          <w:p w:rsidR="00AC0832" w:rsidRDefault="00AC0832">
            <w:pPr>
              <w:pStyle w:val="CellColumn"/>
            </w:pPr>
            <w:r>
              <w:t>Broj zaposlenih pružatelja usluga</w:t>
            </w:r>
          </w:p>
        </w:tc>
        <w:tc>
          <w:tcPr>
            <w:tcW w:w="1300" w:type="dxa"/>
          </w:tcPr>
          <w:p w:rsidR="00AC0832" w:rsidRDefault="00AC0832">
            <w:pPr>
              <w:pStyle w:val="CellColumn"/>
            </w:pPr>
            <w:r>
              <w:t>Povećanjem lokalnog zapošljavanja u socijalnim uslugama za starije smanjit će se postotak dugotrajno nezaposlenih i istovremeno osigurati kvalitetna skrb i veća dostupnost usluga za starije u lokalnim zajednicama.</w:t>
            </w:r>
          </w:p>
        </w:tc>
        <w:tc>
          <w:tcPr>
            <w:tcW w:w="1300" w:type="dxa"/>
          </w:tcPr>
          <w:p w:rsidR="00AC0832" w:rsidRDefault="00AC0832">
            <w:pPr>
              <w:pStyle w:val="CellColumn"/>
            </w:pPr>
            <w:r>
              <w:t>Broj pružatelja usluga</w:t>
            </w:r>
          </w:p>
        </w:tc>
        <w:tc>
          <w:tcPr>
            <w:tcW w:w="1300" w:type="dxa"/>
          </w:tcPr>
          <w:p w:rsidR="00AC0832" w:rsidRDefault="00AC0832">
            <w:pPr>
              <w:pStyle w:val="CellColumn"/>
            </w:pPr>
            <w:r>
              <w:t>1.045</w:t>
            </w:r>
          </w:p>
        </w:tc>
        <w:tc>
          <w:tcPr>
            <w:tcW w:w="1300" w:type="dxa"/>
          </w:tcPr>
          <w:p w:rsidR="00AC0832" w:rsidRDefault="00AC0832">
            <w:pPr>
              <w:pStyle w:val="CellColumn"/>
            </w:pPr>
            <w:r>
              <w:t>MSPM</w:t>
            </w:r>
          </w:p>
        </w:tc>
        <w:tc>
          <w:tcPr>
            <w:tcW w:w="1300" w:type="dxa"/>
          </w:tcPr>
          <w:p w:rsidR="00AC0832" w:rsidRDefault="00AC0832">
            <w:pPr>
              <w:pStyle w:val="CellColumn"/>
            </w:pPr>
            <w:r>
              <w:t>1.105</w:t>
            </w:r>
          </w:p>
        </w:tc>
        <w:tc>
          <w:tcPr>
            <w:tcW w:w="1300" w:type="dxa"/>
          </w:tcPr>
          <w:p w:rsidR="00AC0832" w:rsidRDefault="00AC0832">
            <w:pPr>
              <w:pStyle w:val="CellColumn"/>
            </w:pPr>
            <w:r>
              <w:t>1.045</w:t>
            </w:r>
          </w:p>
        </w:tc>
      </w:tr>
      <w:tr w:rsidR="00AC0832" w:rsidTr="00BE20ED">
        <w:trPr>
          <w:jc w:val="center"/>
        </w:trPr>
        <w:tc>
          <w:tcPr>
            <w:tcW w:w="1300" w:type="dxa"/>
          </w:tcPr>
          <w:p w:rsidR="00AC0832" w:rsidRDefault="00AC0832">
            <w:pPr>
              <w:pStyle w:val="CellColumn"/>
            </w:pPr>
            <w:r>
              <w:t>Broj organiziranih i medijskih kampanja, provedenih programa i akcija, te postupaka za promicanje pozitiivne slike o starijima u društvu</w:t>
            </w:r>
          </w:p>
        </w:tc>
        <w:tc>
          <w:tcPr>
            <w:tcW w:w="1300" w:type="dxa"/>
          </w:tcPr>
          <w:p w:rsidR="00AC0832" w:rsidRDefault="00AC0832">
            <w:pPr>
              <w:pStyle w:val="CellColumn"/>
            </w:pPr>
            <w:r>
              <w:t xml:space="preserve">Javno promoviranje pozitivnih stavova prema starijima te izazova s kojima se suočavaju kroz razne medijske i promotivne istupe </w:t>
            </w:r>
          </w:p>
          <w:p w:rsidR="00AC0832" w:rsidRDefault="00AC0832">
            <w:pPr>
              <w:pStyle w:val="CellColumn"/>
            </w:pPr>
            <w:r>
              <w:t>za jačanje svijesti o aktivnom starenju, solidarnosti među generacijama i suživotu starijih s mlađima; Obilježavanje Međunarodnog dana starijih, posebno obilježiti 2012. godinu – Europsku godinu aktivnog starenja i solidarnosti među generacijama.</w:t>
            </w:r>
          </w:p>
        </w:tc>
        <w:tc>
          <w:tcPr>
            <w:tcW w:w="1300" w:type="dxa"/>
          </w:tcPr>
          <w:p w:rsidR="00AC0832" w:rsidRDefault="00AC0832">
            <w:pPr>
              <w:pStyle w:val="CellColumn"/>
            </w:pPr>
            <w:r>
              <w:t>Broj međunarodnih dana, akcija, konferencija i okruglih stolova</w:t>
            </w:r>
          </w:p>
        </w:tc>
        <w:tc>
          <w:tcPr>
            <w:tcW w:w="1300" w:type="dxa"/>
          </w:tcPr>
          <w:p w:rsidR="00AC0832" w:rsidRDefault="00AC0832">
            <w:pPr>
              <w:pStyle w:val="CellColumn"/>
            </w:pPr>
            <w:r>
              <w:t>3</w:t>
            </w:r>
          </w:p>
        </w:tc>
        <w:tc>
          <w:tcPr>
            <w:tcW w:w="1300" w:type="dxa"/>
          </w:tcPr>
          <w:p w:rsidR="00AC0832" w:rsidRDefault="00AC0832">
            <w:pPr>
              <w:pStyle w:val="CellColumn"/>
            </w:pPr>
            <w:r>
              <w:t>MSPM</w:t>
            </w:r>
          </w:p>
        </w:tc>
        <w:tc>
          <w:tcPr>
            <w:tcW w:w="1300" w:type="dxa"/>
          </w:tcPr>
          <w:p w:rsidR="00AC0832" w:rsidRDefault="00AC0832">
            <w:pPr>
              <w:pStyle w:val="CellColumn"/>
            </w:pPr>
            <w:r>
              <w:t>4</w:t>
            </w:r>
          </w:p>
        </w:tc>
        <w:tc>
          <w:tcPr>
            <w:tcW w:w="1300" w:type="dxa"/>
          </w:tcPr>
          <w:p w:rsidR="00AC0832" w:rsidRDefault="00AC0832">
            <w:pPr>
              <w:pStyle w:val="CellColumn"/>
            </w:pPr>
            <w:r>
              <w:t>4</w:t>
            </w:r>
          </w:p>
        </w:tc>
      </w:tr>
    </w:tbl>
    <w:p w:rsidR="00AC0832" w:rsidRDefault="00AC0832">
      <w:pPr>
        <w:jc w:val="left"/>
      </w:pPr>
    </w:p>
    <w:p w:rsidR="00AC0832" w:rsidRDefault="00AC0832">
      <w:pPr>
        <w:pStyle w:val="Heading2"/>
      </w:pPr>
      <w:r>
        <w:t>10208 Proračunski  korisnici u socijalnoj skrbi</w:t>
      </w:r>
    </w:p>
    <w:p w:rsidR="00AC0832" w:rsidRDefault="00AC0832">
      <w:pPr>
        <w:pStyle w:val="Heading4"/>
      </w:pPr>
      <w:r>
        <w:t>Uvod</w:t>
      </w:r>
    </w:p>
    <w:p w:rsidR="00AC0832" w:rsidRDefault="00AC0832">
      <w:pPr>
        <w:pStyle w:val="Normal3"/>
      </w:pPr>
      <w:r>
        <w:t xml:space="preserve">Sustav socijalne skrbi definiran je Zakonom o socijalnoj skrbi kao temeljnim zakonom kojim se uređuje način obavljanja i financiranja djelatnosti socijalne skrbi, korisnici, prava, postupak za ostvarivanje tih prava, te druga pitanja od značenja za obavljanje ove djelatnosti. Socijalna skrb je djelatnost kojom se osigurava i ostvaruje pomoć za podmirenje osnovnih životnih potreba socijalno ugroženih, nemoćnih i drugih osoba. Pritom je riječ o potrebama koje ove osobe, zbog nepovoljnih osobnih, gospodarskih, socijalnih i drugih razloga, ne mogu zadovoljiti same ili uz pomoć članova obitelji.  </w:t>
      </w:r>
    </w:p>
    <w:p w:rsidR="00AC0832" w:rsidRDefault="00AC0832">
      <w:pPr>
        <w:pStyle w:val="Normal3"/>
      </w:pPr>
      <w:r>
        <w:t>Korisnici socijalne skrbi su samci i obitelji koji nemaju dovoljno sredstava za podmirenje osnovnih životnih potreba, dijete s invaliditetom ili psihički bolesno dijete i dijete prema kojem je ili bi trebala biti primijenjena mjera obiteljsko-pravne ili kazneno-pravne zaštite, osoba koja je u nevolji zbog poremećenih odnosa u obitelji ili drugih oblika društveno neprihvatljivog ponašanja, te odrasla osoba kojoj je radi invalidnosti, starosti, psihičke bolesti, trajnih promjena u zdravstvenom stanju, ovisnosti ili drugih razloga potrebna pomoć.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10208-Proračunski  korisnici u socijalnoj skrbi</w:t>
            </w:r>
          </w:p>
        </w:tc>
        <w:tc>
          <w:tcPr>
            <w:tcW w:w="2322" w:type="dxa"/>
          </w:tcPr>
          <w:p w:rsidR="00AC0832" w:rsidRDefault="00AC0832">
            <w:pPr>
              <w:pStyle w:val="CellColumn"/>
            </w:pPr>
            <w:r>
              <w:t>2.743.463.560</w:t>
            </w:r>
          </w:p>
        </w:tc>
        <w:tc>
          <w:tcPr>
            <w:tcW w:w="2322" w:type="dxa"/>
          </w:tcPr>
          <w:p w:rsidR="00AC0832" w:rsidRDefault="00AC0832">
            <w:pPr>
              <w:pStyle w:val="CellColumn"/>
            </w:pPr>
            <w:r>
              <w:t>2.758.876.222</w:t>
            </w:r>
          </w:p>
        </w:tc>
        <w:tc>
          <w:tcPr>
            <w:tcW w:w="2322" w:type="dxa"/>
          </w:tcPr>
          <w:p w:rsidR="00AC0832" w:rsidRDefault="00AC0832">
            <w:pPr>
              <w:pStyle w:val="CellColumn"/>
            </w:pPr>
            <w:r>
              <w:t>100,6</w:t>
            </w:r>
          </w:p>
        </w:tc>
      </w:tr>
      <w:tr w:rsidR="00AC0832" w:rsidTr="00BE20ED">
        <w:trPr>
          <w:jc w:val="center"/>
        </w:trPr>
        <w:tc>
          <w:tcPr>
            <w:tcW w:w="2322" w:type="dxa"/>
          </w:tcPr>
          <w:p w:rsidR="00AC0832" w:rsidRDefault="00AC0832">
            <w:pPr>
              <w:pStyle w:val="CellColumnSmall"/>
            </w:pPr>
            <w:r>
              <w:t>4001-SOCIJALNE POMOĆI I NAKNADE</w:t>
            </w:r>
          </w:p>
        </w:tc>
        <w:tc>
          <w:tcPr>
            <w:tcW w:w="2322" w:type="dxa"/>
          </w:tcPr>
          <w:p w:rsidR="00AC0832" w:rsidRDefault="00AC0832">
            <w:pPr>
              <w:pStyle w:val="CellColumnSmall"/>
            </w:pPr>
            <w:r>
              <w:t>1.834.901.755</w:t>
            </w:r>
          </w:p>
        </w:tc>
        <w:tc>
          <w:tcPr>
            <w:tcW w:w="2322" w:type="dxa"/>
          </w:tcPr>
          <w:p w:rsidR="00AC0832" w:rsidRDefault="00AC0832">
            <w:pPr>
              <w:pStyle w:val="CellColumnSmall"/>
            </w:pPr>
            <w:r>
              <w:t>1.843.517.308</w:t>
            </w:r>
          </w:p>
        </w:tc>
        <w:tc>
          <w:tcPr>
            <w:tcW w:w="2322" w:type="dxa"/>
          </w:tcPr>
          <w:p w:rsidR="00AC0832" w:rsidRDefault="00AC0832">
            <w:pPr>
              <w:pStyle w:val="CellColumnSmall"/>
            </w:pPr>
            <w:r>
              <w:t>100,5</w:t>
            </w:r>
          </w:p>
        </w:tc>
      </w:tr>
      <w:tr w:rsidR="00AC0832" w:rsidTr="00BE20ED">
        <w:trPr>
          <w:jc w:val="center"/>
        </w:trPr>
        <w:tc>
          <w:tcPr>
            <w:tcW w:w="2322" w:type="dxa"/>
          </w:tcPr>
          <w:p w:rsidR="00AC0832" w:rsidRDefault="00AC0832">
            <w:pPr>
              <w:pStyle w:val="CellColumnSmall"/>
            </w:pPr>
            <w:r>
              <w:t>4002-SKRB ZA SOCIJALNO OSJETLJIVE SKUPINE</w:t>
            </w:r>
          </w:p>
        </w:tc>
        <w:tc>
          <w:tcPr>
            <w:tcW w:w="2322" w:type="dxa"/>
          </w:tcPr>
          <w:p w:rsidR="00AC0832" w:rsidRDefault="00AC0832">
            <w:pPr>
              <w:pStyle w:val="CellColumnSmall"/>
            </w:pPr>
            <w:r>
              <w:t>900.014.295</w:t>
            </w:r>
          </w:p>
        </w:tc>
        <w:tc>
          <w:tcPr>
            <w:tcW w:w="2322" w:type="dxa"/>
          </w:tcPr>
          <w:p w:rsidR="00AC0832" w:rsidRDefault="00AC0832">
            <w:pPr>
              <w:pStyle w:val="CellColumnSmall"/>
            </w:pPr>
            <w:r>
              <w:t>895.328.890</w:t>
            </w:r>
          </w:p>
        </w:tc>
        <w:tc>
          <w:tcPr>
            <w:tcW w:w="2322" w:type="dxa"/>
          </w:tcPr>
          <w:p w:rsidR="00AC0832" w:rsidRDefault="00AC0832">
            <w:pPr>
              <w:pStyle w:val="CellColumnSmall"/>
            </w:pPr>
            <w:r>
              <w:t>99,5</w:t>
            </w:r>
          </w:p>
        </w:tc>
      </w:tr>
      <w:tr w:rsidR="00AC0832" w:rsidTr="00BE20ED">
        <w:trPr>
          <w:jc w:val="center"/>
        </w:trPr>
        <w:tc>
          <w:tcPr>
            <w:tcW w:w="2322" w:type="dxa"/>
          </w:tcPr>
          <w:p w:rsidR="00AC0832" w:rsidRDefault="00AC0832">
            <w:pPr>
              <w:pStyle w:val="CellColumnSmall"/>
            </w:pPr>
            <w:r>
              <w:t>4003-PODIZANJE KVALITETE I DOSTUPNOSTI SOCIJALNE SKRBI</w:t>
            </w:r>
          </w:p>
        </w:tc>
        <w:tc>
          <w:tcPr>
            <w:tcW w:w="2322" w:type="dxa"/>
          </w:tcPr>
          <w:p w:rsidR="00AC0832" w:rsidRDefault="00AC0832">
            <w:pPr>
              <w:pStyle w:val="CellColumnSmall"/>
            </w:pPr>
            <w:r>
              <w:t>8.547.510</w:t>
            </w:r>
          </w:p>
        </w:tc>
        <w:tc>
          <w:tcPr>
            <w:tcW w:w="2322" w:type="dxa"/>
          </w:tcPr>
          <w:p w:rsidR="00AC0832" w:rsidRDefault="00AC0832">
            <w:pPr>
              <w:pStyle w:val="CellColumnSmall"/>
            </w:pPr>
            <w:r>
              <w:t>20.030.024</w:t>
            </w:r>
          </w:p>
        </w:tc>
        <w:tc>
          <w:tcPr>
            <w:tcW w:w="2322" w:type="dxa"/>
          </w:tcPr>
          <w:p w:rsidR="00AC0832" w:rsidRDefault="00AC0832">
            <w:pPr>
              <w:pStyle w:val="CellColumnSmall"/>
            </w:pPr>
            <w:r>
              <w:t>234,3</w:t>
            </w:r>
          </w:p>
        </w:tc>
      </w:tr>
    </w:tbl>
    <w:p w:rsidR="00AC0832" w:rsidRDefault="00AC0832">
      <w:pPr>
        <w:jc w:val="left"/>
      </w:pPr>
    </w:p>
    <w:p w:rsidR="00AC0832" w:rsidRDefault="00AC0832">
      <w:pPr>
        <w:pStyle w:val="Heading4"/>
      </w:pPr>
      <w:r>
        <w:t>OBRAZLOŽENJE PROGRAMA</w:t>
      </w:r>
    </w:p>
    <w:p w:rsidR="00AC0832" w:rsidRDefault="00AC0832">
      <w:pPr>
        <w:pStyle w:val="Heading5"/>
      </w:pPr>
      <w:r>
        <w:t>4001 SOCIJALNE POMOĆI I NAKNADE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4001-SOCIJALNE POMOĆI I NAKNADE</w:t>
            </w:r>
          </w:p>
        </w:tc>
        <w:tc>
          <w:tcPr>
            <w:tcW w:w="2322" w:type="dxa"/>
          </w:tcPr>
          <w:p w:rsidR="00AC0832" w:rsidRDefault="00AC0832">
            <w:pPr>
              <w:pStyle w:val="CellColumn"/>
            </w:pPr>
            <w:r>
              <w:t>1.834.901.755</w:t>
            </w:r>
          </w:p>
        </w:tc>
        <w:tc>
          <w:tcPr>
            <w:tcW w:w="2322" w:type="dxa"/>
          </w:tcPr>
          <w:p w:rsidR="00AC0832" w:rsidRDefault="00AC0832">
            <w:pPr>
              <w:pStyle w:val="CellColumn"/>
            </w:pPr>
            <w:r>
              <w:t>1.843.517.308</w:t>
            </w:r>
          </w:p>
        </w:tc>
        <w:tc>
          <w:tcPr>
            <w:tcW w:w="2322" w:type="dxa"/>
          </w:tcPr>
          <w:p w:rsidR="00AC0832" w:rsidRDefault="00AC0832">
            <w:pPr>
              <w:pStyle w:val="CellColumn"/>
            </w:pPr>
            <w:r>
              <w:t>100,5</w:t>
            </w:r>
          </w:p>
        </w:tc>
      </w:tr>
    </w:tbl>
    <w:p w:rsidR="00AC0832" w:rsidRDefault="00AC0832">
      <w:pPr>
        <w:jc w:val="left"/>
      </w:pPr>
    </w:p>
    <w:p w:rsidR="00AC0832" w:rsidRDefault="00AC0832">
      <w:pPr>
        <w:pStyle w:val="Heading6"/>
      </w:pPr>
      <w:r>
        <w:t>Opis programa</w:t>
      </w:r>
    </w:p>
    <w:p w:rsidR="00AC0832" w:rsidRDefault="00AC0832">
      <w:pPr>
        <w:pStyle w:val="Normal5"/>
      </w:pPr>
      <w:r>
        <w:t>Na ovom programu osiguravaju se sredstava za isplatu prava iz sustava socijalne skrbi kako slijedi: pomoć za uzdržavanje, doplatak za pomoć i njegu, osobna invalidnina, pomoć i njega u kuci, pravo na status roditelja njegovatelja, jednokratna pomoć, osobna naknada udomitelju, naknada za smještaj u udomiteljsku obitelj, pravo na privremeno uzdržavanje djece, ostale naknade i pomoći u sklopu kojih se osiguravaju sredstva za smještaj i novčana naknada tražitelja azila, azilanata i stranaca pod privremenom zaštitom.</w:t>
      </w:r>
    </w:p>
    <w:p w:rsidR="00AC0832" w:rsidRDefault="00AC0832">
      <w:pPr>
        <w:pStyle w:val="Heading6"/>
      </w:pPr>
      <w:r>
        <w:t>Zakonske i druge pravne osnove</w:t>
      </w:r>
    </w:p>
    <w:p w:rsidR="00AC0832" w:rsidRDefault="00AC0832">
      <w:pPr>
        <w:pStyle w:val="Normal5"/>
      </w:pPr>
      <w:r>
        <w:t>Zakon o socijalnoj skrbi, Zakon o udomiteljstvu, Obiteljski zakon, Zakon o azilu, te provedbeni propisi.</w:t>
      </w:r>
    </w:p>
    <w:p w:rsidR="00AC0832" w:rsidRDefault="00AC0832">
      <w:pPr>
        <w:pStyle w:val="Heading7"/>
      </w:pPr>
      <w:r>
        <w:t>Cilj 1. Povećanje djelotvornosti sustava socijalnih pomoći i naknada</w:t>
      </w:r>
    </w:p>
    <w:p w:rsidR="00AC0832" w:rsidRDefault="00AC0832">
      <w:pPr>
        <w:pStyle w:val="Heading8"/>
        <w:jc w:val="left"/>
      </w:pPr>
      <w:r>
        <w:t>Opis provedbe cilja programa</w:t>
      </w:r>
    </w:p>
    <w:p w:rsidR="00AC0832" w:rsidRDefault="00AC0832">
      <w:pPr>
        <w:pStyle w:val="Normal6"/>
      </w:pPr>
      <w:r>
        <w:t>Zbog zadovoljavanja sve složenijih i brojnijih potreba korisnika i drugih građana koji se sve češće nalaze u ozbiljnom riziku od siromaštva, uvažavajući pritom specifičnosti određenih područja zbog običaja i načina življenja, te potrebu smanjivanja regionalnih razlika u dostupnosti uslugama, naglasak se stavlja na bolju usmjerenost novčanih naknada. U kontekstu daljnjeg razvoja sustava socijalne skrbi planira se redefiniranje sustava socijalnih naknada. U cilju povećanja djelotvornosti sustava socijalnih naknada pristupilo se izradi novog Zakona o socijalnoj skrbi kojim će se postići bolja ciljanost, odnosno, usmjeravanje socijalnih pomoći prema onima kojima je to uistinu neophodno. U svrhu realizacije tog cilja Zakonom će se propisati imovinski cenzus. Zadržavanje dostignute razine socijalne zaštite uz istovremeno njihovu bolju ciljanost postiglo bi se objedinjavanjem socijalnih naknada. Novim Zakonom uvest će se i institut zajamčene minimalne naknade: to je novi oblik socijalne naknade kojom država jamči da će svake godine, sukladno raspoloživim sredstvima, uredbom Vlade RH propisivati visinu iznosa na koji će imati pravo svaka osoba s nedostatnim prihodima i imovinom za ostvarivanje osnovnih životnih potreba. Također, uvođenje zajamčene minimalne naknade predstavlja početak objedinjavanja i korak u pravcu uvođenja jedinstvenog centra za novčane naknade “ONE STOP SHOP” koji bi administrativno i upravno preuzeo kontrolu nad svim naknadama koje trenutno provode centri za socijalnu skrb, uredi HZZO-a, HZMO-a, HZZ-a, uredi državne uprave.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04"/>
        <w:gridCol w:w="1595"/>
        <w:gridCol w:w="1017"/>
        <w:gridCol w:w="2061"/>
        <w:gridCol w:w="1089"/>
        <w:gridCol w:w="1152"/>
        <w:gridCol w:w="117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Smanjena stopa rizika od siromaštva</w:t>
            </w:r>
          </w:p>
        </w:tc>
        <w:tc>
          <w:tcPr>
            <w:tcW w:w="1300" w:type="dxa"/>
          </w:tcPr>
          <w:p w:rsidR="00AC0832" w:rsidRDefault="00AC0832">
            <w:pPr>
              <w:pStyle w:val="CellColumn"/>
            </w:pPr>
            <w:r>
              <w:t>Postotak osoba koje žive u kućanstvima kojima je neto ekvivalentni dohodak ispod praga rizika od siromaštva.</w:t>
            </w:r>
          </w:p>
        </w:tc>
        <w:tc>
          <w:tcPr>
            <w:tcW w:w="1300" w:type="dxa"/>
          </w:tcPr>
          <w:p w:rsidR="00AC0832" w:rsidRDefault="00AC0832">
            <w:pPr>
              <w:pStyle w:val="CellColumn"/>
            </w:pPr>
            <w:r>
              <w:t>% ili broj</w:t>
            </w:r>
          </w:p>
        </w:tc>
        <w:tc>
          <w:tcPr>
            <w:tcW w:w="1300" w:type="dxa"/>
          </w:tcPr>
          <w:p w:rsidR="00AC0832" w:rsidRDefault="00AC0832">
            <w:pPr>
              <w:pStyle w:val="CellColumn"/>
            </w:pPr>
            <w:r>
              <w:t>17,4% (RH), EUROBAROMETAR ZA EU</w:t>
            </w:r>
          </w:p>
        </w:tc>
        <w:tc>
          <w:tcPr>
            <w:tcW w:w="1300" w:type="dxa"/>
          </w:tcPr>
          <w:p w:rsidR="00AC0832" w:rsidRDefault="00AC0832">
            <w:pPr>
              <w:pStyle w:val="CellColumn"/>
            </w:pPr>
            <w:r>
              <w:t>DZS, 2008</w:t>
            </w:r>
          </w:p>
        </w:tc>
        <w:tc>
          <w:tcPr>
            <w:tcW w:w="1300" w:type="dxa"/>
          </w:tcPr>
          <w:p w:rsidR="00AC0832" w:rsidRDefault="00AC0832">
            <w:pPr>
              <w:pStyle w:val="CellColumn"/>
            </w:pPr>
            <w:r>
              <w:t>Plus, minus 3 % EU prosjeka</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Zadržana razina naknada</w:t>
            </w:r>
          </w:p>
        </w:tc>
        <w:tc>
          <w:tcPr>
            <w:tcW w:w="1300" w:type="dxa"/>
          </w:tcPr>
          <w:p w:rsidR="00AC0832" w:rsidRDefault="00AC0832">
            <w:pPr>
              <w:pStyle w:val="CellColumn"/>
            </w:pPr>
            <w:r>
              <w:t>Učinkovitim i pravovremenim rješavanjem zahtjeva za ostvarivanjem prava iz Zakona.</w:t>
            </w:r>
          </w:p>
        </w:tc>
        <w:tc>
          <w:tcPr>
            <w:tcW w:w="1300" w:type="dxa"/>
          </w:tcPr>
          <w:p w:rsidR="00AC0832" w:rsidRDefault="00AC0832">
            <w:pPr>
              <w:pStyle w:val="CellColumn"/>
            </w:pPr>
            <w:r>
              <w:t>kuna</w:t>
            </w:r>
          </w:p>
        </w:tc>
        <w:tc>
          <w:tcPr>
            <w:tcW w:w="1300" w:type="dxa"/>
          </w:tcPr>
          <w:p w:rsidR="00AC0832" w:rsidRDefault="00AC0832">
            <w:pPr>
              <w:pStyle w:val="CellColumn"/>
            </w:pPr>
            <w:r>
              <w:t>0</w:t>
            </w:r>
          </w:p>
        </w:tc>
        <w:tc>
          <w:tcPr>
            <w:tcW w:w="1300" w:type="dxa"/>
          </w:tcPr>
          <w:p w:rsidR="00AC0832" w:rsidRDefault="00AC0832">
            <w:pPr>
              <w:pStyle w:val="CellColumn"/>
            </w:pPr>
            <w:r>
              <w:t>Državni proračun</w:t>
            </w:r>
          </w:p>
        </w:tc>
        <w:tc>
          <w:tcPr>
            <w:tcW w:w="1300" w:type="dxa"/>
          </w:tcPr>
          <w:p w:rsidR="00AC0832" w:rsidRDefault="00AC0832">
            <w:pPr>
              <w:pStyle w:val="CellColumn"/>
            </w:pPr>
            <w:r>
              <w:t>Plus, minus 1% polazne vrijednosti</w:t>
            </w: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p>
    <w:p w:rsidR="00AC0832" w:rsidRDefault="00AC0832">
      <w:pPr>
        <w:pStyle w:val="Heading6"/>
      </w:pPr>
    </w:p>
    <w:p w:rsidR="00AC0832" w:rsidRDefault="00AC0832">
      <w:pPr>
        <w:pStyle w:val="Heading6"/>
      </w:pPr>
    </w:p>
    <w:p w:rsidR="00AC0832" w:rsidRDefault="00AC0832">
      <w:pPr>
        <w:pStyle w:val="Heading6"/>
      </w:pPr>
      <w:r>
        <w:t>A734169 DOPLATAK ZA POMOĆ I NJEGU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A734169-DOPLATAK ZA POMOĆ I NJEGU</w:t>
            </w:r>
          </w:p>
        </w:tc>
        <w:tc>
          <w:tcPr>
            <w:tcW w:w="2322" w:type="dxa"/>
          </w:tcPr>
          <w:p w:rsidR="00AC0832" w:rsidRDefault="00AC0832">
            <w:pPr>
              <w:pStyle w:val="CellColumn"/>
            </w:pPr>
            <w:r>
              <w:t>433.200.000</w:t>
            </w:r>
          </w:p>
        </w:tc>
        <w:tc>
          <w:tcPr>
            <w:tcW w:w="2322" w:type="dxa"/>
          </w:tcPr>
          <w:p w:rsidR="00AC0832" w:rsidRDefault="00AC0832">
            <w:pPr>
              <w:pStyle w:val="CellColumn"/>
            </w:pPr>
            <w:r>
              <w:t>431.584.918</w:t>
            </w:r>
          </w:p>
        </w:tc>
        <w:tc>
          <w:tcPr>
            <w:tcW w:w="2322" w:type="dxa"/>
          </w:tcPr>
          <w:p w:rsidR="00AC0832" w:rsidRDefault="00AC0832">
            <w:pPr>
              <w:pStyle w:val="CellColumn"/>
            </w:pPr>
            <w:r>
              <w:t>99,6</w:t>
            </w:r>
          </w:p>
        </w:tc>
      </w:tr>
    </w:tbl>
    <w:p w:rsidR="00AC0832" w:rsidRDefault="00AC0832">
      <w:pPr>
        <w:jc w:val="left"/>
      </w:pPr>
    </w:p>
    <w:p w:rsidR="00AC0832" w:rsidRDefault="00AC0832">
      <w:pPr>
        <w:pStyle w:val="Heading8"/>
        <w:jc w:val="left"/>
      </w:pPr>
      <w:r>
        <w:t>Opis provedbe aktivnosti / projekta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8"/>
        <w:gridCol w:w="1517"/>
        <w:gridCol w:w="1287"/>
        <w:gridCol w:w="1291"/>
        <w:gridCol w:w="1290"/>
        <w:gridCol w:w="1291"/>
        <w:gridCol w:w="129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Smanjen broj dokumenata potrebnih za ostvarivanje prava</w:t>
            </w:r>
          </w:p>
        </w:tc>
        <w:tc>
          <w:tcPr>
            <w:tcW w:w="1300" w:type="dxa"/>
          </w:tcPr>
          <w:p w:rsidR="00AC0832" w:rsidRDefault="00AC0832">
            <w:pPr>
              <w:pStyle w:val="CellColumn"/>
            </w:pPr>
            <w:r>
              <w:t>Smanjeno administriranje odnosi se na broj dokumenata koje korisnik predaje uz zahtjev za ostvarivanje prava u sustavu socijalne skrbi na čiji bi broj trebalo utjecati redefiniranje novčanih pomoći, "ured sve na jednom mjestu", informatizacija (OIB), te uvođenje jedinstvenog tijela vještačenja.</w:t>
            </w:r>
          </w:p>
        </w:tc>
        <w:tc>
          <w:tcPr>
            <w:tcW w:w="1300" w:type="dxa"/>
          </w:tcPr>
          <w:p w:rsidR="00AC0832" w:rsidRDefault="00AC0832">
            <w:pPr>
              <w:pStyle w:val="CellColumn"/>
            </w:pPr>
            <w:r>
              <w:t>broj</w:t>
            </w:r>
          </w:p>
        </w:tc>
        <w:tc>
          <w:tcPr>
            <w:tcW w:w="1300" w:type="dxa"/>
          </w:tcPr>
          <w:p w:rsidR="00AC0832" w:rsidRDefault="00AC0832">
            <w:pPr>
              <w:pStyle w:val="CellColumn"/>
            </w:pPr>
            <w:r>
              <w:t>7</w:t>
            </w:r>
          </w:p>
        </w:tc>
        <w:tc>
          <w:tcPr>
            <w:tcW w:w="1300" w:type="dxa"/>
          </w:tcPr>
          <w:p w:rsidR="00AC0832" w:rsidRDefault="00AC0832">
            <w:pPr>
              <w:pStyle w:val="CellColumn"/>
            </w:pPr>
            <w:r>
              <w:t>MSPM</w:t>
            </w:r>
          </w:p>
        </w:tc>
        <w:tc>
          <w:tcPr>
            <w:tcW w:w="1300" w:type="dxa"/>
          </w:tcPr>
          <w:p w:rsidR="00AC0832" w:rsidRDefault="00AC0832">
            <w:pPr>
              <w:pStyle w:val="CellColumn"/>
            </w:pPr>
            <w:r>
              <w:t>6</w:t>
            </w:r>
          </w:p>
        </w:tc>
        <w:tc>
          <w:tcPr>
            <w:tcW w:w="1300" w:type="dxa"/>
          </w:tcPr>
          <w:p w:rsidR="00AC0832" w:rsidRDefault="00AC0832">
            <w:pPr>
              <w:pStyle w:val="CellColumn"/>
            </w:pPr>
            <w:r>
              <w:t>7</w:t>
            </w:r>
          </w:p>
        </w:tc>
      </w:tr>
      <w:tr w:rsidR="00AC0832" w:rsidTr="00BE20ED">
        <w:trPr>
          <w:jc w:val="center"/>
        </w:trPr>
        <w:tc>
          <w:tcPr>
            <w:tcW w:w="1300" w:type="dxa"/>
          </w:tcPr>
          <w:p w:rsidR="00AC0832" w:rsidRDefault="00AC0832">
            <w:pPr>
              <w:pStyle w:val="CellColumn"/>
            </w:pPr>
            <w:r>
              <w:t>Smanjeno vrijeme za ostvarivanje novčanih pomoći</w:t>
            </w:r>
          </w:p>
        </w:tc>
        <w:tc>
          <w:tcPr>
            <w:tcW w:w="1300" w:type="dxa"/>
          </w:tcPr>
          <w:p w:rsidR="00AC0832" w:rsidRDefault="00AC0832">
            <w:pPr>
              <w:pStyle w:val="CellColumn"/>
            </w:pPr>
            <w:r>
              <w:t>Prosječno vrijeme administriranja po jednom predmetu. Početna vrijednost je procjena za ostvarivanje prava na stalnu pomoć koja se najčešće dodjeljuje u zavodima za socijalnu skrb u županiji (s područnim centrima i uredima).</w:t>
            </w:r>
          </w:p>
        </w:tc>
        <w:tc>
          <w:tcPr>
            <w:tcW w:w="1300" w:type="dxa"/>
          </w:tcPr>
          <w:p w:rsidR="00AC0832" w:rsidRDefault="00AC0832">
            <w:pPr>
              <w:pStyle w:val="CellColumn"/>
            </w:pPr>
            <w:r>
              <w:t>dani</w:t>
            </w:r>
          </w:p>
        </w:tc>
        <w:tc>
          <w:tcPr>
            <w:tcW w:w="1300" w:type="dxa"/>
          </w:tcPr>
          <w:p w:rsidR="00AC0832" w:rsidRDefault="00AC0832">
            <w:pPr>
              <w:pStyle w:val="CellColumn"/>
            </w:pPr>
            <w:r>
              <w:t>30</w:t>
            </w:r>
          </w:p>
        </w:tc>
        <w:tc>
          <w:tcPr>
            <w:tcW w:w="1300" w:type="dxa"/>
          </w:tcPr>
          <w:p w:rsidR="00AC0832" w:rsidRDefault="00AC0832">
            <w:pPr>
              <w:pStyle w:val="CellColumn"/>
            </w:pPr>
            <w:r>
              <w:t>MSPM</w:t>
            </w:r>
          </w:p>
        </w:tc>
        <w:tc>
          <w:tcPr>
            <w:tcW w:w="1300" w:type="dxa"/>
          </w:tcPr>
          <w:p w:rsidR="00AC0832" w:rsidRDefault="00AC0832">
            <w:pPr>
              <w:pStyle w:val="CellColumn"/>
            </w:pPr>
            <w:r>
              <w:t>30</w:t>
            </w:r>
          </w:p>
        </w:tc>
        <w:tc>
          <w:tcPr>
            <w:tcW w:w="1300" w:type="dxa"/>
          </w:tcPr>
          <w:p w:rsidR="00AC0832" w:rsidRDefault="00AC0832">
            <w:pPr>
              <w:pStyle w:val="CellColumn"/>
            </w:pPr>
            <w:r>
              <w:t>30</w:t>
            </w:r>
          </w:p>
        </w:tc>
      </w:tr>
    </w:tbl>
    <w:p w:rsidR="00AC0832" w:rsidRDefault="00AC0832">
      <w:pPr>
        <w:jc w:val="left"/>
      </w:pPr>
    </w:p>
    <w:p w:rsidR="00AC0832" w:rsidRDefault="00AC0832">
      <w:pPr>
        <w:pStyle w:val="Heading6"/>
      </w:pPr>
      <w:r>
        <w:t>A790002 POMOĆ I NJEGA U KUĆI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A790002-POMOĆ I NJEGA U KUĆI</w:t>
            </w:r>
          </w:p>
        </w:tc>
        <w:tc>
          <w:tcPr>
            <w:tcW w:w="2322" w:type="dxa"/>
          </w:tcPr>
          <w:p w:rsidR="00AC0832" w:rsidRDefault="00AC0832">
            <w:pPr>
              <w:pStyle w:val="CellColumn"/>
            </w:pPr>
            <w:r>
              <w:t>11.830.000</w:t>
            </w:r>
          </w:p>
        </w:tc>
        <w:tc>
          <w:tcPr>
            <w:tcW w:w="2322" w:type="dxa"/>
          </w:tcPr>
          <w:p w:rsidR="00AC0832" w:rsidRDefault="00AC0832">
            <w:pPr>
              <w:pStyle w:val="CellColumn"/>
            </w:pPr>
            <w:r>
              <w:t>11.572.072</w:t>
            </w:r>
          </w:p>
        </w:tc>
        <w:tc>
          <w:tcPr>
            <w:tcW w:w="2322" w:type="dxa"/>
          </w:tcPr>
          <w:p w:rsidR="00AC0832" w:rsidRDefault="00AC0832">
            <w:pPr>
              <w:pStyle w:val="CellColumn"/>
            </w:pPr>
            <w:r>
              <w:t>97,8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Tijekom 2012. godine pravo na pomoć i njegu u kući (organiziranje prehrane, obavljanje kućanskih poslova, održavanje osobne higijene i zadovoljavanje drugih svakodnevnih potreba) za osobe kojima je zbog tjelesnog, mentalnog, intelektualnog ili osjetilnog oštećenja ili trajnih promjena u zdravstvenom stanju ili starosti prijeko potrebna pomoć i njega druge osobe ostvarilo je ukupno 1.299 korisnika kojim je pružena 1.979 usluga.</w:t>
      </w:r>
    </w:p>
    <w:p w:rsidR="00AC0832" w:rsidRDefault="00AC0832">
      <w:pPr>
        <w:pStyle w:val="Heading5"/>
      </w:pPr>
      <w:r>
        <w:t>4002 SKRB ZA SOCIJALNO OSJETLJIVE SKUPINE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4002-SKRB ZA SOCIJALNO OSJETLJIVE SKUPINE</w:t>
            </w:r>
          </w:p>
        </w:tc>
        <w:tc>
          <w:tcPr>
            <w:tcW w:w="2322" w:type="dxa"/>
          </w:tcPr>
          <w:p w:rsidR="00AC0832" w:rsidRDefault="00AC0832">
            <w:pPr>
              <w:pStyle w:val="CellColumn"/>
            </w:pPr>
            <w:r>
              <w:t>900.014.295</w:t>
            </w:r>
          </w:p>
        </w:tc>
        <w:tc>
          <w:tcPr>
            <w:tcW w:w="2322" w:type="dxa"/>
          </w:tcPr>
          <w:p w:rsidR="00AC0832" w:rsidRDefault="00AC0832">
            <w:pPr>
              <w:pStyle w:val="CellColumn"/>
            </w:pPr>
            <w:r>
              <w:t>895.328.890</w:t>
            </w:r>
          </w:p>
        </w:tc>
        <w:tc>
          <w:tcPr>
            <w:tcW w:w="2322" w:type="dxa"/>
          </w:tcPr>
          <w:p w:rsidR="00AC0832" w:rsidRDefault="00AC0832">
            <w:pPr>
              <w:pStyle w:val="CellColumn"/>
            </w:pPr>
            <w:r>
              <w:t>99,5</w:t>
            </w:r>
          </w:p>
        </w:tc>
      </w:tr>
    </w:tbl>
    <w:p w:rsidR="00AC0832" w:rsidRDefault="00AC0832">
      <w:pPr>
        <w:jc w:val="left"/>
      </w:pPr>
    </w:p>
    <w:p w:rsidR="00AC0832" w:rsidRDefault="00AC0832">
      <w:pPr>
        <w:pStyle w:val="Heading6"/>
      </w:pPr>
      <w:r>
        <w:t>Opis programa</w:t>
      </w:r>
    </w:p>
    <w:p w:rsidR="00AC0832" w:rsidRDefault="00AC0832">
      <w:pPr>
        <w:pStyle w:val="Normal5"/>
      </w:pPr>
      <w:r>
        <w:t>Program obuhvaća osiguranje sredstava za rashode za zaposlene (bruto plaće, naknade plaće, doprinosi poslodavca, naknade troškova zaposlenima) u centrima za socijalnu skrb i sredstva za redovan rad državnih domova, i to: za rashode za zaposlene, materijalne rashode, financijske rashode i naknade građanima i kućanstvima (džeparac; pomoć za troškove prijevoza korisnika; sredstva za kulturno zabavne potrebe i si.).</w:t>
      </w:r>
    </w:p>
    <w:p w:rsidR="00AC0832" w:rsidRDefault="00AC0832">
      <w:pPr>
        <w:pStyle w:val="Heading6"/>
      </w:pPr>
      <w:r>
        <w:t>Zakonske i druge pravne osnove</w:t>
      </w:r>
    </w:p>
    <w:p w:rsidR="00AC0832" w:rsidRDefault="00AC0832">
      <w:pPr>
        <w:pStyle w:val="Normal5"/>
      </w:pPr>
      <w:r>
        <w:t>Zakon o socijalnoj skrbi</w:t>
      </w:r>
    </w:p>
    <w:p w:rsidR="00AC0832" w:rsidRDefault="00AC0832">
      <w:pPr>
        <w:pStyle w:val="Heading7"/>
      </w:pPr>
      <w:r>
        <w:t>Cilj 1. Poboljšanje kvalitete života osoba s invaliditetom</w:t>
      </w:r>
    </w:p>
    <w:p w:rsidR="00AC0832" w:rsidRDefault="00AC0832">
      <w:pPr>
        <w:pStyle w:val="Heading8"/>
        <w:jc w:val="left"/>
      </w:pPr>
      <w:r>
        <w:t>Opis provedbe cilja programa</w:t>
      </w:r>
    </w:p>
    <w:p w:rsidR="00AC0832" w:rsidRDefault="00AC0832">
      <w:pPr>
        <w:pStyle w:val="Normal6"/>
      </w:pPr>
      <w:r>
        <w:t>Kvalitetnom vertikalnom i horizontalnom koordinacijom provedbe mjera definiranih Nacionalnom strategijom izjednačavanja mogućnosti za osobe s invaliditetom 2007. do 2015. u nadležnosti tijela državne uprave, međuresornom suradnjom i provođenjem mjera na lokalnoj razini, suradnjom s jedinicama lokalne, područne (regionalne) samouprave te organizacijama civilnog društva, kao i dobrim usklađivanjem s drugim politikama koje se bave osobama s invaliditetom, pridonosi se osiguravanju kvalitetnijih uvjeta života u zajednici za osobe s invaliditetom, što rezultira i kvalitetnijim ostvarivanjem navedenog cilja. Izrada Izvješća o provedbi Nacionalne strategije, u kojem su jasno vidljivi pokazatelji učinkovitosti sustava praćenja i procjene napretka u ostvarivanju ukupnih ciljeva Strategije, omogućavaju reviziju mjera i prioriteta, te su također i podloga za izradu strategije za razvoj politike za osobe s invaliditetom u narednom razdoblju sukladno obvezama po Konvenciji o pravima osoba s invaliditetom.</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1"/>
        <w:gridCol w:w="1384"/>
        <w:gridCol w:w="1250"/>
        <w:gridCol w:w="1179"/>
        <w:gridCol w:w="1540"/>
        <w:gridCol w:w="1179"/>
        <w:gridCol w:w="121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 broj provedenih aktivnosti definiranih Nacionalnom strategijom izjednačavanja mogućnosti za osobe s invaliditetom od 2007. do 2015. godine</w:t>
            </w:r>
          </w:p>
        </w:tc>
        <w:tc>
          <w:tcPr>
            <w:tcW w:w="1300" w:type="dxa"/>
          </w:tcPr>
          <w:p w:rsidR="00AC0832" w:rsidRDefault="00AC0832">
            <w:pPr>
              <w:pStyle w:val="CellColumn"/>
            </w:pPr>
            <w:r>
              <w:t>Provedbom većeg broja mjera odnosno definiranih aktivnosti iz Nacionalne strategije povećava se kvaliteta života osoba  s invaliditetom.</w:t>
            </w:r>
          </w:p>
        </w:tc>
        <w:tc>
          <w:tcPr>
            <w:tcW w:w="1300" w:type="dxa"/>
          </w:tcPr>
          <w:p w:rsidR="00AC0832" w:rsidRDefault="00AC0832">
            <w:pPr>
              <w:pStyle w:val="CellColumn"/>
            </w:pPr>
            <w:r>
              <w:t>broj provedenih aktivnosti</w:t>
            </w:r>
          </w:p>
        </w:tc>
        <w:tc>
          <w:tcPr>
            <w:tcW w:w="1300" w:type="dxa"/>
          </w:tcPr>
          <w:p w:rsidR="00AC0832" w:rsidRDefault="00AC0832">
            <w:pPr>
              <w:pStyle w:val="CellColumn"/>
            </w:pPr>
            <w:r>
              <w:t>232</w:t>
            </w:r>
          </w:p>
        </w:tc>
        <w:tc>
          <w:tcPr>
            <w:tcW w:w="1300" w:type="dxa"/>
          </w:tcPr>
          <w:p w:rsidR="00AC0832" w:rsidRDefault="00AC0832">
            <w:pPr>
              <w:pStyle w:val="CellColumn"/>
            </w:pPr>
            <w:r>
              <w:t>Izvješće o provedbi mjera Nacional-ne strategije izjednačavanja mogućnosti za osobe s invalidite-tom u 2009. godini</w:t>
            </w:r>
          </w:p>
        </w:tc>
        <w:tc>
          <w:tcPr>
            <w:tcW w:w="1300" w:type="dxa"/>
          </w:tcPr>
          <w:p w:rsidR="00AC0832" w:rsidRDefault="00AC0832">
            <w:pPr>
              <w:pStyle w:val="CellColumn"/>
            </w:pPr>
            <w:r>
              <w:t>256</w:t>
            </w:r>
          </w:p>
        </w:tc>
        <w:tc>
          <w:tcPr>
            <w:tcW w:w="1300" w:type="dxa"/>
          </w:tcPr>
          <w:p w:rsidR="00AC0832" w:rsidRDefault="00AC0832">
            <w:pPr>
              <w:pStyle w:val="CellColumn"/>
            </w:pPr>
            <w:r>
              <w:t>241</w:t>
            </w:r>
          </w:p>
        </w:tc>
      </w:tr>
    </w:tbl>
    <w:p w:rsidR="00AC0832" w:rsidRDefault="00AC0832">
      <w:pPr>
        <w:jc w:val="left"/>
      </w:pPr>
    </w:p>
    <w:p w:rsidR="00AC0832" w:rsidRDefault="00AC0832">
      <w:pPr>
        <w:pStyle w:val="Heading7"/>
      </w:pPr>
      <w:r>
        <w:t>Cilj 2. Poboljšanje kvalitete života starijih osoba</w:t>
      </w:r>
    </w:p>
    <w:p w:rsidR="00AC0832" w:rsidRDefault="00AC0832">
      <w:pPr>
        <w:pStyle w:val="Heading8"/>
        <w:jc w:val="left"/>
      </w:pPr>
      <w:r>
        <w:t>Opis provedbe cilja programa</w:t>
      </w:r>
    </w:p>
    <w:p w:rsidR="00AC0832" w:rsidRDefault="00AC0832">
      <w:pPr>
        <w:pStyle w:val="Normal6"/>
      </w:pPr>
      <w:r>
        <w:t>Proračunske aktivnosti namijenjene starijim osobama odnose se na poboljšavanje kvalitete života starijih osoba, i to razvijanjem ponude socijalnih usluga za samostalno življenje starijih u suradnji s lokalnim/područnim samoupravama i organizacijama civilnog društva. Pritom se prvenstveno misli na usluge pomoći u kući i organiziranje dnevnih boravaka za starije osobe, u svrhu sprečavanja socijalne isključenosti te prevencije institucionalizacije.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1995"/>
        <w:gridCol w:w="970"/>
        <w:gridCol w:w="1085"/>
        <w:gridCol w:w="1054"/>
        <w:gridCol w:w="1085"/>
        <w:gridCol w:w="114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 lokalnih zajednica u kojima se pružaju izvaninstitucionalne usluge za starije osobe</w:t>
            </w:r>
          </w:p>
        </w:tc>
        <w:tc>
          <w:tcPr>
            <w:tcW w:w="1300" w:type="dxa"/>
          </w:tcPr>
          <w:p w:rsidR="00AC0832" w:rsidRDefault="00AC0832">
            <w:pPr>
              <w:pStyle w:val="CellColumn"/>
            </w:pPr>
            <w:r>
              <w:t>Proširenjem mreže izvaninstitucionalnih usluga za starije povećava se dostupnost usluga i omogućava duži boravak u vlastitom domu starijih, bolja socijalna uključenost i smanjenje broja zahtjeva za smještajem  u institucijama</w:t>
            </w:r>
          </w:p>
        </w:tc>
        <w:tc>
          <w:tcPr>
            <w:tcW w:w="1300" w:type="dxa"/>
          </w:tcPr>
          <w:p w:rsidR="00AC0832" w:rsidRDefault="00AC0832">
            <w:pPr>
              <w:pStyle w:val="CellColumn"/>
            </w:pPr>
            <w:r>
              <w:t>%</w:t>
            </w:r>
          </w:p>
        </w:tc>
        <w:tc>
          <w:tcPr>
            <w:tcW w:w="1300" w:type="dxa"/>
          </w:tcPr>
          <w:p w:rsidR="00AC0832" w:rsidRDefault="00AC0832">
            <w:pPr>
              <w:pStyle w:val="CellColumn"/>
            </w:pPr>
            <w:r>
              <w:t>25</w:t>
            </w:r>
          </w:p>
        </w:tc>
        <w:tc>
          <w:tcPr>
            <w:tcW w:w="1300" w:type="dxa"/>
          </w:tcPr>
          <w:p w:rsidR="00AC0832" w:rsidRDefault="00AC0832">
            <w:pPr>
              <w:pStyle w:val="CellColumn"/>
            </w:pPr>
            <w:r>
              <w:t>MSPM</w:t>
            </w:r>
          </w:p>
        </w:tc>
        <w:tc>
          <w:tcPr>
            <w:tcW w:w="1300" w:type="dxa"/>
          </w:tcPr>
          <w:p w:rsidR="00AC0832" w:rsidRDefault="00AC0832">
            <w:pPr>
              <w:pStyle w:val="CellColumn"/>
            </w:pPr>
            <w:r>
              <w:t>28</w:t>
            </w:r>
          </w:p>
        </w:tc>
        <w:tc>
          <w:tcPr>
            <w:tcW w:w="1300" w:type="dxa"/>
          </w:tcPr>
          <w:p w:rsidR="00AC0832" w:rsidRDefault="00AC0832">
            <w:pPr>
              <w:pStyle w:val="CellColumn"/>
            </w:pPr>
            <w:r>
              <w:t>25</w:t>
            </w:r>
          </w:p>
        </w:tc>
      </w:tr>
    </w:tbl>
    <w:p w:rsidR="00AC0832" w:rsidRDefault="00AC0832">
      <w:pPr>
        <w:jc w:val="left"/>
      </w:pPr>
    </w:p>
    <w:p w:rsidR="00AC0832" w:rsidRDefault="00AC0832">
      <w:pPr>
        <w:pStyle w:val="Heading6"/>
      </w:pPr>
      <w:r>
        <w:t>A734192 SKRB ZA DJECU BEZ ODGOVARAJUĆE RODITELJSKE SKRBI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A734192-SKRB ZA DJECU BEZ ODGOVARAJUĆE RODITELJSKE SKRBI</w:t>
            </w:r>
          </w:p>
        </w:tc>
        <w:tc>
          <w:tcPr>
            <w:tcW w:w="2322" w:type="dxa"/>
          </w:tcPr>
          <w:p w:rsidR="00AC0832" w:rsidRDefault="00AC0832">
            <w:pPr>
              <w:pStyle w:val="CellColumn"/>
            </w:pPr>
            <w:r>
              <w:t>87.187.000</w:t>
            </w:r>
          </w:p>
        </w:tc>
        <w:tc>
          <w:tcPr>
            <w:tcW w:w="2322" w:type="dxa"/>
          </w:tcPr>
          <w:p w:rsidR="00AC0832" w:rsidRDefault="00AC0832">
            <w:pPr>
              <w:pStyle w:val="CellColumn"/>
            </w:pPr>
            <w:r>
              <w:t>87.616.746</w:t>
            </w:r>
          </w:p>
        </w:tc>
        <w:tc>
          <w:tcPr>
            <w:tcW w:w="2322" w:type="dxa"/>
          </w:tcPr>
          <w:p w:rsidR="00AC0832" w:rsidRDefault="00AC0832">
            <w:pPr>
              <w:pStyle w:val="CellColumn"/>
            </w:pPr>
            <w:r>
              <w:t>100,5</w:t>
            </w:r>
          </w:p>
        </w:tc>
      </w:tr>
    </w:tbl>
    <w:p w:rsidR="00AC0832" w:rsidRDefault="00AC0832">
      <w:pPr>
        <w:jc w:val="left"/>
      </w:pPr>
    </w:p>
    <w:p w:rsidR="00AC0832" w:rsidRDefault="00AC0832">
      <w:pPr>
        <w:pStyle w:val="Heading8"/>
        <w:jc w:val="left"/>
      </w:pPr>
      <w:r>
        <w:t>Opis provedbe aktivnosti / projekta</w:t>
      </w:r>
    </w:p>
    <w:p w:rsidR="00AC0832" w:rsidRDefault="00AC0832">
      <w:pPr>
        <w:pStyle w:val="Heading6"/>
      </w:pPr>
      <w:r>
        <w:t>K618350 POBOLJŠANJE INFRASTRUKTURE U SUSTAVU SOCIJALNE SKRBI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K618350-POBOLJŠANJE INFRASTRUKTURE U SUSTAVU SOCIJALNE SKRBI</w:t>
            </w:r>
          </w:p>
        </w:tc>
        <w:tc>
          <w:tcPr>
            <w:tcW w:w="2322" w:type="dxa"/>
          </w:tcPr>
          <w:p w:rsidR="00AC0832" w:rsidRDefault="00AC0832">
            <w:pPr>
              <w:pStyle w:val="CellColumn"/>
            </w:pPr>
            <w:r>
              <w:t>1.326.000</w:t>
            </w:r>
          </w:p>
        </w:tc>
        <w:tc>
          <w:tcPr>
            <w:tcW w:w="2322" w:type="dxa"/>
          </w:tcPr>
          <w:p w:rsidR="00AC0832" w:rsidRDefault="00AC0832">
            <w:pPr>
              <w:pStyle w:val="CellColumn"/>
            </w:pPr>
            <w:r>
              <w:t>688.955</w:t>
            </w:r>
          </w:p>
        </w:tc>
        <w:tc>
          <w:tcPr>
            <w:tcW w:w="2322" w:type="dxa"/>
          </w:tcPr>
          <w:p w:rsidR="00AC0832" w:rsidRDefault="00AC0832">
            <w:pPr>
              <w:pStyle w:val="CellColumn"/>
            </w:pPr>
            <w:r>
              <w:t>52,0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6 domova za psihički bolesne odrasle osobe izvedeni su radovi poboljšanja infrastrukture (sanacija krovišta, izrada pregradnih zidova, sanitarni čvor i podova), kao  i nabava namještaja (ormari, stolovi, kuhinjska oprema i namještaj) za potrebe korisnika ustanove (Turnić Rijeka, Blato, Lobor grad, Zagreb, Ljeskovica i Osijek).</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 broj adaptiranih i opremljenih  ustanova socijalne skrbi</w:t>
            </w:r>
          </w:p>
        </w:tc>
        <w:tc>
          <w:tcPr>
            <w:tcW w:w="1300" w:type="dxa"/>
          </w:tcPr>
          <w:p w:rsidR="00AC0832" w:rsidRDefault="00AC0832">
            <w:pPr>
              <w:pStyle w:val="CellColumn"/>
            </w:pPr>
            <w:r>
              <w:t>Ministarstvo socijalne politike i mladih planira ulagati sredstva u adaptiranje i opremanje ustanova socijalne skrbi.</w:t>
            </w:r>
          </w:p>
        </w:tc>
        <w:tc>
          <w:tcPr>
            <w:tcW w:w="1300" w:type="dxa"/>
          </w:tcPr>
          <w:p w:rsidR="00AC0832" w:rsidRDefault="00AC0832">
            <w:pPr>
              <w:pStyle w:val="CellColumn"/>
            </w:pPr>
            <w:r>
              <w:t>broj</w:t>
            </w:r>
          </w:p>
        </w:tc>
        <w:tc>
          <w:tcPr>
            <w:tcW w:w="1300" w:type="dxa"/>
          </w:tcPr>
          <w:p w:rsidR="00AC0832" w:rsidRDefault="00AC0832">
            <w:pPr>
              <w:pStyle w:val="CellColumn"/>
            </w:pPr>
            <w:r>
              <w:t>56</w:t>
            </w:r>
          </w:p>
        </w:tc>
        <w:tc>
          <w:tcPr>
            <w:tcW w:w="1300" w:type="dxa"/>
          </w:tcPr>
          <w:p w:rsidR="00AC0832" w:rsidRDefault="00AC0832">
            <w:pPr>
              <w:pStyle w:val="CellColumn"/>
            </w:pPr>
            <w:r>
              <w:t>MSPM</w:t>
            </w:r>
          </w:p>
        </w:tc>
        <w:tc>
          <w:tcPr>
            <w:tcW w:w="1300" w:type="dxa"/>
          </w:tcPr>
          <w:p w:rsidR="00AC0832" w:rsidRDefault="00AC0832">
            <w:pPr>
              <w:pStyle w:val="CellColumn"/>
            </w:pPr>
            <w:r>
              <w:t>77</w:t>
            </w:r>
          </w:p>
        </w:tc>
        <w:tc>
          <w:tcPr>
            <w:tcW w:w="1300" w:type="dxa"/>
          </w:tcPr>
          <w:p w:rsidR="00AC0832" w:rsidRDefault="00AC0832">
            <w:pPr>
              <w:pStyle w:val="CellColumn"/>
            </w:pPr>
            <w:r>
              <w:t>56</w:t>
            </w:r>
          </w:p>
        </w:tc>
      </w:tr>
    </w:tbl>
    <w:p w:rsidR="00AC0832" w:rsidRDefault="00AC0832">
      <w:pPr>
        <w:jc w:val="left"/>
      </w:pPr>
    </w:p>
    <w:p w:rsidR="00AC0832" w:rsidRDefault="00AC0832">
      <w:pPr>
        <w:pStyle w:val="Heading2"/>
      </w:pPr>
      <w:r>
        <w:t>10230 Obiteljski centri</w:t>
      </w:r>
    </w:p>
    <w:p w:rsidR="00AC0832" w:rsidRDefault="00AC0832">
      <w:pPr>
        <w:pStyle w:val="Heading4"/>
      </w:pPr>
      <w:r>
        <w:t>Uvod</w:t>
      </w:r>
    </w:p>
    <w:p w:rsidR="00AC0832" w:rsidRDefault="00AC0832">
      <w:pPr>
        <w:pStyle w:val="Normal3"/>
      </w:pPr>
      <w:r>
        <w:t xml:space="preserve">Obiteljski centri kreiraju programe usklađene s potrebama lokalne zajednice i potrebama korisnika, te na taj način pridonose razvoju izvaninstitucijskih oblika usluga u zajednici. U cilju jačanja svijesti i senzibilizacije javnosti o potrebama suvremene obitelji, obiteljski centri provode projekte usmjerene podizanju kvalitete obiteljskog života, afirmaciji uspješnog i odgovornog roditeljstva te izobrazbi trudnica, mladih roditelja i članova njihovih obitelji.  </w:t>
      </w:r>
    </w:p>
    <w:p w:rsidR="00AC0832" w:rsidRDefault="00AC0832">
      <w:pPr>
        <w:pStyle w:val="Normal3"/>
      </w:pPr>
      <w:r>
        <w:t xml:space="preserve">Aktivnosti u provedbi projekata uključuju provedbu radionica i predavanja, održavanje okruglih stolova i seminara te distribuciju promidžbenog materijala i drugih tiskovina.  </w:t>
      </w:r>
    </w:p>
    <w:p w:rsidR="00AC0832" w:rsidRDefault="00AC0832">
      <w:pPr>
        <w:pStyle w:val="Normal3"/>
      </w:pPr>
      <w:r>
        <w:t xml:space="preserve">Rad obiteljskih centara temelji se na dragovoljnosti korisnika, pri čemu obiteljski centri pružaju stručnu pomoć i provode niz usluga namijenjenih obitelji i njezinim članovima u spoznavanju, prihvaćanju i svladavanju izazova stvarne životne situacije ili rizičnih okolnosti uvjetovanih obiteljskom situacijom. Poseban naglasak ovdje je stavljen na pružanje podrške obitelji u usklađivanju obiteljskog i poslovnog života provođenjem programa koji su pomoć roditeljima u svladavanju izazova u odgoju djeteta, kao i pomoći u snalaženju u novim okolnostima.  </w:t>
      </w:r>
    </w:p>
    <w:p w:rsidR="00AC0832" w:rsidRDefault="00AC0832">
      <w:pPr>
        <w:pStyle w:val="Normal3"/>
      </w:pPr>
      <w:r>
        <w:t>Ukupna sredstva planirana su za financiranje aktivnosti 18 obiteljskih centara. U Republici Hrvatskoj do sada je osnovano 19 obiteljskih centara i to Županijski obiteljski centri u Koprivnici, Karlovcu, Virovitici, Krapini, Vinkovcima, Rijeci, Splitu, Šibeniku, Dubrovniku, Puli, Senju, Sisku, Bjelovaru, Požegi, Varaždinu, Zadru, Osijek i Čakovec, te Obiteljski centar Grada Zagreba.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10230-Obiteljski centri</w:t>
            </w:r>
          </w:p>
        </w:tc>
        <w:tc>
          <w:tcPr>
            <w:tcW w:w="2322" w:type="dxa"/>
          </w:tcPr>
          <w:p w:rsidR="00AC0832" w:rsidRDefault="00AC0832">
            <w:pPr>
              <w:pStyle w:val="CellColumn"/>
            </w:pPr>
            <w:r>
              <w:t>20.158.300</w:t>
            </w:r>
          </w:p>
        </w:tc>
        <w:tc>
          <w:tcPr>
            <w:tcW w:w="2322" w:type="dxa"/>
          </w:tcPr>
          <w:p w:rsidR="00AC0832" w:rsidRDefault="00AC0832">
            <w:pPr>
              <w:pStyle w:val="CellColumn"/>
            </w:pPr>
            <w:r>
              <w:t>18.748.620</w:t>
            </w:r>
          </w:p>
        </w:tc>
        <w:tc>
          <w:tcPr>
            <w:tcW w:w="2322" w:type="dxa"/>
          </w:tcPr>
          <w:p w:rsidR="00AC0832" w:rsidRDefault="00AC0832">
            <w:pPr>
              <w:pStyle w:val="CellColumn"/>
            </w:pPr>
            <w:r>
              <w:t>93,0</w:t>
            </w:r>
          </w:p>
        </w:tc>
      </w:tr>
      <w:tr w:rsidR="00AC0832" w:rsidTr="00BE20ED">
        <w:trPr>
          <w:jc w:val="center"/>
        </w:trPr>
        <w:tc>
          <w:tcPr>
            <w:tcW w:w="2322" w:type="dxa"/>
          </w:tcPr>
          <w:p w:rsidR="00AC0832" w:rsidRDefault="00AC0832">
            <w:pPr>
              <w:pStyle w:val="CellColumnSmall"/>
            </w:pPr>
            <w:r>
              <w:t>4005-SOCIJALNO OSNAŽIVANJE OBITELJI, MLADIH I DJECE</w:t>
            </w:r>
          </w:p>
        </w:tc>
        <w:tc>
          <w:tcPr>
            <w:tcW w:w="2322" w:type="dxa"/>
          </w:tcPr>
          <w:p w:rsidR="00AC0832" w:rsidRDefault="00AC0832">
            <w:pPr>
              <w:pStyle w:val="CellColumnSmall"/>
            </w:pPr>
            <w:r>
              <w:t>20.158.300</w:t>
            </w:r>
          </w:p>
        </w:tc>
        <w:tc>
          <w:tcPr>
            <w:tcW w:w="2322" w:type="dxa"/>
          </w:tcPr>
          <w:p w:rsidR="00AC0832" w:rsidRDefault="00AC0832">
            <w:pPr>
              <w:pStyle w:val="CellColumnSmall"/>
            </w:pPr>
            <w:r>
              <w:t>18.748.620</w:t>
            </w:r>
          </w:p>
        </w:tc>
        <w:tc>
          <w:tcPr>
            <w:tcW w:w="2322" w:type="dxa"/>
          </w:tcPr>
          <w:p w:rsidR="00AC0832" w:rsidRDefault="00AC0832">
            <w:pPr>
              <w:pStyle w:val="CellColumnSmall"/>
            </w:pPr>
            <w:r>
              <w:t>93,0</w:t>
            </w:r>
          </w:p>
        </w:tc>
      </w:tr>
    </w:tbl>
    <w:p w:rsidR="00AC0832" w:rsidRDefault="00AC0832">
      <w:pPr>
        <w:jc w:val="left"/>
      </w:pPr>
    </w:p>
    <w:p w:rsidR="00AC0832" w:rsidRDefault="00AC0832">
      <w:pPr>
        <w:pStyle w:val="Heading4"/>
      </w:pPr>
      <w:r>
        <w:t>OBRAZLOŽENJE PROGRAMA</w:t>
      </w:r>
    </w:p>
    <w:p w:rsidR="00AC0832" w:rsidRDefault="00AC0832">
      <w:pPr>
        <w:pStyle w:val="Heading5"/>
      </w:pPr>
      <w:r>
        <w:t>4005 SOCIJALNO OSNAŽIVANJE OBITELJI, MLADIH I DJECE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4005-SOCIJALNO OSNAŽIVANJE OBITELJI, MLADIH I DJECE</w:t>
            </w:r>
          </w:p>
        </w:tc>
        <w:tc>
          <w:tcPr>
            <w:tcW w:w="2322" w:type="dxa"/>
          </w:tcPr>
          <w:p w:rsidR="00AC0832" w:rsidRDefault="00AC0832">
            <w:pPr>
              <w:pStyle w:val="CellColumn"/>
            </w:pPr>
            <w:r>
              <w:t>20.158.300</w:t>
            </w:r>
          </w:p>
        </w:tc>
        <w:tc>
          <w:tcPr>
            <w:tcW w:w="2322" w:type="dxa"/>
          </w:tcPr>
          <w:p w:rsidR="00AC0832" w:rsidRDefault="00AC0832">
            <w:pPr>
              <w:pStyle w:val="CellColumn"/>
            </w:pPr>
            <w:r>
              <w:t>18.748.620</w:t>
            </w:r>
          </w:p>
        </w:tc>
        <w:tc>
          <w:tcPr>
            <w:tcW w:w="2322" w:type="dxa"/>
          </w:tcPr>
          <w:p w:rsidR="00AC0832" w:rsidRDefault="00AC0832">
            <w:pPr>
              <w:pStyle w:val="CellColumn"/>
            </w:pPr>
            <w:r>
              <w:t>93,0</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Programom „Socijalno osnaživanje obitelji, mladih i djece“, koji provode obiteljski centri, osiguravaju se sredstva za unapređenje kvalitete obiteljskog života, promicanje prava i poboljšanje uvjeta života djece i mladih. </w:t>
      </w:r>
    </w:p>
    <w:p w:rsidR="00AC0832" w:rsidRDefault="00AC0832">
      <w:pPr>
        <w:pStyle w:val="Normal5"/>
      </w:pPr>
      <w:r>
        <w:t xml:space="preserve">U cilju jačanja svijesti i senzibilizacije javnosti o potrebama suvremene obitelji, obiteljski centri provode projekte usmjerene afirmaciji uspješnog i odgovornog roditeljstva te izobrazbi trudnica, mladih roditelja i članova njihovih obitelji.  </w:t>
      </w:r>
    </w:p>
    <w:p w:rsidR="00AC0832" w:rsidRDefault="00AC0832">
      <w:pPr>
        <w:pStyle w:val="Normal5"/>
      </w:pPr>
      <w:r>
        <w:t xml:space="preserve">Obiteljski centri su sadržajno sasvim novi institucionalni oblik servisa namijenjenog obitelji koji ima prije svega savjetodavnu i preventivnu svrhu, a njihov rad temelji se na načelu dragovoljnosti korisnika.  </w:t>
      </w:r>
    </w:p>
    <w:p w:rsidR="00AC0832" w:rsidRDefault="00AC0832">
      <w:pPr>
        <w:pStyle w:val="Normal5"/>
      </w:pPr>
      <w:r>
        <w:t>Obiteljski centar također obavlja i stručno-analitičke poslove iz svog djelokruga te informativne, savjetodavne, preventivno – terapijske, edukacijske, promidžbene i druge slične stručne poslove vezane uz pružanje potpore obitelji, djeci i mladeži.</w:t>
      </w:r>
    </w:p>
    <w:p w:rsidR="00AC0832" w:rsidRDefault="00AC0832">
      <w:pPr>
        <w:pStyle w:val="Heading6"/>
      </w:pPr>
      <w:r>
        <w:t>Zakonske i druge pravne osnove</w:t>
      </w:r>
    </w:p>
    <w:p w:rsidR="00AC0832" w:rsidRDefault="00AC0832">
      <w:pPr>
        <w:pStyle w:val="Normal5"/>
      </w:pPr>
      <w:r>
        <w:t xml:space="preserve">- Obiteljski zakon, </w:t>
      </w:r>
    </w:p>
    <w:p w:rsidR="00AC0832" w:rsidRDefault="00AC0832">
      <w:pPr>
        <w:pStyle w:val="Normal5"/>
      </w:pPr>
      <w:r>
        <w:t xml:space="preserve">- Zakon o zaštiti od nasilja u obitelji, </w:t>
      </w:r>
    </w:p>
    <w:p w:rsidR="00AC0832" w:rsidRDefault="00AC0832">
      <w:pPr>
        <w:pStyle w:val="Normal5"/>
      </w:pPr>
      <w:r>
        <w:t xml:space="preserve">- Zakon o socijalnoj skrbi,  </w:t>
      </w:r>
    </w:p>
    <w:p w:rsidR="00AC0832" w:rsidRDefault="00AC0832">
      <w:pPr>
        <w:pStyle w:val="Normal5"/>
      </w:pPr>
      <w:r>
        <w:t xml:space="preserve">- Konvencija o pravima djeteta, </w:t>
      </w:r>
    </w:p>
    <w:p w:rsidR="00AC0832" w:rsidRDefault="00AC0832">
      <w:pPr>
        <w:pStyle w:val="Normal5"/>
      </w:pPr>
      <w:r>
        <w:t xml:space="preserve">- Nacionalna populacijska politika, </w:t>
      </w:r>
    </w:p>
    <w:p w:rsidR="00AC0832" w:rsidRDefault="00AC0832">
      <w:pPr>
        <w:pStyle w:val="Normal5"/>
      </w:pPr>
      <w:r>
        <w:t xml:space="preserve">- Nacionalna obiteljska politika, </w:t>
      </w:r>
    </w:p>
    <w:p w:rsidR="00AC0832" w:rsidRDefault="00AC0832">
      <w:pPr>
        <w:pStyle w:val="Normal5"/>
      </w:pPr>
      <w:r>
        <w:t xml:space="preserve">- Nacionalni program djelovanja za mlade, </w:t>
      </w:r>
    </w:p>
    <w:p w:rsidR="00AC0832" w:rsidRDefault="00AC0832">
      <w:pPr>
        <w:pStyle w:val="Normal5"/>
      </w:pPr>
      <w:r>
        <w:t xml:space="preserve">-Nacionalni plan aktivnosti za prava i interese djece od 2006. do 2012 godine, </w:t>
      </w:r>
    </w:p>
    <w:p w:rsidR="00AC0832" w:rsidRDefault="00AC0832">
      <w:pPr>
        <w:pStyle w:val="Normal5"/>
      </w:pPr>
      <w:r>
        <w:t xml:space="preserve">- Nacionalna strategija suzbijanja zlouporabe opojnih droga u RH za razdoblje od   2005.-2012. godine, </w:t>
      </w:r>
    </w:p>
    <w:p w:rsidR="00AC0832" w:rsidRDefault="00AC0832">
      <w:pPr>
        <w:pStyle w:val="Normal5"/>
      </w:pPr>
      <w:r>
        <w:t xml:space="preserve">- Nacionalna strategija prevencije poremećaja u ponašanju djece i mladih od  </w:t>
      </w:r>
    </w:p>
    <w:p w:rsidR="00AC0832" w:rsidRDefault="00AC0832">
      <w:pPr>
        <w:pStyle w:val="Normal5"/>
      </w:pPr>
      <w:r>
        <w:t xml:space="preserve">  2009.do 2012.</w:t>
      </w:r>
    </w:p>
    <w:p w:rsidR="00AC0832" w:rsidRDefault="00AC0832">
      <w:pPr>
        <w:pStyle w:val="Heading7"/>
      </w:pPr>
      <w:r>
        <w:t>Cilj 1. Podizanje kvalitete obiteljskog života</w:t>
      </w:r>
    </w:p>
    <w:p w:rsidR="00AC0832" w:rsidRDefault="00AC0832">
      <w:pPr>
        <w:pStyle w:val="Heading8"/>
        <w:jc w:val="left"/>
      </w:pPr>
      <w:r>
        <w:t>Opis provedbe cilja programa</w:t>
      </w:r>
    </w:p>
    <w:p w:rsidR="00AC0832" w:rsidRDefault="00AC0832">
      <w:pPr>
        <w:pStyle w:val="Normal6"/>
      </w:pPr>
      <w:r>
        <w:t>Obiteljski centri kroz individualni rad s korisnicima, rad s obitelji te programe i usluge korisniku na osobnoj razini pružaju stručnu potporu u spoznavanju, prihvaćanju i svladavanju nepoželjne stvarne ili moguće situacije, ohrabruju i osnažuju osobni razvoj korisnika, podižu kvalitetu njegovog života, pomažu u uspostavi kvalitetnog dijaloga u užoj i široj sredini, educiraju članove obitelji za kvalitetan međusobni odnos te kroz predavanja, tribine, seminare, okrugle stolove i medijska istupanja senzibiliziraju i educiraju javnost o specifičnim temama i teškoćama suvremenog čovjeka, braka, obitelji i društva u cjelini.</w:t>
      </w:r>
    </w:p>
    <w:p w:rsidR="00AC0832" w:rsidRDefault="00AC0832">
      <w:pPr>
        <w:pStyle w:val="Heading6"/>
      </w:pPr>
      <w:r>
        <w:t>A754021 PROVEDBA NACIONALNIH DOKUMENATA VLADE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A754021-PROVEDBA NACIONALNIH DOKUMENATA VLADE RH</w:t>
            </w:r>
          </w:p>
        </w:tc>
        <w:tc>
          <w:tcPr>
            <w:tcW w:w="2322" w:type="dxa"/>
          </w:tcPr>
          <w:p w:rsidR="00AC0832" w:rsidRDefault="00AC0832">
            <w:pPr>
              <w:pStyle w:val="CellColumn"/>
            </w:pPr>
            <w:r>
              <w:t>731.400</w:t>
            </w:r>
          </w:p>
        </w:tc>
        <w:tc>
          <w:tcPr>
            <w:tcW w:w="2322" w:type="dxa"/>
          </w:tcPr>
          <w:p w:rsidR="00AC0832" w:rsidRDefault="00AC0832">
            <w:pPr>
              <w:pStyle w:val="CellColumn"/>
            </w:pPr>
            <w:r>
              <w:t>633.281</w:t>
            </w:r>
          </w:p>
        </w:tc>
        <w:tc>
          <w:tcPr>
            <w:tcW w:w="2322" w:type="dxa"/>
          </w:tcPr>
          <w:p w:rsidR="00AC0832" w:rsidRDefault="00AC0832">
            <w:pPr>
              <w:pStyle w:val="CellColumn"/>
            </w:pPr>
            <w:r>
              <w:t>86,6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Prilikom planiranja i provođenja svojih aktivnosti obiteljski centri vode se nizom nacionalnih/strateških dokumenata. Navedene aktivnosti najčešće se provode u sklopu programa/projekata koji se provode u lokalnoj zajednici, često u suradnji s drugim ustanovama/institucijama/organizacijama civilnog društva. Putem različitih jednokratnih aktivnosti obiteljski centri najčešće obilježavaju važne datume u godini kao npr. Međunarodni dan obitelji, Međunarodni dan djeteta, Mjesec borbe protiv ovisnosti i sl.</w:t>
      </w:r>
    </w:p>
    <w:p w:rsidR="00AC0832" w:rsidRDefault="00AC0832">
      <w:pPr>
        <w:pStyle w:val="Heading6"/>
      </w:pPr>
      <w:r>
        <w:t>A754022 SAVJETODAVNI RAD U ZAJEDNICI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A754022-SAVJETODAVNI RAD U ZAJEDNICI</w:t>
            </w:r>
          </w:p>
        </w:tc>
        <w:tc>
          <w:tcPr>
            <w:tcW w:w="2322" w:type="dxa"/>
          </w:tcPr>
          <w:p w:rsidR="00AC0832" w:rsidRDefault="00AC0832">
            <w:pPr>
              <w:pStyle w:val="CellColumn"/>
            </w:pPr>
            <w:r>
              <w:t>295.500</w:t>
            </w:r>
          </w:p>
        </w:tc>
        <w:tc>
          <w:tcPr>
            <w:tcW w:w="2322" w:type="dxa"/>
          </w:tcPr>
          <w:p w:rsidR="00AC0832" w:rsidRDefault="00AC0832">
            <w:pPr>
              <w:pStyle w:val="CellColumn"/>
            </w:pPr>
            <w:r>
              <w:t>229.758</w:t>
            </w:r>
          </w:p>
        </w:tc>
        <w:tc>
          <w:tcPr>
            <w:tcW w:w="2322" w:type="dxa"/>
          </w:tcPr>
          <w:p w:rsidR="00AC0832" w:rsidRDefault="00AC0832">
            <w:pPr>
              <w:pStyle w:val="CellColumn"/>
            </w:pPr>
            <w:r>
              <w:t>77,8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Korisnici usluga obiteljskih centara su pojedinci i obitelji, a obiteljski centri u pružanju usluga surađuju sa različitim organizacijama civilnog društva i ustanovama u zajednici.</w:t>
      </w:r>
    </w:p>
    <w:p w:rsidR="00AC0832" w:rsidRDefault="00AC0832">
      <w:pPr>
        <w:pStyle w:val="Heading1"/>
      </w:pPr>
      <w:r>
        <w:t>106 HRVATSKA AKADEMIJA ZNANOSTI I UMJETNOSTI</w:t>
      </w:r>
    </w:p>
    <w:p w:rsidR="00AC0832" w:rsidRDefault="00AC0832">
      <w:pPr>
        <w:pStyle w:val="Heading4"/>
      </w:pPr>
      <w:r>
        <w:t>Uvod</w:t>
      </w:r>
    </w:p>
    <w:p w:rsidR="00AC0832" w:rsidRDefault="00AC0832">
      <w:pPr>
        <w:pStyle w:val="Normal3"/>
      </w:pPr>
      <w:r>
        <w:t xml:space="preserve">Hrvatska akademija znanosti i umjetnosti kao najviša krovna znanstvena i umjetnička ustanova u Republici Hrvatskoj potiče i organizira znanstveni rad i zalaže se za primjenu postignutih rezultata, razvija umjetničku i kulturnu djelatnost i brine se o hrvatskoj kulturnoj baštini i njezinoj afirmaciji u zemlji i svijetu, objavljuje rezultate znanstvenih istraživanja i umjetničkog stvaralaštva, te daje prijedloge i mišljenja za unapređenje znanosti i umjetnosti na područjima koja su od osobite važnosti za Republiku Hrvatsku.  </w:t>
      </w:r>
    </w:p>
    <w:p w:rsidR="00AC0832" w:rsidRDefault="00AC0832">
      <w:pPr>
        <w:pStyle w:val="Normal3"/>
      </w:pPr>
      <w:r>
        <w:t xml:space="preserve"> </w:t>
      </w:r>
    </w:p>
    <w:p w:rsidR="00AC0832" w:rsidRDefault="00AC0832">
      <w:pPr>
        <w:pStyle w:val="Normal3"/>
      </w:pPr>
      <w:r>
        <w:t xml:space="preserve">Znanstveni i umjetnički rad Akademije tijekom 2012. bio je organiziran  u 9 razreda, 18 znanstvenoistraživačkih jedinica  u Zagrebu i izvan njega, 3 muzejsko galerijske jedinice i  16 znanstvenih vijeća.  </w:t>
      </w:r>
    </w:p>
    <w:p w:rsidR="00AC0832" w:rsidRDefault="00AC0832">
      <w:pPr>
        <w:pStyle w:val="Normal3"/>
      </w:pPr>
      <w:r>
        <w:t xml:space="preserve"> </w:t>
      </w:r>
    </w:p>
    <w:p w:rsidR="00AC0832" w:rsidRDefault="00AC0832">
      <w:pPr>
        <w:pStyle w:val="Normal3"/>
      </w:pPr>
      <w:r>
        <w:t xml:space="preserve">U svrhu daljnjeg promicanja znanstvenog i umjetničkog rada Hrvatska akademija je u 2012. proširila svoju aktivnost na novu znanstvenoistraživačku jedinicu u  Koprivničko- križevačkoj županiji u Križevcima.  </w:t>
      </w:r>
    </w:p>
    <w:p w:rsidR="00AC0832" w:rsidRDefault="00AC0832">
      <w:pPr>
        <w:pStyle w:val="Normal3"/>
      </w:pPr>
      <w:r>
        <w:t xml:space="preserve"> </w:t>
      </w:r>
    </w:p>
    <w:p w:rsidR="00AC0832" w:rsidRDefault="00AC0832">
      <w:pPr>
        <w:pStyle w:val="Normal3"/>
      </w:pPr>
      <w:r>
        <w:t>Nadalje, tijekom 2012. godine Hrvatska akademija    proširivala je dosadašnju suradnju s  drugim akademijama znanosti i umjetnosti u svijetu, sveučilištima, znanstvenim, kulturnim i drugim ustanovama, te znanstvenicima i  umjetnicama iz zemlje i inozemstva.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10605-Hrvatska akademija znanosti i umjetnosti</w:t>
            </w:r>
          </w:p>
        </w:tc>
        <w:tc>
          <w:tcPr>
            <w:tcW w:w="2322" w:type="dxa"/>
          </w:tcPr>
          <w:p w:rsidR="00AC0832" w:rsidRDefault="00AC0832">
            <w:pPr>
              <w:pStyle w:val="CellColumn"/>
            </w:pPr>
            <w:r>
              <w:t>52.200.000</w:t>
            </w:r>
          </w:p>
        </w:tc>
        <w:tc>
          <w:tcPr>
            <w:tcW w:w="2322" w:type="dxa"/>
          </w:tcPr>
          <w:p w:rsidR="00AC0832" w:rsidRDefault="00AC0832">
            <w:pPr>
              <w:pStyle w:val="CellColumn"/>
            </w:pPr>
            <w:r>
              <w:t>52.182.201</w:t>
            </w:r>
          </w:p>
        </w:tc>
        <w:tc>
          <w:tcPr>
            <w:tcW w:w="2322" w:type="dxa"/>
          </w:tcPr>
          <w:p w:rsidR="00AC0832" w:rsidRDefault="00AC0832">
            <w:pPr>
              <w:pStyle w:val="CellColumn"/>
            </w:pPr>
            <w:r>
              <w:t>100,0</w:t>
            </w:r>
          </w:p>
        </w:tc>
      </w:tr>
      <w:tr w:rsidR="00AC0832" w:rsidTr="00BE20ED">
        <w:trPr>
          <w:jc w:val="center"/>
        </w:trPr>
        <w:tc>
          <w:tcPr>
            <w:tcW w:w="2322" w:type="dxa"/>
            <w:shd w:val="clear" w:color="auto" w:fill="B5C0D8"/>
          </w:tcPr>
          <w:p w:rsidR="00AC0832" w:rsidRDefault="00AC0832">
            <w:pPr>
              <w:pStyle w:val="CellColumn"/>
            </w:pPr>
            <w:r>
              <w:t>Ukupno 106-HRVATSKA AKADEMIJA ZNANOSTI I UMJETNOSTI</w:t>
            </w:r>
          </w:p>
        </w:tc>
        <w:tc>
          <w:tcPr>
            <w:tcW w:w="2322" w:type="dxa"/>
            <w:shd w:val="clear" w:color="auto" w:fill="B5C0D8"/>
          </w:tcPr>
          <w:p w:rsidR="00AC0832" w:rsidRDefault="00AC0832">
            <w:pPr>
              <w:pStyle w:val="CellColumn"/>
            </w:pPr>
            <w:r>
              <w:t>52.200.000</w:t>
            </w:r>
          </w:p>
        </w:tc>
        <w:tc>
          <w:tcPr>
            <w:tcW w:w="2322" w:type="dxa"/>
            <w:shd w:val="clear" w:color="auto" w:fill="B5C0D8"/>
          </w:tcPr>
          <w:p w:rsidR="00AC0832" w:rsidRDefault="00AC0832">
            <w:pPr>
              <w:pStyle w:val="CellColumn"/>
            </w:pPr>
            <w:r>
              <w:t>52.182.201</w:t>
            </w:r>
          </w:p>
        </w:tc>
        <w:tc>
          <w:tcPr>
            <w:tcW w:w="2322" w:type="dxa"/>
            <w:shd w:val="clear" w:color="auto" w:fill="B5C0D8"/>
          </w:tcPr>
          <w:p w:rsidR="00AC0832" w:rsidRDefault="00AC0832">
            <w:pPr>
              <w:pStyle w:val="CellColumn"/>
            </w:pPr>
            <w:r>
              <w:t>100,0</w:t>
            </w:r>
          </w:p>
        </w:tc>
      </w:tr>
    </w:tbl>
    <w:p w:rsidR="00AC0832" w:rsidRDefault="00AC0832">
      <w:pPr>
        <w:jc w:val="left"/>
      </w:pPr>
    </w:p>
    <w:p w:rsidR="00AC0832" w:rsidRDefault="00AC0832">
      <w:pPr>
        <w:pStyle w:val="Heading5"/>
      </w:pPr>
      <w:r>
        <w:t>3909 OČUVANJE KULTURNE BAŠTINE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3909-OČUVANJE KULTURNE BAŠTINE</w:t>
            </w:r>
          </w:p>
        </w:tc>
        <w:tc>
          <w:tcPr>
            <w:tcW w:w="2322" w:type="dxa"/>
          </w:tcPr>
          <w:p w:rsidR="00AC0832" w:rsidRDefault="00AC0832">
            <w:pPr>
              <w:pStyle w:val="CellColumn"/>
            </w:pPr>
            <w:r>
              <w:t>52.200.000</w:t>
            </w:r>
          </w:p>
        </w:tc>
        <w:tc>
          <w:tcPr>
            <w:tcW w:w="2322" w:type="dxa"/>
          </w:tcPr>
          <w:p w:rsidR="00AC0832" w:rsidRDefault="00AC0832">
            <w:pPr>
              <w:pStyle w:val="CellColumn"/>
            </w:pPr>
            <w:r>
              <w:t>52.182.201</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Opis programa</w:t>
      </w:r>
    </w:p>
    <w:p w:rsidR="00AC0832" w:rsidRDefault="00AC0832">
      <w:pPr>
        <w:pStyle w:val="Normal5"/>
      </w:pPr>
      <w:r>
        <w:t xml:space="preserve">Poticanje, organiziranje, razvijanje znanstvenog rada, umjetničke i kulturne djelatnosti, te zalaganje za primjenu postignutih rezultata u zemlji i inozemstvu glavni je zadatak Akademije.   </w:t>
      </w:r>
    </w:p>
    <w:p w:rsidR="00AC0832" w:rsidRDefault="00AC0832">
      <w:pPr>
        <w:pStyle w:val="Normal5"/>
      </w:pPr>
      <w:r>
        <w:t xml:space="preserve"> </w:t>
      </w:r>
    </w:p>
    <w:p w:rsidR="00AC0832" w:rsidRDefault="00AC0832">
      <w:pPr>
        <w:pStyle w:val="Normal5"/>
      </w:pPr>
      <w:r>
        <w:t xml:space="preserve">Znanstvenoistraživački i umjetnički rad organiziran je u akademijinim razredima,  njihovim znanstvenim vijećima i odborima, koji su ujedno inicijatori i nositelji programa, te znanstvenoistraživačkim i umjetničkim jedinicama koje su, u pravilu, u nadležnosti pojedinih razreda, a preko kojih se ostvaruje veći dio zadanih programa.  </w:t>
      </w:r>
    </w:p>
    <w:p w:rsidR="00AC0832" w:rsidRDefault="00AC0832">
      <w:pPr>
        <w:pStyle w:val="Normal5"/>
      </w:pPr>
      <w:r>
        <w:t xml:space="preserve"> </w:t>
      </w:r>
    </w:p>
    <w:p w:rsidR="00AC0832" w:rsidRDefault="00AC0832">
      <w:pPr>
        <w:pStyle w:val="Normal5"/>
      </w:pPr>
      <w:r>
        <w:t xml:space="preserve">Znanstvenoistraživačkim i umjetničkim radom u ostvarenju programa obuhvaćene su znanstvene discipline iz područja društvenih, matematičkih, fizičkih i kemijskih znanosti, prirodnih znanosti (biološke i geološke), medicinskih znanosti, filoloških  znanosti i književnosti, zatim likovnih umjetnosti, glazbene umjetnosti i muzikologije, te tehničkih znanosti.  </w:t>
      </w:r>
    </w:p>
    <w:p w:rsidR="00AC0832" w:rsidRDefault="00AC0832">
      <w:pPr>
        <w:pStyle w:val="Normal5"/>
      </w:pPr>
      <w:r>
        <w:t xml:space="preserve"> </w:t>
      </w:r>
    </w:p>
    <w:p w:rsidR="00AC0832" w:rsidRDefault="00AC0832">
      <w:pPr>
        <w:pStyle w:val="Normal5"/>
      </w:pPr>
      <w:r>
        <w:t xml:space="preserve">Akademijine znanstvenoistraživačke jedinice u 2012. radile su na 29 znanstvenih projekata. Riječ je o tzv. matičnim projektima čija se istraživanja uglavnom obavljaju u Akademiji i čiji su glavni istraživači isključivo  redoviti članovi Akademije ili znanstvenici iz Akademijinih zavoda i instituta.  </w:t>
      </w:r>
    </w:p>
    <w:p w:rsidR="00AC0832" w:rsidRDefault="00AC0832">
      <w:pPr>
        <w:pStyle w:val="Normal5"/>
      </w:pPr>
      <w:r>
        <w:t xml:space="preserve"> </w:t>
      </w:r>
    </w:p>
    <w:p w:rsidR="00AC0832" w:rsidRDefault="00AC0832">
      <w:pPr>
        <w:pStyle w:val="Normal5"/>
      </w:pPr>
      <w:r>
        <w:t xml:space="preserve">U okviru muzejsko-galerijske djelatnosti tijekom 2012. priređeno je 20 izložbi i brojna druga događanja kao što su koncerti, dobrotvorne aukcije, prezentacije i slično.  </w:t>
      </w:r>
    </w:p>
    <w:p w:rsidR="00AC0832" w:rsidRDefault="00AC0832">
      <w:pPr>
        <w:pStyle w:val="Normal5"/>
      </w:pPr>
      <w:r>
        <w:t xml:space="preserve"> </w:t>
      </w:r>
    </w:p>
    <w:p w:rsidR="00AC0832" w:rsidRDefault="00AC0832">
      <w:pPr>
        <w:pStyle w:val="Normal5"/>
      </w:pPr>
      <w:r>
        <w:t xml:space="preserve">Akademija je u 2012. organizirala akciju pod nazivom »Dani otvorenih vrata HAZU« koja je izazvala veliki interes javnosti i bila je iznimno dobro posjećena (7031 posjetitelja).  </w:t>
      </w:r>
    </w:p>
    <w:p w:rsidR="00AC0832" w:rsidRDefault="00AC0832">
      <w:pPr>
        <w:pStyle w:val="Normal5"/>
      </w:pPr>
      <w:r>
        <w:t xml:space="preserve">Akcija je trajala dva dana i na taj način željelo se je široj javnosti prezentirati mnogobrojne aktivnosti koje se odvijaju u okviru Akademije.   </w:t>
      </w:r>
    </w:p>
    <w:p w:rsidR="00AC0832" w:rsidRDefault="00AC0832">
      <w:pPr>
        <w:pStyle w:val="Normal5"/>
      </w:pPr>
      <w:r>
        <w:tab/>
        <w:t xml:space="preserve">  </w:t>
      </w:r>
    </w:p>
    <w:p w:rsidR="00AC0832" w:rsidRDefault="00AC0832">
      <w:pPr>
        <w:pStyle w:val="Normal5"/>
      </w:pPr>
      <w:r>
        <w:t xml:space="preserve">Predstavljanje postignutih rezultata znanstvenoistraživačkog i umjetničkog rada obuhvaća sve faze znanstvenoistraživačkog rada i provodi se organiziranjem znanstvenih skupova (domaćih i inozemnih ), te održavanjem znanstvenih stručnih i drugih tematskih predavanja, izdavanjem knjiga, zbornika radova, stručnih časopisa te objavljivanjem članaka u domaćim i inozemnim publikacijama.  </w:t>
      </w:r>
    </w:p>
    <w:p w:rsidR="00AC0832" w:rsidRDefault="00AC0832">
      <w:pPr>
        <w:pStyle w:val="Normal5"/>
      </w:pPr>
      <w:r>
        <w:t xml:space="preserve">Tijekom 2012. sudjelovanjem članova Akademije na međunarodnim projektima te u bilateralnoj razmjeni doprinosilo se je predstavljanju postignutih rezultata u svjetskim okvirima.  </w:t>
      </w:r>
    </w:p>
    <w:p w:rsidR="00AC0832" w:rsidRDefault="00AC0832">
      <w:pPr>
        <w:pStyle w:val="Normal5"/>
      </w:pPr>
      <w:r>
        <w:t>U okviru programa međuakademijske bilateralne suradnje 43 hrvatska znanstvenika posjetila su strane Akademije, a 21 strani znanstvenik bio je na studijskom boravku u Hrvatskoj.i</w:t>
      </w:r>
    </w:p>
    <w:p w:rsidR="00AC0832" w:rsidRDefault="00AC0832">
      <w:pPr>
        <w:pStyle w:val="Heading6"/>
      </w:pPr>
      <w:r>
        <w:t>Zakonske i druge pravne osnove</w:t>
      </w:r>
    </w:p>
    <w:p w:rsidR="00AC0832" w:rsidRDefault="00AC0832">
      <w:pPr>
        <w:pStyle w:val="Normal5"/>
      </w:pPr>
      <w:r>
        <w:t xml:space="preserve">Djelatnost Hrvatske akademije znanosti i umjetnosti utvrđena je Zakonom o </w:t>
      </w:r>
    </w:p>
    <w:p w:rsidR="00AC0832" w:rsidRDefault="00AC0832">
      <w:pPr>
        <w:pStyle w:val="Normal5"/>
      </w:pPr>
      <w:r>
        <w:t xml:space="preserve">Hrvatskoj akademiji znanosti i umjetnosti ("Narodne Novine" broj:34/91., 43/96., 159/02. </w:t>
      </w:r>
    </w:p>
    <w:p w:rsidR="00AC0832" w:rsidRDefault="00AC0832">
      <w:pPr>
        <w:pStyle w:val="Normal5"/>
      </w:pPr>
      <w:r>
        <w:t>i 65/09.) iStatutom Hrvatske akademije znanosti i umjetnosti.</w:t>
      </w:r>
    </w:p>
    <w:p w:rsidR="00AC0832" w:rsidRDefault="00AC0832">
      <w:pPr>
        <w:pStyle w:val="Heading7"/>
      </w:pPr>
      <w:r>
        <w:t>Cilj 1. Razvoj znanosti i umjetnosti</w:t>
      </w:r>
    </w:p>
    <w:p w:rsidR="00AC0832" w:rsidRDefault="00AC0832">
      <w:pPr>
        <w:pStyle w:val="Heading8"/>
        <w:jc w:val="left"/>
      </w:pPr>
      <w:r>
        <w:t>Opis provedbe cilja programa</w:t>
      </w:r>
    </w:p>
    <w:p w:rsidR="00AC0832" w:rsidRDefault="00AC0832">
      <w:pPr>
        <w:pStyle w:val="Normal6"/>
      </w:pPr>
      <w:r>
        <w:t xml:space="preserve">Hrvatska akademija znanosti i umjetnosti u 2012. nastavila  je provoditi svoje aktivnosti na poticanju i organiziranju znanstvenog rada, zalagala se za primjenu postignutih rezultata rada, razvijala umjetničku i kulturnu djelatnost i brinula se o hrvatskoj kulturnoj i graditeljskoj baštini i njezinoj afirmaciji u zemlji i svijetu.  </w:t>
      </w:r>
    </w:p>
    <w:p w:rsidR="00AC0832" w:rsidRDefault="00AC0832">
      <w:pPr>
        <w:pStyle w:val="Normal6"/>
      </w:pPr>
      <w:r>
        <w:t xml:space="preserve">Hrvatska akademija objavljivala je rezultate znanstvenih istraživanja i umjetničkog stvaralaštva u vlastitoj nakladničkoj djelatnosti, organizacijom znanstvenih skupova, simpozija, seminara i tematskih izložbi, te davala mišljenja i prijedloge za unapređenje znanosti i umjetnosti na područjima koja su od osobite važnosti za Republiku Hrvatsku.  </w:t>
      </w:r>
    </w:p>
    <w:p w:rsidR="00AC0832" w:rsidRDefault="00AC0832">
      <w:pPr>
        <w:pStyle w:val="Normal6"/>
      </w:pPr>
      <w:r>
        <w:t xml:space="preserve">U cilju promicanja i predstavljanja postignutih rezultata znanstvenoistraživačkog i umjetničkog rada  održana su 84 znanstvena skupa, savjetovanja i okrugli stolovi, 108 predavanja i  predstavljanja knjiga,  te 20 izložbi.  </w:t>
      </w:r>
    </w:p>
    <w:p w:rsidR="00AC0832" w:rsidRDefault="00AC0832">
      <w:pPr>
        <w:pStyle w:val="Normal6"/>
      </w:pPr>
      <w:r>
        <w:t>U okviru vlastite nakladničke djelatnosti Akademija je u 2012. izdala 102 svezaka raznih publikacija od čega 18 knjiga, 19 zbornika radova, 33 sveska časopisa, 4 knjige sažetaka, 11 kataloga izložbi, 2  multimedijska  DVD-a,  14 spomenica preminulim akademicima, te je sudjelovala kao suizdavač  22 sveska raznih publikacija.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7"/>
        <w:gridCol w:w="2208"/>
        <w:gridCol w:w="884"/>
        <w:gridCol w:w="995"/>
        <w:gridCol w:w="964"/>
        <w:gridCol w:w="995"/>
        <w:gridCol w:w="105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 xml:space="preserve">Povećanja broja </w:t>
            </w:r>
          </w:p>
          <w:p w:rsidR="00AC0832" w:rsidRDefault="00AC0832">
            <w:pPr>
              <w:pStyle w:val="CellColumn"/>
            </w:pPr>
            <w:r>
              <w:t xml:space="preserve">znanstvenih disciplina </w:t>
            </w:r>
          </w:p>
          <w:p w:rsidR="00AC0832" w:rsidRDefault="00AC0832">
            <w:pPr>
              <w:pStyle w:val="CellColumn"/>
            </w:pPr>
            <w:r>
              <w:t xml:space="preserve">koje su obuhvaćene </w:t>
            </w:r>
          </w:p>
          <w:p w:rsidR="00AC0832" w:rsidRDefault="00AC0832">
            <w:pPr>
              <w:pStyle w:val="CellColumn"/>
            </w:pPr>
            <w:r>
              <w:t xml:space="preserve">znanstvenoistraživačkim </w:t>
            </w:r>
          </w:p>
          <w:p w:rsidR="00AC0832" w:rsidRDefault="00AC0832">
            <w:pPr>
              <w:pStyle w:val="CellColumn"/>
            </w:pPr>
            <w:r>
              <w:t>i umjetničkim radom</w:t>
            </w:r>
          </w:p>
        </w:tc>
        <w:tc>
          <w:tcPr>
            <w:tcW w:w="1300" w:type="dxa"/>
          </w:tcPr>
          <w:p w:rsidR="00AC0832" w:rsidRDefault="00AC0832">
            <w:pPr>
              <w:pStyle w:val="CellColumn"/>
            </w:pPr>
            <w:r>
              <w:t>Znanstvenoistraživačkim i umjetničkim radom doprinosi se unapređenju znanosti u što je moguće većem broju znanstvenih disciplina</w:t>
            </w:r>
          </w:p>
        </w:tc>
        <w:tc>
          <w:tcPr>
            <w:tcW w:w="1300" w:type="dxa"/>
          </w:tcPr>
          <w:p w:rsidR="00AC0832" w:rsidRDefault="00AC0832">
            <w:pPr>
              <w:pStyle w:val="CellColumn"/>
            </w:pPr>
            <w:r>
              <w:t>Broj</w:t>
            </w:r>
          </w:p>
        </w:tc>
        <w:tc>
          <w:tcPr>
            <w:tcW w:w="1300" w:type="dxa"/>
          </w:tcPr>
          <w:p w:rsidR="00AC0832" w:rsidRDefault="00AC0832">
            <w:pPr>
              <w:pStyle w:val="CellColumn"/>
            </w:pPr>
            <w:r>
              <w:t>32</w:t>
            </w:r>
          </w:p>
        </w:tc>
        <w:tc>
          <w:tcPr>
            <w:tcW w:w="1300" w:type="dxa"/>
          </w:tcPr>
          <w:p w:rsidR="00AC0832" w:rsidRDefault="00AC0832">
            <w:pPr>
              <w:pStyle w:val="CellColumn"/>
            </w:pPr>
            <w:r>
              <w:t>HAZU</w:t>
            </w:r>
          </w:p>
        </w:tc>
        <w:tc>
          <w:tcPr>
            <w:tcW w:w="1300" w:type="dxa"/>
          </w:tcPr>
          <w:p w:rsidR="00AC0832" w:rsidRDefault="00AC0832">
            <w:pPr>
              <w:pStyle w:val="CellColumn"/>
            </w:pPr>
            <w:r>
              <w:t>37</w:t>
            </w:r>
          </w:p>
        </w:tc>
        <w:tc>
          <w:tcPr>
            <w:tcW w:w="1300" w:type="dxa"/>
          </w:tcPr>
          <w:p w:rsidR="00AC0832" w:rsidRDefault="00AC0832">
            <w:pPr>
              <w:pStyle w:val="CellColumn"/>
            </w:pPr>
            <w:r>
              <w:t>29</w:t>
            </w:r>
          </w:p>
        </w:tc>
      </w:tr>
    </w:tbl>
    <w:p w:rsidR="00AC0832" w:rsidRDefault="00AC0832">
      <w:pPr>
        <w:jc w:val="left"/>
      </w:pPr>
    </w:p>
    <w:p w:rsidR="00AC0832" w:rsidRDefault="00AC0832">
      <w:pPr>
        <w:pStyle w:val="Heading6"/>
      </w:pPr>
      <w:r>
        <w:t>A586000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A586000-ADMINISTRACIJA I UPRAVLJANJE</w:t>
            </w:r>
          </w:p>
        </w:tc>
        <w:tc>
          <w:tcPr>
            <w:tcW w:w="2322" w:type="dxa"/>
          </w:tcPr>
          <w:p w:rsidR="00AC0832" w:rsidRDefault="00AC0832">
            <w:pPr>
              <w:pStyle w:val="CellColumn"/>
            </w:pPr>
            <w:r>
              <w:t>50.951.000</w:t>
            </w:r>
          </w:p>
        </w:tc>
        <w:tc>
          <w:tcPr>
            <w:tcW w:w="2322" w:type="dxa"/>
          </w:tcPr>
          <w:p w:rsidR="00AC0832" w:rsidRDefault="00AC0832">
            <w:pPr>
              <w:pStyle w:val="CellColumn"/>
            </w:pPr>
            <w:r>
              <w:t>50.933.974</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Za aktivnost administracije i upravljanjau 2012. utrošeno je 100% planiranih sredstava u državnom proračunu.  </w:t>
      </w:r>
    </w:p>
    <w:p w:rsidR="00AC0832" w:rsidRDefault="00AC0832">
      <w:pPr>
        <w:pStyle w:val="Normal6"/>
      </w:pPr>
      <w:r>
        <w:t xml:space="preserve">To uključuje sredstva za isplatu plaća i ostvarenje drugih prava zaposlenika Akademije, sredstva za isplatu stalnih mjesečnih nagrada redovitim članovima Akademije, sredstva za tekuće materijalne troškove , sredstva za energiju, te sredstva za tekuće i investicijsko održavanje građevina i opreme.  </w:t>
      </w:r>
    </w:p>
    <w:p w:rsidR="00AC0832" w:rsidRDefault="00AC0832">
      <w:pPr>
        <w:pStyle w:val="Normal6"/>
      </w:pPr>
      <w:r>
        <w:t xml:space="preserve">Rad Hrvatske akademije u 2012. odvijao se je putem 40 ustrojstvenih jedinica, od čega 14 jedinica izvan grada Zagreba i 26 jedinica u gradu Zagrebu koje su smještene na 10 lokacija.  </w:t>
      </w:r>
    </w:p>
    <w:p w:rsidR="00AC0832" w:rsidRDefault="00AC0832">
      <w:pPr>
        <w:pStyle w:val="Normal6"/>
      </w:pPr>
      <w:r>
        <w:t xml:space="preserve">U akademijinim znanstvenoistraživačkim, muzejsko-galerijskim i stručnim jedinicama tijekom godine bio je zaposlen 231 djelatnik i 37 znanstvenih novaka.  </w:t>
      </w:r>
    </w:p>
    <w:p w:rsidR="00AC0832" w:rsidRDefault="00AC0832">
      <w:pPr>
        <w:pStyle w:val="Normal6"/>
      </w:pPr>
      <w:r>
        <w:t xml:space="preserve">Broj redovitih članova Akademije kojima pripada pravo na isplatu stalnih mjesečnih nagrada na početku godine bio je 133, a kako je je 2012. bila izborna godina, u mjesecu svibnju izabrano je  18 novih redovitih članova.  </w:t>
      </w:r>
    </w:p>
    <w:p w:rsidR="00AC0832" w:rsidRDefault="00AC0832">
      <w:pPr>
        <w:pStyle w:val="Normal6"/>
      </w:pPr>
      <w:r>
        <w:t>Na kraju godine broj redovitih članova bio je 145 jer je tijekom godine preminulo 7 redovitih članova.</w:t>
      </w:r>
    </w:p>
    <w:p w:rsidR="00AC0832" w:rsidRDefault="00AC0832">
      <w:pPr>
        <w:pStyle w:val="Heading6"/>
      </w:pPr>
      <w:r>
        <w:t>A586003 OSNOVNA DJELATNOST ZAKLADE HAZU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A586003-OSNOVNA DJELATNOST ZAKLADE HAZU</w:t>
            </w:r>
          </w:p>
        </w:tc>
        <w:tc>
          <w:tcPr>
            <w:tcW w:w="2322" w:type="dxa"/>
          </w:tcPr>
          <w:p w:rsidR="00AC0832" w:rsidRDefault="00AC0832">
            <w:pPr>
              <w:pStyle w:val="CellColumn"/>
            </w:pPr>
            <w:r>
              <w:t>800.000</w:t>
            </w:r>
          </w:p>
        </w:tc>
        <w:tc>
          <w:tcPr>
            <w:tcW w:w="2322" w:type="dxa"/>
          </w:tcPr>
          <w:p w:rsidR="00AC0832" w:rsidRDefault="00AC0832">
            <w:pPr>
              <w:pStyle w:val="CellColumn"/>
            </w:pPr>
            <w:r>
              <w:t>800.000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Zaklada Hrvatske akademije znanosti i umjetnosti osnovana je 1993. godine s ciljem unapređivanja kulture, umjetnosti, znanosti i odgoja, kao bitnih čimbenika duhovnog, gospodarskog, političkog i sveopćeg napretka.  </w:t>
      </w:r>
    </w:p>
    <w:p w:rsidR="00AC0832" w:rsidRDefault="00AC0832">
      <w:pPr>
        <w:pStyle w:val="Normal6"/>
      </w:pPr>
      <w:r>
        <w:t xml:space="preserve">Hrvatska akademija znanosti i umjetnosti kao jedan od osnivača Zaklade iz svojeg proračuna izdvaja dio sredstava za njezinu redovnu djelatnost.  </w:t>
      </w:r>
    </w:p>
    <w:p w:rsidR="00AC0832" w:rsidRDefault="00AC0832">
      <w:pPr>
        <w:pStyle w:val="Normal6"/>
      </w:pPr>
      <w:r>
        <w:t xml:space="preserve">Sredstva Zaklade u izvještajnom razdoblju utrošila su se za sufinanciranje 81 projekata izdavačke djelatnosti na području znanosti i umjetnosti (neobjavljena djela) ,  37 pomoći pri organiziranju znanstvenih skupova, te je potpomognuto  37 projekata  za razvijanje znanstvenoistraživačkog i umjetničkom rada  pojedinaca ili institucija.   </w:t>
      </w:r>
    </w:p>
    <w:p w:rsidR="00AC0832" w:rsidRDefault="00AC0832">
      <w:pPr>
        <w:pStyle w:val="Normal6"/>
      </w:pPr>
      <w:r>
        <w:t>Sredstva se svake godine dodjeljuju na temelju javnog natječaja na kojem mogu sudjelovati svi zainteresirani građani, udruge, razne organizacije i sl.</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8"/>
        <w:gridCol w:w="1651"/>
        <w:gridCol w:w="1254"/>
        <w:gridCol w:w="1270"/>
        <w:gridCol w:w="1266"/>
        <w:gridCol w:w="1270"/>
        <w:gridCol w:w="127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projekata kojima se potpomaže znanstveni i umjetnički rad organizacija i pojedinaca</w:t>
            </w:r>
          </w:p>
        </w:tc>
        <w:tc>
          <w:tcPr>
            <w:tcW w:w="1300" w:type="dxa"/>
          </w:tcPr>
          <w:p w:rsidR="00AC0832" w:rsidRDefault="00AC0832">
            <w:pPr>
              <w:pStyle w:val="CellColumn"/>
            </w:pPr>
            <w:r>
              <w:t>Sufinanciranjem potpomaže se znanstveni i umjetnički rad, izdavačka djelatnos</w:t>
            </w:r>
          </w:p>
        </w:tc>
        <w:tc>
          <w:tcPr>
            <w:tcW w:w="1300" w:type="dxa"/>
          </w:tcPr>
          <w:p w:rsidR="00AC0832" w:rsidRDefault="00AC0832">
            <w:pPr>
              <w:pStyle w:val="CellColumn"/>
            </w:pPr>
            <w:r>
              <w:t>Broj</w:t>
            </w:r>
          </w:p>
        </w:tc>
        <w:tc>
          <w:tcPr>
            <w:tcW w:w="1300" w:type="dxa"/>
          </w:tcPr>
          <w:p w:rsidR="00AC0832" w:rsidRDefault="00AC0832">
            <w:pPr>
              <w:pStyle w:val="CellColumn"/>
            </w:pPr>
            <w:r>
              <w:t>127</w:t>
            </w:r>
          </w:p>
        </w:tc>
        <w:tc>
          <w:tcPr>
            <w:tcW w:w="1300" w:type="dxa"/>
          </w:tcPr>
          <w:p w:rsidR="00AC0832" w:rsidRDefault="00AC0832">
            <w:pPr>
              <w:pStyle w:val="CellColumn"/>
            </w:pPr>
            <w:r>
              <w:t>Zaklada HAZU</w:t>
            </w:r>
          </w:p>
        </w:tc>
        <w:tc>
          <w:tcPr>
            <w:tcW w:w="1300" w:type="dxa"/>
          </w:tcPr>
          <w:p w:rsidR="00AC0832" w:rsidRDefault="00AC0832">
            <w:pPr>
              <w:pStyle w:val="CellColumn"/>
            </w:pPr>
            <w:r>
              <w:t>127</w:t>
            </w:r>
          </w:p>
        </w:tc>
        <w:tc>
          <w:tcPr>
            <w:tcW w:w="1300" w:type="dxa"/>
          </w:tcPr>
          <w:p w:rsidR="00AC0832" w:rsidRDefault="00AC0832">
            <w:pPr>
              <w:pStyle w:val="CellColumn"/>
            </w:pPr>
            <w:r>
              <w:t>165</w:t>
            </w:r>
          </w:p>
        </w:tc>
      </w:tr>
    </w:tbl>
    <w:p w:rsidR="00AC0832" w:rsidRDefault="00AC0832">
      <w:pPr>
        <w:jc w:val="left"/>
      </w:pPr>
    </w:p>
    <w:p w:rsidR="00AC0832" w:rsidRDefault="00AC0832">
      <w:pPr>
        <w:pStyle w:val="Heading6"/>
      </w:pPr>
      <w:r>
        <w:t>A586018 TISAK KNJIGA, BROŠURA I KATALOGA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A586018-TISAK KNJIGA, BROŠURA I KATALOGA</w:t>
            </w:r>
          </w:p>
        </w:tc>
        <w:tc>
          <w:tcPr>
            <w:tcW w:w="2322" w:type="dxa"/>
          </w:tcPr>
          <w:p w:rsidR="00AC0832" w:rsidRDefault="00AC0832">
            <w:pPr>
              <w:pStyle w:val="CellColumn"/>
            </w:pPr>
            <w:r>
              <w:t>109.000</w:t>
            </w:r>
          </w:p>
        </w:tc>
        <w:tc>
          <w:tcPr>
            <w:tcW w:w="2322" w:type="dxa"/>
          </w:tcPr>
          <w:p w:rsidR="00AC0832" w:rsidRDefault="00AC0832">
            <w:pPr>
              <w:pStyle w:val="CellColumn"/>
            </w:pPr>
            <w:r>
              <w:t>109.000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Hrvatska akademija znanosti i umjetnosti u okviru svoje nakladničke djelatnosti kao izdavač ili suizdavač  tijekom 2012. izdala je 108 svezaka raznih publikacija u svrhu promocije i prezentacije postignutih rezultata znanstvenoistraživačkog i umjetničkog rada.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7"/>
        <w:gridCol w:w="2395"/>
        <w:gridCol w:w="1085"/>
        <w:gridCol w:w="1160"/>
        <w:gridCol w:w="1140"/>
        <w:gridCol w:w="1160"/>
        <w:gridCol w:w="1201"/>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izdanih stručnih knjiga</w:t>
            </w:r>
          </w:p>
        </w:tc>
        <w:tc>
          <w:tcPr>
            <w:tcW w:w="1300" w:type="dxa"/>
          </w:tcPr>
          <w:p w:rsidR="00AC0832" w:rsidRDefault="00AC0832">
            <w:pPr>
              <w:pStyle w:val="CellColumn"/>
            </w:pPr>
            <w:r>
              <w:t>Promocija i prezentacija postignutih rezulatata znanstvenoistraživačkog rada</w:t>
            </w:r>
          </w:p>
        </w:tc>
        <w:tc>
          <w:tcPr>
            <w:tcW w:w="1300" w:type="dxa"/>
          </w:tcPr>
          <w:p w:rsidR="00AC0832" w:rsidRDefault="00AC0832">
            <w:pPr>
              <w:pStyle w:val="CellColumn"/>
            </w:pPr>
            <w:r>
              <w:t>Broj</w:t>
            </w:r>
          </w:p>
        </w:tc>
        <w:tc>
          <w:tcPr>
            <w:tcW w:w="1300" w:type="dxa"/>
          </w:tcPr>
          <w:p w:rsidR="00AC0832" w:rsidRDefault="00AC0832">
            <w:pPr>
              <w:pStyle w:val="CellColumn"/>
            </w:pPr>
            <w:r>
              <w:t>32</w:t>
            </w:r>
          </w:p>
        </w:tc>
        <w:tc>
          <w:tcPr>
            <w:tcW w:w="1300" w:type="dxa"/>
          </w:tcPr>
          <w:p w:rsidR="00AC0832" w:rsidRDefault="00AC0832">
            <w:pPr>
              <w:pStyle w:val="CellColumn"/>
            </w:pPr>
            <w:r>
              <w:t>HAZU</w:t>
            </w:r>
          </w:p>
        </w:tc>
        <w:tc>
          <w:tcPr>
            <w:tcW w:w="1300" w:type="dxa"/>
          </w:tcPr>
          <w:p w:rsidR="00AC0832" w:rsidRDefault="00AC0832">
            <w:pPr>
              <w:pStyle w:val="CellColumn"/>
            </w:pPr>
            <w:r>
              <w:t>20</w:t>
            </w:r>
          </w:p>
        </w:tc>
        <w:tc>
          <w:tcPr>
            <w:tcW w:w="1300" w:type="dxa"/>
          </w:tcPr>
          <w:p w:rsidR="00AC0832" w:rsidRDefault="00AC0832">
            <w:pPr>
              <w:pStyle w:val="CellColumn"/>
            </w:pPr>
            <w:r>
              <w:t>18</w:t>
            </w:r>
          </w:p>
        </w:tc>
      </w:tr>
      <w:tr w:rsidR="00AC0832" w:rsidTr="00BE20ED">
        <w:trPr>
          <w:jc w:val="center"/>
        </w:trPr>
        <w:tc>
          <w:tcPr>
            <w:tcW w:w="1300" w:type="dxa"/>
          </w:tcPr>
          <w:p w:rsidR="00AC0832" w:rsidRDefault="00AC0832">
            <w:pPr>
              <w:pStyle w:val="CellColumn"/>
            </w:pPr>
            <w:r>
              <w:t>Broj izdanih zbornika radova</w:t>
            </w:r>
          </w:p>
        </w:tc>
        <w:tc>
          <w:tcPr>
            <w:tcW w:w="1300" w:type="dxa"/>
          </w:tcPr>
          <w:p w:rsidR="00AC0832" w:rsidRDefault="00AC0832">
            <w:pPr>
              <w:pStyle w:val="CellColumn"/>
            </w:pPr>
            <w:r>
              <w:t>Promocija i prezentacija postignutih rezulatata znanstvenoistraživačkog rada</w:t>
            </w:r>
          </w:p>
        </w:tc>
        <w:tc>
          <w:tcPr>
            <w:tcW w:w="1300" w:type="dxa"/>
          </w:tcPr>
          <w:p w:rsidR="00AC0832" w:rsidRDefault="00AC0832">
            <w:pPr>
              <w:pStyle w:val="CellColumn"/>
            </w:pPr>
            <w:r>
              <w:t>Broj</w:t>
            </w:r>
          </w:p>
        </w:tc>
        <w:tc>
          <w:tcPr>
            <w:tcW w:w="1300" w:type="dxa"/>
          </w:tcPr>
          <w:p w:rsidR="00AC0832" w:rsidRDefault="00AC0832">
            <w:pPr>
              <w:pStyle w:val="CellColumn"/>
            </w:pPr>
            <w:r>
              <w:t>21</w:t>
            </w:r>
          </w:p>
        </w:tc>
        <w:tc>
          <w:tcPr>
            <w:tcW w:w="1300" w:type="dxa"/>
          </w:tcPr>
          <w:p w:rsidR="00AC0832" w:rsidRDefault="00AC0832">
            <w:pPr>
              <w:pStyle w:val="CellColumn"/>
            </w:pPr>
            <w:r>
              <w:t>HAZU</w:t>
            </w:r>
          </w:p>
        </w:tc>
        <w:tc>
          <w:tcPr>
            <w:tcW w:w="1300" w:type="dxa"/>
          </w:tcPr>
          <w:p w:rsidR="00AC0832" w:rsidRDefault="00AC0832">
            <w:pPr>
              <w:pStyle w:val="CellColumn"/>
            </w:pPr>
            <w:r>
              <w:t>8</w:t>
            </w:r>
          </w:p>
        </w:tc>
        <w:tc>
          <w:tcPr>
            <w:tcW w:w="1300" w:type="dxa"/>
          </w:tcPr>
          <w:p w:rsidR="00AC0832" w:rsidRDefault="00AC0832">
            <w:pPr>
              <w:pStyle w:val="CellColumn"/>
            </w:pPr>
            <w:r>
              <w:t>19</w:t>
            </w:r>
          </w:p>
        </w:tc>
      </w:tr>
      <w:tr w:rsidR="00AC0832" w:rsidTr="00BE20ED">
        <w:trPr>
          <w:jc w:val="center"/>
        </w:trPr>
        <w:tc>
          <w:tcPr>
            <w:tcW w:w="1300" w:type="dxa"/>
          </w:tcPr>
          <w:p w:rsidR="00AC0832" w:rsidRDefault="00AC0832">
            <w:pPr>
              <w:pStyle w:val="CellColumn"/>
            </w:pPr>
            <w:r>
              <w:t>Broj izdanih svezaka časopisa</w:t>
            </w:r>
          </w:p>
        </w:tc>
        <w:tc>
          <w:tcPr>
            <w:tcW w:w="1300" w:type="dxa"/>
          </w:tcPr>
          <w:p w:rsidR="00AC0832" w:rsidRDefault="00AC0832">
            <w:pPr>
              <w:pStyle w:val="CellColumn"/>
            </w:pPr>
            <w:r>
              <w:t>Promocija i prezentacija postignutih rezulatata znanstvenoistraživačkog rada</w:t>
            </w:r>
          </w:p>
        </w:tc>
        <w:tc>
          <w:tcPr>
            <w:tcW w:w="1300" w:type="dxa"/>
          </w:tcPr>
          <w:p w:rsidR="00AC0832" w:rsidRDefault="00AC0832">
            <w:pPr>
              <w:pStyle w:val="CellColumn"/>
            </w:pPr>
            <w:r>
              <w:t>Broj</w:t>
            </w:r>
          </w:p>
        </w:tc>
        <w:tc>
          <w:tcPr>
            <w:tcW w:w="1300" w:type="dxa"/>
          </w:tcPr>
          <w:p w:rsidR="00AC0832" w:rsidRDefault="00AC0832">
            <w:pPr>
              <w:pStyle w:val="CellColumn"/>
            </w:pPr>
            <w:r>
              <w:t>43</w:t>
            </w:r>
          </w:p>
        </w:tc>
        <w:tc>
          <w:tcPr>
            <w:tcW w:w="1300" w:type="dxa"/>
          </w:tcPr>
          <w:p w:rsidR="00AC0832" w:rsidRDefault="00AC0832">
            <w:pPr>
              <w:pStyle w:val="CellColumn"/>
            </w:pPr>
            <w:r>
              <w:t>HAZU</w:t>
            </w:r>
          </w:p>
        </w:tc>
        <w:tc>
          <w:tcPr>
            <w:tcW w:w="1300" w:type="dxa"/>
          </w:tcPr>
          <w:p w:rsidR="00AC0832" w:rsidRDefault="00AC0832">
            <w:pPr>
              <w:pStyle w:val="CellColumn"/>
            </w:pPr>
            <w:r>
              <w:t>19</w:t>
            </w:r>
          </w:p>
        </w:tc>
        <w:tc>
          <w:tcPr>
            <w:tcW w:w="1300" w:type="dxa"/>
          </w:tcPr>
          <w:p w:rsidR="00AC0832" w:rsidRDefault="00AC0832">
            <w:pPr>
              <w:pStyle w:val="CellColumn"/>
            </w:pPr>
            <w:r>
              <w:t>33</w:t>
            </w:r>
          </w:p>
        </w:tc>
      </w:tr>
    </w:tbl>
    <w:p w:rsidR="00AC0832" w:rsidRDefault="00AC0832">
      <w:pPr>
        <w:jc w:val="left"/>
      </w:pPr>
    </w:p>
    <w:p w:rsidR="00AC0832" w:rsidRDefault="00AC0832">
      <w:pPr>
        <w:pStyle w:val="Heading6"/>
      </w:pPr>
      <w:r>
        <w:t>A586039 MEĐUNARODNA SURADNJA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A586039-MEĐUNARODNA SURADNJA</w:t>
            </w:r>
          </w:p>
        </w:tc>
        <w:tc>
          <w:tcPr>
            <w:tcW w:w="2322" w:type="dxa"/>
          </w:tcPr>
          <w:p w:rsidR="00AC0832" w:rsidRDefault="00AC0832">
            <w:pPr>
              <w:pStyle w:val="CellColumn"/>
            </w:pPr>
            <w:r>
              <w:t>80.000</w:t>
            </w:r>
          </w:p>
        </w:tc>
        <w:tc>
          <w:tcPr>
            <w:tcW w:w="2322" w:type="dxa"/>
          </w:tcPr>
          <w:p w:rsidR="00AC0832" w:rsidRDefault="00AC0832">
            <w:pPr>
              <w:pStyle w:val="CellColumn"/>
            </w:pPr>
            <w:r>
              <w:t>80.000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2012. sve aktivnosti na polju međunarodne suradnje odvijale su se putem Odbora za međunarodnu suradnju koji je intenzivirao svoj rad na postojećoj međunarodnoj suradnji Hrvatske akademije s međunarodnim znanstvenim organizacijama, kroz rad na međunarodnim projektima.  </w:t>
      </w:r>
    </w:p>
    <w:p w:rsidR="00AC0832" w:rsidRDefault="00AC0832">
      <w:pPr>
        <w:pStyle w:val="Normal6"/>
      </w:pPr>
      <w:r>
        <w:t xml:space="preserve">Hrvatska akademije je tijekom 2012. ostvarila bilateralnu suradnju sa 22  akademije. U okviru te suradnje studijski boravak u Hrvatskoj ostvario je 21 strani znanstvenik, dok je ukupno 43 hrvatskih znanstvenika posjetilo strane akademije.  </w:t>
      </w:r>
    </w:p>
    <w:p w:rsidR="00AC0832" w:rsidRDefault="00AC0832">
      <w:pPr>
        <w:pStyle w:val="Normal6"/>
      </w:pPr>
      <w:r>
        <w:t>Članstvom Hrvatske akademije u u brojnim međunarodnim znanstvenim organizacijama kao što su ESF (Europska znanstvena zaklada), IAP (Inter Academy Panel - globalna mreža svjetskih akademija znanosti), IAMP (InterAcademy Medical Panel - globalna mreža akademija znanosti i medicine), ICSU (International Council for Science - međunarodna nevladina organizacija s ciljem promocije međunarodnih znanstvenih aktivnosti u svim područjima znanosti), UAI (Union International Academies - promocija međunarodne suradnje na području filologije, arheologije, povijesti, političkih i društvenih znanosti), ALLEA (All-Europen Academies - promocija, razmjena informacija i iskustva između akademija, te teži izvrsnosti u znanosti, visokim etičkim standardima i neovisnosti od političkih, komercijalnih i ideoloških interesa) omogućavalo se je tijekom 2012. godine  hrvatskim znanstvenicima uključivanje u međunarodne projekte.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1451"/>
        <w:gridCol w:w="1267"/>
        <w:gridCol w:w="1279"/>
        <w:gridCol w:w="1276"/>
        <w:gridCol w:w="1279"/>
        <w:gridCol w:w="128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akademijinih znanstvenika koji su uključeni u međunarodne projekte</w:t>
            </w:r>
          </w:p>
        </w:tc>
        <w:tc>
          <w:tcPr>
            <w:tcW w:w="1300" w:type="dxa"/>
          </w:tcPr>
          <w:p w:rsidR="00AC0832" w:rsidRDefault="00AC0832">
            <w:pPr>
              <w:pStyle w:val="CellColumn"/>
            </w:pPr>
            <w:r>
              <w:t>Promicanje znanstvenog rada u inozemstvu</w:t>
            </w:r>
          </w:p>
        </w:tc>
        <w:tc>
          <w:tcPr>
            <w:tcW w:w="1300" w:type="dxa"/>
          </w:tcPr>
          <w:p w:rsidR="00AC0832" w:rsidRDefault="00AC0832">
            <w:pPr>
              <w:pStyle w:val="CellColumn"/>
            </w:pPr>
            <w:r>
              <w:t>Broj</w:t>
            </w:r>
          </w:p>
        </w:tc>
        <w:tc>
          <w:tcPr>
            <w:tcW w:w="1300" w:type="dxa"/>
          </w:tcPr>
          <w:p w:rsidR="00AC0832" w:rsidRDefault="00AC0832">
            <w:pPr>
              <w:pStyle w:val="CellColumn"/>
            </w:pPr>
            <w:r>
              <w:t>28</w:t>
            </w:r>
          </w:p>
        </w:tc>
        <w:tc>
          <w:tcPr>
            <w:tcW w:w="1300" w:type="dxa"/>
          </w:tcPr>
          <w:p w:rsidR="00AC0832" w:rsidRDefault="00AC0832">
            <w:pPr>
              <w:pStyle w:val="CellColumn"/>
            </w:pPr>
            <w:r>
              <w:t>HAZU</w:t>
            </w:r>
          </w:p>
        </w:tc>
        <w:tc>
          <w:tcPr>
            <w:tcW w:w="1300" w:type="dxa"/>
          </w:tcPr>
          <w:p w:rsidR="00AC0832" w:rsidRDefault="00AC0832">
            <w:pPr>
              <w:pStyle w:val="CellColumn"/>
            </w:pPr>
            <w:r>
              <w:t>21</w:t>
            </w:r>
          </w:p>
        </w:tc>
        <w:tc>
          <w:tcPr>
            <w:tcW w:w="1300" w:type="dxa"/>
          </w:tcPr>
          <w:p w:rsidR="00AC0832" w:rsidRDefault="00AC0832">
            <w:pPr>
              <w:pStyle w:val="CellColumn"/>
            </w:pPr>
            <w:r>
              <w:t>21</w:t>
            </w:r>
          </w:p>
        </w:tc>
      </w:tr>
      <w:tr w:rsidR="00AC0832" w:rsidTr="00BE20ED">
        <w:trPr>
          <w:jc w:val="center"/>
        </w:trPr>
        <w:tc>
          <w:tcPr>
            <w:tcW w:w="1300" w:type="dxa"/>
          </w:tcPr>
          <w:p w:rsidR="00AC0832" w:rsidRDefault="00AC0832">
            <w:pPr>
              <w:pStyle w:val="CellColumn"/>
            </w:pPr>
            <w:r>
              <w:t>Broj znanstvenika koji sudjeluju u različitim oblicima međunarodne suradnje</w:t>
            </w:r>
          </w:p>
        </w:tc>
        <w:tc>
          <w:tcPr>
            <w:tcW w:w="1300" w:type="dxa"/>
          </w:tcPr>
          <w:p w:rsidR="00AC0832" w:rsidRDefault="00AC0832">
            <w:pPr>
              <w:pStyle w:val="CellColumn"/>
            </w:pPr>
            <w:r>
              <w:t>Promicanje znanstvenog rada u inozemstvu</w:t>
            </w:r>
          </w:p>
        </w:tc>
        <w:tc>
          <w:tcPr>
            <w:tcW w:w="1300" w:type="dxa"/>
          </w:tcPr>
          <w:p w:rsidR="00AC0832" w:rsidRDefault="00AC0832">
            <w:pPr>
              <w:pStyle w:val="CellColumn"/>
            </w:pPr>
            <w:r>
              <w:t>Broj</w:t>
            </w:r>
          </w:p>
        </w:tc>
        <w:tc>
          <w:tcPr>
            <w:tcW w:w="1300" w:type="dxa"/>
          </w:tcPr>
          <w:p w:rsidR="00AC0832" w:rsidRDefault="00AC0832">
            <w:pPr>
              <w:pStyle w:val="CellColumn"/>
            </w:pPr>
            <w:r>
              <w:t>40</w:t>
            </w:r>
          </w:p>
        </w:tc>
        <w:tc>
          <w:tcPr>
            <w:tcW w:w="1300" w:type="dxa"/>
          </w:tcPr>
          <w:p w:rsidR="00AC0832" w:rsidRDefault="00AC0832">
            <w:pPr>
              <w:pStyle w:val="CellColumn"/>
            </w:pPr>
            <w:r>
              <w:t>HAZU</w:t>
            </w:r>
          </w:p>
        </w:tc>
        <w:tc>
          <w:tcPr>
            <w:tcW w:w="1300" w:type="dxa"/>
          </w:tcPr>
          <w:p w:rsidR="00AC0832" w:rsidRDefault="00AC0832">
            <w:pPr>
              <w:pStyle w:val="CellColumn"/>
            </w:pPr>
            <w:r>
              <w:t>28</w:t>
            </w:r>
          </w:p>
        </w:tc>
        <w:tc>
          <w:tcPr>
            <w:tcW w:w="1300" w:type="dxa"/>
          </w:tcPr>
          <w:p w:rsidR="00AC0832" w:rsidRDefault="00AC0832">
            <w:pPr>
              <w:pStyle w:val="CellColumn"/>
            </w:pPr>
            <w:r>
              <w:t>43</w:t>
            </w:r>
          </w:p>
        </w:tc>
      </w:tr>
      <w:tr w:rsidR="00AC0832" w:rsidTr="00BE20ED">
        <w:trPr>
          <w:jc w:val="center"/>
        </w:trPr>
        <w:tc>
          <w:tcPr>
            <w:tcW w:w="1300" w:type="dxa"/>
          </w:tcPr>
          <w:p w:rsidR="00AC0832" w:rsidRDefault="00AC0832">
            <w:pPr>
              <w:pStyle w:val="CellColumn"/>
            </w:pPr>
            <w:r>
              <w:t>Broj potpisanih sporazuma s drugim akademijama</w:t>
            </w:r>
          </w:p>
        </w:tc>
        <w:tc>
          <w:tcPr>
            <w:tcW w:w="1300" w:type="dxa"/>
          </w:tcPr>
          <w:p w:rsidR="00AC0832" w:rsidRDefault="00AC0832">
            <w:pPr>
              <w:pStyle w:val="CellColumn"/>
            </w:pPr>
            <w:r>
              <w:t>Promicanje međunarodne suradnje</w:t>
            </w:r>
          </w:p>
        </w:tc>
        <w:tc>
          <w:tcPr>
            <w:tcW w:w="1300" w:type="dxa"/>
          </w:tcPr>
          <w:p w:rsidR="00AC0832" w:rsidRDefault="00AC0832">
            <w:pPr>
              <w:pStyle w:val="CellColumn"/>
            </w:pPr>
            <w:r>
              <w:t>Broj</w:t>
            </w:r>
          </w:p>
        </w:tc>
        <w:tc>
          <w:tcPr>
            <w:tcW w:w="1300" w:type="dxa"/>
          </w:tcPr>
          <w:p w:rsidR="00AC0832" w:rsidRDefault="00AC0832">
            <w:pPr>
              <w:pStyle w:val="CellColumn"/>
            </w:pPr>
            <w:r>
              <w:t>22</w:t>
            </w:r>
          </w:p>
        </w:tc>
        <w:tc>
          <w:tcPr>
            <w:tcW w:w="1300" w:type="dxa"/>
          </w:tcPr>
          <w:p w:rsidR="00AC0832" w:rsidRDefault="00AC0832">
            <w:pPr>
              <w:pStyle w:val="CellColumn"/>
            </w:pPr>
            <w:r>
              <w:t>HAZU</w:t>
            </w:r>
          </w:p>
        </w:tc>
        <w:tc>
          <w:tcPr>
            <w:tcW w:w="1300" w:type="dxa"/>
          </w:tcPr>
          <w:p w:rsidR="00AC0832" w:rsidRDefault="00AC0832">
            <w:pPr>
              <w:pStyle w:val="CellColumn"/>
            </w:pPr>
            <w:r>
              <w:t>23</w:t>
            </w:r>
          </w:p>
        </w:tc>
        <w:tc>
          <w:tcPr>
            <w:tcW w:w="1300" w:type="dxa"/>
          </w:tcPr>
          <w:p w:rsidR="00AC0832" w:rsidRDefault="00AC0832">
            <w:pPr>
              <w:pStyle w:val="CellColumn"/>
            </w:pPr>
            <w:r>
              <w:t>23</w:t>
            </w:r>
          </w:p>
        </w:tc>
      </w:tr>
    </w:tbl>
    <w:p w:rsidR="00AC0832" w:rsidRDefault="00AC0832">
      <w:pPr>
        <w:jc w:val="left"/>
      </w:pPr>
    </w:p>
    <w:p w:rsidR="00AC0832" w:rsidRDefault="00AC0832">
      <w:pPr>
        <w:pStyle w:val="Heading6"/>
      </w:pPr>
      <w:r>
        <w:t>K586005 POPUNJAVANJE KNJIŽNOG FONDA BIBLIOTEKA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K586005-POPUNJAVANJE KNJIŽNOG FONDA BIBLIOTEKA</w:t>
            </w:r>
          </w:p>
        </w:tc>
        <w:tc>
          <w:tcPr>
            <w:tcW w:w="2322" w:type="dxa"/>
          </w:tcPr>
          <w:p w:rsidR="00AC0832" w:rsidRDefault="00AC0832">
            <w:pPr>
              <w:pStyle w:val="CellColumn"/>
            </w:pPr>
            <w:r>
              <w:t>70.000</w:t>
            </w:r>
          </w:p>
        </w:tc>
        <w:tc>
          <w:tcPr>
            <w:tcW w:w="2322" w:type="dxa"/>
          </w:tcPr>
          <w:p w:rsidR="00AC0832" w:rsidRDefault="00AC0832">
            <w:pPr>
              <w:pStyle w:val="CellColumn"/>
            </w:pPr>
            <w:r>
              <w:t>69.993</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Ukupni fond Knjižnice HAZU u 2012. povećan je za 1661 svezak knjiga i 1491 naslova časopisa, serija i novina. Od ukupnog broja prinovljenih knjiga darom je dobiven 159 svezak, razmjenom 511 sveska, a kupnjom 255 svezaka knjiga.  </w:t>
      </w:r>
    </w:p>
    <w:p w:rsidR="00AC0832" w:rsidRDefault="00AC0832">
      <w:pPr>
        <w:pStyle w:val="Normal6"/>
      </w:pPr>
      <w:r>
        <w:t>U 2012. godine u razmjenu je poslano 2000 svezaka na adrese brojnih znanstvenih ustanova u zemlji i svijetu, te je darovano 300 svezaka. Daroprimci su bile brojne gradske i manje narodne knjižnice, zatim fakultetske, muzejske i samostanske knjižnice, te knjižnice ogranaka Matice hrvatske i srodne institucije.</w:t>
      </w:r>
    </w:p>
    <w:p w:rsidR="00AC0832" w:rsidRDefault="00AC0832">
      <w:pPr>
        <w:pStyle w:val="Heading6"/>
      </w:pPr>
    </w:p>
    <w:p w:rsidR="00AC0832" w:rsidRDefault="00AC0832">
      <w:pPr>
        <w:pStyle w:val="Heading6"/>
      </w:pPr>
      <w:r>
        <w:t>T586007 NAKLADNIČKI  PROJEKT "HRVATSKA I EUROPA"- PROMICANJE HRVATSKE POVIJESNE I KULTURNE BAŠTINE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T586007-NAKLADNIČKI  PROJEKT "HRVATSKA I EUROPA"- PROMICANJE HRVATSKE POVIJESNE I KULTURNE BAŠTINE</w:t>
            </w:r>
          </w:p>
        </w:tc>
        <w:tc>
          <w:tcPr>
            <w:tcW w:w="2322" w:type="dxa"/>
          </w:tcPr>
          <w:p w:rsidR="00AC0832" w:rsidRDefault="00AC0832">
            <w:pPr>
              <w:pStyle w:val="CellColumn"/>
            </w:pPr>
            <w:r>
              <w:t>90.000</w:t>
            </w:r>
          </w:p>
        </w:tc>
        <w:tc>
          <w:tcPr>
            <w:tcW w:w="2322" w:type="dxa"/>
          </w:tcPr>
          <w:p w:rsidR="00AC0832" w:rsidRDefault="00AC0832">
            <w:pPr>
              <w:pStyle w:val="CellColumn"/>
            </w:pPr>
            <w:r>
              <w:t>90.000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Edicija "Hrvatska i Europa" kapitalno je djelo Hrvatske akademije znanosti i umjetnosti. To je "Petoknjižje Hrvatskog naroda i svih građana Republike Hrvatske". U 2012. intenzivirao se je rad na V. svesku edicije Hrvatska i Europa – XX. Stoljeće kako bi ga se moglo dovršiti i pripremiti za tisak u 2013. Osim toga radilo se i na III. svesku Edicije na engleskom jeziku koji je pripremljen za tisak. Potrebno je samo dovršiti superreviziju teksta.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tiskanih svezaka edicije</w:t>
            </w:r>
          </w:p>
        </w:tc>
        <w:tc>
          <w:tcPr>
            <w:tcW w:w="1300" w:type="dxa"/>
          </w:tcPr>
          <w:p w:rsidR="00AC0832" w:rsidRDefault="00AC0832">
            <w:pPr>
              <w:pStyle w:val="CellColumn"/>
            </w:pPr>
            <w:r>
              <w:t>Promicanje hrvatske kulturne baštine u svijetu</w:t>
            </w:r>
          </w:p>
        </w:tc>
        <w:tc>
          <w:tcPr>
            <w:tcW w:w="1300" w:type="dxa"/>
          </w:tcPr>
          <w:p w:rsidR="00AC0832" w:rsidRDefault="00AC0832">
            <w:pPr>
              <w:pStyle w:val="CellColumn"/>
            </w:pPr>
            <w:r>
              <w:t>Broj</w:t>
            </w:r>
          </w:p>
        </w:tc>
        <w:tc>
          <w:tcPr>
            <w:tcW w:w="1300" w:type="dxa"/>
          </w:tcPr>
          <w:p w:rsidR="00AC0832" w:rsidRDefault="00AC0832">
            <w:pPr>
              <w:pStyle w:val="CellColumn"/>
            </w:pPr>
            <w:r>
              <w:t>10</w:t>
            </w:r>
          </w:p>
        </w:tc>
        <w:tc>
          <w:tcPr>
            <w:tcW w:w="1300" w:type="dxa"/>
          </w:tcPr>
          <w:p w:rsidR="00AC0832" w:rsidRDefault="00AC0832">
            <w:pPr>
              <w:pStyle w:val="CellColumn"/>
            </w:pPr>
            <w:r>
              <w:t>HAZU</w:t>
            </w:r>
          </w:p>
        </w:tc>
        <w:tc>
          <w:tcPr>
            <w:tcW w:w="1300" w:type="dxa"/>
          </w:tcPr>
          <w:p w:rsidR="00AC0832" w:rsidRDefault="00AC0832">
            <w:pPr>
              <w:pStyle w:val="CellColumn"/>
            </w:pPr>
            <w:r>
              <w:t>2</w:t>
            </w:r>
          </w:p>
        </w:tc>
        <w:tc>
          <w:tcPr>
            <w:tcW w:w="1300" w:type="dxa"/>
          </w:tcPr>
          <w:p w:rsidR="00AC0832" w:rsidRDefault="00AC0832">
            <w:pPr>
              <w:pStyle w:val="CellColumn"/>
            </w:pPr>
            <w:r>
              <w:t>2</w:t>
            </w:r>
          </w:p>
        </w:tc>
      </w:tr>
    </w:tbl>
    <w:p w:rsidR="00AC0832" w:rsidRDefault="00AC0832">
      <w:pPr>
        <w:jc w:val="left"/>
      </w:pPr>
    </w:p>
    <w:p w:rsidR="00AC0832" w:rsidRDefault="00AC0832">
      <w:pPr>
        <w:pStyle w:val="Heading1"/>
      </w:pPr>
      <w:r>
        <w:t>110 MINISTARSTVO PRAVOSUĐA</w:t>
      </w:r>
    </w:p>
    <w:p w:rsidR="00AC0832" w:rsidRDefault="00AC0832">
      <w:pPr>
        <w:pStyle w:val="Heading4"/>
      </w:pPr>
      <w:r>
        <w:t>Uvod</w:t>
      </w:r>
    </w:p>
    <w:p w:rsidR="00AC0832" w:rsidRDefault="00AC0832">
      <w:pPr>
        <w:pStyle w:val="Normal3"/>
      </w:pPr>
      <w:r>
        <w:t xml:space="preserve">Razdjelom 110 – Ministarstvo pravosuđa obuhvaćeno je 18 proračunskih glava i to: 05 – Ministarstvo pravosuđa, 06 – Pravosudna akademija, 10 – Zatvori i kaznionice, 15 – Vrhovni sud Republike Hrvatske, 20 – Visoki trgovački sud Republike Hrvatske, 25 – Upravni sud Republike Hrvatske, 27 – Upravni sudovi,  30 – Državno odvjetništvo Republike Hrvatske, 35 – Državno odvjetničko vijeće, 36 – Državno sudbeno vijeće, 40 – Visoki prekršajni sud Republike Hrvatske, 45 –Županijski sudovi, 50 – Trgovački sudovi, 55 – Županijska državna odvjetništva, 65 –Općinski sudovi, 70 – Općinska državna odvjetništva, 75 – Prekršajni sudovi, 91 – Ured za suzbijanje korupcije i organiziranog kriminaliteta, unutar kojih funkcionira 236 proračunskih korisnika od čega 208 pravosudnih tijela i 24 zatvorske institucije. </w:t>
      </w:r>
    </w:p>
    <w:p w:rsidR="00AC0832" w:rsidRDefault="00AC0832">
      <w:pPr>
        <w:pStyle w:val="Normal3"/>
      </w:pPr>
      <w:r>
        <w:t xml:space="preserve">Plan sredstava Razdjela 110 – Ministarstvo pravosuđa iskazan je kroz 13 programa kojima su obuhvaćene 74 aktivnosti, 89 kapitalnih projekata i 18 tekućih projekata. </w:t>
      </w:r>
    </w:p>
    <w:p w:rsidR="00AC0832" w:rsidRDefault="00AC0832">
      <w:pPr>
        <w:pStyle w:val="Normal3"/>
      </w:pPr>
      <w:r>
        <w:t xml:space="preserve">Limit Razdjela 110 – Ministarstvo pravosuđa manji je za 8,8% . </w:t>
      </w:r>
    </w:p>
    <w:p w:rsidR="00AC0832" w:rsidRDefault="00AC0832">
      <w:pPr>
        <w:pStyle w:val="Normal3"/>
      </w:pPr>
      <w:r>
        <w:t xml:space="preserve">Ministarstvo pravosuđa i sva pravosudna i kaznena tijela djeluju u cilju osiguranja neovisnog i učinkovitog pravosuđa i pravne sigurnosti građana, predlaganja i provedbe propisa koji podupiru vladavinu prava te osiguranja humanih uvjeta i zaštite ljudskog dostojanstva osoba na izvršavanju kazne zatvora, mjere pritvora i odgojnih mjera. Ministarstvo pravosuđa nastoji pridonijeti stvaranju pravednog društva u kojem će pred pravosudnim tijelima svi koji se istima obrate u razumnom roku ostvariti učinkovitu zaštitu svojih prava. </w:t>
      </w:r>
    </w:p>
    <w:p w:rsidR="00AC0832" w:rsidRDefault="00AC0832">
      <w:pPr>
        <w:pStyle w:val="Normal3"/>
      </w:pPr>
      <w:r>
        <w:t xml:space="preserve">Strategijom programa Vlade Republike Hrvatske utvrđen je opći cilj „Jačanje pravne države i vladavine prava“, što načelno znači jačanje i razvoj ustavnih i zakonskih kategorija koje čine pravnu osnovu bitnu za razvoj demokracije. </w:t>
      </w:r>
    </w:p>
    <w:p w:rsidR="00AC0832" w:rsidRDefault="00AC0832">
      <w:pPr>
        <w:pStyle w:val="Normal3"/>
      </w:pPr>
      <w:r>
        <w:t xml:space="preserve">Reformom pravosuđa poboljšan je rad pravosudnih tijela u Republici Hrvatskoj povećana učinkovitost i ažurnost pravosuđa, što doprinosi većoj pravnoj sigurnosti građana te učinkovitosti u progonu kriminala i korupcije. Među prioritetna područja ubraja se osiguranje neovisnosti i nepristranosti, poboljšanje raspoloživosti besplatne pravne pomoći, promicanje alternativnih načina rješavanja sporova, unapređenje zatvorskog sustava, smanjenje broja neriješenih predmeta, reforma procesnih zakona i ubrzanje sudskih postupaka. </w:t>
      </w:r>
    </w:p>
    <w:p w:rsidR="00AC0832" w:rsidRDefault="00AC0832">
      <w:pPr>
        <w:pStyle w:val="Normal3"/>
      </w:pPr>
      <w:r>
        <w:t xml:space="preserve">Nadalje, spajanjem manjih sudova i državnih odvjetništava, te ustupanjem predmeta sa opterećenih na manje opterećene sudove ostvaruje se bolja iskorištenost postojećih ljudskih i materijalnih resursa što pridonosi ostvarenju načela vladavine prava i učinkovitosti pravosuđa. Učinkovitosti pravosuđa, jačanju sudbene vlasti pridonijet će i transparentnost rada pravosudnih tijela koja omogućava lakši pristup informacijama i ujednačenost sudske prakse. </w:t>
      </w:r>
    </w:p>
    <w:p w:rsidR="00AC0832" w:rsidRDefault="00AC0832">
      <w:pPr>
        <w:pStyle w:val="Normal3"/>
      </w:pPr>
      <w:r>
        <w:t xml:space="preserve">U okviru reforme pravosuđa provodi se niz aktivnosti kako bi se uspostavio učinkovit sustav registracije tvrtki, ubrzanje stečajnog postupka i pojačala učinkovitost sudovanja trgovačkih sudova, kao i niz aktivnosti kako bi se uspostavio učinkovit sustav registracije nekretnina i uskladili podaci zemljišnih knjiga i katastara. Za realizaciju integriranog sustava zemljišne administracije uspostavlja se sustav koji obuhvaća Bazu zemljišnih podataka pri Ministarstvu pravosuđa i Bazu podataka digitalnog katastarskog plana pri Državnoj geodetskoj upravi. Na taj način postići će se izgradnja sigurnog, pouzdanog i učinkovitog sustava registracije nekretnina i vlasništva nad nekretninama. </w:t>
      </w:r>
    </w:p>
    <w:p w:rsidR="00AC0832" w:rsidRDefault="00AC0832">
      <w:pPr>
        <w:pStyle w:val="Normal3"/>
      </w:pPr>
      <w:r>
        <w:t>Posebna pozornost posvetit će se jačanju pravnog i institucionalnog okvira, prevenciji, progonu i sankcioniranju korupcije, međuagencijskoj i međunarodnoj suradnji, te širenju opće društvene svijesti o nužnosti sprečavanja korupcije. Jedna od najjačih metoda u borbi protiv korupcije je transparentnost u radu tijela državne vlasti, a provodi se objavljivanjem relevantnih podataka o prikazu rada tijela državne vlasti.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11005-Ministarstvo pravosuđa</w:t>
            </w:r>
          </w:p>
        </w:tc>
        <w:tc>
          <w:tcPr>
            <w:tcW w:w="2322" w:type="dxa"/>
          </w:tcPr>
          <w:p w:rsidR="00AC0832" w:rsidRDefault="00AC0832">
            <w:pPr>
              <w:pStyle w:val="CellColumn"/>
            </w:pPr>
            <w:r>
              <w:t>382.128.380</w:t>
            </w:r>
          </w:p>
        </w:tc>
        <w:tc>
          <w:tcPr>
            <w:tcW w:w="2322" w:type="dxa"/>
          </w:tcPr>
          <w:p w:rsidR="00AC0832" w:rsidRDefault="00AC0832">
            <w:pPr>
              <w:pStyle w:val="CellColumn"/>
            </w:pPr>
            <w:r>
              <w:t>343.610.638</w:t>
            </w:r>
          </w:p>
        </w:tc>
        <w:tc>
          <w:tcPr>
            <w:tcW w:w="2322" w:type="dxa"/>
          </w:tcPr>
          <w:p w:rsidR="00AC0832" w:rsidRDefault="00AC0832">
            <w:pPr>
              <w:pStyle w:val="CellColumn"/>
            </w:pPr>
            <w:r>
              <w:t>89,9</w:t>
            </w:r>
          </w:p>
        </w:tc>
      </w:tr>
      <w:tr w:rsidR="00AC0832" w:rsidTr="00BE20ED">
        <w:trPr>
          <w:jc w:val="center"/>
        </w:trPr>
        <w:tc>
          <w:tcPr>
            <w:tcW w:w="2322" w:type="dxa"/>
          </w:tcPr>
          <w:p w:rsidR="00AC0832" w:rsidRDefault="00AC0832">
            <w:pPr>
              <w:pStyle w:val="CellColumn"/>
            </w:pPr>
            <w:r>
              <w:t>11006-Pravosudna akademija</w:t>
            </w:r>
          </w:p>
        </w:tc>
        <w:tc>
          <w:tcPr>
            <w:tcW w:w="2322" w:type="dxa"/>
          </w:tcPr>
          <w:p w:rsidR="00AC0832" w:rsidRDefault="00AC0832">
            <w:pPr>
              <w:pStyle w:val="CellColumn"/>
            </w:pPr>
            <w:r>
              <w:t>13.114.110</w:t>
            </w:r>
          </w:p>
        </w:tc>
        <w:tc>
          <w:tcPr>
            <w:tcW w:w="2322" w:type="dxa"/>
          </w:tcPr>
          <w:p w:rsidR="00AC0832" w:rsidRDefault="00AC0832">
            <w:pPr>
              <w:pStyle w:val="CellColumn"/>
            </w:pPr>
            <w:r>
              <w:t>13.316.088</w:t>
            </w:r>
          </w:p>
        </w:tc>
        <w:tc>
          <w:tcPr>
            <w:tcW w:w="2322" w:type="dxa"/>
          </w:tcPr>
          <w:p w:rsidR="00AC0832" w:rsidRDefault="00AC0832">
            <w:pPr>
              <w:pStyle w:val="CellColumn"/>
            </w:pPr>
            <w:r>
              <w:t>101,5</w:t>
            </w:r>
          </w:p>
        </w:tc>
      </w:tr>
      <w:tr w:rsidR="00AC0832" w:rsidTr="00BE20ED">
        <w:trPr>
          <w:jc w:val="center"/>
        </w:trPr>
        <w:tc>
          <w:tcPr>
            <w:tcW w:w="2322" w:type="dxa"/>
          </w:tcPr>
          <w:p w:rsidR="00AC0832" w:rsidRDefault="00AC0832">
            <w:pPr>
              <w:pStyle w:val="CellColumn"/>
            </w:pPr>
            <w:r>
              <w:t>11010-Zatvori i kaznionice</w:t>
            </w:r>
          </w:p>
        </w:tc>
        <w:tc>
          <w:tcPr>
            <w:tcW w:w="2322" w:type="dxa"/>
          </w:tcPr>
          <w:p w:rsidR="00AC0832" w:rsidRDefault="00AC0832">
            <w:pPr>
              <w:pStyle w:val="CellColumn"/>
            </w:pPr>
            <w:r>
              <w:t>495.680.000</w:t>
            </w:r>
          </w:p>
        </w:tc>
        <w:tc>
          <w:tcPr>
            <w:tcW w:w="2322" w:type="dxa"/>
          </w:tcPr>
          <w:p w:rsidR="00AC0832" w:rsidRDefault="00AC0832">
            <w:pPr>
              <w:pStyle w:val="CellColumn"/>
            </w:pPr>
            <w:r>
              <w:t>492.558.221</w:t>
            </w:r>
          </w:p>
        </w:tc>
        <w:tc>
          <w:tcPr>
            <w:tcW w:w="2322" w:type="dxa"/>
          </w:tcPr>
          <w:p w:rsidR="00AC0832" w:rsidRDefault="00AC0832">
            <w:pPr>
              <w:pStyle w:val="CellColumn"/>
            </w:pPr>
            <w:r>
              <w:t>99,4</w:t>
            </w:r>
          </w:p>
        </w:tc>
      </w:tr>
      <w:tr w:rsidR="00AC0832" w:rsidTr="00BE20ED">
        <w:trPr>
          <w:jc w:val="center"/>
        </w:trPr>
        <w:tc>
          <w:tcPr>
            <w:tcW w:w="2322" w:type="dxa"/>
          </w:tcPr>
          <w:p w:rsidR="00AC0832" w:rsidRDefault="00AC0832">
            <w:pPr>
              <w:pStyle w:val="CellColumn"/>
            </w:pPr>
            <w:r>
              <w:t>11015-Vrhovni sud Republike Hrvatske</w:t>
            </w:r>
          </w:p>
        </w:tc>
        <w:tc>
          <w:tcPr>
            <w:tcW w:w="2322" w:type="dxa"/>
          </w:tcPr>
          <w:p w:rsidR="00AC0832" w:rsidRDefault="00AC0832">
            <w:pPr>
              <w:pStyle w:val="CellColumn"/>
            </w:pPr>
            <w:r>
              <w:t>31.300.300</w:t>
            </w:r>
          </w:p>
        </w:tc>
        <w:tc>
          <w:tcPr>
            <w:tcW w:w="2322" w:type="dxa"/>
          </w:tcPr>
          <w:p w:rsidR="00AC0832" w:rsidRDefault="00AC0832">
            <w:pPr>
              <w:pStyle w:val="CellColumn"/>
            </w:pPr>
            <w:r>
              <w:t>30.846.728</w:t>
            </w:r>
          </w:p>
        </w:tc>
        <w:tc>
          <w:tcPr>
            <w:tcW w:w="2322" w:type="dxa"/>
          </w:tcPr>
          <w:p w:rsidR="00AC0832" w:rsidRDefault="00AC0832">
            <w:pPr>
              <w:pStyle w:val="CellColumn"/>
            </w:pPr>
            <w:r>
              <w:t>98,6</w:t>
            </w:r>
          </w:p>
        </w:tc>
      </w:tr>
      <w:tr w:rsidR="00AC0832" w:rsidTr="00BE20ED">
        <w:trPr>
          <w:jc w:val="center"/>
        </w:trPr>
        <w:tc>
          <w:tcPr>
            <w:tcW w:w="2322" w:type="dxa"/>
          </w:tcPr>
          <w:p w:rsidR="00AC0832" w:rsidRDefault="00AC0832">
            <w:pPr>
              <w:pStyle w:val="CellColumn"/>
            </w:pPr>
            <w:r>
              <w:t>11020-Visoki trgovački sud Republike Hrvatske</w:t>
            </w:r>
          </w:p>
        </w:tc>
        <w:tc>
          <w:tcPr>
            <w:tcW w:w="2322" w:type="dxa"/>
          </w:tcPr>
          <w:p w:rsidR="00AC0832" w:rsidRDefault="00AC0832">
            <w:pPr>
              <w:pStyle w:val="CellColumn"/>
            </w:pPr>
            <w:r>
              <w:t>20.006.755</w:t>
            </w:r>
          </w:p>
        </w:tc>
        <w:tc>
          <w:tcPr>
            <w:tcW w:w="2322" w:type="dxa"/>
          </w:tcPr>
          <w:p w:rsidR="00AC0832" w:rsidRDefault="00AC0832">
            <w:pPr>
              <w:pStyle w:val="CellColumn"/>
            </w:pPr>
            <w:r>
              <w:t>19.802.587</w:t>
            </w:r>
          </w:p>
        </w:tc>
        <w:tc>
          <w:tcPr>
            <w:tcW w:w="2322" w:type="dxa"/>
          </w:tcPr>
          <w:p w:rsidR="00AC0832" w:rsidRDefault="00AC0832">
            <w:pPr>
              <w:pStyle w:val="CellColumn"/>
            </w:pPr>
            <w:r>
              <w:t>99,0</w:t>
            </w:r>
          </w:p>
        </w:tc>
      </w:tr>
      <w:tr w:rsidR="00AC0832" w:rsidTr="00BE20ED">
        <w:trPr>
          <w:jc w:val="center"/>
        </w:trPr>
        <w:tc>
          <w:tcPr>
            <w:tcW w:w="2322" w:type="dxa"/>
          </w:tcPr>
          <w:p w:rsidR="00AC0832" w:rsidRDefault="00AC0832">
            <w:pPr>
              <w:pStyle w:val="CellColumn"/>
            </w:pPr>
            <w:r>
              <w:t>11025-Visoki upravni sud Republike Hrvatske</w:t>
            </w:r>
          </w:p>
        </w:tc>
        <w:tc>
          <w:tcPr>
            <w:tcW w:w="2322" w:type="dxa"/>
          </w:tcPr>
          <w:p w:rsidR="00AC0832" w:rsidRDefault="00AC0832">
            <w:pPr>
              <w:pStyle w:val="CellColumn"/>
            </w:pPr>
            <w:r>
              <w:t>25.076.400</w:t>
            </w:r>
          </w:p>
        </w:tc>
        <w:tc>
          <w:tcPr>
            <w:tcW w:w="2322" w:type="dxa"/>
          </w:tcPr>
          <w:p w:rsidR="00AC0832" w:rsidRDefault="00AC0832">
            <w:pPr>
              <w:pStyle w:val="CellColumn"/>
            </w:pPr>
            <w:r>
              <w:t>24.749.147</w:t>
            </w:r>
          </w:p>
        </w:tc>
        <w:tc>
          <w:tcPr>
            <w:tcW w:w="2322" w:type="dxa"/>
          </w:tcPr>
          <w:p w:rsidR="00AC0832" w:rsidRDefault="00AC0832">
            <w:pPr>
              <w:pStyle w:val="CellColumn"/>
            </w:pPr>
            <w:r>
              <w:t>98,7</w:t>
            </w:r>
          </w:p>
        </w:tc>
      </w:tr>
      <w:tr w:rsidR="00AC0832" w:rsidTr="00BE20ED">
        <w:trPr>
          <w:jc w:val="center"/>
        </w:trPr>
        <w:tc>
          <w:tcPr>
            <w:tcW w:w="2322" w:type="dxa"/>
          </w:tcPr>
          <w:p w:rsidR="00AC0832" w:rsidRDefault="00AC0832">
            <w:pPr>
              <w:pStyle w:val="CellColumn"/>
            </w:pPr>
            <w:r>
              <w:t>11027-Upravni sudovi</w:t>
            </w:r>
          </w:p>
        </w:tc>
        <w:tc>
          <w:tcPr>
            <w:tcW w:w="2322" w:type="dxa"/>
          </w:tcPr>
          <w:p w:rsidR="00AC0832" w:rsidRDefault="00AC0832">
            <w:pPr>
              <w:pStyle w:val="CellColumn"/>
            </w:pPr>
            <w:r>
              <w:t>13.090.000</w:t>
            </w:r>
          </w:p>
        </w:tc>
        <w:tc>
          <w:tcPr>
            <w:tcW w:w="2322" w:type="dxa"/>
          </w:tcPr>
          <w:p w:rsidR="00AC0832" w:rsidRDefault="00AC0832">
            <w:pPr>
              <w:pStyle w:val="CellColumn"/>
            </w:pPr>
            <w:r>
              <w:t>12.266.936</w:t>
            </w:r>
          </w:p>
        </w:tc>
        <w:tc>
          <w:tcPr>
            <w:tcW w:w="2322" w:type="dxa"/>
          </w:tcPr>
          <w:p w:rsidR="00AC0832" w:rsidRDefault="00AC0832">
            <w:pPr>
              <w:pStyle w:val="CellColumn"/>
            </w:pPr>
            <w:r>
              <w:t>93,7</w:t>
            </w:r>
          </w:p>
        </w:tc>
      </w:tr>
      <w:tr w:rsidR="00AC0832" w:rsidTr="00BE20ED">
        <w:trPr>
          <w:jc w:val="center"/>
        </w:trPr>
        <w:tc>
          <w:tcPr>
            <w:tcW w:w="2322" w:type="dxa"/>
          </w:tcPr>
          <w:p w:rsidR="00AC0832" w:rsidRDefault="00AC0832">
            <w:pPr>
              <w:pStyle w:val="CellColumn"/>
            </w:pPr>
            <w:r>
              <w:t>11030-Državno odvjetništvo Republike Hrvatske</w:t>
            </w:r>
          </w:p>
        </w:tc>
        <w:tc>
          <w:tcPr>
            <w:tcW w:w="2322" w:type="dxa"/>
          </w:tcPr>
          <w:p w:rsidR="00AC0832" w:rsidRDefault="00AC0832">
            <w:pPr>
              <w:pStyle w:val="CellColumn"/>
            </w:pPr>
            <w:r>
              <w:t>21.105.100</w:t>
            </w:r>
          </w:p>
        </w:tc>
        <w:tc>
          <w:tcPr>
            <w:tcW w:w="2322" w:type="dxa"/>
          </w:tcPr>
          <w:p w:rsidR="00AC0832" w:rsidRDefault="00AC0832">
            <w:pPr>
              <w:pStyle w:val="CellColumn"/>
            </w:pPr>
            <w:r>
              <w:t>20.900.736</w:t>
            </w:r>
          </w:p>
        </w:tc>
        <w:tc>
          <w:tcPr>
            <w:tcW w:w="2322" w:type="dxa"/>
          </w:tcPr>
          <w:p w:rsidR="00AC0832" w:rsidRDefault="00AC0832">
            <w:pPr>
              <w:pStyle w:val="CellColumn"/>
            </w:pPr>
            <w:r>
              <w:t>99,0</w:t>
            </w:r>
          </w:p>
        </w:tc>
      </w:tr>
      <w:tr w:rsidR="00AC0832" w:rsidTr="00BE20ED">
        <w:trPr>
          <w:jc w:val="center"/>
        </w:trPr>
        <w:tc>
          <w:tcPr>
            <w:tcW w:w="2322" w:type="dxa"/>
          </w:tcPr>
          <w:p w:rsidR="00AC0832" w:rsidRDefault="00AC0832">
            <w:pPr>
              <w:pStyle w:val="CellColumn"/>
            </w:pPr>
            <w:r>
              <w:t>11035-Državnoodvjetničko vijeće</w:t>
            </w:r>
          </w:p>
        </w:tc>
        <w:tc>
          <w:tcPr>
            <w:tcW w:w="2322" w:type="dxa"/>
          </w:tcPr>
          <w:p w:rsidR="00AC0832" w:rsidRDefault="00AC0832">
            <w:pPr>
              <w:pStyle w:val="CellColumn"/>
            </w:pPr>
            <w:r>
              <w:t>1.297.000</w:t>
            </w:r>
          </w:p>
        </w:tc>
        <w:tc>
          <w:tcPr>
            <w:tcW w:w="2322" w:type="dxa"/>
          </w:tcPr>
          <w:p w:rsidR="00AC0832" w:rsidRDefault="00AC0832">
            <w:pPr>
              <w:pStyle w:val="CellColumn"/>
            </w:pPr>
            <w:r>
              <w:t>1.265.000</w:t>
            </w:r>
          </w:p>
        </w:tc>
        <w:tc>
          <w:tcPr>
            <w:tcW w:w="2322" w:type="dxa"/>
          </w:tcPr>
          <w:p w:rsidR="00AC0832" w:rsidRDefault="00AC0832">
            <w:pPr>
              <w:pStyle w:val="CellColumn"/>
            </w:pPr>
            <w:r>
              <w:t>97,5</w:t>
            </w:r>
          </w:p>
        </w:tc>
      </w:tr>
      <w:tr w:rsidR="00AC0832" w:rsidTr="00BE20ED">
        <w:trPr>
          <w:jc w:val="center"/>
        </w:trPr>
        <w:tc>
          <w:tcPr>
            <w:tcW w:w="2322" w:type="dxa"/>
          </w:tcPr>
          <w:p w:rsidR="00AC0832" w:rsidRDefault="00AC0832">
            <w:pPr>
              <w:pStyle w:val="CellColumn"/>
            </w:pPr>
            <w:r>
              <w:t>11036-Državno sudbeno vijeće</w:t>
            </w:r>
          </w:p>
        </w:tc>
        <w:tc>
          <w:tcPr>
            <w:tcW w:w="2322" w:type="dxa"/>
          </w:tcPr>
          <w:p w:rsidR="00AC0832" w:rsidRDefault="00AC0832">
            <w:pPr>
              <w:pStyle w:val="CellColumn"/>
            </w:pPr>
            <w:r>
              <w:t>1.730.900</w:t>
            </w:r>
          </w:p>
        </w:tc>
        <w:tc>
          <w:tcPr>
            <w:tcW w:w="2322" w:type="dxa"/>
          </w:tcPr>
          <w:p w:rsidR="00AC0832" w:rsidRDefault="00AC0832">
            <w:pPr>
              <w:pStyle w:val="CellColumn"/>
            </w:pPr>
            <w:r>
              <w:t>1.317.830</w:t>
            </w:r>
          </w:p>
        </w:tc>
        <w:tc>
          <w:tcPr>
            <w:tcW w:w="2322" w:type="dxa"/>
          </w:tcPr>
          <w:p w:rsidR="00AC0832" w:rsidRDefault="00AC0832">
            <w:pPr>
              <w:pStyle w:val="CellColumn"/>
            </w:pPr>
            <w:r>
              <w:t>76,1</w:t>
            </w:r>
          </w:p>
        </w:tc>
      </w:tr>
      <w:tr w:rsidR="00AC0832" w:rsidTr="00BE20ED">
        <w:trPr>
          <w:jc w:val="center"/>
        </w:trPr>
        <w:tc>
          <w:tcPr>
            <w:tcW w:w="2322" w:type="dxa"/>
          </w:tcPr>
          <w:p w:rsidR="00AC0832" w:rsidRDefault="00AC0832">
            <w:pPr>
              <w:pStyle w:val="CellColumn"/>
            </w:pPr>
            <w:r>
              <w:t>11040-Visoki prekršajni sud Republike Hrvatske</w:t>
            </w:r>
          </w:p>
        </w:tc>
        <w:tc>
          <w:tcPr>
            <w:tcW w:w="2322" w:type="dxa"/>
          </w:tcPr>
          <w:p w:rsidR="00AC0832" w:rsidRDefault="00AC0832">
            <w:pPr>
              <w:pStyle w:val="CellColumn"/>
            </w:pPr>
            <w:r>
              <w:t>25.164.100</w:t>
            </w:r>
          </w:p>
        </w:tc>
        <w:tc>
          <w:tcPr>
            <w:tcW w:w="2322" w:type="dxa"/>
          </w:tcPr>
          <w:p w:rsidR="00AC0832" w:rsidRDefault="00AC0832">
            <w:pPr>
              <w:pStyle w:val="CellColumn"/>
            </w:pPr>
            <w:r>
              <w:t>25.075.396</w:t>
            </w:r>
          </w:p>
        </w:tc>
        <w:tc>
          <w:tcPr>
            <w:tcW w:w="2322" w:type="dxa"/>
          </w:tcPr>
          <w:p w:rsidR="00AC0832" w:rsidRDefault="00AC0832">
            <w:pPr>
              <w:pStyle w:val="CellColumn"/>
            </w:pPr>
            <w:r>
              <w:t>99,6</w:t>
            </w:r>
          </w:p>
        </w:tc>
      </w:tr>
      <w:tr w:rsidR="00AC0832" w:rsidTr="00BE20ED">
        <w:trPr>
          <w:jc w:val="center"/>
        </w:trPr>
        <w:tc>
          <w:tcPr>
            <w:tcW w:w="2322" w:type="dxa"/>
          </w:tcPr>
          <w:p w:rsidR="00AC0832" w:rsidRDefault="00AC0832">
            <w:pPr>
              <w:pStyle w:val="CellColumn"/>
            </w:pPr>
            <w:r>
              <w:t>11045-Županijski sudovi</w:t>
            </w:r>
          </w:p>
        </w:tc>
        <w:tc>
          <w:tcPr>
            <w:tcW w:w="2322" w:type="dxa"/>
          </w:tcPr>
          <w:p w:rsidR="00AC0832" w:rsidRDefault="00AC0832">
            <w:pPr>
              <w:pStyle w:val="CellColumn"/>
            </w:pPr>
            <w:r>
              <w:t>276.984.000</w:t>
            </w:r>
          </w:p>
        </w:tc>
        <w:tc>
          <w:tcPr>
            <w:tcW w:w="2322" w:type="dxa"/>
          </w:tcPr>
          <w:p w:rsidR="00AC0832" w:rsidRDefault="00AC0832">
            <w:pPr>
              <w:pStyle w:val="CellColumn"/>
            </w:pPr>
            <w:r>
              <w:t>276.364.911</w:t>
            </w:r>
          </w:p>
        </w:tc>
        <w:tc>
          <w:tcPr>
            <w:tcW w:w="2322" w:type="dxa"/>
          </w:tcPr>
          <w:p w:rsidR="00AC0832" w:rsidRDefault="00AC0832">
            <w:pPr>
              <w:pStyle w:val="CellColumn"/>
            </w:pPr>
            <w:r>
              <w:t>99,8</w:t>
            </w:r>
          </w:p>
        </w:tc>
      </w:tr>
      <w:tr w:rsidR="00AC0832" w:rsidTr="00BE20ED">
        <w:trPr>
          <w:jc w:val="center"/>
        </w:trPr>
        <w:tc>
          <w:tcPr>
            <w:tcW w:w="2322" w:type="dxa"/>
          </w:tcPr>
          <w:p w:rsidR="00AC0832" w:rsidRDefault="00AC0832">
            <w:pPr>
              <w:pStyle w:val="CellColumn"/>
            </w:pPr>
            <w:r>
              <w:t>11050-Trgovački sudovi</w:t>
            </w:r>
          </w:p>
        </w:tc>
        <w:tc>
          <w:tcPr>
            <w:tcW w:w="2322" w:type="dxa"/>
          </w:tcPr>
          <w:p w:rsidR="00AC0832" w:rsidRDefault="00AC0832">
            <w:pPr>
              <w:pStyle w:val="CellColumn"/>
            </w:pPr>
            <w:r>
              <w:t>86.999.548</w:t>
            </w:r>
          </w:p>
        </w:tc>
        <w:tc>
          <w:tcPr>
            <w:tcW w:w="2322" w:type="dxa"/>
          </w:tcPr>
          <w:p w:rsidR="00AC0832" w:rsidRDefault="00AC0832">
            <w:pPr>
              <w:pStyle w:val="CellColumn"/>
            </w:pPr>
            <w:r>
              <w:t>86.745.919</w:t>
            </w:r>
          </w:p>
        </w:tc>
        <w:tc>
          <w:tcPr>
            <w:tcW w:w="2322" w:type="dxa"/>
          </w:tcPr>
          <w:p w:rsidR="00AC0832" w:rsidRDefault="00AC0832">
            <w:pPr>
              <w:pStyle w:val="CellColumn"/>
            </w:pPr>
            <w:r>
              <w:t>99,7</w:t>
            </w:r>
          </w:p>
        </w:tc>
      </w:tr>
      <w:tr w:rsidR="00AC0832" w:rsidTr="00BE20ED">
        <w:trPr>
          <w:jc w:val="center"/>
        </w:trPr>
        <w:tc>
          <w:tcPr>
            <w:tcW w:w="2322" w:type="dxa"/>
          </w:tcPr>
          <w:p w:rsidR="00AC0832" w:rsidRDefault="00AC0832">
            <w:pPr>
              <w:pStyle w:val="CellColumn"/>
            </w:pPr>
            <w:r>
              <w:t>11055-Županijska državna odvjetništva</w:t>
            </w:r>
          </w:p>
        </w:tc>
        <w:tc>
          <w:tcPr>
            <w:tcW w:w="2322" w:type="dxa"/>
          </w:tcPr>
          <w:p w:rsidR="00AC0832" w:rsidRDefault="00AC0832">
            <w:pPr>
              <w:pStyle w:val="CellColumn"/>
            </w:pPr>
            <w:r>
              <w:t>94.185.400</w:t>
            </w:r>
          </w:p>
        </w:tc>
        <w:tc>
          <w:tcPr>
            <w:tcW w:w="2322" w:type="dxa"/>
          </w:tcPr>
          <w:p w:rsidR="00AC0832" w:rsidRDefault="00AC0832">
            <w:pPr>
              <w:pStyle w:val="CellColumn"/>
            </w:pPr>
            <w:r>
              <w:t>93.870.639</w:t>
            </w:r>
          </w:p>
        </w:tc>
        <w:tc>
          <w:tcPr>
            <w:tcW w:w="2322" w:type="dxa"/>
          </w:tcPr>
          <w:p w:rsidR="00AC0832" w:rsidRDefault="00AC0832">
            <w:pPr>
              <w:pStyle w:val="CellColumn"/>
            </w:pPr>
            <w:r>
              <w:t>99,7</w:t>
            </w:r>
          </w:p>
        </w:tc>
      </w:tr>
      <w:tr w:rsidR="00AC0832" w:rsidTr="00BE20ED">
        <w:trPr>
          <w:jc w:val="center"/>
        </w:trPr>
        <w:tc>
          <w:tcPr>
            <w:tcW w:w="2322" w:type="dxa"/>
          </w:tcPr>
          <w:p w:rsidR="00AC0832" w:rsidRDefault="00AC0832">
            <w:pPr>
              <w:pStyle w:val="CellColumn"/>
            </w:pPr>
            <w:r>
              <w:t>11065-Općinski sudovi</w:t>
            </w:r>
          </w:p>
        </w:tc>
        <w:tc>
          <w:tcPr>
            <w:tcW w:w="2322" w:type="dxa"/>
          </w:tcPr>
          <w:p w:rsidR="00AC0832" w:rsidRDefault="00AC0832">
            <w:pPr>
              <w:pStyle w:val="CellColumn"/>
            </w:pPr>
            <w:r>
              <w:t>665.216.342</w:t>
            </w:r>
          </w:p>
        </w:tc>
        <w:tc>
          <w:tcPr>
            <w:tcW w:w="2322" w:type="dxa"/>
          </w:tcPr>
          <w:p w:rsidR="00AC0832" w:rsidRDefault="00AC0832">
            <w:pPr>
              <w:pStyle w:val="CellColumn"/>
            </w:pPr>
            <w:r>
              <w:t>663.928.769</w:t>
            </w:r>
          </w:p>
        </w:tc>
        <w:tc>
          <w:tcPr>
            <w:tcW w:w="2322" w:type="dxa"/>
          </w:tcPr>
          <w:p w:rsidR="00AC0832" w:rsidRDefault="00AC0832">
            <w:pPr>
              <w:pStyle w:val="CellColumn"/>
            </w:pPr>
            <w:r>
              <w:t>99,8</w:t>
            </w:r>
          </w:p>
        </w:tc>
      </w:tr>
      <w:tr w:rsidR="00AC0832" w:rsidTr="00BE20ED">
        <w:trPr>
          <w:jc w:val="center"/>
        </w:trPr>
        <w:tc>
          <w:tcPr>
            <w:tcW w:w="2322" w:type="dxa"/>
          </w:tcPr>
          <w:p w:rsidR="00AC0832" w:rsidRDefault="00AC0832">
            <w:pPr>
              <w:pStyle w:val="CellColumn"/>
            </w:pPr>
            <w:r>
              <w:t>11070-Općinska državna odvjetništva</w:t>
            </w:r>
          </w:p>
        </w:tc>
        <w:tc>
          <w:tcPr>
            <w:tcW w:w="2322" w:type="dxa"/>
          </w:tcPr>
          <w:p w:rsidR="00AC0832" w:rsidRDefault="00AC0832">
            <w:pPr>
              <w:pStyle w:val="CellColumn"/>
            </w:pPr>
            <w:r>
              <w:t>175.700.200</w:t>
            </w:r>
          </w:p>
        </w:tc>
        <w:tc>
          <w:tcPr>
            <w:tcW w:w="2322" w:type="dxa"/>
          </w:tcPr>
          <w:p w:rsidR="00AC0832" w:rsidRDefault="00AC0832">
            <w:pPr>
              <w:pStyle w:val="CellColumn"/>
            </w:pPr>
            <w:r>
              <w:t>175.662.241</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
            </w:pPr>
            <w:r>
              <w:t>11075-Prekršajni sudovi</w:t>
            </w:r>
          </w:p>
        </w:tc>
        <w:tc>
          <w:tcPr>
            <w:tcW w:w="2322" w:type="dxa"/>
          </w:tcPr>
          <w:p w:rsidR="00AC0832" w:rsidRDefault="00AC0832">
            <w:pPr>
              <w:pStyle w:val="CellColumn"/>
            </w:pPr>
            <w:r>
              <w:t>216.855.230</w:t>
            </w:r>
          </w:p>
        </w:tc>
        <w:tc>
          <w:tcPr>
            <w:tcW w:w="2322" w:type="dxa"/>
          </w:tcPr>
          <w:p w:rsidR="00AC0832" w:rsidRDefault="00AC0832">
            <w:pPr>
              <w:pStyle w:val="CellColumn"/>
            </w:pPr>
            <w:r>
              <w:t>216.592.320</w:t>
            </w:r>
          </w:p>
        </w:tc>
        <w:tc>
          <w:tcPr>
            <w:tcW w:w="2322" w:type="dxa"/>
          </w:tcPr>
          <w:p w:rsidR="00AC0832" w:rsidRDefault="00AC0832">
            <w:pPr>
              <w:pStyle w:val="CellColumn"/>
            </w:pPr>
            <w:r>
              <w:t>99,9</w:t>
            </w:r>
          </w:p>
        </w:tc>
      </w:tr>
      <w:tr w:rsidR="00AC0832" w:rsidTr="00BE20ED">
        <w:trPr>
          <w:jc w:val="center"/>
        </w:trPr>
        <w:tc>
          <w:tcPr>
            <w:tcW w:w="2322" w:type="dxa"/>
          </w:tcPr>
          <w:p w:rsidR="00AC0832" w:rsidRDefault="00AC0832">
            <w:pPr>
              <w:pStyle w:val="CellColumn"/>
            </w:pPr>
            <w:r>
              <w:t>11091-Ured za suzbijanje korupcije i organiziranog kriminaliteta</w:t>
            </w:r>
          </w:p>
        </w:tc>
        <w:tc>
          <w:tcPr>
            <w:tcW w:w="2322" w:type="dxa"/>
          </w:tcPr>
          <w:p w:rsidR="00AC0832" w:rsidRDefault="00AC0832">
            <w:pPr>
              <w:pStyle w:val="CellColumn"/>
            </w:pPr>
            <w:r>
              <w:t>23.175.635</w:t>
            </w:r>
          </w:p>
        </w:tc>
        <w:tc>
          <w:tcPr>
            <w:tcW w:w="2322" w:type="dxa"/>
          </w:tcPr>
          <w:p w:rsidR="00AC0832" w:rsidRDefault="00AC0832">
            <w:pPr>
              <w:pStyle w:val="CellColumn"/>
            </w:pPr>
            <w:r>
              <w:t>22.953.912</w:t>
            </w:r>
          </w:p>
        </w:tc>
        <w:tc>
          <w:tcPr>
            <w:tcW w:w="2322" w:type="dxa"/>
          </w:tcPr>
          <w:p w:rsidR="00AC0832" w:rsidRDefault="00AC0832">
            <w:pPr>
              <w:pStyle w:val="CellColumn"/>
            </w:pPr>
            <w:r>
              <w:t>99,0</w:t>
            </w:r>
          </w:p>
        </w:tc>
      </w:tr>
      <w:tr w:rsidR="00AC0832" w:rsidTr="00BE20ED">
        <w:trPr>
          <w:jc w:val="center"/>
        </w:trPr>
        <w:tc>
          <w:tcPr>
            <w:tcW w:w="2322" w:type="dxa"/>
            <w:shd w:val="clear" w:color="auto" w:fill="B5C0D8"/>
          </w:tcPr>
          <w:p w:rsidR="00AC0832" w:rsidRDefault="00AC0832">
            <w:pPr>
              <w:pStyle w:val="CellColumn"/>
            </w:pPr>
            <w:r>
              <w:t>Ukupno 110-MINISTARSTVO PRAVOSUĐA</w:t>
            </w:r>
          </w:p>
        </w:tc>
        <w:tc>
          <w:tcPr>
            <w:tcW w:w="2322" w:type="dxa"/>
            <w:shd w:val="clear" w:color="auto" w:fill="B5C0D8"/>
          </w:tcPr>
          <w:p w:rsidR="00AC0832" w:rsidRDefault="00AC0832">
            <w:pPr>
              <w:pStyle w:val="CellColumn"/>
            </w:pPr>
            <w:r>
              <w:t>2.568.809.400</w:t>
            </w:r>
          </w:p>
        </w:tc>
        <w:tc>
          <w:tcPr>
            <w:tcW w:w="2322" w:type="dxa"/>
            <w:shd w:val="clear" w:color="auto" w:fill="B5C0D8"/>
          </w:tcPr>
          <w:p w:rsidR="00AC0832" w:rsidRDefault="00AC0832">
            <w:pPr>
              <w:pStyle w:val="CellColumn"/>
            </w:pPr>
            <w:r>
              <w:t>2.521.828.018</w:t>
            </w:r>
          </w:p>
        </w:tc>
        <w:tc>
          <w:tcPr>
            <w:tcW w:w="2322" w:type="dxa"/>
            <w:shd w:val="clear" w:color="auto" w:fill="B5C0D8"/>
          </w:tcPr>
          <w:p w:rsidR="00AC0832" w:rsidRDefault="00AC0832">
            <w:pPr>
              <w:pStyle w:val="CellColumn"/>
            </w:pPr>
            <w:r>
              <w:t>98,2</w:t>
            </w:r>
          </w:p>
        </w:tc>
      </w:tr>
    </w:tbl>
    <w:p w:rsidR="00AC0832" w:rsidRDefault="00AC0832">
      <w:pPr>
        <w:jc w:val="left"/>
      </w:pPr>
    </w:p>
    <w:p w:rsidR="00AC0832" w:rsidRDefault="00AC0832">
      <w:pPr>
        <w:pStyle w:val="Heading2"/>
      </w:pPr>
      <w:r>
        <w:t>11005 Ministarstvo pravosuđa</w:t>
      </w:r>
    </w:p>
    <w:p w:rsidR="00AC0832" w:rsidRDefault="00AC0832">
      <w:pPr>
        <w:pStyle w:val="Heading4"/>
      </w:pPr>
      <w:r>
        <w:t>Uvod</w:t>
      </w:r>
    </w:p>
    <w:p w:rsidR="00AC0832" w:rsidRDefault="00AC0832">
      <w:pPr>
        <w:pStyle w:val="Normal3"/>
      </w:pPr>
      <w:r>
        <w:t>Ministarstvo pravosuđa obavlja upravne i druge poslove koji se odnose na: područje građanskoga, kaznenog i trgovačkog prava te upravnog sudovanja; ustrojstvo i rad te stručno osposobljavanje i usavršavanje sudaca, državnih odvjetnika i djelatnika u sudovima, državnim odvjetništvima, tijelima nadležnim za vođenje prekršajnog postupka i tijelima koja izvršavaju kaznene i prekršajne sankcije, upravne i druge poslove u javnom bilježništvu i odvjetništvu; sudske i javnobilježničke pristojbe; međunarodnu pravnu pomoć i druge oblike pravne pomoći; izvršavanje kaznenih i prekršajnih sankcija, pomilovanja i uvjetne otpuste, te informatizaciju pravosuđa. Ministarstvo vrši nadzor nad obavljanjem poslova uprave, te nadzor financijskog i materijalnog poslovanja u tijelima sudbene vlasti, državnom odvjetništvu i tijelima za vođenje prekršajnog postupka. Ministarstvo obavlja upravne i druge poslove koji se odnose na: pravo vlasništva; imovinskopravne poslove u svezi s izvlaštenjem i drugim ograničenjima vlasništva; imovinskopravne poslove glede građevinskog, poljoprivrednog i šumskog zemljišta, komasaciju, promet zemljišta i zgrada te dio agrarnih operacija koji nisu u djelokrugu drugog tijela državne uprave; imovinu stranih državljana, poslove naknade za imovinu oduzetu za vrijeme jugoslavenske komunističke vladavine koji nisu u djelokrugu drugog tijela državne uprave, te poslove koji se odnose na sukcesiju imovine, prava i obveze bivše SFRJ. Ministarstvo pravosuđa obavlja i stručne i administrativne poslove u svezi zastupanja Republike Hrvatske pred Europskim sudom za ljudska prava i druge poslove koji su mu stavljeni u nadležnost posebnim zakonom.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11005-Ministarstvo pravosuđa</w:t>
            </w:r>
          </w:p>
        </w:tc>
        <w:tc>
          <w:tcPr>
            <w:tcW w:w="2322" w:type="dxa"/>
          </w:tcPr>
          <w:p w:rsidR="00AC0832" w:rsidRDefault="00AC0832">
            <w:pPr>
              <w:pStyle w:val="CellColumn"/>
            </w:pPr>
            <w:r>
              <w:t>382.128.380</w:t>
            </w:r>
          </w:p>
        </w:tc>
        <w:tc>
          <w:tcPr>
            <w:tcW w:w="2322" w:type="dxa"/>
          </w:tcPr>
          <w:p w:rsidR="00AC0832" w:rsidRDefault="00AC0832">
            <w:pPr>
              <w:pStyle w:val="CellColumn"/>
            </w:pPr>
            <w:r>
              <w:t>343.610.638</w:t>
            </w:r>
          </w:p>
        </w:tc>
        <w:tc>
          <w:tcPr>
            <w:tcW w:w="2322" w:type="dxa"/>
          </w:tcPr>
          <w:p w:rsidR="00AC0832" w:rsidRDefault="00AC0832">
            <w:pPr>
              <w:pStyle w:val="CellColumn"/>
            </w:pPr>
            <w:r>
              <w:t>89,9</w:t>
            </w:r>
          </w:p>
        </w:tc>
      </w:tr>
      <w:tr w:rsidR="00AC0832" w:rsidTr="00BE20ED">
        <w:trPr>
          <w:jc w:val="center"/>
        </w:trPr>
        <w:tc>
          <w:tcPr>
            <w:tcW w:w="2322" w:type="dxa"/>
          </w:tcPr>
          <w:p w:rsidR="00AC0832" w:rsidRDefault="00AC0832">
            <w:pPr>
              <w:pStyle w:val="CellColumnSmall"/>
            </w:pPr>
            <w:r>
              <w:t>2801-KOORDINACIJA I UPRAVLJANJE PRAVOSUĐA</w:t>
            </w:r>
          </w:p>
        </w:tc>
        <w:tc>
          <w:tcPr>
            <w:tcW w:w="2322" w:type="dxa"/>
          </w:tcPr>
          <w:p w:rsidR="00AC0832" w:rsidRDefault="00AC0832">
            <w:pPr>
              <w:pStyle w:val="CellColumnSmall"/>
            </w:pPr>
            <w:r>
              <w:t>170.333.895</w:t>
            </w:r>
          </w:p>
        </w:tc>
        <w:tc>
          <w:tcPr>
            <w:tcW w:w="2322" w:type="dxa"/>
          </w:tcPr>
          <w:p w:rsidR="00AC0832" w:rsidRDefault="00AC0832">
            <w:pPr>
              <w:pStyle w:val="CellColumnSmall"/>
            </w:pPr>
            <w:r>
              <w:t>164.613.277</w:t>
            </w:r>
          </w:p>
        </w:tc>
        <w:tc>
          <w:tcPr>
            <w:tcW w:w="2322" w:type="dxa"/>
          </w:tcPr>
          <w:p w:rsidR="00AC0832" w:rsidRDefault="00AC0832">
            <w:pPr>
              <w:pStyle w:val="CellColumnSmall"/>
            </w:pPr>
            <w:r>
              <w:t>96,6</w:t>
            </w:r>
          </w:p>
        </w:tc>
      </w:tr>
      <w:tr w:rsidR="00AC0832" w:rsidTr="00BE20ED">
        <w:trPr>
          <w:jc w:val="center"/>
        </w:trPr>
        <w:tc>
          <w:tcPr>
            <w:tcW w:w="2322" w:type="dxa"/>
          </w:tcPr>
          <w:p w:rsidR="00AC0832" w:rsidRDefault="00AC0832">
            <w:pPr>
              <w:pStyle w:val="CellColumnSmall"/>
            </w:pPr>
            <w:r>
              <w:t>2802-IMENOVANJA PRAVOSUDNIH DUŽNOSNIKA</w:t>
            </w:r>
          </w:p>
        </w:tc>
        <w:tc>
          <w:tcPr>
            <w:tcW w:w="2322" w:type="dxa"/>
          </w:tcPr>
          <w:p w:rsidR="00AC0832" w:rsidRDefault="00AC0832">
            <w:pPr>
              <w:pStyle w:val="CellColumnSmall"/>
            </w:pPr>
            <w:r>
              <w:t>728.700</w:t>
            </w:r>
          </w:p>
        </w:tc>
        <w:tc>
          <w:tcPr>
            <w:tcW w:w="2322" w:type="dxa"/>
          </w:tcPr>
          <w:p w:rsidR="00AC0832" w:rsidRDefault="00AC0832">
            <w:pPr>
              <w:pStyle w:val="CellColumnSmall"/>
            </w:pPr>
            <w:r>
              <w:t>674.810</w:t>
            </w:r>
          </w:p>
        </w:tc>
        <w:tc>
          <w:tcPr>
            <w:tcW w:w="2322" w:type="dxa"/>
          </w:tcPr>
          <w:p w:rsidR="00AC0832" w:rsidRDefault="00AC0832">
            <w:pPr>
              <w:pStyle w:val="CellColumnSmall"/>
            </w:pPr>
            <w:r>
              <w:t>92,6</w:t>
            </w:r>
          </w:p>
        </w:tc>
      </w:tr>
      <w:tr w:rsidR="00AC0832" w:rsidTr="00BE20ED">
        <w:trPr>
          <w:jc w:val="center"/>
        </w:trPr>
        <w:tc>
          <w:tcPr>
            <w:tcW w:w="2322" w:type="dxa"/>
          </w:tcPr>
          <w:p w:rsidR="00AC0832" w:rsidRDefault="00AC0832">
            <w:pPr>
              <w:pStyle w:val="CellColumnSmall"/>
            </w:pPr>
            <w:r>
              <w:t>2803-VOĐENJE SUDSKIH POSTUPAKA</w:t>
            </w:r>
          </w:p>
        </w:tc>
        <w:tc>
          <w:tcPr>
            <w:tcW w:w="2322" w:type="dxa"/>
          </w:tcPr>
          <w:p w:rsidR="00AC0832" w:rsidRDefault="00AC0832">
            <w:pPr>
              <w:pStyle w:val="CellColumnSmall"/>
            </w:pPr>
            <w:r>
              <w:t>55.253.927</w:t>
            </w:r>
          </w:p>
        </w:tc>
        <w:tc>
          <w:tcPr>
            <w:tcW w:w="2322" w:type="dxa"/>
          </w:tcPr>
          <w:p w:rsidR="00AC0832" w:rsidRDefault="00AC0832">
            <w:pPr>
              <w:pStyle w:val="CellColumnSmall"/>
            </w:pPr>
            <w:r>
              <w:t>39.307.771</w:t>
            </w:r>
          </w:p>
        </w:tc>
        <w:tc>
          <w:tcPr>
            <w:tcW w:w="2322" w:type="dxa"/>
          </w:tcPr>
          <w:p w:rsidR="00AC0832" w:rsidRDefault="00AC0832">
            <w:pPr>
              <w:pStyle w:val="CellColumnSmall"/>
            </w:pPr>
            <w:r>
              <w:t>71,1</w:t>
            </w:r>
          </w:p>
        </w:tc>
      </w:tr>
      <w:tr w:rsidR="00AC0832" w:rsidTr="00BE20ED">
        <w:trPr>
          <w:jc w:val="center"/>
        </w:trPr>
        <w:tc>
          <w:tcPr>
            <w:tcW w:w="2322" w:type="dxa"/>
          </w:tcPr>
          <w:p w:rsidR="00AC0832" w:rsidRDefault="00AC0832">
            <w:pPr>
              <w:pStyle w:val="CellColumnSmall"/>
            </w:pPr>
            <w:r>
              <w:t>2804-EDUKACIJA I INFORMIRANJE U PRAVOSUDNOM SUSTAVU</w:t>
            </w:r>
          </w:p>
        </w:tc>
        <w:tc>
          <w:tcPr>
            <w:tcW w:w="2322" w:type="dxa"/>
          </w:tcPr>
          <w:p w:rsidR="00AC0832" w:rsidRDefault="00AC0832">
            <w:pPr>
              <w:pStyle w:val="CellColumnSmall"/>
            </w:pPr>
            <w:r>
              <w:t>5.574.500</w:t>
            </w:r>
          </w:p>
        </w:tc>
        <w:tc>
          <w:tcPr>
            <w:tcW w:w="2322" w:type="dxa"/>
          </w:tcPr>
          <w:p w:rsidR="00AC0832" w:rsidRDefault="00AC0832">
            <w:pPr>
              <w:pStyle w:val="CellColumnSmall"/>
            </w:pPr>
            <w:r>
              <w:t>4.819.684</w:t>
            </w:r>
          </w:p>
        </w:tc>
        <w:tc>
          <w:tcPr>
            <w:tcW w:w="2322" w:type="dxa"/>
          </w:tcPr>
          <w:p w:rsidR="00AC0832" w:rsidRDefault="00AC0832">
            <w:pPr>
              <w:pStyle w:val="CellColumnSmall"/>
            </w:pPr>
            <w:r>
              <w:t>86,5</w:t>
            </w:r>
          </w:p>
        </w:tc>
      </w:tr>
      <w:tr w:rsidR="00AC0832" w:rsidTr="00BE20ED">
        <w:trPr>
          <w:jc w:val="center"/>
        </w:trPr>
        <w:tc>
          <w:tcPr>
            <w:tcW w:w="2322" w:type="dxa"/>
          </w:tcPr>
          <w:p w:rsidR="00AC0832" w:rsidRDefault="00AC0832">
            <w:pPr>
              <w:pStyle w:val="CellColumnSmall"/>
            </w:pPr>
            <w:r>
              <w:t>2805-RACIONALIZACIJA MREŽE PRAVOSUDNIH TIJELA</w:t>
            </w:r>
          </w:p>
        </w:tc>
        <w:tc>
          <w:tcPr>
            <w:tcW w:w="2322" w:type="dxa"/>
          </w:tcPr>
          <w:p w:rsidR="00AC0832" w:rsidRDefault="00AC0832">
            <w:pPr>
              <w:pStyle w:val="CellColumnSmall"/>
            </w:pPr>
            <w:r>
              <w:t>6.824.000</w:t>
            </w:r>
          </w:p>
        </w:tc>
        <w:tc>
          <w:tcPr>
            <w:tcW w:w="2322" w:type="dxa"/>
          </w:tcPr>
          <w:p w:rsidR="00AC0832" w:rsidRDefault="00AC0832">
            <w:pPr>
              <w:pStyle w:val="CellColumnSmall"/>
            </w:pPr>
            <w:r>
              <w:t>6.681.778</w:t>
            </w:r>
          </w:p>
        </w:tc>
        <w:tc>
          <w:tcPr>
            <w:tcW w:w="2322" w:type="dxa"/>
          </w:tcPr>
          <w:p w:rsidR="00AC0832" w:rsidRDefault="00AC0832">
            <w:pPr>
              <w:pStyle w:val="CellColumnSmall"/>
            </w:pPr>
            <w:r>
              <w:t>97,9</w:t>
            </w:r>
          </w:p>
        </w:tc>
      </w:tr>
      <w:tr w:rsidR="00AC0832" w:rsidTr="00BE20ED">
        <w:trPr>
          <w:jc w:val="center"/>
        </w:trPr>
        <w:tc>
          <w:tcPr>
            <w:tcW w:w="2322" w:type="dxa"/>
          </w:tcPr>
          <w:p w:rsidR="00AC0832" w:rsidRDefault="00AC0832">
            <w:pPr>
              <w:pStyle w:val="CellColumnSmall"/>
            </w:pPr>
            <w:r>
              <w:t>2806-IZGRADNJA, OBNOVA, ODRŽAVANJE I OPREMANJE ZGRADA</w:t>
            </w:r>
          </w:p>
        </w:tc>
        <w:tc>
          <w:tcPr>
            <w:tcW w:w="2322" w:type="dxa"/>
          </w:tcPr>
          <w:p w:rsidR="00AC0832" w:rsidRDefault="00AC0832">
            <w:pPr>
              <w:pStyle w:val="CellColumnSmall"/>
            </w:pPr>
            <w:r>
              <w:t>23.331.950</w:t>
            </w:r>
          </w:p>
        </w:tc>
        <w:tc>
          <w:tcPr>
            <w:tcW w:w="2322" w:type="dxa"/>
          </w:tcPr>
          <w:p w:rsidR="00AC0832" w:rsidRDefault="00AC0832">
            <w:pPr>
              <w:pStyle w:val="CellColumnSmall"/>
            </w:pPr>
            <w:r>
              <w:t>19.375.625</w:t>
            </w:r>
          </w:p>
        </w:tc>
        <w:tc>
          <w:tcPr>
            <w:tcW w:w="2322" w:type="dxa"/>
          </w:tcPr>
          <w:p w:rsidR="00AC0832" w:rsidRDefault="00AC0832">
            <w:pPr>
              <w:pStyle w:val="CellColumnSmall"/>
            </w:pPr>
            <w:r>
              <w:t>83,0</w:t>
            </w:r>
          </w:p>
        </w:tc>
      </w:tr>
      <w:tr w:rsidR="00AC0832" w:rsidTr="00BE20ED">
        <w:trPr>
          <w:jc w:val="center"/>
        </w:trPr>
        <w:tc>
          <w:tcPr>
            <w:tcW w:w="2322" w:type="dxa"/>
          </w:tcPr>
          <w:p w:rsidR="00AC0832" w:rsidRDefault="00AC0832">
            <w:pPr>
              <w:pStyle w:val="CellColumnSmall"/>
            </w:pPr>
            <w:r>
              <w:t>2807-INFORMATIZACIJA , MODERNIZACIJA I ODRŽAVANJE INFORMACIJSKOG SUSTAVA</w:t>
            </w:r>
          </w:p>
        </w:tc>
        <w:tc>
          <w:tcPr>
            <w:tcW w:w="2322" w:type="dxa"/>
          </w:tcPr>
          <w:p w:rsidR="00AC0832" w:rsidRDefault="00AC0832">
            <w:pPr>
              <w:pStyle w:val="CellColumnSmall"/>
            </w:pPr>
            <w:r>
              <w:t>67.113.952</w:t>
            </w:r>
          </w:p>
        </w:tc>
        <w:tc>
          <w:tcPr>
            <w:tcW w:w="2322" w:type="dxa"/>
          </w:tcPr>
          <w:p w:rsidR="00AC0832" w:rsidRDefault="00AC0832">
            <w:pPr>
              <w:pStyle w:val="CellColumnSmall"/>
            </w:pPr>
            <w:r>
              <w:t>54.783.005</w:t>
            </w:r>
          </w:p>
        </w:tc>
        <w:tc>
          <w:tcPr>
            <w:tcW w:w="2322" w:type="dxa"/>
          </w:tcPr>
          <w:p w:rsidR="00AC0832" w:rsidRDefault="00AC0832">
            <w:pPr>
              <w:pStyle w:val="CellColumnSmall"/>
            </w:pPr>
            <w:r>
              <w:t>81,6</w:t>
            </w:r>
          </w:p>
        </w:tc>
      </w:tr>
      <w:tr w:rsidR="00AC0832" w:rsidTr="00BE20ED">
        <w:trPr>
          <w:jc w:val="center"/>
        </w:trPr>
        <w:tc>
          <w:tcPr>
            <w:tcW w:w="2322" w:type="dxa"/>
          </w:tcPr>
          <w:p w:rsidR="00AC0832" w:rsidRDefault="00AC0832">
            <w:pPr>
              <w:pStyle w:val="CellColumnSmall"/>
            </w:pPr>
            <w:r>
              <w:t>2808-POTPORA PRAVOSUDNOM SUSTAVU - ZAJAM IBRD</w:t>
            </w:r>
          </w:p>
        </w:tc>
        <w:tc>
          <w:tcPr>
            <w:tcW w:w="2322" w:type="dxa"/>
          </w:tcPr>
          <w:p w:rsidR="00AC0832" w:rsidRDefault="00AC0832">
            <w:pPr>
              <w:pStyle w:val="CellColumnSmall"/>
            </w:pPr>
            <w:r>
              <w:t>12.422.599</w:t>
            </w:r>
          </w:p>
        </w:tc>
        <w:tc>
          <w:tcPr>
            <w:tcW w:w="2322" w:type="dxa"/>
          </w:tcPr>
          <w:p w:rsidR="00AC0832" w:rsidRDefault="00AC0832">
            <w:pPr>
              <w:pStyle w:val="CellColumnSmall"/>
            </w:pPr>
            <w:r>
              <w:t>21.360.108</w:t>
            </w:r>
          </w:p>
        </w:tc>
        <w:tc>
          <w:tcPr>
            <w:tcW w:w="2322" w:type="dxa"/>
          </w:tcPr>
          <w:p w:rsidR="00AC0832" w:rsidRDefault="00AC0832">
            <w:pPr>
              <w:pStyle w:val="CellColumnSmall"/>
            </w:pPr>
            <w:r>
              <w:t>171,9</w:t>
            </w:r>
          </w:p>
        </w:tc>
      </w:tr>
      <w:tr w:rsidR="00AC0832" w:rsidTr="00BE20ED">
        <w:trPr>
          <w:jc w:val="center"/>
        </w:trPr>
        <w:tc>
          <w:tcPr>
            <w:tcW w:w="2322" w:type="dxa"/>
          </w:tcPr>
          <w:p w:rsidR="00AC0832" w:rsidRDefault="00AC0832">
            <w:pPr>
              <w:pStyle w:val="CellColumnSmall"/>
            </w:pPr>
            <w:r>
              <w:t>2809-UPRAVLJANJE ZATVORSKIM I PROBACIJSKIM SUSTAVOM</w:t>
            </w:r>
          </w:p>
        </w:tc>
        <w:tc>
          <w:tcPr>
            <w:tcW w:w="2322" w:type="dxa"/>
          </w:tcPr>
          <w:p w:rsidR="00AC0832" w:rsidRDefault="00AC0832">
            <w:pPr>
              <w:pStyle w:val="CellColumnSmall"/>
            </w:pPr>
            <w:r>
              <w:t>18.755.672</w:t>
            </w:r>
          </w:p>
        </w:tc>
        <w:tc>
          <w:tcPr>
            <w:tcW w:w="2322" w:type="dxa"/>
          </w:tcPr>
          <w:p w:rsidR="00AC0832" w:rsidRDefault="00AC0832">
            <w:pPr>
              <w:pStyle w:val="CellColumnSmall"/>
            </w:pPr>
            <w:r>
              <w:t>16.692.197</w:t>
            </w:r>
          </w:p>
        </w:tc>
        <w:tc>
          <w:tcPr>
            <w:tcW w:w="2322" w:type="dxa"/>
          </w:tcPr>
          <w:p w:rsidR="00AC0832" w:rsidRDefault="00AC0832">
            <w:pPr>
              <w:pStyle w:val="CellColumnSmall"/>
            </w:pPr>
            <w:r>
              <w:t>89,0</w:t>
            </w:r>
          </w:p>
        </w:tc>
      </w:tr>
      <w:tr w:rsidR="00AC0832" w:rsidTr="00BE20ED">
        <w:trPr>
          <w:jc w:val="center"/>
        </w:trPr>
        <w:tc>
          <w:tcPr>
            <w:tcW w:w="2322" w:type="dxa"/>
          </w:tcPr>
          <w:p w:rsidR="00AC0832" w:rsidRDefault="00AC0832">
            <w:pPr>
              <w:pStyle w:val="CellColumnSmall"/>
            </w:pPr>
            <w:r>
              <w:t>2810-SUZBIJANJE KORUPCIJE I ORGANIZIRANOG KRIMINALITETA</w:t>
            </w:r>
          </w:p>
        </w:tc>
        <w:tc>
          <w:tcPr>
            <w:tcW w:w="2322" w:type="dxa"/>
          </w:tcPr>
          <w:p w:rsidR="00AC0832" w:rsidRDefault="00AC0832">
            <w:pPr>
              <w:pStyle w:val="CellColumnSmall"/>
            </w:pPr>
            <w:r>
              <w:t>7.887.500</w:t>
            </w:r>
          </w:p>
        </w:tc>
        <w:tc>
          <w:tcPr>
            <w:tcW w:w="2322" w:type="dxa"/>
          </w:tcPr>
          <w:p w:rsidR="00AC0832" w:rsidRDefault="00AC0832">
            <w:pPr>
              <w:pStyle w:val="CellColumnSmall"/>
            </w:pPr>
            <w:r>
              <w:t>4.834.838</w:t>
            </w:r>
          </w:p>
        </w:tc>
        <w:tc>
          <w:tcPr>
            <w:tcW w:w="2322" w:type="dxa"/>
          </w:tcPr>
          <w:p w:rsidR="00AC0832" w:rsidRDefault="00AC0832">
            <w:pPr>
              <w:pStyle w:val="CellColumnSmall"/>
            </w:pPr>
            <w:r>
              <w:t>61,3</w:t>
            </w:r>
          </w:p>
        </w:tc>
      </w:tr>
      <w:tr w:rsidR="00AC0832" w:rsidTr="00BE20ED">
        <w:trPr>
          <w:jc w:val="center"/>
        </w:trPr>
        <w:tc>
          <w:tcPr>
            <w:tcW w:w="2322" w:type="dxa"/>
          </w:tcPr>
          <w:p w:rsidR="00AC0832" w:rsidRDefault="00AC0832">
            <w:pPr>
              <w:pStyle w:val="CellColumnSmall"/>
            </w:pPr>
            <w:r>
              <w:t>2811-LJUDSKA PRAVA</w:t>
            </w:r>
          </w:p>
        </w:tc>
        <w:tc>
          <w:tcPr>
            <w:tcW w:w="2322" w:type="dxa"/>
          </w:tcPr>
          <w:p w:rsidR="00AC0832" w:rsidRDefault="00AC0832">
            <w:pPr>
              <w:pStyle w:val="CellColumnSmall"/>
            </w:pPr>
            <w:r>
              <w:t>3.083.141</w:t>
            </w:r>
          </w:p>
        </w:tc>
        <w:tc>
          <w:tcPr>
            <w:tcW w:w="2322" w:type="dxa"/>
          </w:tcPr>
          <w:p w:rsidR="00AC0832" w:rsidRDefault="00AC0832">
            <w:pPr>
              <w:pStyle w:val="CellColumnSmall"/>
            </w:pPr>
            <w:r>
              <w:t>2.964.790</w:t>
            </w:r>
          </w:p>
        </w:tc>
        <w:tc>
          <w:tcPr>
            <w:tcW w:w="2322" w:type="dxa"/>
          </w:tcPr>
          <w:p w:rsidR="00AC0832" w:rsidRDefault="00AC0832">
            <w:pPr>
              <w:pStyle w:val="CellColumnSmall"/>
            </w:pPr>
            <w:r>
              <w:t>96,2</w:t>
            </w:r>
          </w:p>
        </w:tc>
      </w:tr>
      <w:tr w:rsidR="00AC0832" w:rsidTr="00BE20ED">
        <w:trPr>
          <w:jc w:val="center"/>
        </w:trPr>
        <w:tc>
          <w:tcPr>
            <w:tcW w:w="2322" w:type="dxa"/>
          </w:tcPr>
          <w:p w:rsidR="00AC0832" w:rsidRDefault="00AC0832">
            <w:pPr>
              <w:pStyle w:val="CellColumnSmall"/>
            </w:pPr>
            <w:r>
              <w:t>2815-ZEMLJIŠNE KNJIGE</w:t>
            </w:r>
          </w:p>
        </w:tc>
        <w:tc>
          <w:tcPr>
            <w:tcW w:w="2322" w:type="dxa"/>
          </w:tcPr>
          <w:p w:rsidR="00AC0832" w:rsidRDefault="00AC0832">
            <w:pPr>
              <w:pStyle w:val="CellColumnSmall"/>
            </w:pPr>
            <w:r>
              <w:t>10.818.544</w:t>
            </w:r>
          </w:p>
        </w:tc>
        <w:tc>
          <w:tcPr>
            <w:tcW w:w="2322" w:type="dxa"/>
          </w:tcPr>
          <w:p w:rsidR="00AC0832" w:rsidRDefault="00AC0832">
            <w:pPr>
              <w:pStyle w:val="CellColumnSmall"/>
            </w:pPr>
            <w:r>
              <w:t>7.502.756</w:t>
            </w:r>
          </w:p>
        </w:tc>
        <w:tc>
          <w:tcPr>
            <w:tcW w:w="2322" w:type="dxa"/>
          </w:tcPr>
          <w:p w:rsidR="00AC0832" w:rsidRDefault="00AC0832">
            <w:pPr>
              <w:pStyle w:val="CellColumnSmall"/>
            </w:pPr>
            <w:r>
              <w:t>69,4</w:t>
            </w:r>
          </w:p>
        </w:tc>
      </w:tr>
    </w:tbl>
    <w:p w:rsidR="00AC0832" w:rsidRDefault="00AC0832">
      <w:pPr>
        <w:jc w:val="left"/>
      </w:pPr>
    </w:p>
    <w:p w:rsidR="00AC0832" w:rsidRDefault="00AC0832">
      <w:pPr>
        <w:pStyle w:val="Heading4"/>
      </w:pPr>
      <w:r>
        <w:t>OBRAZLOŽENJE PROGRAMA</w:t>
      </w:r>
    </w:p>
    <w:p w:rsidR="00AC0832" w:rsidRDefault="00AC0832">
      <w:pPr>
        <w:pStyle w:val="Heading5"/>
      </w:pPr>
      <w:r>
        <w:t>2801 KOORDINACIJA I UPRAVLJANJE PRAVOSUĐA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2801-KOORDINACIJA I UPRAVLJANJE PRAVOSUĐA</w:t>
            </w:r>
          </w:p>
        </w:tc>
        <w:tc>
          <w:tcPr>
            <w:tcW w:w="2322" w:type="dxa"/>
          </w:tcPr>
          <w:p w:rsidR="00AC0832" w:rsidRDefault="00AC0832">
            <w:pPr>
              <w:pStyle w:val="CellColumn"/>
            </w:pPr>
            <w:r>
              <w:t>170.333.895</w:t>
            </w:r>
          </w:p>
        </w:tc>
        <w:tc>
          <w:tcPr>
            <w:tcW w:w="2322" w:type="dxa"/>
          </w:tcPr>
          <w:p w:rsidR="00AC0832" w:rsidRDefault="00AC0832">
            <w:pPr>
              <w:pStyle w:val="CellColumn"/>
            </w:pPr>
            <w:r>
              <w:t>164.613.277</w:t>
            </w:r>
          </w:p>
        </w:tc>
        <w:tc>
          <w:tcPr>
            <w:tcW w:w="2322" w:type="dxa"/>
          </w:tcPr>
          <w:p w:rsidR="00AC0832" w:rsidRDefault="00AC0832">
            <w:pPr>
              <w:pStyle w:val="CellColumn"/>
            </w:pPr>
            <w:r>
              <w:t>96,6</w:t>
            </w:r>
          </w:p>
        </w:tc>
      </w:tr>
    </w:tbl>
    <w:p w:rsidR="00AC0832" w:rsidRDefault="00AC0832">
      <w:pPr>
        <w:jc w:val="left"/>
      </w:pPr>
    </w:p>
    <w:p w:rsidR="00AC0832" w:rsidRDefault="00AC0832">
      <w:pPr>
        <w:pStyle w:val="Heading6"/>
      </w:pPr>
    </w:p>
    <w:p w:rsidR="00AC0832" w:rsidRDefault="00AC0832">
      <w:pPr>
        <w:pStyle w:val="Heading6"/>
      </w:pPr>
    </w:p>
    <w:p w:rsidR="00AC0832" w:rsidRDefault="00AC0832">
      <w:pPr>
        <w:pStyle w:val="Heading6"/>
      </w:pPr>
      <w:r>
        <w:t>Opis programa</w:t>
      </w:r>
    </w:p>
    <w:p w:rsidR="00AC0832" w:rsidRDefault="00AC0832">
      <w:pPr>
        <w:pStyle w:val="Normal5"/>
      </w:pPr>
      <w:r>
        <w:t>Program provodi Glava 05 – Ministarstvo pravosuđa. Važnije aktivnosti unutar programa su: Administracija i upravljanje Ministarstva, Međunarodna suradnja, Sudjelovanje u međunarodnim organizacijama i misijama u inozemstvu, Međunarodna pravna pomoć i Prilagodba zakonodavstva RH pravu EU. Program također obuhvaća i aktivnosti:  Suradnja s Međunarodnim sudom i međunarodnim kaznenim sudovima.</w:t>
      </w:r>
    </w:p>
    <w:p w:rsidR="00AC0832" w:rsidRDefault="00AC0832">
      <w:pPr>
        <w:pStyle w:val="Heading6"/>
      </w:pPr>
      <w:r>
        <w:t>Zakonske i druge pravne osnove</w:t>
      </w:r>
    </w:p>
    <w:p w:rsidR="00AC0832" w:rsidRDefault="00AC0832">
      <w:pPr>
        <w:pStyle w:val="Normal5"/>
      </w:pPr>
      <w:r>
        <w:t>Zakon o ustrojstvu i djelokrugu ministarstava i državnih upravnih organizacija („Narodne novine“ broj 38/2010.)</w:t>
      </w:r>
    </w:p>
    <w:p w:rsidR="00AC0832" w:rsidRDefault="00AC0832">
      <w:pPr>
        <w:pStyle w:val="Heading7"/>
      </w:pPr>
      <w:r>
        <w:t xml:space="preserve">Cilj 1. Osigurati redovan rad Ministarstva i sustava pravosudnih i kaznenih tijela  </w:t>
      </w:r>
    </w:p>
    <w:p w:rsidR="00AC0832" w:rsidRDefault="00AC0832">
      <w:pPr>
        <w:pStyle w:val="Heading8"/>
        <w:jc w:val="left"/>
      </w:pPr>
      <w:r>
        <w:t>Opis provedbe cilja programa</w:t>
      </w:r>
    </w:p>
    <w:p w:rsidR="00AC0832" w:rsidRDefault="00AC0832">
      <w:pPr>
        <w:pStyle w:val="Heading7"/>
      </w:pPr>
      <w:r>
        <w:t xml:space="preserve">Cilj 2. Povećanje broja riješenih predmeta međunarodne pravne pomoći.  </w:t>
      </w:r>
    </w:p>
    <w:p w:rsidR="00AC0832" w:rsidRDefault="00AC0832">
      <w:pPr>
        <w:pStyle w:val="Heading8"/>
        <w:jc w:val="left"/>
      </w:pPr>
      <w:r>
        <w:t>Opis provedbe cilja programa</w:t>
      </w:r>
    </w:p>
    <w:p w:rsidR="00AC0832" w:rsidRDefault="00AC0832">
      <w:pPr>
        <w:pStyle w:val="Heading6"/>
      </w:pPr>
      <w:r>
        <w:t>A576238 PRILAGODBA ZAKONODAVSTVA RH PRAVU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A576238-PRILAGODBA ZAKONODAVSTVA RH PRAVU EU</w:t>
            </w:r>
          </w:p>
        </w:tc>
        <w:tc>
          <w:tcPr>
            <w:tcW w:w="2322" w:type="dxa"/>
          </w:tcPr>
          <w:p w:rsidR="00AC0832" w:rsidRDefault="00AC0832">
            <w:pPr>
              <w:pStyle w:val="CellColumn"/>
            </w:pPr>
            <w:r>
              <w:t>350.110</w:t>
            </w:r>
          </w:p>
        </w:tc>
        <w:tc>
          <w:tcPr>
            <w:tcW w:w="2322" w:type="dxa"/>
          </w:tcPr>
          <w:p w:rsidR="00AC0832" w:rsidRDefault="00AC0832">
            <w:pPr>
              <w:pStyle w:val="CellColumn"/>
            </w:pPr>
            <w:r>
              <w:t>265.378</w:t>
            </w:r>
          </w:p>
        </w:tc>
        <w:tc>
          <w:tcPr>
            <w:tcW w:w="2322" w:type="dxa"/>
          </w:tcPr>
          <w:p w:rsidR="00AC0832" w:rsidRDefault="00AC0832">
            <w:pPr>
              <w:pStyle w:val="CellColumn"/>
            </w:pPr>
            <w:r>
              <w:t>75,8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Tijekom 2012. godine izrađeni su dokumenti vezani uz ispunjavanje mjerila za zatvaranje pregovora u Poglavlju 23.i Završno Izvješće za Poglavlje 23. te tzv. “monitoring tablice“ za predmetno pregovaračko poglavlje.  Izrada materijala za Program za preuzimanje i provedbu pravne stečevine za 2012. godinu u dijelu koji se odnosi na djelokrug Ministarstva pravosuđa. Izrađene su stručne podloge za sastanke tijela za provedbu Sporazuma o stabilizaciji i pridruživanju (Odbor, Vijeće, Pododbor). Praćen je razvoj pravne stečevine Europske unije te stanje usklađivanja zakonodavstva u područjima iz djelokruga Ministarstva pravosuđa te su dana mišljenja na nacrte propisa u pitanjima iz djelokruga Sektora za EU. Organizirane su posjete stručnjaka Europske unije za područja obuhvaćena poglavljem 23. te obavljana redovita komunikacija sa nadležnim tijelima EU i dostavljani potrebni podaci u okviru i nakon pregovaračkog procesa.</w:t>
      </w:r>
    </w:p>
    <w:p w:rsidR="00AC0832" w:rsidRDefault="00AC0832">
      <w:pPr>
        <w:pStyle w:val="Heading6"/>
      </w:pPr>
    </w:p>
    <w:p w:rsidR="00AC0832" w:rsidRDefault="00AC0832">
      <w:pPr>
        <w:pStyle w:val="Heading6"/>
      </w:pPr>
    </w:p>
    <w:p w:rsidR="00AC0832" w:rsidRDefault="00AC0832">
      <w:pPr>
        <w:pStyle w:val="Heading6"/>
      </w:pPr>
    </w:p>
    <w:p w:rsidR="00AC0832" w:rsidRDefault="00AC0832">
      <w:pPr>
        <w:pStyle w:val="Heading6"/>
      </w:pPr>
      <w:r>
        <w:t>A576239 MEĐUNARODNA SURADNJA MINISTARSTVA PRAVOSUĐA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A576239-MEĐUNARODNA SURADNJA MINISTARSTVA PRAVOSUĐA</w:t>
            </w:r>
          </w:p>
        </w:tc>
        <w:tc>
          <w:tcPr>
            <w:tcW w:w="2322" w:type="dxa"/>
          </w:tcPr>
          <w:p w:rsidR="00AC0832" w:rsidRDefault="00AC0832">
            <w:pPr>
              <w:pStyle w:val="CellColumn"/>
            </w:pPr>
            <w:r>
              <w:t>454.700</w:t>
            </w:r>
          </w:p>
        </w:tc>
        <w:tc>
          <w:tcPr>
            <w:tcW w:w="2322" w:type="dxa"/>
          </w:tcPr>
          <w:p w:rsidR="00AC0832" w:rsidRDefault="00AC0832">
            <w:pPr>
              <w:pStyle w:val="CellColumn"/>
            </w:pPr>
            <w:r>
              <w:t>652.301</w:t>
            </w:r>
          </w:p>
        </w:tc>
        <w:tc>
          <w:tcPr>
            <w:tcW w:w="2322" w:type="dxa"/>
          </w:tcPr>
          <w:p w:rsidR="00AC0832" w:rsidRDefault="00AC0832">
            <w:pPr>
              <w:pStyle w:val="CellColumn"/>
            </w:pPr>
            <w:r>
              <w:t>143,5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Sudjelovanje predstavnika RH u projektima koji imaju za cilj aktivno predstavljanje RH u međunarodnim institucijama, inicijativama i ostalim međunarodnim tijelima iz područja pravosuđa kojih je RH punopravna članica, njihovo sudjelovanje  u pripremama za  uključivanje RH u rad postojećih i budućih međunarodnih tijela i institucija. Logistička potpora pravosudnih dužnosnika i državnih službenika u mirovnoj misiji, suradnja hrvatskih predstavnika s predstavnicima misija drugih država, sudjelovanje u izgradnji lokalne uprave i samouprave i prenošenje iskustva na lokalno stanovništvo. Nadalje, stručno usavršavanje predstavnika RH u cilju njihovog aktivnog sudjelovanja na projektima koji uključuju prilagodbu domaćeg zakonodavstva zakonodavstvu Europske unije, temeljem obveza koje proizlaze iz pristupnih pregovora RH-EU. Naprijed navedenom Aktivnošću financira se sudjelovanje predstavnika RH u projektima koji imaju za cilj aktivno predstavljanje RH u međunarodnim institucijama, inicijativama i ostalim međunarodnim tijelima iz područja pravosuđa kojih je RH punopravna članica, kao što su sudjelovanje u radu 6 radnih grupa UNCITRALA, sudjelovanje u radu stručnih odbora i pododbora Vijeća Europe te raznih komisija UN-a. Također, financira se i  njihovo sudjelovanje  u pripremama za  uključivanje RH u rad postojećih i budućih međunarodnih tijela i institucija kao i upućivanje pravosudnih dužnosnika i državnih službenika na rad u međunarodnim organizacijama i misijama u inozemstvu. Nadalje, navedenom Aktivnošću podmiruju se troškovi stručnog usavršavanja predstavnika RH u cilju njihovog aktivnog sudjelovanja na projektima koji uključuju prilagodbu domaćeg zakonodavstva zakonodavstvu Europske unije, temeljem obveza koje proizlaze iz pristupnih pregovora RH-EU. Također, ostvaruje se cilj ispunjenja financijskih obveza koje proizlaze na temelju članstva RH u pojedinim međunarodnim organizacijama, odnosno njihovim radnim grupama. Tijekom 2012. godine pojačane su aktivnosti u svezi unaprjeđenja bilateralne i multilateralne suradnje RH u području pravosuđa, s posebnim naglaskom na pristupanje RH EU i jačanje međunarodne pozicije RH u okviru daljnjeg razvoja domaćeg pravosudnog sustava i zaštite temeljnih prava kao i  međunarodni doprinos RH u uspostavi i jačanju pravosudne komponente pri izgradnji civilnog društva u misijama u inozemstvu.</w:t>
      </w:r>
    </w:p>
    <w:p w:rsidR="00AC0832" w:rsidRDefault="00AC0832">
      <w:pPr>
        <w:pStyle w:val="Heading6"/>
      </w:pPr>
    </w:p>
    <w:p w:rsidR="00AC0832" w:rsidRDefault="00AC0832">
      <w:pPr>
        <w:pStyle w:val="Heading6"/>
      </w:pPr>
    </w:p>
    <w:p w:rsidR="00AC0832" w:rsidRDefault="00AC0832">
      <w:pPr>
        <w:pStyle w:val="Heading6"/>
      </w:pPr>
    </w:p>
    <w:p w:rsidR="00AC0832" w:rsidRDefault="00AC0832">
      <w:pPr>
        <w:pStyle w:val="Heading6"/>
      </w:pPr>
      <w:r>
        <w:t>A629000 ADMINISTRACIJA I UPRAVLJANJE MINISTARSTVA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A629000-ADMINISTRACIJA I UPRAVLJANJE MINISTARSTVA</w:t>
            </w:r>
          </w:p>
        </w:tc>
        <w:tc>
          <w:tcPr>
            <w:tcW w:w="2322" w:type="dxa"/>
          </w:tcPr>
          <w:p w:rsidR="00AC0832" w:rsidRDefault="00AC0832">
            <w:pPr>
              <w:pStyle w:val="CellColumn"/>
            </w:pPr>
            <w:r>
              <w:t>105.978.080</w:t>
            </w:r>
          </w:p>
        </w:tc>
        <w:tc>
          <w:tcPr>
            <w:tcW w:w="2322" w:type="dxa"/>
          </w:tcPr>
          <w:p w:rsidR="00AC0832" w:rsidRDefault="00AC0832">
            <w:pPr>
              <w:pStyle w:val="CellColumn"/>
            </w:pPr>
            <w:r>
              <w:t>103.311.953</w:t>
            </w:r>
          </w:p>
        </w:tc>
        <w:tc>
          <w:tcPr>
            <w:tcW w:w="2322" w:type="dxa"/>
          </w:tcPr>
          <w:p w:rsidR="00AC0832" w:rsidRDefault="00AC0832">
            <w:pPr>
              <w:pStyle w:val="CellColumn"/>
            </w:pPr>
            <w:r>
              <w:t>97,5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Ovom aktivnošću osiguran je redovan rad Ministarstva.</w:t>
      </w:r>
    </w:p>
    <w:p w:rsidR="00AC0832" w:rsidRDefault="00AC0832">
      <w:pPr>
        <w:pStyle w:val="Heading6"/>
      </w:pPr>
      <w:r>
        <w:t>A629006 MEĐUNARODNA PRAVNA POMOĆ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A629006-MEĐUNARODNA PRAVNA POMOĆ</w:t>
            </w:r>
          </w:p>
        </w:tc>
        <w:tc>
          <w:tcPr>
            <w:tcW w:w="2322" w:type="dxa"/>
          </w:tcPr>
          <w:p w:rsidR="00AC0832" w:rsidRDefault="00AC0832">
            <w:pPr>
              <w:pStyle w:val="CellColumn"/>
            </w:pPr>
            <w:r>
              <w:t>596.000</w:t>
            </w:r>
          </w:p>
        </w:tc>
        <w:tc>
          <w:tcPr>
            <w:tcW w:w="2322" w:type="dxa"/>
          </w:tcPr>
          <w:p w:rsidR="00AC0832" w:rsidRDefault="00AC0832">
            <w:pPr>
              <w:pStyle w:val="CellColumn"/>
            </w:pPr>
            <w:r>
              <w:t>506.691</w:t>
            </w:r>
          </w:p>
        </w:tc>
        <w:tc>
          <w:tcPr>
            <w:tcW w:w="2322" w:type="dxa"/>
          </w:tcPr>
          <w:p w:rsidR="00AC0832" w:rsidRDefault="00AC0832">
            <w:pPr>
              <w:pStyle w:val="CellColumn"/>
            </w:pPr>
            <w:r>
              <w:t>85,0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Obavljanje stručnih i upravnih poslova pripreme međunarodnih ugovora u pitanjima izručenja I međunarodne pravne pomoći u kaznenim stvarima, te pravne pomoći u građanskim stvarima, izrade nacrta prijedloga zakona i podzakonskih akata i provođenje međunarodnih ugovora iz područja pravosuđa i međunarodne pravne pomoći u kaznenim i građanskim stvarima, poslove izručenja i prenošenja izvršenja kaznenih sankcija. Služba za međunarodnu pravnu pomoć i pravosudnu suradnju u kaznenim stvarima je središnje tijelo za zaprimanje i odašiljanje zamolnica za međunarodnu pravnu pomoć u kaznenim stvarima sukladno međunarodnim ugovorima i domaćim zakonodavstvom.  Davanje mišljenja u svezi s legalizacijom isprava, za uporabu u inozemstvu te isprava izdanih u inozemstvu za uporabu u Republici Hrvatskoj, pružanje pravne pomoći pravosudnim tijelima u postupcima utvrđivanja uzajamnosti, izdavanje potvrde o uzajamnosti u skladu sa zakonom, pribavljanjem obavijesti o mjerodavnom stranom pravu za domaća pravosudna tijela i davanje obavijesti o hrvatskom pravu za strana pravosudna tijela. Služba za međunarodnu pravnu pomoć i pravosudnu suradnju  u građanskim stvarima je  središnje tijelo za zaprimanje i odašiljanje zamolnica za međunarodnu pravnu pomoć u građanskim stvarima sukladno međunarodnim ugovorima i domaćem zakonodavstvom. Središnje je tijelo za koordinaciju primjene instrumenata pravosudne suradnje u kaznenim i građanskim stvarima s državama članicama Europske unije sukladno pravnim aktima Europske unije i domaćem zakonodavstvu. Pružanje potpore Europskoj pravosudnoj mreži u kaznenim stvarima i nacionalnom državnom odvjetniku za vezu pri EUROJUST-u i Europskoj pravosudnoj mreži u građanskim i trgovačkim stvarima. Sudjelovanje u radu Europske pravosudne mreže u kaznenim, te građanskim i trgovačkim stvarima. Naprijed navedenim aktivnostima osigurava se provođenje sudskih postupaka u Republici Hrvatskoj i sudskih postupaka u inozemstvu s elementom inozemnosti, te okončanje tih postupaka. Smanjenje broja neriješenih predmeta jer je međunarodna pravna pomoć sastavni dio sudskog postupka (veća učinkovitost pravosuđa). Usmjeravanje na jačanje međusobnih kontakata pravosudnih tijela i nacionalne strategije za unapređenje borbe protiv međunarodnog (organiziranog) kriminala-u kaznenoj grani prava i omogućavanju lakšeg provođenja postupaka i međusobnog priznavanja odluka-u građanskoj grani prava. Sudjelovanje na sastancima Europske pravosudne mreže u kaznenim, te  građanskim i trgovačkim stvarima, olakšavanje pravosudne suradnje s državama članicama te postizanje učinkovitije primjene pravnih akata Europske unije.</w:t>
      </w:r>
    </w:p>
    <w:p w:rsidR="00AC0832" w:rsidRDefault="00AC0832">
      <w:pPr>
        <w:pStyle w:val="Heading6"/>
      </w:pPr>
      <w:r>
        <w:t>A629008 REFORMA KAZNENOG ZAKONODAVSTVA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A629008-REFORMA KAZNENOG ZAKONODAVSTVA</w:t>
            </w:r>
          </w:p>
        </w:tc>
        <w:tc>
          <w:tcPr>
            <w:tcW w:w="2322" w:type="dxa"/>
          </w:tcPr>
          <w:p w:rsidR="00AC0832" w:rsidRDefault="00AC0832">
            <w:pPr>
              <w:pStyle w:val="CellColumn"/>
            </w:pPr>
            <w:r>
              <w:t>119.000</w:t>
            </w:r>
          </w:p>
        </w:tc>
        <w:tc>
          <w:tcPr>
            <w:tcW w:w="2322" w:type="dxa"/>
          </w:tcPr>
          <w:p w:rsidR="00AC0832" w:rsidRDefault="00AC0832">
            <w:pPr>
              <w:pStyle w:val="CellColumn"/>
            </w:pPr>
            <w:r>
              <w:t>105.081</w:t>
            </w:r>
          </w:p>
        </w:tc>
        <w:tc>
          <w:tcPr>
            <w:tcW w:w="2322" w:type="dxa"/>
          </w:tcPr>
          <w:p w:rsidR="00AC0832" w:rsidRDefault="00AC0832">
            <w:pPr>
              <w:pStyle w:val="CellColumn"/>
            </w:pPr>
            <w:r>
              <w:t>88,3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Tijekom 2012. godine provedene su sljedeće aktivnosti: </w:t>
      </w:r>
    </w:p>
    <w:p w:rsidR="00AC0832" w:rsidRDefault="00AC0832">
      <w:pPr>
        <w:pStyle w:val="Normal6"/>
      </w:pPr>
      <w:r>
        <w:t xml:space="preserve">-Izrada nacrta prijedloga i konačnih prijedloga zakona, poslovi u svezi provođenja zakonodavne procedure, izrada podzakonskih propisa  </w:t>
      </w:r>
    </w:p>
    <w:p w:rsidR="00AC0832" w:rsidRDefault="00AC0832">
      <w:pPr>
        <w:pStyle w:val="Normal6"/>
      </w:pPr>
      <w:r>
        <w:t xml:space="preserve">- Priprema sustava kaznenih evidencija za funkcioniranje u elektronskom obliku; umrežavanje sudova i državnog odvjetništva u sustav neposrednog uvida u kaznenu evidenciju  </w:t>
      </w:r>
    </w:p>
    <w:p w:rsidR="00AC0832" w:rsidRDefault="00AC0832">
      <w:pPr>
        <w:pStyle w:val="Normal6"/>
      </w:pPr>
      <w:r>
        <w:t xml:space="preserve">- Sudovima i državnim odvjetništvima omogućen je neposredan pristup podacima iz kaznene evidencije u odnosu na osobu za koju je započeo kazneni progon; automatizacija sustava kaznene evidencije  </w:t>
      </w:r>
    </w:p>
    <w:p w:rsidR="00AC0832" w:rsidRDefault="00AC0832">
      <w:pPr>
        <w:pStyle w:val="Normal6"/>
      </w:pPr>
      <w:r>
        <w:t xml:space="preserve">-Priprema za uvođenje ECRIS-a u RH </w:t>
      </w:r>
    </w:p>
    <w:p w:rsidR="00AC0832" w:rsidRDefault="00AC0832">
      <w:pPr>
        <w:pStyle w:val="Normal6"/>
      </w:pPr>
      <w:r>
        <w:t xml:space="preserve">Završetak priprema za umrežavanje sudova te prvo umrežavanje Općinskog kaznenog suda u sustav neposrednog uvida u kaznene evidencije kao pilot projekt. </w:t>
      </w:r>
    </w:p>
    <w:p w:rsidR="00AC0832" w:rsidRDefault="00AC0832">
      <w:pPr>
        <w:pStyle w:val="Normal6"/>
      </w:pPr>
      <w:r>
        <w:t>- Posjet MP Kraljevine Belgije; posjet Europskoj komisiji  i Vijeću EU u listopadu 2012.</w:t>
      </w:r>
    </w:p>
    <w:p w:rsidR="00AC0832" w:rsidRDefault="00AC0832">
      <w:pPr>
        <w:pStyle w:val="Heading6"/>
      </w:pPr>
      <w:r>
        <w:t>A629150 IZVRŠAVANJE PRAVOMOĆNIH SUDSKIH ODLUKA, NAGODBI I OVRHA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A629150-IZVRŠAVANJE PRAVOMOĆNIH SUDSKIH ODLUKA, NAGODBI I OVRHA</w:t>
            </w:r>
          </w:p>
        </w:tc>
        <w:tc>
          <w:tcPr>
            <w:tcW w:w="2322" w:type="dxa"/>
          </w:tcPr>
          <w:p w:rsidR="00AC0832" w:rsidRDefault="00AC0832">
            <w:pPr>
              <w:pStyle w:val="CellColumn"/>
            </w:pPr>
            <w:r>
              <w:t>29.500.000</w:t>
            </w:r>
          </w:p>
        </w:tc>
        <w:tc>
          <w:tcPr>
            <w:tcW w:w="2322" w:type="dxa"/>
          </w:tcPr>
          <w:p w:rsidR="00AC0832" w:rsidRDefault="00AC0832">
            <w:pPr>
              <w:pStyle w:val="CellColumn"/>
            </w:pPr>
            <w:r>
              <w:t>29.431.209</w:t>
            </w:r>
          </w:p>
        </w:tc>
        <w:tc>
          <w:tcPr>
            <w:tcW w:w="2322" w:type="dxa"/>
          </w:tcPr>
          <w:p w:rsidR="00AC0832" w:rsidRDefault="00AC0832">
            <w:pPr>
              <w:pStyle w:val="CellColumn"/>
            </w:pPr>
            <w:r>
              <w:t>99,8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Ovom aktivnošću podmiruju se obveze nastale s osnova pravomoćnih sudskih presuda, ovršnih isprava, nagodbi i kompenzacija neosnovano pritvorenim osobama.</w:t>
      </w:r>
    </w:p>
    <w:p w:rsidR="00AC0832" w:rsidRDefault="00AC0832">
      <w:pPr>
        <w:pStyle w:val="Heading6"/>
      </w:pPr>
    </w:p>
    <w:p w:rsidR="00AC0832" w:rsidRDefault="00AC0832">
      <w:pPr>
        <w:pStyle w:val="Heading6"/>
      </w:pPr>
      <w:r>
        <w:t>A629171 SURADNJA S MEĐUNARODNIM SUDOM I MEĐUNARODNIM KAZNENIM SUDOVIMA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A629171-SURADNJA S MEĐUNARODNIM SUDOM I MEĐUNARODNIM KAZNENIM SUDOVIMA</w:t>
            </w:r>
          </w:p>
        </w:tc>
        <w:tc>
          <w:tcPr>
            <w:tcW w:w="2322" w:type="dxa"/>
          </w:tcPr>
          <w:p w:rsidR="00AC0832" w:rsidRDefault="00AC0832">
            <w:pPr>
              <w:pStyle w:val="CellColumn"/>
            </w:pPr>
            <w:r>
              <w:t>145.278</w:t>
            </w:r>
          </w:p>
        </w:tc>
        <w:tc>
          <w:tcPr>
            <w:tcW w:w="2322" w:type="dxa"/>
          </w:tcPr>
          <w:p w:rsidR="00AC0832" w:rsidRDefault="00AC0832">
            <w:pPr>
              <w:pStyle w:val="CellColumn"/>
            </w:pPr>
            <w:r>
              <w:t>125.471</w:t>
            </w:r>
          </w:p>
        </w:tc>
        <w:tc>
          <w:tcPr>
            <w:tcW w:w="2322" w:type="dxa"/>
          </w:tcPr>
          <w:p w:rsidR="00AC0832" w:rsidRDefault="00AC0832">
            <w:pPr>
              <w:pStyle w:val="CellColumn"/>
            </w:pPr>
            <w:r>
              <w:t>86,4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Putem aktivnosti financira se suradnja predstavnika Republike Hrvatske s međunarodnim kaznenim sudovima te troškovi prijevoda i potrebno stručno usavršavanje.  </w:t>
      </w:r>
    </w:p>
    <w:p w:rsidR="00AC0832" w:rsidRDefault="00AC0832">
      <w:pPr>
        <w:pStyle w:val="Normal6"/>
      </w:pPr>
      <w:r>
        <w:t xml:space="preserve">Suradnja s međunarodnim kaznenim sudovima i institucijama doprinosi ujednačavanju pravila vođenja postupaka na globalnoj razini, ostvarenju međunarodne pravde, kažnjavanju počinitelja najtežih kaznenih djela, razvoju ujednačenih kriterija za ostvarivanje pravde i borbe protiv teških oblika međunarodnog kriminala.  </w:t>
      </w:r>
    </w:p>
    <w:p w:rsidR="00AC0832" w:rsidRDefault="00AC0832">
      <w:pPr>
        <w:pStyle w:val="Normal6"/>
      </w:pPr>
      <w:r>
        <w:t xml:space="preserve">Tijekom 2012. godine organizirano je sudjelovanje predstavnika RH na zasjedanju Skupštine država stranaka Rimskog statuta te </w:t>
      </w:r>
    </w:p>
    <w:p w:rsidR="00AC0832" w:rsidRDefault="00AC0832">
      <w:pPr>
        <w:pStyle w:val="Normal6"/>
      </w:pPr>
      <w:r>
        <w:t>održavanje bilateralnih konzultacija i razmjena mišljenja.</w:t>
      </w:r>
    </w:p>
    <w:p w:rsidR="00AC0832" w:rsidRDefault="00AC0832">
      <w:pPr>
        <w:pStyle w:val="Heading6"/>
      </w:pPr>
      <w:r>
        <w:t>A629172 ZASTUPANJE PRED MEĐUNARODNIM SUDOM I MEĐUNARODNIM KAZNENIM SUDOVIMA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A629172-ZASTUPANJE PRED MEĐUNARODNIM SUDOM I MEĐUNARODNIM KAZNENIM SUDOVIMA</w:t>
            </w:r>
          </w:p>
        </w:tc>
        <w:tc>
          <w:tcPr>
            <w:tcW w:w="2322" w:type="dxa"/>
          </w:tcPr>
          <w:p w:rsidR="00AC0832" w:rsidRDefault="00AC0832">
            <w:pPr>
              <w:pStyle w:val="CellColumn"/>
            </w:pPr>
            <w:r>
              <w:t>30.747.227</w:t>
            </w:r>
          </w:p>
        </w:tc>
        <w:tc>
          <w:tcPr>
            <w:tcW w:w="2322" w:type="dxa"/>
          </w:tcPr>
          <w:p w:rsidR="00AC0832" w:rsidRDefault="00AC0832">
            <w:pPr>
              <w:pStyle w:val="CellColumn"/>
            </w:pPr>
            <w:r>
              <w:t>28.434.365</w:t>
            </w:r>
          </w:p>
        </w:tc>
        <w:tc>
          <w:tcPr>
            <w:tcW w:w="2322" w:type="dxa"/>
          </w:tcPr>
          <w:p w:rsidR="00AC0832" w:rsidRDefault="00AC0832">
            <w:pPr>
              <w:pStyle w:val="CellColumn"/>
            </w:pPr>
            <w:r>
              <w:t>92,5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Podmirivanje troškova obrana pred Međunarodnim kaznenim sudom za bivšu Jugoslaviju.  </w:t>
      </w:r>
    </w:p>
    <w:p w:rsidR="00AC0832" w:rsidRDefault="00AC0832">
      <w:pPr>
        <w:pStyle w:val="Normal6"/>
      </w:pPr>
      <w:r>
        <w:t xml:space="preserve">Nadalje, podmiruju se i troškovi vođenja postupka povodom tužbe Republike Hrvatske protiv Srbije zbog povreda odredbi Konvencije o sprječavanju i kažnjavanju zločina genocida pred Međunarodnim sudom pravde.  </w:t>
      </w:r>
    </w:p>
    <w:p w:rsidR="00AC0832" w:rsidRDefault="00AC0832">
      <w:pPr>
        <w:pStyle w:val="Normal6"/>
      </w:pPr>
      <w:r>
        <w:t xml:space="preserve">Ujednačavanje pravila vođenja postupaka na globalnoj razini, razvoj ujednačenih kriterija te ostvarenje međunarodne pravde.  </w:t>
      </w:r>
    </w:p>
    <w:p w:rsidR="00AC0832" w:rsidRDefault="00AC0832">
      <w:pPr>
        <w:pStyle w:val="Normal6"/>
      </w:pPr>
      <w:r>
        <w:t>Zaštita interesa Republike Hrvatske i hrvatskih državljana pred Međunarodnim sudom pravde, Međunarodnim kaznenim sudom za bivšu Jugoslaviju te Međunarodnim kaznenim sudom</w:t>
      </w:r>
    </w:p>
    <w:p w:rsidR="00AC0832" w:rsidRDefault="00AC0832">
      <w:pPr>
        <w:pStyle w:val="Heading6"/>
      </w:pPr>
      <w:r>
        <w:t>A629245 PROVOĐENJE SUKCESIJE BIVŠE SFRJ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A629245-PROVOĐENJE SUKCESIJE BIVŠE SFRJ</w:t>
            </w:r>
          </w:p>
        </w:tc>
        <w:tc>
          <w:tcPr>
            <w:tcW w:w="2322" w:type="dxa"/>
          </w:tcPr>
          <w:p w:rsidR="00AC0832" w:rsidRDefault="00AC0832">
            <w:pPr>
              <w:pStyle w:val="CellColumn"/>
            </w:pPr>
            <w:r>
              <w:t>1.000</w:t>
            </w:r>
          </w:p>
        </w:tc>
        <w:tc>
          <w:tcPr>
            <w:tcW w:w="2322" w:type="dxa"/>
          </w:tcPr>
          <w:p w:rsidR="00AC0832" w:rsidRDefault="00AC0832">
            <w:pPr>
              <w:pStyle w:val="CellColumn"/>
            </w:pPr>
            <w:r>
              <w:t>00</w:t>
            </w:r>
          </w:p>
        </w:tc>
        <w:tc>
          <w:tcPr>
            <w:tcW w:w="2322" w:type="dxa"/>
          </w:tcPr>
          <w:p w:rsidR="00AC0832" w:rsidRDefault="00AC0832">
            <w:pPr>
              <w:pStyle w:val="CellColumn"/>
            </w:pPr>
            <w:r>
              <w:t>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Organiziranje, usklađivanje i neposredno provođenje poslova u vezi sa sukcesijom bivše SFRJ, ocjenjivanje i koordinacija poslova ministarstva i drugih tijela državne uprave na provođenju sukcesije, davanje Vladi RH i drugim tijelima državne uprave mišljenja o stručnim pitanjima sukcesije, pripremanje stručnih mišljenja o nacrtima prijedloga propisa koje su izradila druga središnja državna tijela uprave.</w:t>
      </w:r>
    </w:p>
    <w:p w:rsidR="00AC0832" w:rsidRDefault="00AC0832">
      <w:pPr>
        <w:pStyle w:val="Heading6"/>
      </w:pPr>
      <w:r>
        <w:t>A630017 DJELATNOST OVLAŠTENIH SLUŽBENIH OSOBA NA OSIGURANJU PRAVOSUDNIH TIJELA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A630017-DJELATNOST OVLAŠTENIH SLUŽBENIH OSOBA NA OSIGURANJU PRAVOSUDNIH TIJELA</w:t>
            </w:r>
          </w:p>
        </w:tc>
        <w:tc>
          <w:tcPr>
            <w:tcW w:w="2322" w:type="dxa"/>
          </w:tcPr>
          <w:p w:rsidR="00AC0832" w:rsidRDefault="00AC0832">
            <w:pPr>
              <w:pStyle w:val="CellColumn"/>
            </w:pPr>
            <w:r>
              <w:t>670.000</w:t>
            </w:r>
          </w:p>
        </w:tc>
        <w:tc>
          <w:tcPr>
            <w:tcW w:w="2322" w:type="dxa"/>
          </w:tcPr>
          <w:p w:rsidR="00AC0832" w:rsidRDefault="00AC0832">
            <w:pPr>
              <w:pStyle w:val="CellColumn"/>
            </w:pPr>
            <w:r>
              <w:t>413.901</w:t>
            </w:r>
          </w:p>
        </w:tc>
        <w:tc>
          <w:tcPr>
            <w:tcW w:w="2322" w:type="dxa"/>
          </w:tcPr>
          <w:p w:rsidR="00AC0832" w:rsidRDefault="00AC0832">
            <w:pPr>
              <w:pStyle w:val="CellColumn"/>
            </w:pPr>
            <w:r>
              <w:t>61,8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Odredbama Uredbe o odorama službenika odjela osiguranja u kaznionicama i zatvorima te službenim vozilima (NN 88/11) propisana je odora, oprema, zaduženje, zamjena, povrat, nošenje odore, opreme, oznaka zvanja, oznaka pravosudne policije. </w:t>
      </w:r>
    </w:p>
    <w:p w:rsidR="00AC0832" w:rsidRDefault="00AC0832">
      <w:pPr>
        <w:pStyle w:val="Normal6"/>
      </w:pPr>
      <w:r>
        <w:t xml:space="preserve">Sukladno navedenom, uzimajući pri tome propisane rokove upotrebe određenih dijelova odore i opreme, potrebno je planirati njihovu nabavu za ovlaštene službene osoba na osiguranju pravosudnih tijela. </w:t>
      </w:r>
    </w:p>
    <w:p w:rsidR="00AC0832" w:rsidRDefault="00AC0832">
      <w:pPr>
        <w:pStyle w:val="Normal6"/>
      </w:pPr>
      <w:r>
        <w:t xml:space="preserve">Sukladno Pravilniku o posebnoj zdravstvenoj sposobnosti državnih službenika na poslovima osiguranja u kaznionicama i zatvorima Uprave za zatvorski sustav (NN 20/04), službenici pravosudne policije obvezni su obaviti redoviti zdravstveni pregled svake dvije godine radi utvrđivanja posebne zdravstvene sposobnosti. </w:t>
      </w:r>
    </w:p>
    <w:p w:rsidR="00AC0832" w:rsidRDefault="00AC0832">
      <w:pPr>
        <w:pStyle w:val="Normal6"/>
      </w:pPr>
      <w:r>
        <w:t xml:space="preserve">U 2012. godini nastavljena je kontinuirana provedba postupka nabave odora za službenike pravosudne policije i obavljanje zdravstvenih pregleda radi utvrđivanja posebne zdravstvene sposobnosti službenika pravosudne policije što je preduvjet </w:t>
      </w:r>
    </w:p>
    <w:p w:rsidR="00AC0832" w:rsidRDefault="00AC0832">
      <w:pPr>
        <w:pStyle w:val="Normal6"/>
      </w:pPr>
      <w:r>
        <w:t>uspostavljanja potrebnih sigurnosnih standarda nužnih za kvalitetnu provedbu osiguranja osoba, imovine i objekata pravosudnih tijela.</w:t>
      </w:r>
    </w:p>
    <w:p w:rsidR="00AC0832" w:rsidRDefault="00AC0832">
      <w:pPr>
        <w:pStyle w:val="Heading6"/>
      </w:pPr>
    </w:p>
    <w:p w:rsidR="00AC0832" w:rsidRDefault="00AC0832">
      <w:pPr>
        <w:pStyle w:val="Heading6"/>
      </w:pPr>
      <w:r>
        <w:t>T630094 IPA I 2009 - JAČANJE ADMINISTRATIVNIH KAPACITETA MINISTARSTVA PRAVOSUĐA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T630094-IPA I 2009 - JAČANJE ADMINISTRATIVNIH KAPACITETA MINISTARSTVA PRAVOSUĐA</w:t>
            </w:r>
          </w:p>
        </w:tc>
        <w:tc>
          <w:tcPr>
            <w:tcW w:w="2322" w:type="dxa"/>
          </w:tcPr>
          <w:p w:rsidR="00AC0832" w:rsidRDefault="00AC0832">
            <w:pPr>
              <w:pStyle w:val="CellColumn"/>
            </w:pPr>
            <w:r>
              <w:t>1.771.500</w:t>
            </w:r>
          </w:p>
        </w:tc>
        <w:tc>
          <w:tcPr>
            <w:tcW w:w="2322" w:type="dxa"/>
          </w:tcPr>
          <w:p w:rsidR="00AC0832" w:rsidRDefault="00AC0832">
            <w:pPr>
              <w:pStyle w:val="CellColumn"/>
            </w:pPr>
            <w:r>
              <w:t>1.366.925</w:t>
            </w:r>
          </w:p>
        </w:tc>
        <w:tc>
          <w:tcPr>
            <w:tcW w:w="2322" w:type="dxa"/>
          </w:tcPr>
          <w:p w:rsidR="00AC0832" w:rsidRDefault="00AC0832">
            <w:pPr>
              <w:pStyle w:val="CellColumn"/>
            </w:pPr>
            <w:r>
              <w:t>77,2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Model razvoja kompetencija rukovoditelja u Ministarstvu pravosuđa; model razvoja programa edukacije za primjenu rukovoditeljskih kompetencija. </w:t>
      </w:r>
    </w:p>
    <w:p w:rsidR="00AC0832" w:rsidRDefault="00AC0832">
      <w:pPr>
        <w:pStyle w:val="Normal6"/>
      </w:pPr>
      <w:r>
        <w:t xml:space="preserve">PRojektom su obuhvaćene sljedeće aktivnosti: </w:t>
      </w:r>
    </w:p>
    <w:p w:rsidR="00AC0832" w:rsidRDefault="00AC0832">
      <w:pPr>
        <w:pStyle w:val="Normal6"/>
      </w:pPr>
      <w:r>
        <w:t>1.</w:t>
      </w:r>
      <w:r>
        <w:tab/>
        <w:t xml:space="preserve">Izrada modela upravljačkih kompetencija u Ministarstvu pravosuđa. </w:t>
      </w:r>
    </w:p>
    <w:p w:rsidR="00AC0832" w:rsidRDefault="00AC0832">
      <w:pPr>
        <w:pStyle w:val="Normal6"/>
      </w:pPr>
      <w:r>
        <w:t>2.</w:t>
      </w:r>
      <w:r>
        <w:tab/>
        <w:t xml:space="preserve">Pripremljena Strategija upravljanja ljudskim resursima i Akcijski plan. </w:t>
      </w:r>
    </w:p>
    <w:p w:rsidR="00AC0832" w:rsidRDefault="00AC0832">
      <w:pPr>
        <w:pStyle w:val="Normal6"/>
      </w:pPr>
      <w:r>
        <w:t>3.</w:t>
      </w:r>
      <w:r>
        <w:tab/>
        <w:t>Kapaciteti rukovodećih službenika ojačani kroz edukacije i radionice (edukacija o korištenju novim modelom upravljačkih kompetencija, institucijama i politikama Europske unije, timskom radu i motiviranju zaposlenika).</w:t>
      </w:r>
    </w:p>
    <w:p w:rsidR="00AC0832" w:rsidRDefault="00AC0832">
      <w:pPr>
        <w:pStyle w:val="Heading5"/>
      </w:pPr>
      <w:r>
        <w:t>2802 IMENOVANJA PRAVOSUDNIH DUŽNOSNIKA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2802-IMENOVANJA PRAVOSUDNIH DUŽNOSNIKA</w:t>
            </w:r>
          </w:p>
        </w:tc>
        <w:tc>
          <w:tcPr>
            <w:tcW w:w="2322" w:type="dxa"/>
          </w:tcPr>
          <w:p w:rsidR="00AC0832" w:rsidRDefault="00AC0832">
            <w:pPr>
              <w:pStyle w:val="CellColumn"/>
            </w:pPr>
            <w:r>
              <w:t>728.700</w:t>
            </w:r>
          </w:p>
        </w:tc>
        <w:tc>
          <w:tcPr>
            <w:tcW w:w="2322" w:type="dxa"/>
          </w:tcPr>
          <w:p w:rsidR="00AC0832" w:rsidRDefault="00AC0832">
            <w:pPr>
              <w:pStyle w:val="CellColumn"/>
            </w:pPr>
            <w:r>
              <w:t>674.810</w:t>
            </w:r>
          </w:p>
        </w:tc>
        <w:tc>
          <w:tcPr>
            <w:tcW w:w="2322" w:type="dxa"/>
          </w:tcPr>
          <w:p w:rsidR="00AC0832" w:rsidRDefault="00AC0832">
            <w:pPr>
              <w:pStyle w:val="CellColumn"/>
            </w:pPr>
            <w:r>
              <w:t>92,6</w:t>
            </w:r>
          </w:p>
        </w:tc>
      </w:tr>
    </w:tbl>
    <w:p w:rsidR="00AC0832" w:rsidRDefault="00AC0832">
      <w:pPr>
        <w:jc w:val="left"/>
      </w:pPr>
    </w:p>
    <w:p w:rsidR="00AC0832" w:rsidRDefault="00AC0832">
      <w:pPr>
        <w:pStyle w:val="Heading6"/>
      </w:pPr>
      <w:r>
        <w:t>Opis programa</w:t>
      </w:r>
    </w:p>
    <w:p w:rsidR="00AC0832" w:rsidRDefault="00AC0832">
      <w:pPr>
        <w:pStyle w:val="Normal5"/>
      </w:pPr>
      <w:r>
        <w:t>Donošenjem Državnog proračuna za 2012. godinu i projekcija za 2013. i 2014. godinu aktivnosti A629013 i A629018 organizirane su kao posebne proračunske glave u okviru Razdjela 110-Ministarstva pravosuđa, glava 11035-Državnoodvjetničko vijeće i glava 11036-Državno sudbeno vijeće na koji način su se zatvorile aktivnosti A629013-Državnosudbeno vijeće i A629018-Državnoodvjetničko vijeće unutar glave 11005-Ministarstvo pravosuđa čime se zatvara i program 2802-Imenovanja pravosudnih dužnosnika unutar glave 11005.</w:t>
      </w:r>
    </w:p>
    <w:p w:rsidR="00AC0832" w:rsidRDefault="00AC0832">
      <w:pPr>
        <w:pStyle w:val="Heading6"/>
      </w:pPr>
      <w:r>
        <w:t>Zakonske i druge pravne osnove</w:t>
      </w:r>
    </w:p>
    <w:p w:rsidR="00AC0832" w:rsidRDefault="00AC0832">
      <w:pPr>
        <w:pStyle w:val="Heading6"/>
      </w:pPr>
      <w:r>
        <w:t>A629013 DRŽAVNO SUDBENO VIJEĆE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A629013-DRŽAVNO SUDBENO VIJEĆE</w:t>
            </w:r>
          </w:p>
        </w:tc>
        <w:tc>
          <w:tcPr>
            <w:tcW w:w="2322" w:type="dxa"/>
          </w:tcPr>
          <w:p w:rsidR="00AC0832" w:rsidRDefault="00AC0832">
            <w:pPr>
              <w:pStyle w:val="CellColumn"/>
            </w:pPr>
            <w:r>
              <w:t>386.100</w:t>
            </w:r>
          </w:p>
        </w:tc>
        <w:tc>
          <w:tcPr>
            <w:tcW w:w="2322" w:type="dxa"/>
          </w:tcPr>
          <w:p w:rsidR="00AC0832" w:rsidRDefault="00AC0832">
            <w:pPr>
              <w:pStyle w:val="CellColumn"/>
            </w:pPr>
            <w:r>
              <w:t>338.347</w:t>
            </w:r>
          </w:p>
        </w:tc>
        <w:tc>
          <w:tcPr>
            <w:tcW w:w="2322" w:type="dxa"/>
          </w:tcPr>
          <w:p w:rsidR="00AC0832" w:rsidRDefault="00AC0832">
            <w:pPr>
              <w:pStyle w:val="CellColumn"/>
            </w:pPr>
            <w:r>
              <w:t>87,6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Donošenjem Državnog proračuna za 2012. godinu i projekcija za 2013. i 2014. godinu aktivnost A629013 organizirana je kao posebna proračunska glava u okviru Razdjela 110-Ministarstva pravosuđa - glava11036-Državno sudbeno vijeće na koji način je zatvorena aktivnost A629013-Državnosudbeno vijeće unutar glave 11005-Ministarstvo pravosuđa.</w:t>
      </w:r>
    </w:p>
    <w:p w:rsidR="00AC0832" w:rsidRDefault="00AC0832">
      <w:pPr>
        <w:pStyle w:val="Heading6"/>
      </w:pPr>
      <w:r>
        <w:t>A629018 DRŽAVNO ODVJETNIČKO VIJEĆE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A629018-DRŽAVNO ODVJETNIČKO VIJEĆE</w:t>
            </w:r>
          </w:p>
        </w:tc>
        <w:tc>
          <w:tcPr>
            <w:tcW w:w="2322" w:type="dxa"/>
          </w:tcPr>
          <w:p w:rsidR="00AC0832" w:rsidRDefault="00AC0832">
            <w:pPr>
              <w:pStyle w:val="CellColumn"/>
            </w:pPr>
            <w:r>
              <w:t>342.600</w:t>
            </w:r>
          </w:p>
        </w:tc>
        <w:tc>
          <w:tcPr>
            <w:tcW w:w="2322" w:type="dxa"/>
          </w:tcPr>
          <w:p w:rsidR="00AC0832" w:rsidRDefault="00AC0832">
            <w:pPr>
              <w:pStyle w:val="CellColumn"/>
            </w:pPr>
            <w:r>
              <w:t>336.463</w:t>
            </w:r>
          </w:p>
        </w:tc>
        <w:tc>
          <w:tcPr>
            <w:tcW w:w="2322" w:type="dxa"/>
          </w:tcPr>
          <w:p w:rsidR="00AC0832" w:rsidRDefault="00AC0832">
            <w:pPr>
              <w:pStyle w:val="CellColumn"/>
            </w:pPr>
            <w:r>
              <w:t>98,2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Donošenjem Državnog proračuna za 2012. godinu i projekcija za 2013. i 2014. godinu aktivnost A629018 organizirana je kao posebna proračunska glava u okviru Razdjela 110-Ministarstva pravosuđa - glava 11035-Državnoodvjetničko vijeće na koji način je zatvorena aktivnost A629018-Državnoodvjetničko vijeće unutar glave 11005-Ministarstvo pravosuđa.</w:t>
      </w:r>
    </w:p>
    <w:p w:rsidR="00AC0832" w:rsidRDefault="00AC0832">
      <w:pPr>
        <w:pStyle w:val="Heading5"/>
      </w:pPr>
      <w:r>
        <w:t>2803 VOĐENJE SUDSKIH POSTUPAKA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2803-VOĐENJE SUDSKIH POSTUPAKA</w:t>
            </w:r>
          </w:p>
        </w:tc>
        <w:tc>
          <w:tcPr>
            <w:tcW w:w="2322" w:type="dxa"/>
          </w:tcPr>
          <w:p w:rsidR="00AC0832" w:rsidRDefault="00AC0832">
            <w:pPr>
              <w:pStyle w:val="CellColumn"/>
            </w:pPr>
            <w:r>
              <w:t>55.253.927</w:t>
            </w:r>
          </w:p>
        </w:tc>
        <w:tc>
          <w:tcPr>
            <w:tcW w:w="2322" w:type="dxa"/>
          </w:tcPr>
          <w:p w:rsidR="00AC0832" w:rsidRDefault="00AC0832">
            <w:pPr>
              <w:pStyle w:val="CellColumn"/>
            </w:pPr>
            <w:r>
              <w:t>39.307.771</w:t>
            </w:r>
          </w:p>
        </w:tc>
        <w:tc>
          <w:tcPr>
            <w:tcW w:w="2322" w:type="dxa"/>
          </w:tcPr>
          <w:p w:rsidR="00AC0832" w:rsidRDefault="00AC0832">
            <w:pPr>
              <w:pStyle w:val="CellColumn"/>
            </w:pPr>
            <w:r>
              <w:t>71,1</w:t>
            </w:r>
          </w:p>
        </w:tc>
      </w:tr>
    </w:tbl>
    <w:p w:rsidR="00AC0832" w:rsidRDefault="00AC0832">
      <w:pPr>
        <w:jc w:val="left"/>
      </w:pPr>
    </w:p>
    <w:p w:rsidR="00AC0832" w:rsidRDefault="00AC0832">
      <w:pPr>
        <w:pStyle w:val="Heading6"/>
      </w:pPr>
      <w:r>
        <w:t>Opis programa</w:t>
      </w:r>
    </w:p>
    <w:p w:rsidR="00AC0832" w:rsidRDefault="00AC0832">
      <w:pPr>
        <w:pStyle w:val="Normal5"/>
      </w:pPr>
      <w:r>
        <w:t xml:space="preserve">Ministarstvo pravosuđa, kao najviše tijelo za obavljanje poslova pravosudne uprave prikuplja i obrađuje statističke i druge podatke o radu sudova. Prikupljeni i obrađeni podaci objavljuju se u Godišnjem statističkom pregledu, koji omogućuje svim zainteresiranima uvid u rad sudova u Republici Hrvatskoj, prvenstveno obim njihova rada, a donekle i kvalitetu rada koja se može utvrđivati uvidom u način rješavanja predmeta po uloženim pravnim lijekovima protiv prvostupanjskih odluka. </w:t>
      </w:r>
    </w:p>
    <w:p w:rsidR="00AC0832" w:rsidRDefault="00AC0832">
      <w:pPr>
        <w:pStyle w:val="Normal5"/>
      </w:pPr>
      <w:r>
        <w:t xml:space="preserve">U cilju povećanja učinkovitosti rada sudova i smanjenja broja neriješenih predmeta u okviru Reforme pravosuđa poduzete su mnoge aktivnosti od kojih izdvajamo sljedeće: </w:t>
      </w:r>
    </w:p>
    <w:p w:rsidR="00AC0832" w:rsidRDefault="00AC0832">
      <w:pPr>
        <w:pStyle w:val="Normal5"/>
      </w:pPr>
      <w:r>
        <w:t xml:space="preserve">- u cilju smanjenja broja neriješenih predmeta delegirani su sudski predmeti sa više opterećenih sudova na sudove s manjim priljevom predmeta. Po odluci  predsjednika Vrhovnog suda RH delegirano je 22.144 predmeta unutar općinskih sudova, 5.996 predmeta unutar županijskih sudova, 879 predmeta unutar trgovačkih sudova i 7.331 unutar prekršajnih sudova. Pored toga izmjenama Zakona o Državnom sudbenom vijeću omogućen je privremeni raspored sudaca iz sudova koji su manje radno opterećeni u sudove u kojima je zbog povećanog priliva predmeta i ukupnog broja predmeta u radu postoji dodatna potreba za imenovanjem sudaca kao i privremeno upućivanje sudaca na rad u viši sud u svojstvu višeg sudskog savjetnika odnosno radi izrade nacrta sudskih odluka i obavljanja drugih poslova.  </w:t>
      </w:r>
    </w:p>
    <w:p w:rsidR="00AC0832" w:rsidRDefault="00AC0832">
      <w:pPr>
        <w:pStyle w:val="Normal5"/>
      </w:pPr>
      <w:r>
        <w:t xml:space="preserve">-reforma upravnog sudovanja kojom su u Republici Hrvatskoj kao specijalizirani sudovi ustanovljeni Visoki upravni sud RH i upravni sudovi u Rijeci, Osijeku, Splitu i Zagrebu. Navedeni sudovi započeli su s radom 1. siječnja 2012. godine.  </w:t>
      </w:r>
    </w:p>
    <w:p w:rsidR="00AC0832" w:rsidRDefault="00AC0832">
      <w:pPr>
        <w:pStyle w:val="Normal5"/>
      </w:pPr>
      <w:r>
        <w:t xml:space="preserve">-kako bi se stvorili uvjetui za brže i učinkovitije rješavanje radnih sporova u RH ustanovljen je Općinski radni sud u Zagrebu, s početkom rada 1. siječnja 2012. godine </w:t>
      </w:r>
    </w:p>
    <w:p w:rsidR="00AC0832" w:rsidRDefault="00AC0832">
      <w:pPr>
        <w:pStyle w:val="Normal5"/>
      </w:pPr>
      <w:r>
        <w:t xml:space="preserve">-Ministarstvo pravosuđa je u okviru Projekta sređivanja zemljišnih knjiga i katastra u RH i prijenosu podataka iz ručno vođene zemljišne knjige u EOP zemljišnu knjigu provelo pojačan nadzor nad radom zemljišnoknjižnih odjela što je doprinijelo daljnjem smanjenju broja neriješenih zemljišnoknjižnih predmeta.  </w:t>
      </w:r>
    </w:p>
    <w:p w:rsidR="00AC0832" w:rsidRDefault="00AC0832">
      <w:pPr>
        <w:pStyle w:val="Normal5"/>
      </w:pPr>
      <w:r>
        <w:t>Ukupno gledajući broj neriješenih predmeta na svim sudovima na kraju 2012. godine smanjen je u odnosu na prethodnu godinu za oko 4%, odnosno sa 827.153 na 795.663 predmeta.</w:t>
      </w:r>
    </w:p>
    <w:p w:rsidR="00AC0832" w:rsidRDefault="00AC0832">
      <w:pPr>
        <w:pStyle w:val="Heading6"/>
      </w:pPr>
      <w:r>
        <w:t>Zakonske i druge pravne osnove</w:t>
      </w:r>
    </w:p>
    <w:p w:rsidR="00AC0832" w:rsidRDefault="00AC0832">
      <w:pPr>
        <w:pStyle w:val="Normal5"/>
      </w:pPr>
      <w:r>
        <w:t>Zakon o sudovima („Narodne novine“, broj 150/05, 16/07, 113/08, 153/09 i 116/10, 27/11, 130/11 i 28/13), Zakon o područjima i sjedištima sudova („Narodne novine“, broj 85/08, 144/10 i 84/11) i Zakon o područjima i sjedištima prekršajnih sudova "Narodne novine" broj 137/09).</w:t>
      </w:r>
    </w:p>
    <w:p w:rsidR="00AC0832" w:rsidRDefault="00AC0832">
      <w:pPr>
        <w:pStyle w:val="Heading7"/>
      </w:pPr>
      <w:r>
        <w:t>Cilj 1. Povećanje učinkovitosti rada sudova</w:t>
      </w:r>
    </w:p>
    <w:p w:rsidR="00AC0832" w:rsidRDefault="00AC0832">
      <w:pPr>
        <w:pStyle w:val="Heading8"/>
        <w:jc w:val="left"/>
      </w:pPr>
      <w:r>
        <w:t>Opis provedbe cilja programa</w:t>
      </w:r>
    </w:p>
    <w:p w:rsidR="00AC0832" w:rsidRDefault="00AC0832">
      <w:pPr>
        <w:pStyle w:val="Heading6"/>
      </w:pPr>
      <w:r>
        <w:t>A576241 PODRŠKA SVJEDOCIMA I ŽRTVAMA KAZNENIH DJELA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A576241-PODRŠKA SVJEDOCIMA I ŽRTVAMA KAZNENIH DJELA</w:t>
            </w:r>
          </w:p>
        </w:tc>
        <w:tc>
          <w:tcPr>
            <w:tcW w:w="2322" w:type="dxa"/>
          </w:tcPr>
          <w:p w:rsidR="00AC0832" w:rsidRDefault="00AC0832">
            <w:pPr>
              <w:pStyle w:val="CellColumn"/>
            </w:pPr>
            <w:r>
              <w:t>7.500</w:t>
            </w:r>
          </w:p>
        </w:tc>
        <w:tc>
          <w:tcPr>
            <w:tcW w:w="2322" w:type="dxa"/>
          </w:tcPr>
          <w:p w:rsidR="00AC0832" w:rsidRDefault="00AC0832">
            <w:pPr>
              <w:pStyle w:val="CellColumn"/>
            </w:pPr>
            <w:r>
              <w:t>7.463</w:t>
            </w:r>
          </w:p>
        </w:tc>
        <w:tc>
          <w:tcPr>
            <w:tcW w:w="2322" w:type="dxa"/>
          </w:tcPr>
          <w:p w:rsidR="00AC0832" w:rsidRDefault="00AC0832">
            <w:pPr>
              <w:pStyle w:val="CellColumn"/>
            </w:pPr>
            <w:r>
              <w:t>99,5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Tijekom 2012. godine ostvarena je suradnja s domaćim i inozemnim tijelima koja su uključena u postupak pružanja podrške žrtvama i svjedocima u kaznenim postupcima, kao i drugim državnim i nevladinim organizacijama, te suradnja sa UNDP-em vezano za realizaciju projekta razvoja sustava podrške žrtvama i svjedocima, predložene su mjere unaprjeđenja i praćenja razvoja sustava podrške žrtvama i svjedocima, obavljana je koordinacija i stručni nadzor nad radom Odjela za organiziranje i pružanje podrške svjedocima i žrtvama na sudovima te analiza mjesečnih i tromjesečnih izvještaja o njihovom radu, izrađeni  </w:t>
      </w:r>
    </w:p>
    <w:p w:rsidR="00AC0832" w:rsidRDefault="00AC0832">
      <w:pPr>
        <w:pStyle w:val="Normal6"/>
      </w:pPr>
      <w:r>
        <w:t>programi i provedena izobrazba za  volontere i službenike Odjela za organiziranje  i pružanje podrške svjedocima i žrtvama kaznenih djela. Osim navedenog aktivnosti su se odnosile i na pružanje psihološke podrške i opće pravne informacije žrtvama i svjedocima putem telefona i odgovaranje na upite upućene elektroničkom poštom te izradu izvješća o stanju i posebnim potrebama žrtava i svjedoka koja se upućuju sudu sa preporukom za primjenu odgovarajućih mjera zaštite kao i koordinaciju poslova osiguranja fizičke zaštite, psihosocijalne pomoći i pravnih informacija za žrtve i svjedoke, te pomoć u pripremanju odlazaka i organizacija pristupa nadležnom pravosudnom tijelu za svjedoke.</w:t>
      </w:r>
    </w:p>
    <w:p w:rsidR="00AC0832" w:rsidRDefault="00AC0832">
      <w:pPr>
        <w:pStyle w:val="Heading6"/>
      </w:pPr>
    </w:p>
    <w:p w:rsidR="00AC0832" w:rsidRDefault="00AC0832">
      <w:pPr>
        <w:pStyle w:val="Heading6"/>
      </w:pPr>
      <w:r>
        <w:t>A629242 MIRENJE KAO ALTERNATIVNI NAČIN RJEŠAVANJA SPOROVA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A629242-MIRENJE KAO ALTERNATIVNI NAČIN RJEŠAVANJA SPOROVA</w:t>
            </w:r>
          </w:p>
        </w:tc>
        <w:tc>
          <w:tcPr>
            <w:tcW w:w="2322" w:type="dxa"/>
          </w:tcPr>
          <w:p w:rsidR="00AC0832" w:rsidRDefault="00AC0832">
            <w:pPr>
              <w:pStyle w:val="CellColumn"/>
            </w:pPr>
            <w:r>
              <w:t>3.000</w:t>
            </w:r>
          </w:p>
        </w:tc>
        <w:tc>
          <w:tcPr>
            <w:tcW w:w="2322" w:type="dxa"/>
          </w:tcPr>
          <w:p w:rsidR="00AC0832" w:rsidRDefault="00AC0832">
            <w:pPr>
              <w:pStyle w:val="CellColumn"/>
            </w:pPr>
            <w:r>
              <w:t>2.938</w:t>
            </w:r>
          </w:p>
        </w:tc>
        <w:tc>
          <w:tcPr>
            <w:tcW w:w="2322" w:type="dxa"/>
          </w:tcPr>
          <w:p w:rsidR="00AC0832" w:rsidRDefault="00AC0832">
            <w:pPr>
              <w:pStyle w:val="CellColumn"/>
            </w:pPr>
            <w:r>
              <w:t>97,9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Tijekom 2012. godine aktivnost obuhvaća nastavak rada Povjerenstva za alternativne načine rješavanja sporova osnovanog radi praćenja razvoja mirenja, jačanja „upotrebe mirenja“  te predlaganja novih, kako zakonodavnih, tako i organizacijskih rješenja.</w:t>
      </w:r>
    </w:p>
    <w:p w:rsidR="00AC0832" w:rsidRDefault="00AC0832">
      <w:pPr>
        <w:pStyle w:val="Heading6"/>
      </w:pPr>
      <w:r>
        <w:t>A630020 NAKNADA TROŠKOVA NASTALIH USTUPANJEM PREDMETA DRUGOM STVARNO NADLEŽNOM SUDU, PARNIČNI I DRUGI TROŠKOVI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A630020-NAKNADA TROŠKOVA NASTALIH USTUPANJEM PREDMETA DRUGOM STVARNO NADLEŽNOM SUDU, PARNIČNI I DRUGI TROŠKOVI</w:t>
            </w:r>
          </w:p>
        </w:tc>
        <w:tc>
          <w:tcPr>
            <w:tcW w:w="2322" w:type="dxa"/>
          </w:tcPr>
          <w:p w:rsidR="00AC0832" w:rsidRDefault="00AC0832">
            <w:pPr>
              <w:pStyle w:val="CellColumn"/>
            </w:pPr>
            <w:r>
              <w:t>2.050.000</w:t>
            </w:r>
          </w:p>
        </w:tc>
        <w:tc>
          <w:tcPr>
            <w:tcW w:w="2322" w:type="dxa"/>
          </w:tcPr>
          <w:p w:rsidR="00AC0832" w:rsidRDefault="00AC0832">
            <w:pPr>
              <w:pStyle w:val="CellColumn"/>
            </w:pPr>
            <w:r>
              <w:t>2.049.956</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Naknada trroškova nastalih ustupanjem predmeta drugom stvarno nadležnom sudu, s ciljem ravnomjerne radne opterećenosti sudova koja se uspostavlja delegiranjem predmeta s više radno opterećenih sudova na one manje radno opterećene </w:t>
      </w:r>
    </w:p>
    <w:p w:rsidR="00AC0832" w:rsidRDefault="00AC0832">
      <w:pPr>
        <w:pStyle w:val="Normal6"/>
      </w:pPr>
      <w:r>
        <w:t>Tijekom 2012. godine općinski sudovi ustupili su  22.144  premeta nekom drugom općinskom sudu, županijski sudovi ustupili su 5.996 predmeta, trgovački sudovi 879  predmeta i prekršajni 7.331 predmet.</w:t>
      </w:r>
    </w:p>
    <w:p w:rsidR="00AC0832" w:rsidRDefault="00AC0832">
      <w:pPr>
        <w:pStyle w:val="Heading6"/>
      </w:pPr>
      <w:r>
        <w:t>A630065 ZAŠTITA OD NASILJA U OBITELJI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A630065-ZAŠTITA OD NASILJA U OBITELJI</w:t>
            </w:r>
          </w:p>
        </w:tc>
        <w:tc>
          <w:tcPr>
            <w:tcW w:w="2322" w:type="dxa"/>
          </w:tcPr>
          <w:p w:rsidR="00AC0832" w:rsidRDefault="00AC0832">
            <w:pPr>
              <w:pStyle w:val="CellColumn"/>
            </w:pPr>
            <w:r>
              <w:t>300.000</w:t>
            </w:r>
          </w:p>
        </w:tc>
        <w:tc>
          <w:tcPr>
            <w:tcW w:w="2322" w:type="dxa"/>
          </w:tcPr>
          <w:p w:rsidR="00AC0832" w:rsidRDefault="00AC0832">
            <w:pPr>
              <w:pStyle w:val="CellColumn"/>
            </w:pPr>
            <w:r>
              <w:t>287.620</w:t>
            </w:r>
          </w:p>
        </w:tc>
        <w:tc>
          <w:tcPr>
            <w:tcW w:w="2322" w:type="dxa"/>
          </w:tcPr>
          <w:p w:rsidR="00AC0832" w:rsidRDefault="00AC0832">
            <w:pPr>
              <w:pStyle w:val="CellColumn"/>
            </w:pPr>
            <w:r>
              <w:t>95,9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Počinitelja nasilja u obitelji se uključuje u strukturirani kognitivno-bihevioralni tretman koji mu pomaže steći uvid i prihvatiti odgovornost za vlastito nasilno ponašanje, usvojiti samokontrolu ponašanja, naučiti socijalne vještine i promijeniti uvjerenja koja pridonose održavanju nasilnog odnosa, Provodi se najčešće u trajanju od šest mjeseci. </w:t>
      </w:r>
    </w:p>
    <w:p w:rsidR="00AC0832" w:rsidRDefault="00AC0832">
      <w:pPr>
        <w:pStyle w:val="Normal6"/>
      </w:pPr>
      <w:r>
        <w:t xml:space="preserve">Psihosocijalni tretman je u izravnoj funkciji zaštite članova obitelji u kojoj ima nasilja i povećanja njihove sigurnosti te smanjenja recidiva i služi zaustavljanju i sprječavanju nasilničkog ponašanja u obitelji.  </w:t>
      </w:r>
    </w:p>
    <w:p w:rsidR="00AC0832" w:rsidRDefault="00AC0832">
      <w:pPr>
        <w:pStyle w:val="Normal6"/>
      </w:pPr>
      <w:r>
        <w:t xml:space="preserve">Psihosocijalni tretman počinitelja nasilja u obitelji u 2012. godini, provodilo je 19 pravnih i fizičkih osoba koje su sklopile ugovor s Ministarstvom pravosuđa. </w:t>
      </w:r>
    </w:p>
    <w:p w:rsidR="00AC0832" w:rsidRDefault="00AC0832">
      <w:pPr>
        <w:pStyle w:val="Normal6"/>
      </w:pPr>
      <w:r>
        <w:t>Evaluacija tretmana pokazuje 70% uspješnost provođenja tretmana, značajno poboljšanje odnosno značajnu promjenu u ponašanju počinitelja tretmana na način da počinitelj promijeni svoje ponašanje i uvjerenje te usvoji pozitivne, ravnopravne i nenasilne obrasce odnosa s članovima obitelji.</w:t>
      </w:r>
    </w:p>
    <w:p w:rsidR="00AC0832" w:rsidRDefault="00AC0832">
      <w:pPr>
        <w:pStyle w:val="Heading6"/>
      </w:pPr>
      <w:r>
        <w:t>A630104 POVREDE PRAVA NA SUĐENJE U RAZUMNOM ROKU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A630104-POVREDE PRAVA NA SUĐENJE U RAZUMNOM ROKU</w:t>
            </w:r>
          </w:p>
        </w:tc>
        <w:tc>
          <w:tcPr>
            <w:tcW w:w="2322" w:type="dxa"/>
          </w:tcPr>
          <w:p w:rsidR="00AC0832" w:rsidRDefault="00AC0832">
            <w:pPr>
              <w:pStyle w:val="CellColumn"/>
            </w:pPr>
            <w:r>
              <w:t>36.439.977</w:t>
            </w:r>
          </w:p>
        </w:tc>
        <w:tc>
          <w:tcPr>
            <w:tcW w:w="2322" w:type="dxa"/>
          </w:tcPr>
          <w:p w:rsidR="00AC0832" w:rsidRDefault="00AC0832">
            <w:pPr>
              <w:pStyle w:val="CellColumn"/>
            </w:pPr>
            <w:r>
              <w:t>36.459.794</w:t>
            </w:r>
          </w:p>
        </w:tc>
        <w:tc>
          <w:tcPr>
            <w:tcW w:w="2322" w:type="dxa"/>
          </w:tcPr>
          <w:p w:rsidR="00AC0832" w:rsidRDefault="00AC0832">
            <w:pPr>
              <w:pStyle w:val="CellColumn"/>
            </w:pPr>
            <w:r>
              <w:t>100,1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Stranka u sudskom postupku koja smatra da nadležni sud nije odlučio u razumnom roku o </w:t>
      </w:r>
    </w:p>
    <w:p w:rsidR="00AC0832" w:rsidRDefault="00AC0832">
      <w:pPr>
        <w:pStyle w:val="Normal6"/>
      </w:pPr>
      <w:r>
        <w:t xml:space="preserve">njezinu pravu ili obvezi ili o sumnji ili optužbi za kažnjivo djelo, može neposredno višem </w:t>
      </w:r>
    </w:p>
    <w:p w:rsidR="00AC0832" w:rsidRDefault="00AC0832">
      <w:pPr>
        <w:pStyle w:val="Normal6"/>
      </w:pPr>
      <w:r>
        <w:t xml:space="preserve">sudu uputiti zahtjev za zaštitu prava na suñenje u razumnom roku. </w:t>
      </w:r>
    </w:p>
    <w:p w:rsidR="00AC0832" w:rsidRDefault="00AC0832">
      <w:pPr>
        <w:pStyle w:val="Normal6"/>
      </w:pPr>
      <w:r>
        <w:t xml:space="preserve">Ako viši sud utvrdi da je zahtjev podnositelja osnovan, odredit će rok u kojem sud pred </w:t>
      </w:r>
    </w:p>
    <w:p w:rsidR="00AC0832" w:rsidRDefault="00AC0832">
      <w:pPr>
        <w:pStyle w:val="Normal6"/>
      </w:pPr>
      <w:r>
        <w:t xml:space="preserve">kojim je postupak u tijeku mora odlučiti o pravu ili obvezi ili o sumnji ili optužbi za </w:t>
      </w:r>
    </w:p>
    <w:p w:rsidR="00AC0832" w:rsidRDefault="00AC0832">
      <w:pPr>
        <w:pStyle w:val="Normal6"/>
      </w:pPr>
      <w:r>
        <w:t xml:space="preserve">kažnjivo djelo podnositelja zahtjeva te odrediti primjerenu naknadu koja pripada </w:t>
      </w:r>
    </w:p>
    <w:p w:rsidR="00AC0832" w:rsidRDefault="00AC0832">
      <w:pPr>
        <w:pStyle w:val="Normal6"/>
      </w:pPr>
      <w:r>
        <w:t xml:space="preserve">podnositelju zbog povrede njegova prava na suñenje u razumnom roku. </w:t>
      </w:r>
    </w:p>
    <w:p w:rsidR="00AC0832" w:rsidRDefault="00AC0832">
      <w:pPr>
        <w:pStyle w:val="Normal6"/>
      </w:pPr>
      <w:r>
        <w:t>Tijekom 2012. godine Vrhovni sud RH zaprimio je ukupno 3.970 predmeta u kojima su stranke tražile naknadu zbog povrede prava na suđenje u razumnom roku, riješio je 4.393 predmeta, a ostalo je neriješeno 2.225 predmeta. Županijski sudovi zaprimili su 4122 ovih predmeta, riješili 4602, a ostalo je neriješeno 2632 predmeta.</w:t>
      </w:r>
    </w:p>
    <w:p w:rsidR="00AC0832" w:rsidRDefault="00AC0832">
      <w:pPr>
        <w:pStyle w:val="Heading6"/>
      </w:pPr>
      <w:r>
        <w:t>K630100 IPA I 2010 - JAČANJE UČINKOVITOSTI PRAVOSUĐA U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K630100-IPA I 2010 - JAČANJE UČINKOVITOSTI PRAVOSUĐA U RH</w:t>
            </w:r>
          </w:p>
        </w:tc>
        <w:tc>
          <w:tcPr>
            <w:tcW w:w="2322" w:type="dxa"/>
          </w:tcPr>
          <w:p w:rsidR="00AC0832" w:rsidRDefault="00AC0832">
            <w:pPr>
              <w:pStyle w:val="CellColumn"/>
            </w:pPr>
            <w:r>
              <w:t>10.611.000</w:t>
            </w:r>
          </w:p>
        </w:tc>
        <w:tc>
          <w:tcPr>
            <w:tcW w:w="2322" w:type="dxa"/>
          </w:tcPr>
          <w:p w:rsidR="00AC0832" w:rsidRDefault="00AC0832">
            <w:pPr>
              <w:pStyle w:val="CellColumn"/>
            </w:pPr>
            <w:r>
              <w:t>00</w:t>
            </w:r>
          </w:p>
        </w:tc>
        <w:tc>
          <w:tcPr>
            <w:tcW w:w="2322" w:type="dxa"/>
          </w:tcPr>
          <w:p w:rsidR="00AC0832" w:rsidRDefault="00AC0832">
            <w:pPr>
              <w:pStyle w:val="CellColumn"/>
            </w:pPr>
            <w:r>
              <w:t>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Svrha projekta je povećanje učinkovitosti, skraćivanje trajanja sudskih sporova i smanjenje zaostatka neriješenih slučajeva kroz podršku procesu racionalizacije sudova, izradu prijedloga izmjene sustava dostave, uspostavu sustava snimanja glavnih rasprava te poboljšanje suradnje u kaznenim i građanskim stvarima. </w:t>
      </w:r>
    </w:p>
    <w:p w:rsidR="00AC0832" w:rsidRDefault="00AC0832">
      <w:pPr>
        <w:pStyle w:val="Normal6"/>
      </w:pPr>
      <w:r>
        <w:t xml:space="preserve">Projekt obuhvaća sljedeće aktivnosti: </w:t>
      </w:r>
    </w:p>
    <w:p w:rsidR="00AC0832" w:rsidRDefault="00AC0832">
      <w:pPr>
        <w:pStyle w:val="Normal6"/>
      </w:pPr>
      <w:r>
        <w:t xml:space="preserve">1. Jačanje kapaciteta Ministarstva pravosuđa u implementaciji pravosudnih reformi </w:t>
      </w:r>
    </w:p>
    <w:p w:rsidR="00AC0832" w:rsidRDefault="00AC0832">
      <w:pPr>
        <w:pStyle w:val="Normal6"/>
      </w:pPr>
      <w:r>
        <w:t xml:space="preserve"> </w:t>
      </w:r>
    </w:p>
    <w:p w:rsidR="00AC0832" w:rsidRDefault="00AC0832">
      <w:pPr>
        <w:pStyle w:val="Normal6"/>
      </w:pPr>
      <w:r>
        <w:t xml:space="preserve">2. Jačanje učinkovitosti pravosuđa </w:t>
      </w:r>
    </w:p>
    <w:p w:rsidR="00AC0832" w:rsidRDefault="00AC0832">
      <w:pPr>
        <w:pStyle w:val="Normal6"/>
      </w:pPr>
      <w:r>
        <w:t xml:space="preserve">  </w:t>
      </w:r>
    </w:p>
    <w:p w:rsidR="00AC0832" w:rsidRDefault="00AC0832">
      <w:pPr>
        <w:pStyle w:val="Normal6"/>
      </w:pPr>
      <w:r>
        <w:t xml:space="preserve">3. Jačanje pravosudne suradnje u građanskim i kaznenim stvarima  </w:t>
      </w:r>
    </w:p>
    <w:p w:rsidR="00AC0832" w:rsidRDefault="00AC0832">
      <w:pPr>
        <w:pStyle w:val="Normal6"/>
      </w:pPr>
      <w:r>
        <w:t>Tijekom 2012. godine radilo se na pripremi i finaliziranju natječajne dokumentacije za komponentu nabave opreme.</w:t>
      </w:r>
    </w:p>
    <w:p w:rsidR="00AC0832" w:rsidRDefault="00AC0832">
      <w:pPr>
        <w:pStyle w:val="Heading6"/>
      </w:pPr>
      <w:r>
        <w:t>K630101 IPA I 2010 - POBOLJŠANJE SUSTAVA OVRHE U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K630101-IPA I 2010 - POBOLJŠANJE SUSTAVA OVRHE U RH</w:t>
            </w:r>
          </w:p>
        </w:tc>
        <w:tc>
          <w:tcPr>
            <w:tcW w:w="2322" w:type="dxa"/>
          </w:tcPr>
          <w:p w:rsidR="00AC0832" w:rsidRDefault="00AC0832">
            <w:pPr>
              <w:pStyle w:val="CellColumn"/>
            </w:pPr>
            <w:r>
              <w:t>5.192.450</w:t>
            </w:r>
          </w:p>
        </w:tc>
        <w:tc>
          <w:tcPr>
            <w:tcW w:w="2322" w:type="dxa"/>
          </w:tcPr>
          <w:p w:rsidR="00AC0832" w:rsidRDefault="00AC0832">
            <w:pPr>
              <w:pStyle w:val="CellColumn"/>
            </w:pPr>
            <w:r>
              <w:t>00</w:t>
            </w:r>
          </w:p>
        </w:tc>
        <w:tc>
          <w:tcPr>
            <w:tcW w:w="2322" w:type="dxa"/>
          </w:tcPr>
          <w:p w:rsidR="00AC0832" w:rsidRDefault="00AC0832">
            <w:pPr>
              <w:pStyle w:val="CellColumn"/>
            </w:pPr>
            <w:r>
              <w:t>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Poboljšanje ovršnog sustava u smjeru doprinosa daljnjem smanjenju zaostataka sudskih predmeta </w:t>
      </w:r>
    </w:p>
    <w:p w:rsidR="00AC0832" w:rsidRDefault="00AC0832">
      <w:pPr>
        <w:pStyle w:val="Normal6"/>
      </w:pPr>
      <w:r>
        <w:t xml:space="preserve"> Projekt obuhvaća sljedeće aktivnosti: </w:t>
      </w:r>
    </w:p>
    <w:p w:rsidR="00AC0832" w:rsidRDefault="00AC0832">
      <w:pPr>
        <w:pStyle w:val="Normal6"/>
      </w:pPr>
      <w:r>
        <w:t>1.</w:t>
      </w:r>
      <w:r>
        <w:tab/>
        <w:t xml:space="preserve">Uspostavljanje efikasnog sustava nadzora ovršnog sustava i priprema Postupovnika za ovršitelje </w:t>
      </w:r>
    </w:p>
    <w:p w:rsidR="00AC0832" w:rsidRDefault="00AC0832">
      <w:pPr>
        <w:pStyle w:val="Normal6"/>
      </w:pPr>
      <w:r>
        <w:t>2.</w:t>
      </w:r>
      <w:r>
        <w:tab/>
        <w:t xml:space="preserve">Edukacija sudaca, sudskih savjetnika, ovršitelja i drugih sudionika u ovršnom sustavu </w:t>
      </w:r>
    </w:p>
    <w:p w:rsidR="00AC0832" w:rsidRDefault="00AC0832">
      <w:pPr>
        <w:pStyle w:val="Normal6"/>
      </w:pPr>
      <w:r>
        <w:t>3.</w:t>
      </w:r>
      <w:r>
        <w:tab/>
        <w:t xml:space="preserve">Davanje preporuka za koordinacijski i komunikacijski mehanizam u ovršnom sustavu i priprema protokola o razmjeni informacija  </w:t>
      </w:r>
    </w:p>
    <w:p w:rsidR="00AC0832" w:rsidRDefault="00AC0832">
      <w:pPr>
        <w:pStyle w:val="Normal6"/>
      </w:pPr>
      <w:r>
        <w:t>4.</w:t>
      </w:r>
      <w:r>
        <w:tab/>
        <w:t xml:space="preserve">Analiza IT rješenja ovršnih sustava u najmanje jednoj članici EU, cost/benefit analiza takvog rješenja za hrvatski sustav ovrhe te izrada funkcijskih specifikacija za najbolje rješenje  </w:t>
      </w:r>
    </w:p>
    <w:p w:rsidR="00AC0832" w:rsidRDefault="00AC0832">
      <w:pPr>
        <w:pStyle w:val="Normal6"/>
      </w:pPr>
      <w:r>
        <w:t>5.</w:t>
      </w:r>
      <w:r>
        <w:tab/>
        <w:t xml:space="preserve">Izrada promidžbenih materijala o novom ovršnom sustavu namijenjenih upoznavanju šire javnosti </w:t>
      </w:r>
    </w:p>
    <w:p w:rsidR="00AC0832" w:rsidRDefault="00AC0832">
      <w:pPr>
        <w:pStyle w:val="Normal6"/>
      </w:pPr>
      <w:r>
        <w:t>6.</w:t>
      </w:r>
      <w:r>
        <w:tab/>
        <w:t xml:space="preserve">Izrada web stranice  </w:t>
      </w:r>
    </w:p>
    <w:p w:rsidR="00AC0832" w:rsidRDefault="00AC0832">
      <w:pPr>
        <w:pStyle w:val="Normal6"/>
      </w:pPr>
      <w:r>
        <w:t>Tijekom lipnja 2012. godine pripremljena je izmjena projektnog sažetka te se radilo na izradi nove natječajne dokumentacije.</w:t>
      </w:r>
    </w:p>
    <w:p w:rsidR="00AC0832" w:rsidRDefault="00AC0832">
      <w:pPr>
        <w:pStyle w:val="Heading5"/>
      </w:pPr>
      <w:r>
        <w:t>2804 EDUKACIJA I INFORMIRANJE U PRAVOSUDNOM SUSTAVU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2804-EDUKACIJA I INFORMIRANJE U PRAVOSUDNOM SUSTAVU</w:t>
            </w:r>
          </w:p>
        </w:tc>
        <w:tc>
          <w:tcPr>
            <w:tcW w:w="2322" w:type="dxa"/>
          </w:tcPr>
          <w:p w:rsidR="00AC0832" w:rsidRDefault="00AC0832">
            <w:pPr>
              <w:pStyle w:val="CellColumn"/>
            </w:pPr>
            <w:r>
              <w:t>5.574.500</w:t>
            </w:r>
          </w:p>
        </w:tc>
        <w:tc>
          <w:tcPr>
            <w:tcW w:w="2322" w:type="dxa"/>
          </w:tcPr>
          <w:p w:rsidR="00AC0832" w:rsidRDefault="00AC0832">
            <w:pPr>
              <w:pStyle w:val="CellColumn"/>
            </w:pPr>
            <w:r>
              <w:t>4.819.684</w:t>
            </w:r>
          </w:p>
        </w:tc>
        <w:tc>
          <w:tcPr>
            <w:tcW w:w="2322" w:type="dxa"/>
          </w:tcPr>
          <w:p w:rsidR="00AC0832" w:rsidRDefault="00AC0832">
            <w:pPr>
              <w:pStyle w:val="CellColumn"/>
            </w:pPr>
            <w:r>
              <w:t>86,5</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 edukacije i informiranja u pravosudnom sustavu provodi se najvećim dijelom kroz aktivnosti Pravosudne akademije putem: </w:t>
      </w:r>
    </w:p>
    <w:p w:rsidR="00AC0832" w:rsidRDefault="00AC0832">
      <w:pPr>
        <w:pStyle w:val="Normal5"/>
      </w:pPr>
      <w:r>
        <w:t xml:space="preserve">- kontinuiranog usavršavanja sudaca i državnih odvjetnika provedbom programa specijaliziranog i stručnog usavršavanja, </w:t>
      </w:r>
    </w:p>
    <w:p w:rsidR="00AC0832" w:rsidRDefault="00AC0832">
      <w:pPr>
        <w:pStyle w:val="Normal5"/>
      </w:pPr>
      <w:r>
        <w:t xml:space="preserve">- provođenja radionica za buduće voditelje aktivnosti stručnog usavršavanja sudaca i državnih odvjetnika, </w:t>
      </w:r>
    </w:p>
    <w:p w:rsidR="00AC0832" w:rsidRDefault="00AC0832">
      <w:pPr>
        <w:pStyle w:val="Normal5"/>
      </w:pPr>
      <w:r>
        <w:t xml:space="preserve">- upoznavanja vježbenika s određenim pravnim institutima, te primjene stečenog znanja u rješavanju hipotetskih primjera i prerađenih primjera iz prakse u svrhu pripreme za polaganje pravosudnog ispita i za primjenu znanja u praksi, </w:t>
      </w:r>
    </w:p>
    <w:p w:rsidR="00AC0832" w:rsidRDefault="00AC0832">
      <w:pPr>
        <w:pStyle w:val="Normal5"/>
      </w:pPr>
      <w:r>
        <w:t xml:space="preserve">- stjecanja vještina za rješavanje praktičnih poslova iz djelokruga rada sudova i državnog odvjetništva i dr. </w:t>
      </w:r>
    </w:p>
    <w:p w:rsidR="00AC0832" w:rsidRDefault="00AC0832">
      <w:pPr>
        <w:pStyle w:val="Normal5"/>
      </w:pPr>
      <w:r>
        <w:t>Programom je obuhvaćena i edukacija ovlaštenih osoba na osiguranju pravosudnih tijela putem tečajeva i radionica u organizaciji Ministarstva.</w:t>
      </w:r>
    </w:p>
    <w:p w:rsidR="00AC0832" w:rsidRDefault="00AC0832">
      <w:pPr>
        <w:pStyle w:val="Heading6"/>
      </w:pPr>
      <w:r>
        <w:t>Zakonske i druge pravne osnove</w:t>
      </w:r>
    </w:p>
    <w:p w:rsidR="00AC0832" w:rsidRDefault="00AC0832">
      <w:pPr>
        <w:pStyle w:val="Normal5"/>
      </w:pPr>
      <w:r>
        <w:t>Zakon o Pravosudnoj akademiji (NN153/09, NN 127/10).</w:t>
      </w:r>
    </w:p>
    <w:p w:rsidR="00AC0832" w:rsidRDefault="00AC0832">
      <w:pPr>
        <w:pStyle w:val="Heading6"/>
      </w:pPr>
      <w:r>
        <w:t>A630019 IZOBRAZBA OVLAŠTENIH SLUŽBENIH OSOBA NA OSIGURANJU PRAVOSUDNIH TIJELA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A630019-IZOBRAZBA OVLAŠTENIH SLUŽBENIH OSOBA NA OSIGURANJU PRAVOSUDNIH TIJELA</w:t>
            </w:r>
          </w:p>
        </w:tc>
        <w:tc>
          <w:tcPr>
            <w:tcW w:w="2322" w:type="dxa"/>
          </w:tcPr>
          <w:p w:rsidR="00AC0832" w:rsidRDefault="00AC0832">
            <w:pPr>
              <w:pStyle w:val="CellColumn"/>
            </w:pPr>
            <w:r>
              <w:t>40.000</w:t>
            </w:r>
          </w:p>
        </w:tc>
        <w:tc>
          <w:tcPr>
            <w:tcW w:w="2322" w:type="dxa"/>
          </w:tcPr>
          <w:p w:rsidR="00AC0832" w:rsidRDefault="00AC0832">
            <w:pPr>
              <w:pStyle w:val="CellColumn"/>
            </w:pPr>
            <w:r>
              <w:t>32.184</w:t>
            </w:r>
          </w:p>
        </w:tc>
        <w:tc>
          <w:tcPr>
            <w:tcW w:w="2322" w:type="dxa"/>
          </w:tcPr>
          <w:p w:rsidR="00AC0832" w:rsidRDefault="00AC0832">
            <w:pPr>
              <w:pStyle w:val="CellColumn"/>
            </w:pPr>
            <w:r>
              <w:t>80,5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Sukladno odredbama Zakona o sudovima (NN150/05) i Zakona o državnim odvjetništvima (NN 76/09) službenici pravosudne policije obavljaju poslove osiguranja osoba, imovine i objekta pravosudnih tijela za koje se omogućuje kontinirano stručno osposobljavanje i usavršavanje u cilju poboljšanja kvalitete provedbe osiguranja osoba, imovine i objekta pravosudnih tijela</w:t>
      </w:r>
    </w:p>
    <w:p w:rsidR="00AC0832" w:rsidRDefault="00AC0832">
      <w:pPr>
        <w:pStyle w:val="Heading6"/>
      </w:pPr>
      <w:r>
        <w:t>K630098 IPA I 2009 - PROFESIONALNI RAZVITAK SUDSKIH SAVJETNIKA I BUDUĆIH SUDACA I DRŽAVNIH ODVJETNIKA KROZ USPOSTAVU SAMOODRŽIVOG SUSTAVA IZOBRAZBE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K630098-IPA I 2009 - PROFESIONALNI RAZVITAK SUDSKIH SAVJETNIKA I BUDUĆIH SUDACA I DRŽAVNIH ODVJETNIKA KROZ USPOSTAVU SAMOODRŽIVOG SUSTAVA IZOBRAZBE</w:t>
            </w:r>
          </w:p>
        </w:tc>
        <w:tc>
          <w:tcPr>
            <w:tcW w:w="2322" w:type="dxa"/>
          </w:tcPr>
          <w:p w:rsidR="00AC0832" w:rsidRDefault="00AC0832">
            <w:pPr>
              <w:pStyle w:val="CellColumn"/>
            </w:pPr>
            <w:r>
              <w:t>4.302.000</w:t>
            </w:r>
          </w:p>
        </w:tc>
        <w:tc>
          <w:tcPr>
            <w:tcW w:w="2322" w:type="dxa"/>
          </w:tcPr>
          <w:p w:rsidR="00AC0832" w:rsidRDefault="00AC0832">
            <w:pPr>
              <w:pStyle w:val="CellColumn"/>
            </w:pPr>
            <w:r>
              <w:t>3.605.604</w:t>
            </w:r>
          </w:p>
        </w:tc>
        <w:tc>
          <w:tcPr>
            <w:tcW w:w="2322" w:type="dxa"/>
          </w:tcPr>
          <w:p w:rsidR="00AC0832" w:rsidRDefault="00AC0832">
            <w:pPr>
              <w:pStyle w:val="CellColumn"/>
            </w:pPr>
            <w:r>
              <w:t>83,8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Specifične aktivnosti koje se financiraju kroz ovaj projekt odnose se na podizanje razine profesionalne osposobljenosti sudskih savjetnika i budućih sudaca i državnih odvjetnika. </w:t>
      </w:r>
    </w:p>
    <w:p w:rsidR="00AC0832" w:rsidRDefault="00AC0832">
      <w:pPr>
        <w:pStyle w:val="Normal6"/>
      </w:pPr>
      <w:r>
        <w:t xml:space="preserve">Projektom su obuhvaćene sljedeće aktivnosti: </w:t>
      </w:r>
    </w:p>
    <w:p w:rsidR="00AC0832" w:rsidRDefault="00AC0832">
      <w:pPr>
        <w:pStyle w:val="Normal6"/>
      </w:pPr>
      <w:r>
        <w:t>1.</w:t>
      </w:r>
      <w:r>
        <w:tab/>
        <w:t xml:space="preserve">Poboljšanje statusa sudskih savjetnika (analiza postojeće uloge i statusa sudskih savjetnika, relevantnog pravnog okvira i radne opterećenosti savjetnika te izrada pripadajućih izvješća i preporuka za unapređenje pravnog statusa sudskih savjetnika) </w:t>
      </w:r>
    </w:p>
    <w:p w:rsidR="00AC0832" w:rsidRDefault="00AC0832">
      <w:pPr>
        <w:pStyle w:val="Normal6"/>
      </w:pPr>
      <w:r>
        <w:t>2.</w:t>
      </w:r>
      <w:r>
        <w:tab/>
        <w:t xml:space="preserve">Izrada analize potreba za edukacijom i trening strategije s ciljem razvoja samoodrživog sustava izobrazbe za cjeloživotno obrazovanje sudskih savjetnika   </w:t>
      </w:r>
    </w:p>
    <w:p w:rsidR="00AC0832" w:rsidRDefault="00AC0832">
      <w:pPr>
        <w:pStyle w:val="Normal6"/>
      </w:pPr>
      <w:r>
        <w:t>3.</w:t>
      </w:r>
      <w:r>
        <w:tab/>
        <w:t xml:space="preserve">Provođenje edukacije trenera i seminara (radionica) za 480 sudskih savjetnika u 6 različitih grana prava (trening modula) te izrada i distribucija trening materijala </w:t>
      </w:r>
    </w:p>
    <w:p w:rsidR="00AC0832" w:rsidRDefault="00AC0832">
      <w:pPr>
        <w:pStyle w:val="Normal6"/>
      </w:pPr>
      <w:r>
        <w:t>4.</w:t>
      </w:r>
      <w:r>
        <w:tab/>
        <w:t xml:space="preserve">Razvoj i uvođenje  e-learning sustava izobrazbe sudskih savjetnika  </w:t>
      </w:r>
    </w:p>
    <w:p w:rsidR="00AC0832" w:rsidRDefault="00AC0832">
      <w:pPr>
        <w:pStyle w:val="Normal6"/>
      </w:pPr>
      <w:r>
        <w:t>5.</w:t>
      </w:r>
      <w:r>
        <w:tab/>
        <w:t xml:space="preserve">Razvoj odgovarajućeg sustava izobrazbe za kandidate suce i zamjenike državnih odvjetnika </w:t>
      </w:r>
    </w:p>
    <w:p w:rsidR="00AC0832" w:rsidRDefault="00AC0832">
      <w:pPr>
        <w:pStyle w:val="Normal6"/>
      </w:pPr>
      <w:r>
        <w:t>Projekt je započeo s provedbom u lipnju 2012. godine, te su sukladno radnom planu provedene planirane projektne aktivnosti.</w:t>
      </w:r>
    </w:p>
    <w:p w:rsidR="00AC0832" w:rsidRDefault="00AC0832">
      <w:pPr>
        <w:pStyle w:val="Heading6"/>
      </w:pPr>
      <w:r>
        <w:t>T544048 IPA I 2008 - PODRŠKA USPOSTAVI DRŽAVNE ŠKOLE ZA PRAVOSUDNE DUŽNOSNIKE - DRUGI DIO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T544048-IPA I 2008 - PODRŠKA USPOSTAVI DRŽAVNE ŠKOLE ZA PRAVOSUDNE DUŽNOSNIKE - DRUGI DIO</w:t>
            </w:r>
          </w:p>
        </w:tc>
        <w:tc>
          <w:tcPr>
            <w:tcW w:w="2322" w:type="dxa"/>
          </w:tcPr>
          <w:p w:rsidR="00AC0832" w:rsidRDefault="00AC0832">
            <w:pPr>
              <w:pStyle w:val="CellColumn"/>
            </w:pPr>
            <w:r>
              <w:t>1.232.500</w:t>
            </w:r>
          </w:p>
        </w:tc>
        <w:tc>
          <w:tcPr>
            <w:tcW w:w="2322" w:type="dxa"/>
          </w:tcPr>
          <w:p w:rsidR="00AC0832" w:rsidRDefault="00AC0832">
            <w:pPr>
              <w:pStyle w:val="CellColumn"/>
            </w:pPr>
            <w:r>
              <w:t>1.181.896</w:t>
            </w:r>
          </w:p>
        </w:tc>
        <w:tc>
          <w:tcPr>
            <w:tcW w:w="2322" w:type="dxa"/>
          </w:tcPr>
          <w:p w:rsidR="00AC0832" w:rsidRDefault="00AC0832">
            <w:pPr>
              <w:pStyle w:val="CellColumn"/>
            </w:pPr>
            <w:r>
              <w:t>95,9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Jačanje rada Državne škole za pravosudne dužnosnike kroz unapređenje postojećih programa stručnog usavršavanja u području EU prava i unapređenje tijeka rada kroz dizajniranje baze podataka </w:t>
      </w:r>
    </w:p>
    <w:p w:rsidR="00AC0832" w:rsidRDefault="00AC0832">
      <w:pPr>
        <w:pStyle w:val="Normal6"/>
      </w:pPr>
      <w:r>
        <w:t xml:space="preserve">Putem projekta provedene su sljedeće aktivnosti: </w:t>
      </w:r>
    </w:p>
    <w:p w:rsidR="00AC0832" w:rsidRDefault="00AC0832">
      <w:pPr>
        <w:pStyle w:val="Normal6"/>
      </w:pPr>
      <w:r>
        <w:t>1.</w:t>
      </w:r>
      <w:r>
        <w:tab/>
        <w:t xml:space="preserve">Analiza poduzetih mjera sukladno preporukama nastalih u okviru IPA 2008 projekta „Podrška uspostavi Državne škole za pravosudne dužnosnike“ od strane nadležnih institucija ( Državno sudbeno vijeće, Državnoodvjetničko vijeće, Ministarstvo pravosuđa, Hrvatski sabor i Pravosudna akademija) i priprema odgovarajućeg izvješća sa preporukama  </w:t>
      </w:r>
    </w:p>
    <w:p w:rsidR="00AC0832" w:rsidRDefault="00AC0832">
      <w:pPr>
        <w:pStyle w:val="Normal6"/>
      </w:pPr>
      <w:r>
        <w:t>2.</w:t>
      </w:r>
      <w:r>
        <w:tab/>
        <w:t xml:space="preserve">Unaprjeđenje programa stručnog usavršavanja u Državnoj školi za pravosudne dužnosnike u području EU prava te trening  trenera o izabranim temama u području EU prava, s posebnim naglaskom na rad Europskog suda pravde i njegove sudske prakse   </w:t>
      </w:r>
    </w:p>
    <w:p w:rsidR="00AC0832" w:rsidRDefault="00AC0832">
      <w:pPr>
        <w:pStyle w:val="Normal6"/>
      </w:pPr>
      <w:r>
        <w:t>3.</w:t>
      </w:r>
      <w:r>
        <w:tab/>
        <w:t xml:space="preserve">Preporuke za poboljšanje tijeka rada Odjela za provedbu programa stručnog usavršavanja unutar Državne Škole za pravosudne dužnosnike     </w:t>
      </w:r>
    </w:p>
    <w:p w:rsidR="00AC0832" w:rsidRDefault="00AC0832">
      <w:pPr>
        <w:pStyle w:val="Normal6"/>
      </w:pPr>
      <w:r>
        <w:t>4.</w:t>
      </w:r>
      <w:r>
        <w:tab/>
        <w:t>Razvoj baze podataka za Državnu školu za pravosudne dužnosnike i konsolidacija podataka o mentorskim izvješćima, vrednovanju  i ocjenama kandidata.</w:t>
      </w:r>
    </w:p>
    <w:p w:rsidR="00AC0832" w:rsidRDefault="00AC0832">
      <w:pPr>
        <w:pStyle w:val="Heading5"/>
      </w:pPr>
      <w:r>
        <w:t>2805 RACIONALIZACIJA MREŽE PRAVOSUDNIH TIJELA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2805-RACIONALIZACIJA MREŽE PRAVOSUDNIH TIJELA</w:t>
            </w:r>
          </w:p>
        </w:tc>
        <w:tc>
          <w:tcPr>
            <w:tcW w:w="2322" w:type="dxa"/>
          </w:tcPr>
          <w:p w:rsidR="00AC0832" w:rsidRDefault="00AC0832">
            <w:pPr>
              <w:pStyle w:val="CellColumn"/>
            </w:pPr>
            <w:r>
              <w:t>6.824.000</w:t>
            </w:r>
          </w:p>
        </w:tc>
        <w:tc>
          <w:tcPr>
            <w:tcW w:w="2322" w:type="dxa"/>
          </w:tcPr>
          <w:p w:rsidR="00AC0832" w:rsidRDefault="00AC0832">
            <w:pPr>
              <w:pStyle w:val="CellColumn"/>
            </w:pPr>
            <w:r>
              <w:t>6.681.778</w:t>
            </w:r>
          </w:p>
        </w:tc>
        <w:tc>
          <w:tcPr>
            <w:tcW w:w="2322" w:type="dxa"/>
          </w:tcPr>
          <w:p w:rsidR="00AC0832" w:rsidRDefault="00AC0832">
            <w:pPr>
              <w:pStyle w:val="CellColumn"/>
            </w:pPr>
            <w:r>
              <w:t>97,9</w:t>
            </w:r>
          </w:p>
        </w:tc>
      </w:tr>
    </w:tbl>
    <w:p w:rsidR="00AC0832" w:rsidRDefault="00AC0832">
      <w:pPr>
        <w:jc w:val="left"/>
      </w:pPr>
    </w:p>
    <w:p w:rsidR="00AC0832" w:rsidRDefault="00AC0832">
      <w:pPr>
        <w:pStyle w:val="Heading6"/>
      </w:pPr>
      <w:r>
        <w:t>Opis programa</w:t>
      </w:r>
    </w:p>
    <w:p w:rsidR="00AC0832" w:rsidRDefault="00AC0832">
      <w:pPr>
        <w:pStyle w:val="Normal5"/>
      </w:pPr>
      <w:r>
        <w:t>U okviru programa nalaze se projekti adaptacije, rekonstrukcije i opremanja sudskih  zgrada kako bi se ispunili uvjeti za fizičko spajanje sudova.</w:t>
      </w:r>
    </w:p>
    <w:p w:rsidR="00AC0832" w:rsidRDefault="00AC0832">
      <w:pPr>
        <w:pStyle w:val="Heading6"/>
      </w:pPr>
      <w:r>
        <w:t>Zakonske i druge pravne osnove</w:t>
      </w:r>
    </w:p>
    <w:p w:rsidR="00AC0832" w:rsidRDefault="00AC0832">
      <w:pPr>
        <w:pStyle w:val="Normal5"/>
      </w:pPr>
      <w:r>
        <w:t>Zakon o sudovima („Narodne novine“, broj 150/05, 16/07, 113/08, 153/09, 116/10, 27/11, 130/11 i 28/13) i Zakon o područjima i sjedištima sudova („Narodne novine“, broj 144/10 i 84/11), Pravilnik o utvrđivanju rokova za osiguranje radnih, prostornih, tehničkih i drugih uvjeta u sjedištima sudova nastalih spajanjem od 25. rujna 2008. godine i Pravilnik o utvrđivanju rokova za osiguranje radnih, prostornih, tehničkih i drugih uvjeta u sjedištima državnih odvjetništava nastalih spajanjem od 24. prosinca 2008. godine.</w:t>
      </w:r>
    </w:p>
    <w:p w:rsidR="00AC0832" w:rsidRDefault="00AC0832">
      <w:pPr>
        <w:pStyle w:val="Heading7"/>
      </w:pPr>
      <w:r>
        <w:t xml:space="preserve">Cilj 1. Stvoriti prostorne uvjete za fizičko spajanje pravosudnih tijela. </w:t>
      </w:r>
    </w:p>
    <w:p w:rsidR="00AC0832" w:rsidRDefault="00AC0832">
      <w:pPr>
        <w:pStyle w:val="Heading6"/>
      </w:pPr>
      <w:r>
        <w:t>K629154 TRG PRAVDE U SPLITU (ADAPTACIJA I OPREMANJE) - REFORMA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K629154-TRG PRAVDE U SPLITU (ADAPTACIJA I OPREMANJE) - REFORMA</w:t>
            </w:r>
          </w:p>
        </w:tc>
        <w:tc>
          <w:tcPr>
            <w:tcW w:w="2322" w:type="dxa"/>
          </w:tcPr>
          <w:p w:rsidR="00AC0832" w:rsidRDefault="00AC0832">
            <w:pPr>
              <w:pStyle w:val="CellColumn"/>
            </w:pPr>
            <w:r>
              <w:t>288.000</w:t>
            </w:r>
          </w:p>
        </w:tc>
        <w:tc>
          <w:tcPr>
            <w:tcW w:w="2322" w:type="dxa"/>
          </w:tcPr>
          <w:p w:rsidR="00AC0832" w:rsidRDefault="00AC0832">
            <w:pPr>
              <w:pStyle w:val="CellColumn"/>
            </w:pPr>
            <w:r>
              <w:t>230.722</w:t>
            </w:r>
          </w:p>
        </w:tc>
        <w:tc>
          <w:tcPr>
            <w:tcW w:w="2322" w:type="dxa"/>
          </w:tcPr>
          <w:p w:rsidR="00AC0832" w:rsidRDefault="00AC0832">
            <w:pPr>
              <w:pStyle w:val="CellColumn"/>
            </w:pPr>
            <w:r>
              <w:t>80,1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Priprema projektne dokumentacije za rekonstrukciju i izgradnju zgrade Općinskog suda u Splitu.</w:t>
      </w:r>
    </w:p>
    <w:p w:rsidR="00AC0832" w:rsidRDefault="00AC0832">
      <w:pPr>
        <w:pStyle w:val="Heading6"/>
      </w:pPr>
      <w:r>
        <w:t>K630035 OPĆINSKI SUD U METKOVIĆU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K630035-OPĆINSKI SUD U METKOVIĆU</w:t>
            </w:r>
          </w:p>
        </w:tc>
        <w:tc>
          <w:tcPr>
            <w:tcW w:w="2322" w:type="dxa"/>
          </w:tcPr>
          <w:p w:rsidR="00AC0832" w:rsidRDefault="00AC0832">
            <w:pPr>
              <w:pStyle w:val="CellColumn"/>
            </w:pPr>
            <w:r>
              <w:t>5.000.000</w:t>
            </w:r>
          </w:p>
        </w:tc>
        <w:tc>
          <w:tcPr>
            <w:tcW w:w="2322" w:type="dxa"/>
          </w:tcPr>
          <w:p w:rsidR="00AC0832" w:rsidRDefault="00AC0832">
            <w:pPr>
              <w:pStyle w:val="CellColumn"/>
            </w:pPr>
            <w:r>
              <w:t>4.928.905</w:t>
            </w:r>
          </w:p>
        </w:tc>
        <w:tc>
          <w:tcPr>
            <w:tcW w:w="2322" w:type="dxa"/>
          </w:tcPr>
          <w:p w:rsidR="00AC0832" w:rsidRDefault="00AC0832">
            <w:pPr>
              <w:pStyle w:val="CellColumn"/>
            </w:pPr>
            <w:r>
              <w:t>98,6</w:t>
            </w:r>
          </w:p>
        </w:tc>
      </w:tr>
    </w:tbl>
    <w:p w:rsidR="00AC0832" w:rsidRDefault="00AC0832">
      <w:pPr>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Radovi na rekonstrukciji zgrade u Metkoviću za potrebe pravosudnih tijela.</w:t>
      </w:r>
    </w:p>
    <w:p w:rsidR="00AC0832" w:rsidRDefault="00AC0832">
      <w:pPr>
        <w:pStyle w:val="Heading6"/>
      </w:pPr>
      <w:r>
        <w:t>K630045 OPĆINSKI SUD U OGULINU (ADAPTACIJA I OPREMANJE ZGRADE) - REFORMA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K630045-OPĆINSKI SUD U OGULINU (ADAPTACIJA I OPREMANJE ZGRADE) - REFORMA</w:t>
            </w:r>
          </w:p>
        </w:tc>
        <w:tc>
          <w:tcPr>
            <w:tcW w:w="2322" w:type="dxa"/>
          </w:tcPr>
          <w:p w:rsidR="00AC0832" w:rsidRDefault="00AC0832">
            <w:pPr>
              <w:pStyle w:val="CellColumn"/>
            </w:pPr>
            <w:r>
              <w:t>30.000</w:t>
            </w:r>
          </w:p>
        </w:tc>
        <w:tc>
          <w:tcPr>
            <w:tcW w:w="2322" w:type="dxa"/>
          </w:tcPr>
          <w:p w:rsidR="00AC0832" w:rsidRDefault="00AC0832">
            <w:pPr>
              <w:pStyle w:val="CellColumn"/>
            </w:pPr>
            <w:r>
              <w:t>26.644</w:t>
            </w:r>
          </w:p>
        </w:tc>
        <w:tc>
          <w:tcPr>
            <w:tcW w:w="2322" w:type="dxa"/>
          </w:tcPr>
          <w:p w:rsidR="00AC0832" w:rsidRDefault="00AC0832">
            <w:pPr>
              <w:pStyle w:val="CellColumn"/>
            </w:pPr>
            <w:r>
              <w:t>88,8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Priprema projektne dokumentacije za sanaciju sanitarnog čvora i sanaciju krovišta.</w:t>
      </w:r>
    </w:p>
    <w:p w:rsidR="00AC0832" w:rsidRDefault="00AC0832">
      <w:pPr>
        <w:pStyle w:val="Heading6"/>
      </w:pPr>
      <w:r>
        <w:t>K630077 PREKRŠAJNI SUD U IVANIĆ GRADU (DOGRADNJA, ADAPTACIJA I OPREMANJE) - REFORMA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K630077-PREKRŠAJNI SUD U IVANIĆ GRADU (DOGRADNJA, ADAPTACIJA I OPREMANJE) - REFORMA</w:t>
            </w:r>
          </w:p>
        </w:tc>
        <w:tc>
          <w:tcPr>
            <w:tcW w:w="2322" w:type="dxa"/>
          </w:tcPr>
          <w:p w:rsidR="00AC0832" w:rsidRDefault="00AC0832">
            <w:pPr>
              <w:pStyle w:val="CellColumn"/>
            </w:pPr>
            <w:r>
              <w:t>11.000</w:t>
            </w:r>
          </w:p>
        </w:tc>
        <w:tc>
          <w:tcPr>
            <w:tcW w:w="2322" w:type="dxa"/>
          </w:tcPr>
          <w:p w:rsidR="00AC0832" w:rsidRDefault="00AC0832">
            <w:pPr>
              <w:pStyle w:val="CellColumn"/>
            </w:pPr>
            <w:r>
              <w:t>8.042</w:t>
            </w:r>
          </w:p>
        </w:tc>
        <w:tc>
          <w:tcPr>
            <w:tcW w:w="2322" w:type="dxa"/>
          </w:tcPr>
          <w:p w:rsidR="00AC0832" w:rsidRDefault="00AC0832">
            <w:pPr>
              <w:pStyle w:val="CellColumn"/>
            </w:pPr>
            <w:r>
              <w:t>73,1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Priprema projektne dokumentacije za dogradnju i adaptaciju zgrade.</w:t>
      </w:r>
    </w:p>
    <w:p w:rsidR="00AC0832" w:rsidRDefault="00AC0832">
      <w:pPr>
        <w:pStyle w:val="Heading5"/>
      </w:pPr>
      <w:r>
        <w:t>2806 IZGRADNJA, OBNOVA, ODRŽAVANJE I OPREMANJE ZGRADA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2806-IZGRADNJA, OBNOVA, ODRŽAVANJE I OPREMANJE ZGRADA</w:t>
            </w:r>
          </w:p>
        </w:tc>
        <w:tc>
          <w:tcPr>
            <w:tcW w:w="2322" w:type="dxa"/>
          </w:tcPr>
          <w:p w:rsidR="00AC0832" w:rsidRDefault="00AC0832">
            <w:pPr>
              <w:pStyle w:val="CellColumn"/>
            </w:pPr>
            <w:r>
              <w:t>23.331.950</w:t>
            </w:r>
          </w:p>
        </w:tc>
        <w:tc>
          <w:tcPr>
            <w:tcW w:w="2322" w:type="dxa"/>
          </w:tcPr>
          <w:p w:rsidR="00AC0832" w:rsidRDefault="00AC0832">
            <w:pPr>
              <w:pStyle w:val="CellColumn"/>
            </w:pPr>
            <w:r>
              <w:t>19.375.625</w:t>
            </w:r>
          </w:p>
        </w:tc>
        <w:tc>
          <w:tcPr>
            <w:tcW w:w="2322" w:type="dxa"/>
          </w:tcPr>
          <w:p w:rsidR="00AC0832" w:rsidRDefault="00AC0832">
            <w:pPr>
              <w:pStyle w:val="CellColumn"/>
            </w:pPr>
            <w:r>
              <w:t>83,0</w:t>
            </w:r>
          </w:p>
        </w:tc>
      </w:tr>
    </w:tbl>
    <w:p w:rsidR="00AC0832" w:rsidRDefault="00AC0832">
      <w:pPr>
        <w:jc w:val="left"/>
      </w:pPr>
    </w:p>
    <w:p w:rsidR="00AC0832" w:rsidRDefault="00AC0832">
      <w:pPr>
        <w:pStyle w:val="Heading6"/>
      </w:pPr>
      <w:r>
        <w:t>Opis programa</w:t>
      </w:r>
    </w:p>
    <w:p w:rsidR="00AC0832" w:rsidRDefault="00AC0832">
      <w:pPr>
        <w:pStyle w:val="Normal5"/>
      </w:pPr>
      <w:r>
        <w:t>Programom su obuhvaćena kapitalna ulaganja u izgradnju, obnovu, kupnju i održavanje zgrada pravosudnog i zatvorskog sustava, ulaganja u uređenje i opremanje pravosudnih i kaznenih tijela u cilju poboljšanja uvjeta rada pravosudnih i kaznenih tijela.</w:t>
      </w:r>
    </w:p>
    <w:p w:rsidR="00AC0832" w:rsidRDefault="00AC0832">
      <w:pPr>
        <w:pStyle w:val="Heading6"/>
      </w:pPr>
      <w:r>
        <w:t>Zakonske i druge pravne osnove</w:t>
      </w:r>
    </w:p>
    <w:p w:rsidR="00AC0832" w:rsidRDefault="00AC0832">
      <w:pPr>
        <w:pStyle w:val="Normal5"/>
      </w:pPr>
      <w:r>
        <w:t>Zakon o sudovima („Narodne novine“, broj 150/05, 16/07, 113/08, 153/09, 116/10, 27/11, 130/11 i 28/13) i Zakon o područjima i sjedištima sudova („Narodne novine“, broj 144/10 i 84/11), Zakon o izvršavanju kazne zatvora – pročišćeni tekst („Narodne novine“ broj 190/03), Zakon o izvršenju sankcija izrečenih za kaznena djela, privredne prijestupe i prekršaje („Narodne novine“ broj 21/74, 39/74, 58/88, 19/90, 66/93 i 73/00), Pravilnik o kućnom redu u zatvorima za izvršavanje pritvora („Narodne novine“ broj 135/99).</w:t>
      </w:r>
    </w:p>
    <w:p w:rsidR="00AC0832" w:rsidRDefault="00AC0832">
      <w:pPr>
        <w:pStyle w:val="Heading7"/>
      </w:pPr>
      <w:r>
        <w:t xml:space="preserve">Cilj 1. Stvoriti zakonom propisane uvjete smještaja pravosudnih i kaznenih tijela  </w:t>
      </w:r>
    </w:p>
    <w:p w:rsidR="00AC0832" w:rsidRDefault="00AC0832">
      <w:pPr>
        <w:pStyle w:val="Heading8"/>
        <w:jc w:val="left"/>
      </w:pPr>
      <w:r>
        <w:t>Opis provedbe cilja programa</w:t>
      </w:r>
    </w:p>
    <w:p w:rsidR="00AC0832" w:rsidRDefault="00AC0832">
      <w:pPr>
        <w:pStyle w:val="Heading6"/>
      </w:pPr>
      <w:r>
        <w:t>K544039 ŽUPANIJSKO DRŽAVNO ODVJETNIŠTVO U VARAŽDINU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K544039-ŽUPANIJSKO DRŽAVNO ODVJETNIŠTVO U VARAŽDINU</w:t>
            </w:r>
          </w:p>
        </w:tc>
        <w:tc>
          <w:tcPr>
            <w:tcW w:w="2322" w:type="dxa"/>
          </w:tcPr>
          <w:p w:rsidR="00AC0832" w:rsidRDefault="00AC0832">
            <w:pPr>
              <w:pStyle w:val="CellColumn"/>
            </w:pPr>
            <w:r>
              <w:t>52.500</w:t>
            </w:r>
          </w:p>
        </w:tc>
        <w:tc>
          <w:tcPr>
            <w:tcW w:w="2322" w:type="dxa"/>
          </w:tcPr>
          <w:p w:rsidR="00AC0832" w:rsidRDefault="00AC0832">
            <w:pPr>
              <w:pStyle w:val="CellColumn"/>
            </w:pPr>
            <w:r>
              <w:t>52.500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Adaptacija dijela zgrade radi osiguranja boljih uvjeta organizacije rada odvjetništva.</w:t>
      </w:r>
    </w:p>
    <w:p w:rsidR="00AC0832" w:rsidRDefault="00AC0832">
      <w:pPr>
        <w:pStyle w:val="Heading6"/>
      </w:pPr>
      <w:r>
        <w:t>K544040 ŽUPANIJSKO DRŽAVNO ODVJETNIŠTVO U OSIJEKU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K544040-ŽUPANIJSKO DRŽAVNO ODVJETNIŠTVO U OSIJEKU</w:t>
            </w:r>
          </w:p>
        </w:tc>
        <w:tc>
          <w:tcPr>
            <w:tcW w:w="2322" w:type="dxa"/>
          </w:tcPr>
          <w:p w:rsidR="00AC0832" w:rsidRDefault="00AC0832">
            <w:pPr>
              <w:pStyle w:val="CellColumn"/>
            </w:pPr>
            <w:r>
              <w:t>330.000</w:t>
            </w:r>
          </w:p>
        </w:tc>
        <w:tc>
          <w:tcPr>
            <w:tcW w:w="2322" w:type="dxa"/>
          </w:tcPr>
          <w:p w:rsidR="00AC0832" w:rsidRDefault="00AC0832">
            <w:pPr>
              <w:pStyle w:val="CellColumn"/>
            </w:pPr>
            <w:r>
              <w:t>322.769</w:t>
            </w:r>
          </w:p>
        </w:tc>
        <w:tc>
          <w:tcPr>
            <w:tcW w:w="2322" w:type="dxa"/>
          </w:tcPr>
          <w:p w:rsidR="00AC0832" w:rsidRDefault="00AC0832">
            <w:pPr>
              <w:pStyle w:val="CellColumn"/>
            </w:pPr>
            <w:r>
              <w:t>97,8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Radovi na ugradnji sustava klimatizacije radi poboljšanja uvjeta rada.</w:t>
      </w:r>
    </w:p>
    <w:p w:rsidR="00AC0832" w:rsidRDefault="00AC0832">
      <w:pPr>
        <w:pStyle w:val="Heading6"/>
      </w:pPr>
      <w:r>
        <w:t>K544041 OPĆINSKI SUD U KRKU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K544041-OPĆINSKI SUD U KRKU</w:t>
            </w:r>
          </w:p>
        </w:tc>
        <w:tc>
          <w:tcPr>
            <w:tcW w:w="2322" w:type="dxa"/>
          </w:tcPr>
          <w:p w:rsidR="00AC0832" w:rsidRDefault="00AC0832">
            <w:pPr>
              <w:pStyle w:val="CellColumn"/>
            </w:pPr>
            <w:r>
              <w:t>320.000</w:t>
            </w:r>
          </w:p>
        </w:tc>
        <w:tc>
          <w:tcPr>
            <w:tcW w:w="2322" w:type="dxa"/>
          </w:tcPr>
          <w:p w:rsidR="00AC0832" w:rsidRDefault="00AC0832">
            <w:pPr>
              <w:pStyle w:val="CellColumn"/>
            </w:pPr>
            <w:r>
              <w:t>227.227</w:t>
            </w:r>
          </w:p>
        </w:tc>
        <w:tc>
          <w:tcPr>
            <w:tcW w:w="2322" w:type="dxa"/>
          </w:tcPr>
          <w:p w:rsidR="00AC0832" w:rsidRDefault="00AC0832">
            <w:pPr>
              <w:pStyle w:val="CellColumn"/>
            </w:pPr>
            <w:r>
              <w:t>71,0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Rekonstrukcija sustava grijanja i hlađenja radi poboljšanja uvjeta rada.</w:t>
      </w:r>
    </w:p>
    <w:p w:rsidR="00AC0832" w:rsidRDefault="00AC0832">
      <w:pPr>
        <w:pStyle w:val="Heading6"/>
      </w:pPr>
    </w:p>
    <w:p w:rsidR="00AC0832" w:rsidRDefault="00AC0832">
      <w:pPr>
        <w:pStyle w:val="Heading6"/>
      </w:pPr>
      <w:r>
        <w:t>K629022 UREĐENJE I OPREMANJE PRAVOSUDNIH TIJELA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K629022-UREĐENJE I OPREMANJE PRAVOSUDNIH TIJELA</w:t>
            </w:r>
          </w:p>
        </w:tc>
        <w:tc>
          <w:tcPr>
            <w:tcW w:w="2322" w:type="dxa"/>
          </w:tcPr>
          <w:p w:rsidR="00AC0832" w:rsidRDefault="00AC0832">
            <w:pPr>
              <w:pStyle w:val="CellColumn"/>
            </w:pPr>
            <w:r>
              <w:t>1.170.000</w:t>
            </w:r>
          </w:p>
        </w:tc>
        <w:tc>
          <w:tcPr>
            <w:tcW w:w="2322" w:type="dxa"/>
          </w:tcPr>
          <w:p w:rsidR="00AC0832" w:rsidRDefault="00AC0832">
            <w:pPr>
              <w:pStyle w:val="CellColumn"/>
            </w:pPr>
            <w:r>
              <w:t>660.346</w:t>
            </w:r>
          </w:p>
        </w:tc>
        <w:tc>
          <w:tcPr>
            <w:tcW w:w="2322" w:type="dxa"/>
          </w:tcPr>
          <w:p w:rsidR="00AC0832" w:rsidRDefault="00AC0832">
            <w:pPr>
              <w:pStyle w:val="CellColumn"/>
            </w:pPr>
            <w:r>
              <w:t>56,4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Nabava uredske opreme i namještaja za potrebe pravosudnih tijela.</w:t>
      </w:r>
    </w:p>
    <w:p w:rsidR="00AC0832" w:rsidRDefault="00AC0832">
      <w:pPr>
        <w:pStyle w:val="Heading6"/>
      </w:pPr>
      <w:r>
        <w:t>K629023 UREĐENJE I OPREMANJE UPRAVE ZA ZATVORSKI SUSTAV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K629023-UREĐENJE I OPREMANJE UPRAVE ZA ZATVORSKI SUSTAV</w:t>
            </w:r>
          </w:p>
        </w:tc>
        <w:tc>
          <w:tcPr>
            <w:tcW w:w="2322" w:type="dxa"/>
          </w:tcPr>
          <w:p w:rsidR="00AC0832" w:rsidRDefault="00AC0832">
            <w:pPr>
              <w:pStyle w:val="CellColumn"/>
            </w:pPr>
            <w:r>
              <w:t>426.000</w:t>
            </w:r>
          </w:p>
        </w:tc>
        <w:tc>
          <w:tcPr>
            <w:tcW w:w="2322" w:type="dxa"/>
          </w:tcPr>
          <w:p w:rsidR="00AC0832" w:rsidRDefault="00AC0832">
            <w:pPr>
              <w:pStyle w:val="CellColumn"/>
            </w:pPr>
            <w:r>
              <w:t>332.782</w:t>
            </w:r>
          </w:p>
        </w:tc>
        <w:tc>
          <w:tcPr>
            <w:tcW w:w="2322" w:type="dxa"/>
          </w:tcPr>
          <w:p w:rsidR="00AC0832" w:rsidRDefault="00AC0832">
            <w:pPr>
              <w:pStyle w:val="CellColumn"/>
            </w:pPr>
            <w:r>
              <w:t>78,1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Provedba Zakona o izvršavanju kazne zatvora u odnosu na standarde smještaja, prehrane, liječenja, organizacije slobodnog vremena, rada i izobrazbe zatvorenika i maloljetnika obavljena je nabava uredske opreme, namještaja, uređaja i sl.</w:t>
      </w:r>
    </w:p>
    <w:p w:rsidR="00AC0832" w:rsidRDefault="00AC0832">
      <w:pPr>
        <w:pStyle w:val="Heading6"/>
      </w:pPr>
      <w:r>
        <w:t>K629036 UPRAVNI SUD RH (OTPLATA KREDITA)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K629036-UPRAVNI SUD RH (OTPLATA KREDITA)</w:t>
            </w:r>
          </w:p>
        </w:tc>
        <w:tc>
          <w:tcPr>
            <w:tcW w:w="2322" w:type="dxa"/>
          </w:tcPr>
          <w:p w:rsidR="00AC0832" w:rsidRDefault="00AC0832">
            <w:pPr>
              <w:pStyle w:val="CellColumn"/>
            </w:pPr>
            <w:r>
              <w:t>2.800.000</w:t>
            </w:r>
          </w:p>
        </w:tc>
        <w:tc>
          <w:tcPr>
            <w:tcW w:w="2322" w:type="dxa"/>
          </w:tcPr>
          <w:p w:rsidR="00AC0832" w:rsidRDefault="00AC0832">
            <w:pPr>
              <w:pStyle w:val="CellColumn"/>
            </w:pPr>
            <w:r>
              <w:t>2.374.187</w:t>
            </w:r>
          </w:p>
        </w:tc>
        <w:tc>
          <w:tcPr>
            <w:tcW w:w="2322" w:type="dxa"/>
          </w:tcPr>
          <w:p w:rsidR="00AC0832" w:rsidRDefault="00AC0832">
            <w:pPr>
              <w:pStyle w:val="CellColumn"/>
            </w:pPr>
            <w:r>
              <w:t>84,8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Otplata bankarskog kredita vezano za kupnju zgrade za potrebe Visokog upravnog suda RH.</w:t>
      </w:r>
    </w:p>
    <w:p w:rsidR="00AC0832" w:rsidRDefault="00AC0832">
      <w:pPr>
        <w:pStyle w:val="Heading6"/>
      </w:pPr>
      <w:r>
        <w:t>K629158 TRG PRAVDE U ZAGREBU (IZGRADNJA, ADAPTACIJA I OPREMANJE)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K629158-TRG PRAVDE U ZAGREBU (IZGRADNJA, ADAPTACIJA I OPREMANJE)</w:t>
            </w:r>
          </w:p>
        </w:tc>
        <w:tc>
          <w:tcPr>
            <w:tcW w:w="2322" w:type="dxa"/>
          </w:tcPr>
          <w:p w:rsidR="00AC0832" w:rsidRDefault="00AC0832">
            <w:pPr>
              <w:pStyle w:val="CellColumn"/>
            </w:pPr>
            <w:r>
              <w:t>2.600.000</w:t>
            </w:r>
          </w:p>
        </w:tc>
        <w:tc>
          <w:tcPr>
            <w:tcW w:w="2322" w:type="dxa"/>
          </w:tcPr>
          <w:p w:rsidR="00AC0832" w:rsidRDefault="00AC0832">
            <w:pPr>
              <w:pStyle w:val="CellColumn"/>
            </w:pPr>
            <w:r>
              <w:t>2.525.133</w:t>
            </w:r>
          </w:p>
        </w:tc>
        <w:tc>
          <w:tcPr>
            <w:tcW w:w="2322" w:type="dxa"/>
          </w:tcPr>
          <w:p w:rsidR="00AC0832" w:rsidRDefault="00AC0832">
            <w:pPr>
              <w:pStyle w:val="CellColumn"/>
            </w:pPr>
            <w:r>
              <w:t>97,1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Adaptacija i rekonstrukcija zgrade za potrebe kaznenog odjela Općinskog državnog odvjetništva u Zagrebu.</w:t>
      </w:r>
    </w:p>
    <w:p w:rsidR="00AC0832" w:rsidRDefault="00AC0832">
      <w:pPr>
        <w:pStyle w:val="Heading6"/>
      </w:pPr>
      <w:r>
        <w:t>K629176 VISOKI TRGOVAČKI SUD RH (OTPLATA KREDITA)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K629176-VISOKI TRGOVAČKI SUD RH (OTPLATA KREDITA)</w:t>
            </w:r>
          </w:p>
        </w:tc>
        <w:tc>
          <w:tcPr>
            <w:tcW w:w="2322" w:type="dxa"/>
          </w:tcPr>
          <w:p w:rsidR="00AC0832" w:rsidRDefault="00AC0832">
            <w:pPr>
              <w:pStyle w:val="CellColumn"/>
            </w:pPr>
            <w:r>
              <w:t>3.275.000</w:t>
            </w:r>
          </w:p>
        </w:tc>
        <w:tc>
          <w:tcPr>
            <w:tcW w:w="2322" w:type="dxa"/>
          </w:tcPr>
          <w:p w:rsidR="00AC0832" w:rsidRDefault="00AC0832">
            <w:pPr>
              <w:pStyle w:val="CellColumn"/>
            </w:pPr>
            <w:r>
              <w:t>3.065.993</w:t>
            </w:r>
          </w:p>
        </w:tc>
        <w:tc>
          <w:tcPr>
            <w:tcW w:w="2322" w:type="dxa"/>
          </w:tcPr>
          <w:p w:rsidR="00AC0832" w:rsidRDefault="00AC0832">
            <w:pPr>
              <w:pStyle w:val="CellColumn"/>
            </w:pPr>
            <w:r>
              <w:t>93,6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Otplata bankarskog kredita za kupnju zgrade za potrebe Visokog trgovačkog suda RH.</w:t>
      </w:r>
    </w:p>
    <w:p w:rsidR="00AC0832" w:rsidRDefault="00AC0832">
      <w:pPr>
        <w:pStyle w:val="Heading6"/>
      </w:pPr>
      <w:r>
        <w:t>K629181 OBNOVA VOZNOG PARKA ZATVORSKOG I PROBACIJSKOG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K629181-OBNOVA VOZNOG PARKA ZATVORSKOG I PROBACIJSKOG SUSTAVA</w:t>
            </w:r>
          </w:p>
        </w:tc>
        <w:tc>
          <w:tcPr>
            <w:tcW w:w="2322" w:type="dxa"/>
          </w:tcPr>
          <w:p w:rsidR="00AC0832" w:rsidRDefault="00AC0832">
            <w:pPr>
              <w:pStyle w:val="CellColumn"/>
            </w:pPr>
            <w:r>
              <w:t>2.000.000</w:t>
            </w:r>
          </w:p>
        </w:tc>
        <w:tc>
          <w:tcPr>
            <w:tcW w:w="2322" w:type="dxa"/>
          </w:tcPr>
          <w:p w:rsidR="00AC0832" w:rsidRDefault="00AC0832">
            <w:pPr>
              <w:pStyle w:val="CellColumn"/>
            </w:pPr>
            <w:r>
              <w:t>1.533.144</w:t>
            </w:r>
          </w:p>
        </w:tc>
        <w:tc>
          <w:tcPr>
            <w:tcW w:w="2322" w:type="dxa"/>
          </w:tcPr>
          <w:p w:rsidR="00AC0832" w:rsidRDefault="00AC0832">
            <w:pPr>
              <w:pStyle w:val="CellColumn"/>
            </w:pPr>
            <w:r>
              <w:t>76,7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Obnovom voznog parka Uprave za zatvorski sustav postignut je sigurniji i brži  prijevoz zatvorenika iz jednog zatvora u drugi, odvoženje na lječničke preglede, te na zakazana suđenja i ostalo. Tijekom 2012. godine nastavljeno je podmirenje duga s osnova nabave vozila putem operativnog leasinga.</w:t>
      </w:r>
    </w:p>
    <w:p w:rsidR="00AC0832" w:rsidRDefault="00AC0832">
      <w:pPr>
        <w:pStyle w:val="Heading6"/>
      </w:pPr>
      <w:r>
        <w:t>K629225 ŽUPANIJSKI SUD U OSIJEKU (SANACIJA I ADAPTACIJA ZGRADE)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K629225-ŽUPANIJSKI SUD U OSIJEKU (SANACIJA I ADAPTACIJA ZGRADE)</w:t>
            </w:r>
          </w:p>
        </w:tc>
        <w:tc>
          <w:tcPr>
            <w:tcW w:w="2322" w:type="dxa"/>
          </w:tcPr>
          <w:p w:rsidR="00AC0832" w:rsidRDefault="00AC0832">
            <w:pPr>
              <w:pStyle w:val="CellColumn"/>
            </w:pPr>
            <w:r>
              <w:t>3.750.000</w:t>
            </w:r>
          </w:p>
        </w:tc>
        <w:tc>
          <w:tcPr>
            <w:tcW w:w="2322" w:type="dxa"/>
          </w:tcPr>
          <w:p w:rsidR="00AC0832" w:rsidRDefault="00AC0832">
            <w:pPr>
              <w:pStyle w:val="CellColumn"/>
            </w:pPr>
            <w:r>
              <w:t>3.518.461</w:t>
            </w:r>
          </w:p>
        </w:tc>
        <w:tc>
          <w:tcPr>
            <w:tcW w:w="2322" w:type="dxa"/>
          </w:tcPr>
          <w:p w:rsidR="00AC0832" w:rsidRDefault="00AC0832">
            <w:pPr>
              <w:pStyle w:val="CellColumn"/>
            </w:pPr>
            <w:r>
              <w:t>93,8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Radovi na  sanaciji i adaptaciji potkrovlja zgrade Županijskog suda u Osijeku radi osiguranja dodatnog poslovnog prostora.</w:t>
      </w:r>
    </w:p>
    <w:p w:rsidR="00AC0832" w:rsidRDefault="00AC0832">
      <w:pPr>
        <w:pStyle w:val="Heading6"/>
      </w:pPr>
    </w:p>
    <w:p w:rsidR="00AC0832" w:rsidRDefault="00AC0832">
      <w:pPr>
        <w:pStyle w:val="Heading6"/>
      </w:pPr>
      <w:r>
        <w:t>K629234 OBNOVA VOZNOG PARKA MINISTARSTVA PRAVOSUĐA I PRAVOSUDNIH TIJELA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K629234-OBNOVA VOZNOG PARKA MINISTARSTVA PRAVOSUĐA I PRAVOSUDNIH TIJELA</w:t>
            </w:r>
          </w:p>
        </w:tc>
        <w:tc>
          <w:tcPr>
            <w:tcW w:w="2322" w:type="dxa"/>
          </w:tcPr>
          <w:p w:rsidR="00AC0832" w:rsidRDefault="00AC0832">
            <w:pPr>
              <w:pStyle w:val="CellColumn"/>
            </w:pPr>
            <w:r>
              <w:t>1.600.000</w:t>
            </w:r>
          </w:p>
        </w:tc>
        <w:tc>
          <w:tcPr>
            <w:tcW w:w="2322" w:type="dxa"/>
          </w:tcPr>
          <w:p w:rsidR="00AC0832" w:rsidRDefault="00AC0832">
            <w:pPr>
              <w:pStyle w:val="CellColumn"/>
            </w:pPr>
            <w:r>
              <w:t>1.134.691</w:t>
            </w:r>
          </w:p>
        </w:tc>
        <w:tc>
          <w:tcPr>
            <w:tcW w:w="2322" w:type="dxa"/>
          </w:tcPr>
          <w:p w:rsidR="00AC0832" w:rsidRDefault="00AC0832">
            <w:pPr>
              <w:pStyle w:val="CellColumn"/>
            </w:pPr>
            <w:r>
              <w:t>70,9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Obnovom voznog parka ostvaren je brži i sigurniji prijevoz sudaca i odvjetnika u udaljenija područja na zakazane rasprave, očevide i suđenja. U 2012. godini nastavljeno je podmirenje obveza s osnova nabave službenih vozila putem leasinga.</w:t>
      </w:r>
    </w:p>
    <w:p w:rsidR="00AC0832" w:rsidRDefault="00AC0832">
      <w:pPr>
        <w:pStyle w:val="Heading6"/>
      </w:pPr>
      <w:r>
        <w:t>K629236 OPĆINSKI SUD U SLAVONSKOM BRODU (IZGRADNJA I ADAPTACIJA ZGRADE)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K629236-OPĆINSKI SUD U SLAVONSKOM BRODU (IZGRADNJA I ADAPTACIJA ZGRADE)</w:t>
            </w:r>
          </w:p>
        </w:tc>
        <w:tc>
          <w:tcPr>
            <w:tcW w:w="2322" w:type="dxa"/>
          </w:tcPr>
          <w:p w:rsidR="00AC0832" w:rsidRDefault="00AC0832">
            <w:pPr>
              <w:pStyle w:val="CellColumn"/>
            </w:pPr>
            <w:r>
              <w:t>80.000</w:t>
            </w:r>
          </w:p>
        </w:tc>
        <w:tc>
          <w:tcPr>
            <w:tcW w:w="2322" w:type="dxa"/>
          </w:tcPr>
          <w:p w:rsidR="00AC0832" w:rsidRDefault="00AC0832">
            <w:pPr>
              <w:pStyle w:val="CellColumn"/>
            </w:pPr>
            <w:r>
              <w:t>80.000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Izrada projektne dokumentacije za ugradnju sustava za klimatizaciju.</w:t>
      </w:r>
    </w:p>
    <w:p w:rsidR="00AC0832" w:rsidRDefault="00AC0832">
      <w:pPr>
        <w:pStyle w:val="Heading6"/>
      </w:pPr>
      <w:r>
        <w:t>K629239 HITNE INTERVENCIJE NA ZGRADAMA ZATVORSKOG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K629239-HITNE INTERVENCIJE NA ZGRADAMA ZATVORSKOG SUSTAVA</w:t>
            </w:r>
          </w:p>
        </w:tc>
        <w:tc>
          <w:tcPr>
            <w:tcW w:w="2322" w:type="dxa"/>
          </w:tcPr>
          <w:p w:rsidR="00AC0832" w:rsidRDefault="00AC0832">
            <w:pPr>
              <w:pStyle w:val="CellColumn"/>
            </w:pPr>
            <w:r>
              <w:t>310.000</w:t>
            </w:r>
          </w:p>
        </w:tc>
        <w:tc>
          <w:tcPr>
            <w:tcW w:w="2322" w:type="dxa"/>
          </w:tcPr>
          <w:p w:rsidR="00AC0832" w:rsidRDefault="00AC0832">
            <w:pPr>
              <w:pStyle w:val="CellColumn"/>
            </w:pPr>
            <w:r>
              <w:t>282.199</w:t>
            </w:r>
          </w:p>
        </w:tc>
        <w:tc>
          <w:tcPr>
            <w:tcW w:w="2322" w:type="dxa"/>
          </w:tcPr>
          <w:p w:rsidR="00AC0832" w:rsidRDefault="00AC0832">
            <w:pPr>
              <w:pStyle w:val="CellColumn"/>
            </w:pPr>
            <w:r>
              <w:t>91,0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Primjenom hitnih postupaka uspostaviti funkcionalnost i smanjiti daljnja moguća oštećenja na objektima. </w:t>
      </w:r>
    </w:p>
    <w:p w:rsidR="00AC0832" w:rsidRDefault="00AC0832">
      <w:pPr>
        <w:pStyle w:val="Normal6"/>
      </w:pPr>
      <w:r>
        <w:t xml:space="preserve">Osiguravanje zakonom propisanih uvjeta boravka i rada zatvorenika. </w:t>
      </w:r>
    </w:p>
    <w:p w:rsidR="00AC0832" w:rsidRDefault="00AC0832">
      <w:pPr>
        <w:pStyle w:val="Normal6"/>
      </w:pPr>
      <w:r>
        <w:t>U 2012. godini izrađena je  projektna dokumentacija za prijavu OZ Turopolje na natječaj za financiranje iz projekta IPA 2012., sanacija škole u OZ Turopolje i uređenje limenog krovišta u Kaznionici u Lipovici – Popovači.</w:t>
      </w:r>
    </w:p>
    <w:p w:rsidR="00AC0832" w:rsidRDefault="00AC0832">
      <w:pPr>
        <w:pStyle w:val="Heading6"/>
      </w:pPr>
      <w:r>
        <w:t>K629243 HITNE INTERVENCIJE NA ZGRADAMA PRAVOSUDNIH TIJELA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K629243-HITNE INTERVENCIJE NA ZGRADAMA PRAVOSUDNIH TIJELA</w:t>
            </w:r>
          </w:p>
        </w:tc>
        <w:tc>
          <w:tcPr>
            <w:tcW w:w="2322" w:type="dxa"/>
          </w:tcPr>
          <w:p w:rsidR="00AC0832" w:rsidRDefault="00AC0832">
            <w:pPr>
              <w:pStyle w:val="CellColumn"/>
            </w:pPr>
            <w:r>
              <w:t>2.500.000</w:t>
            </w:r>
          </w:p>
        </w:tc>
        <w:tc>
          <w:tcPr>
            <w:tcW w:w="2322" w:type="dxa"/>
          </w:tcPr>
          <w:p w:rsidR="00AC0832" w:rsidRDefault="00AC0832">
            <w:pPr>
              <w:pStyle w:val="CellColumn"/>
            </w:pPr>
            <w:r>
              <w:t>1.810.376</w:t>
            </w:r>
          </w:p>
        </w:tc>
        <w:tc>
          <w:tcPr>
            <w:tcW w:w="2322" w:type="dxa"/>
          </w:tcPr>
          <w:p w:rsidR="00AC0832" w:rsidRDefault="00AC0832">
            <w:pPr>
              <w:pStyle w:val="CellColumn"/>
            </w:pPr>
            <w:r>
              <w:t>72,4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Hitne intervencije na zgradama pravosudnih tijela što uključuje popravke, dogradnju i manje rekonstrukcije na zgradama pravosudnih tijela.</w:t>
      </w:r>
    </w:p>
    <w:p w:rsidR="00AC0832" w:rsidRDefault="00AC0832">
      <w:pPr>
        <w:pStyle w:val="Heading6"/>
      </w:pPr>
      <w:r>
        <w:t>K630021 ZATVOR U ZAGREBU (DOGRADNJA ZGRADE)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K630021-ZATVOR U ZAGREBU (DOGRADNJA ZGRADE)</w:t>
            </w:r>
          </w:p>
        </w:tc>
        <w:tc>
          <w:tcPr>
            <w:tcW w:w="2322" w:type="dxa"/>
          </w:tcPr>
          <w:p w:rsidR="00AC0832" w:rsidRDefault="00AC0832">
            <w:pPr>
              <w:pStyle w:val="CellColumn"/>
            </w:pPr>
            <w:r>
              <w:t>200.000</w:t>
            </w:r>
          </w:p>
        </w:tc>
        <w:tc>
          <w:tcPr>
            <w:tcW w:w="2322" w:type="dxa"/>
          </w:tcPr>
          <w:p w:rsidR="00AC0832" w:rsidRDefault="00AC0832">
            <w:pPr>
              <w:pStyle w:val="CellColumn"/>
            </w:pPr>
            <w:r>
              <w:t>175.250</w:t>
            </w:r>
          </w:p>
        </w:tc>
        <w:tc>
          <w:tcPr>
            <w:tcW w:w="2322" w:type="dxa"/>
          </w:tcPr>
          <w:p w:rsidR="00AC0832" w:rsidRDefault="00AC0832">
            <w:pPr>
              <w:pStyle w:val="CellColumn"/>
            </w:pPr>
            <w:r>
              <w:t>87,6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Povećanje kapaciteta za smještaj zatvorenika Zatvora u Zagrebu za 382 mjesta. </w:t>
      </w:r>
    </w:p>
    <w:p w:rsidR="00AC0832" w:rsidRDefault="00AC0832">
      <w:pPr>
        <w:pStyle w:val="Normal6"/>
      </w:pPr>
      <w:r>
        <w:t xml:space="preserve">Smanjenje prenapučenosti i osiguravanje zakonom propisanih uvjeta zatvorenika u Zatvoru u zagrebu. </w:t>
      </w:r>
    </w:p>
    <w:p w:rsidR="00AC0832" w:rsidRDefault="00AC0832">
      <w:pPr>
        <w:pStyle w:val="Normal6"/>
      </w:pPr>
      <w:r>
        <w:t>Projekt je gotov, ishođene su sve suglasnosti i u tijeku je ishođenje potvrde na glavni projekt obnove. Razvojna banka Vijeća Europe s Hrvatskom Vladom potpisala je Okvirni ugovor o sufinanciranju projekta.</w:t>
      </w:r>
    </w:p>
    <w:p w:rsidR="00AC0832" w:rsidRDefault="00AC0832">
      <w:pPr>
        <w:pStyle w:val="Heading6"/>
      </w:pPr>
      <w:r>
        <w:t>K630023 OPĆINSKO DRŽAVNO ODVJETNIŠTVO U RIJECI (ADAPTACIJA ZGRADE)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K630023-OPĆINSKO DRŽAVNO ODVJETNIŠTVO U RIJECI (ADAPTACIJA ZGRADE)</w:t>
            </w:r>
          </w:p>
        </w:tc>
        <w:tc>
          <w:tcPr>
            <w:tcW w:w="2322" w:type="dxa"/>
          </w:tcPr>
          <w:p w:rsidR="00AC0832" w:rsidRDefault="00AC0832">
            <w:pPr>
              <w:pStyle w:val="CellColumn"/>
            </w:pPr>
            <w:r>
              <w:t>55.000</w:t>
            </w:r>
          </w:p>
        </w:tc>
        <w:tc>
          <w:tcPr>
            <w:tcW w:w="2322" w:type="dxa"/>
          </w:tcPr>
          <w:p w:rsidR="00AC0832" w:rsidRDefault="00AC0832">
            <w:pPr>
              <w:pStyle w:val="CellColumn"/>
            </w:pPr>
            <w:r>
              <w:t>43.750</w:t>
            </w:r>
          </w:p>
        </w:tc>
        <w:tc>
          <w:tcPr>
            <w:tcW w:w="2322" w:type="dxa"/>
          </w:tcPr>
          <w:p w:rsidR="00AC0832" w:rsidRDefault="00AC0832">
            <w:pPr>
              <w:pStyle w:val="CellColumn"/>
            </w:pPr>
            <w:r>
              <w:t>79,5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Izrada projektne dokumentacije za ugradnju sustava za klimatizaciju.</w:t>
      </w:r>
    </w:p>
    <w:p w:rsidR="00AC0832" w:rsidRDefault="00AC0832">
      <w:pPr>
        <w:pStyle w:val="Heading6"/>
      </w:pPr>
      <w:r>
        <w:t>K630066 ŽUPANIJSKI SUD U DUBROVNIKU (SANACIJA I ADAPTACIJA ZGRADE)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K630066-ŽUPANIJSKI SUD U DUBROVNIKU (SANACIJA I ADAPTACIJA ZGRADE)</w:t>
            </w:r>
          </w:p>
        </w:tc>
        <w:tc>
          <w:tcPr>
            <w:tcW w:w="2322" w:type="dxa"/>
          </w:tcPr>
          <w:p w:rsidR="00AC0832" w:rsidRDefault="00AC0832">
            <w:pPr>
              <w:pStyle w:val="CellColumn"/>
            </w:pPr>
            <w:r>
              <w:t>77.000</w:t>
            </w:r>
          </w:p>
        </w:tc>
        <w:tc>
          <w:tcPr>
            <w:tcW w:w="2322" w:type="dxa"/>
          </w:tcPr>
          <w:p w:rsidR="00AC0832" w:rsidRDefault="00AC0832">
            <w:pPr>
              <w:pStyle w:val="CellColumn"/>
            </w:pPr>
            <w:r>
              <w:t>76.214</w:t>
            </w:r>
          </w:p>
        </w:tc>
        <w:tc>
          <w:tcPr>
            <w:tcW w:w="2322" w:type="dxa"/>
          </w:tcPr>
          <w:p w:rsidR="00AC0832" w:rsidRDefault="00AC0832">
            <w:pPr>
              <w:pStyle w:val="CellColumn"/>
            </w:pPr>
            <w:r>
              <w:t>99,0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Adaptacija zgrade radi proširenja poslovnog prostora.</w:t>
      </w:r>
    </w:p>
    <w:p w:rsidR="00AC0832" w:rsidRDefault="00AC0832">
      <w:pPr>
        <w:pStyle w:val="Heading6"/>
      </w:pPr>
      <w:r>
        <w:t>K630076 OPĆINSKI SUD U BUJAMA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K630076-OPĆINSKI SUD U BUJAMA</w:t>
            </w:r>
          </w:p>
        </w:tc>
        <w:tc>
          <w:tcPr>
            <w:tcW w:w="2322" w:type="dxa"/>
          </w:tcPr>
          <w:p w:rsidR="00AC0832" w:rsidRDefault="00AC0832">
            <w:pPr>
              <w:pStyle w:val="CellColumn"/>
            </w:pPr>
            <w:r>
              <w:t>395.000</w:t>
            </w:r>
          </w:p>
        </w:tc>
        <w:tc>
          <w:tcPr>
            <w:tcW w:w="2322" w:type="dxa"/>
          </w:tcPr>
          <w:p w:rsidR="00AC0832" w:rsidRDefault="00AC0832">
            <w:pPr>
              <w:pStyle w:val="CellColumn"/>
            </w:pPr>
            <w:r>
              <w:t>390.770</w:t>
            </w:r>
          </w:p>
        </w:tc>
        <w:tc>
          <w:tcPr>
            <w:tcW w:w="2322" w:type="dxa"/>
          </w:tcPr>
          <w:p w:rsidR="00AC0832" w:rsidRDefault="00AC0832">
            <w:pPr>
              <w:pStyle w:val="CellColumn"/>
            </w:pPr>
            <w:r>
              <w:t>98,9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Radovi na ugradnji sustava za klimatizaciju.</w:t>
      </w:r>
    </w:p>
    <w:p w:rsidR="00AC0832" w:rsidRDefault="00AC0832">
      <w:pPr>
        <w:pStyle w:val="Heading6"/>
      </w:pPr>
      <w:r>
        <w:t>K630099 UREĐENJE I OPREMANJE UPRAVNIH SUDOVA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K630099-UREĐENJE I OPREMANJE UPRAVNIH SUDOVA</w:t>
            </w:r>
          </w:p>
        </w:tc>
        <w:tc>
          <w:tcPr>
            <w:tcW w:w="2322" w:type="dxa"/>
          </w:tcPr>
          <w:p w:rsidR="00AC0832" w:rsidRDefault="00AC0832">
            <w:pPr>
              <w:pStyle w:val="CellColumn"/>
            </w:pPr>
            <w:r>
              <w:t>187.000</w:t>
            </w:r>
          </w:p>
        </w:tc>
        <w:tc>
          <w:tcPr>
            <w:tcW w:w="2322" w:type="dxa"/>
          </w:tcPr>
          <w:p w:rsidR="00AC0832" w:rsidRDefault="00AC0832">
            <w:pPr>
              <w:pStyle w:val="CellColumn"/>
            </w:pPr>
            <w:r>
              <w:t>169.512</w:t>
            </w:r>
          </w:p>
        </w:tc>
        <w:tc>
          <w:tcPr>
            <w:tcW w:w="2322" w:type="dxa"/>
          </w:tcPr>
          <w:p w:rsidR="00AC0832" w:rsidRDefault="00AC0832">
            <w:pPr>
              <w:pStyle w:val="CellColumn"/>
            </w:pPr>
            <w:r>
              <w:t>90,6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Nabava uredske opreme i namještaja za potrebe upravnih sudova koji su počeli s radom 1. siječnja 2012. godine.</w:t>
      </w:r>
    </w:p>
    <w:p w:rsidR="00AC0832" w:rsidRDefault="00AC0832">
      <w:pPr>
        <w:pStyle w:val="Heading6"/>
      </w:pPr>
      <w:r>
        <w:t>K630103 UREĐENJE I OPREMANJE MINISTARSTVA PRAVOSUĐA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K630103-UREĐENJE I OPREMANJE MINISTARSTVA PRAVOSUĐA</w:t>
            </w:r>
          </w:p>
        </w:tc>
        <w:tc>
          <w:tcPr>
            <w:tcW w:w="2322" w:type="dxa"/>
          </w:tcPr>
          <w:p w:rsidR="00AC0832" w:rsidRDefault="00AC0832">
            <w:pPr>
              <w:pStyle w:val="CellColumn"/>
            </w:pPr>
            <w:r>
              <w:t>1.095.000</w:t>
            </w:r>
          </w:p>
        </w:tc>
        <w:tc>
          <w:tcPr>
            <w:tcW w:w="2322" w:type="dxa"/>
          </w:tcPr>
          <w:p w:rsidR="00AC0832" w:rsidRDefault="00AC0832">
            <w:pPr>
              <w:pStyle w:val="CellColumn"/>
            </w:pPr>
            <w:r>
              <w:t>514.576</w:t>
            </w:r>
          </w:p>
        </w:tc>
        <w:tc>
          <w:tcPr>
            <w:tcW w:w="2322" w:type="dxa"/>
          </w:tcPr>
          <w:p w:rsidR="00AC0832" w:rsidRDefault="00AC0832">
            <w:pPr>
              <w:pStyle w:val="CellColumn"/>
            </w:pPr>
            <w:r>
              <w:t>47,0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Uređenje i opremanje Ministasrtva pravosuđa potrebnim namještajem, uredskom opremom, komunikacijskom opremom, opremom za održavanje i zaštitu, i ostalom opremom. </w:t>
      </w:r>
    </w:p>
    <w:p w:rsidR="00AC0832" w:rsidRDefault="00AC0832">
      <w:pPr>
        <w:pStyle w:val="Normal6"/>
      </w:pPr>
      <w:r>
        <w:t>Tijekom 2012. godine temeljem ugovora u postupku javne nabave nabavljen je uredski namještaj, komunikacijska oprema (GSM uređaji i telefonski aparati), oprema za održavanje i zaštitu (ručni detektor metala i pištolja za potrebe Službe za osiguranje)te razna uredska uredske opreme (fax uređaji, uništivači dokumenata, plastifikatori, uređaji za termo uvez) čime su osigurani bolji uvjeti rada u svakodnevnom uredskom poslovanju.</w:t>
      </w:r>
    </w:p>
    <w:p w:rsidR="00AC0832" w:rsidRDefault="00AC0832">
      <w:pPr>
        <w:pStyle w:val="Heading5"/>
      </w:pPr>
      <w:r>
        <w:t>2807 INFORMATIZACIJA , MODERNIZACIJA I ODRŽAVANJE INFORMACIJSKOG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2807-INFORMATIZACIJA , MODERNIZACIJA I ODRŽAVANJE INFORMACIJSKOG SUSTAVA</w:t>
            </w:r>
          </w:p>
        </w:tc>
        <w:tc>
          <w:tcPr>
            <w:tcW w:w="2322" w:type="dxa"/>
          </w:tcPr>
          <w:p w:rsidR="00AC0832" w:rsidRDefault="00AC0832">
            <w:pPr>
              <w:pStyle w:val="CellColumn"/>
            </w:pPr>
            <w:r>
              <w:t>67.113.952</w:t>
            </w:r>
          </w:p>
        </w:tc>
        <w:tc>
          <w:tcPr>
            <w:tcW w:w="2322" w:type="dxa"/>
          </w:tcPr>
          <w:p w:rsidR="00AC0832" w:rsidRDefault="00AC0832">
            <w:pPr>
              <w:pStyle w:val="CellColumn"/>
            </w:pPr>
            <w:r>
              <w:t>54.783.005</w:t>
            </w:r>
          </w:p>
        </w:tc>
        <w:tc>
          <w:tcPr>
            <w:tcW w:w="2322" w:type="dxa"/>
          </w:tcPr>
          <w:p w:rsidR="00AC0832" w:rsidRDefault="00AC0832">
            <w:pPr>
              <w:pStyle w:val="CellColumn"/>
            </w:pPr>
            <w:r>
              <w:t>81,6</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 obuhvaća projekte u svrhu informatizacije Ministarstva, pravosudnih i kaznenih tijela kroz planiranje, izgradnju i održavanje informatičke infrastrukture kao i  nadogradnju informacijskog sustava u skladu sa zakonskim promjenama i potrebama korisnika. U okviru programa su i projekti financirani iz pretpristupnih fondova EU kojima se financiraju aktivnosti s ciljem provođenja potrebnih reformi i zadovoljavanja kriterija odnosno izvršavanja mjera određenih za pristupanje Republike Hrvatske Europskoj Uniji sukladno donesenim strateškim dokumentima potvrđenim od strane Vlade i Sabora RH. Informatizacija pravosuđa je kontinuirani proces uvođenja, održavanja i unaprjeđenja informatičkih rješenja za elektroničko poslovanje u sudovima, državnim odvjetništvima, zatvorskom sustavu i samom Ministarstvu pravosuđa. Informatičkim rješenjima nastoji se poboljšati uvjete rada, utjecati na njegovu efikasnost te omogućiti: </w:t>
      </w:r>
    </w:p>
    <w:p w:rsidR="00AC0832" w:rsidRDefault="00AC0832">
      <w:pPr>
        <w:pStyle w:val="Normal5"/>
      </w:pPr>
      <w:r>
        <w:t xml:space="preserve">- Brže rješavanje predmeta na sudovima, državnim odvjetništvima i Ministarstvu te precizan uvid u stanje predmeta te razmjena i dostupnost potrebnih informacija. </w:t>
      </w:r>
    </w:p>
    <w:p w:rsidR="00AC0832" w:rsidRDefault="00AC0832">
      <w:pPr>
        <w:pStyle w:val="Normal5"/>
      </w:pPr>
      <w:r>
        <w:t xml:space="preserve">- Transparentnost rada i odluka sudova kroz dostupnost općih informacija i prikaz sudske prakse. </w:t>
      </w:r>
    </w:p>
    <w:p w:rsidR="00AC0832" w:rsidRDefault="00AC0832">
      <w:pPr>
        <w:pStyle w:val="Normal5"/>
      </w:pPr>
      <w:r>
        <w:t xml:space="preserve">- Dostupnost podataka iz registara koje vode sudovi i Ministarstvo pravosuđa elektroničkim putem. </w:t>
      </w:r>
    </w:p>
    <w:p w:rsidR="00AC0832" w:rsidRDefault="00AC0832">
      <w:pPr>
        <w:pStyle w:val="Normal5"/>
      </w:pPr>
      <w:r>
        <w:t xml:space="preserve">- Efikasnije uredsko poslovanje Ministarstva, sudova i drugih pravosudnih tijela. </w:t>
      </w:r>
    </w:p>
    <w:p w:rsidR="00AC0832" w:rsidRDefault="00AC0832">
      <w:pPr>
        <w:pStyle w:val="Normal5"/>
      </w:pPr>
      <w:r>
        <w:t xml:space="preserve">- Podrške odlučivanju rukovodstvu Ministarstva, kao i kontroli. </w:t>
      </w:r>
    </w:p>
    <w:p w:rsidR="00AC0832" w:rsidRDefault="00AC0832">
      <w:pPr>
        <w:pStyle w:val="Normal5"/>
      </w:pPr>
      <w:r>
        <w:t xml:space="preserve">- Povezivanje i razmjenjivanje podataka u stvarnom vremenu elektroničkim putem s ostalim relevantnim tijelima državne uprave i građanima. </w:t>
      </w:r>
    </w:p>
    <w:p w:rsidR="00AC0832" w:rsidRDefault="00AC0832">
      <w:pPr>
        <w:pStyle w:val="Normal5"/>
      </w:pPr>
      <w:r>
        <w:t>- Antikorupcijske učinke kroz automatsku dodjelu predmeta sucima. Informacijski sustav mora jamčiti dugotrajno funkcioniranje uz sve buduće promjene ustroja državne uprave, zakonskih i pod zakonskih propisa i promjene okoline.</w:t>
      </w:r>
    </w:p>
    <w:p w:rsidR="00AC0832" w:rsidRDefault="00AC0832">
      <w:pPr>
        <w:pStyle w:val="Heading6"/>
      </w:pPr>
      <w:r>
        <w:t>Zakonske i druge pravne osnove</w:t>
      </w:r>
    </w:p>
    <w:p w:rsidR="00AC0832" w:rsidRDefault="00AC0832">
      <w:pPr>
        <w:pStyle w:val="Normal5"/>
      </w:pPr>
      <w:r>
        <w:t>Zakon o sudovima, Zakon o kaznenom postupku, Zakon o sudovima za mladež, Zakon o parničnom postupku, Stečajni zakon, Ovršni zakon, Sudski poslovnik, Zakon o područjima i sjedištima sudova, Zakon o sudskim pristojbama, Financijski sporazum za IPA 2008 pretpristupni program pomoći sklopljen između Vlade Republike Hrvatske i Komisije Europske zajednice  05. lipnja 2009. godine. Financijski sporazum za IPA 2009 pretpristupni program pomoći sklopljen između Vlade Republike Hrvatske i Komisije Europske zajednice  05. svibnja 2010. godine.</w:t>
      </w:r>
    </w:p>
    <w:p w:rsidR="00AC0832" w:rsidRDefault="00AC0832">
      <w:pPr>
        <w:pStyle w:val="Heading7"/>
      </w:pPr>
      <w:r>
        <w:t xml:space="preserve">Cilj 1. Dostupnost podataka iz registara koje vode sudovi i Ministarstvo pravosuđa elektroničkim putem.  </w:t>
      </w:r>
    </w:p>
    <w:p w:rsidR="00AC0832" w:rsidRDefault="00AC0832">
      <w:pPr>
        <w:pStyle w:val="Heading7"/>
      </w:pPr>
      <w:r>
        <w:t xml:space="preserve">Cilj 2. Povezivanje i razmjenjivanje podataka u stvarnom vremenu elektroničkim putem s ostalim relevantnim tijelima državne uprave i građanima.   </w:t>
      </w:r>
    </w:p>
    <w:p w:rsidR="00AC0832" w:rsidRDefault="00AC0832">
      <w:pPr>
        <w:pStyle w:val="Heading6"/>
      </w:pPr>
      <w:r>
        <w:t>K301143 INFORMATIZACIJA MINISTARSTVA I SREDIŠNJIH REGISTARA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K301143-INFORMATIZACIJA MINISTARSTVA I SREDIŠNJIH REGISTARA</w:t>
            </w:r>
          </w:p>
        </w:tc>
        <w:tc>
          <w:tcPr>
            <w:tcW w:w="2322" w:type="dxa"/>
          </w:tcPr>
          <w:p w:rsidR="00AC0832" w:rsidRDefault="00AC0832">
            <w:pPr>
              <w:pStyle w:val="CellColumn"/>
            </w:pPr>
            <w:r>
              <w:t>9.831.493</w:t>
            </w:r>
          </w:p>
        </w:tc>
        <w:tc>
          <w:tcPr>
            <w:tcW w:w="2322" w:type="dxa"/>
          </w:tcPr>
          <w:p w:rsidR="00AC0832" w:rsidRDefault="00AC0832">
            <w:pPr>
              <w:pStyle w:val="CellColumn"/>
            </w:pPr>
            <w:r>
              <w:t>9.743.108</w:t>
            </w:r>
          </w:p>
        </w:tc>
        <w:tc>
          <w:tcPr>
            <w:tcW w:w="2322" w:type="dxa"/>
          </w:tcPr>
          <w:p w:rsidR="00AC0832" w:rsidRDefault="00AC0832">
            <w:pPr>
              <w:pStyle w:val="CellColumn"/>
            </w:pPr>
            <w:r>
              <w:t>99,1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okviru ovog projekta planirana su sredstva za nastavak usluga održavanja i podrške </w:t>
      </w:r>
    </w:p>
    <w:p w:rsidR="00AC0832" w:rsidRDefault="00AC0832">
      <w:pPr>
        <w:pStyle w:val="Normal6"/>
      </w:pPr>
      <w:r>
        <w:t xml:space="preserve">registrima i evidencijama u nadležnosti pravosuđa: sustav besplatne pravne pomoći, </w:t>
      </w:r>
    </w:p>
    <w:p w:rsidR="00AC0832" w:rsidRDefault="00AC0832">
      <w:pPr>
        <w:pStyle w:val="Normal6"/>
      </w:pPr>
      <w:r>
        <w:t xml:space="preserve">urudžbeni zapisnik ministarstva, računovodstveni programi, sudski registar, kaznena i </w:t>
      </w:r>
    </w:p>
    <w:p w:rsidR="00AC0832" w:rsidRDefault="00AC0832">
      <w:pPr>
        <w:pStyle w:val="Normal6"/>
      </w:pPr>
      <w:r>
        <w:t xml:space="preserve">prekršajna evidencija, jedinstveni upisnik prekršajnih predmeta te održavanje web portala </w:t>
      </w:r>
    </w:p>
    <w:p w:rsidR="00AC0832" w:rsidRDefault="00AC0832">
      <w:pPr>
        <w:pStyle w:val="Normal6"/>
      </w:pPr>
      <w:r>
        <w:t xml:space="preserve">pravosuđa i Intraneta, antikorupcijski informacijski sustav te probacijski informacijski </w:t>
      </w:r>
    </w:p>
    <w:p w:rsidR="00AC0832" w:rsidRDefault="00AC0832">
      <w:pPr>
        <w:pStyle w:val="Normal6"/>
      </w:pPr>
      <w:r>
        <w:t xml:space="preserve">sustav. Za potrebe sudova i odvjetništava planira se nabava informatičke opreme i </w:t>
      </w:r>
    </w:p>
    <w:p w:rsidR="00AC0832" w:rsidRDefault="00AC0832">
      <w:pPr>
        <w:pStyle w:val="Normal6"/>
      </w:pPr>
      <w:r>
        <w:t>programa.</w:t>
      </w:r>
    </w:p>
    <w:p w:rsidR="00AC0832" w:rsidRDefault="00AC0832">
      <w:pPr>
        <w:pStyle w:val="Heading6"/>
      </w:pPr>
      <w:r>
        <w:t>K576240 E-SPIS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K576240-E-SPIS</w:t>
            </w:r>
          </w:p>
        </w:tc>
        <w:tc>
          <w:tcPr>
            <w:tcW w:w="2322" w:type="dxa"/>
          </w:tcPr>
          <w:p w:rsidR="00AC0832" w:rsidRDefault="00AC0832">
            <w:pPr>
              <w:pStyle w:val="CellColumn"/>
            </w:pPr>
            <w:r>
              <w:t>11.772.875</w:t>
            </w:r>
          </w:p>
        </w:tc>
        <w:tc>
          <w:tcPr>
            <w:tcW w:w="2322" w:type="dxa"/>
          </w:tcPr>
          <w:p w:rsidR="00AC0832" w:rsidRDefault="00AC0832">
            <w:pPr>
              <w:pStyle w:val="CellColumn"/>
            </w:pPr>
            <w:r>
              <w:t>11.772.794</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Redovno održavanje eSpis sustava (preventivno, adaptivno, korektivno, integracijsko, podrška korisnicima), ispravci nedostataka u funkcionalnostima eSpis sustava, izrada novih funkcionalnosti u svrhu olakšavanja i ubrzavanja rada krajnjih korisnika, izrada novih funkcionalnosti radi promjene relevantnih zakona, poboljšanje sustava statističkog praćenja kao potpora postupku monitoringa, uspostava razmjene podataka s drugim sustavima unutar i izvan pravosuđa (Sudski registar), unapređenje tehnološke platforme,praćenje zakonskih rokova za postupanje sudova, praćenje predmeta zaštite prava na suđenje u razumnom roku. Druge dorade i funkcionalnosti usklađivanja sa zakonodavnim izmjenama. Izmjene grafičkog sučelja.  </w:t>
      </w:r>
    </w:p>
    <w:p w:rsidR="00AC0832" w:rsidRDefault="00AC0832">
      <w:pPr>
        <w:pStyle w:val="Normal6"/>
      </w:pPr>
      <w:r>
        <w:t xml:space="preserve">Osiguravanje dostupnog i potpuno funkcionalnog sustava za praćenje sudskih predmeta u skladu s relevantnim zakonodavnim okvirom. Uspostava sustava za poslovno izvješćivanje u skladu sa statističkim zahtjevima sudova i Ministarstva pravosuđa.  </w:t>
      </w:r>
    </w:p>
    <w:p w:rsidR="00AC0832" w:rsidRDefault="00AC0832">
      <w:pPr>
        <w:pStyle w:val="Normal6"/>
      </w:pPr>
      <w:r>
        <w:t>Osigurana visoka dostupnost sustava, isporučena statistička i upravljačka izvješća, konsolidirani podaci u jedinstven sustav poslovnog izvješćivanja, uspostavljena razmjena podataka sa sustavom Sudskog registra, izrađena funkcionalnost praćenja predmeta za zaštitu prava na suđenje u razumnom roku, izvršena racionalizacija tablica u bazi podataka, omogućeno praćenje delegiranih spisa. Modernizirano korisničko grafičko sučelje u skladu s modernim standardima, racionaliziran proces otpreme.</w:t>
      </w:r>
    </w:p>
    <w:p w:rsidR="00AC0832" w:rsidRDefault="00AC0832">
      <w:pPr>
        <w:pStyle w:val="Heading6"/>
      </w:pPr>
      <w:r>
        <w:t>K629169 INFORMATIZACIJA PRAVOSUDNIH TIJELA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K629169-INFORMATIZACIJA PRAVOSUDNIH TIJELA</w:t>
            </w:r>
          </w:p>
        </w:tc>
        <w:tc>
          <w:tcPr>
            <w:tcW w:w="2322" w:type="dxa"/>
          </w:tcPr>
          <w:p w:rsidR="00AC0832" w:rsidRDefault="00AC0832">
            <w:pPr>
              <w:pStyle w:val="CellColumn"/>
            </w:pPr>
            <w:r>
              <w:t>21.447.160</w:t>
            </w:r>
          </w:p>
        </w:tc>
        <w:tc>
          <w:tcPr>
            <w:tcW w:w="2322" w:type="dxa"/>
          </w:tcPr>
          <w:p w:rsidR="00AC0832" w:rsidRDefault="00AC0832">
            <w:pPr>
              <w:pStyle w:val="CellColumn"/>
            </w:pPr>
            <w:r>
              <w:t>21.447.160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Održavanje informatičke infrastrukture pravosuđa povezane u jedinstvenu domenu (virtualnu cjelinu) i druge informacijske sustave te redovni rad sudova i odvjetništava, antivirusni programi te izgradnja i održavanje računalnih mreža  (LAN)pravosuđa. </w:t>
      </w:r>
    </w:p>
    <w:p w:rsidR="00AC0832" w:rsidRDefault="00AC0832">
      <w:pPr>
        <w:pStyle w:val="Normal6"/>
      </w:pPr>
      <w:r>
        <w:t xml:space="preserve">Informatizacija pravosuđa je kontinuirani proces uvođenja, održavanja i unaprjeđenja informatičkih rješenja za elektroničko poslovanje u sudovima i državnim odvjetništvima.povećanje propusnosti veza prema pravosudnim tijelima te povezivanje drugih lokacija sudova u zajednički telekomunikacijski sustav HITRONet. </w:t>
      </w:r>
    </w:p>
    <w:p w:rsidR="00AC0832" w:rsidRDefault="00AC0832">
      <w:pPr>
        <w:pStyle w:val="Normal6"/>
      </w:pPr>
      <w:r>
        <w:t xml:space="preserve">Tijekom 2012. godine pržena je kontinuirana informatička potpora pravosudnom sustavu.  </w:t>
      </w:r>
    </w:p>
    <w:p w:rsidR="00AC0832" w:rsidRDefault="00AC0832">
      <w:pPr>
        <w:pStyle w:val="Normal6"/>
      </w:pPr>
      <w:r>
        <w:t>Usluga mrežnog povezivanja određenih lokacija pravosuđa kojima FINA pruža usluge nije realizirana radi poništenja otvorenog postupka javne.</w:t>
      </w:r>
    </w:p>
    <w:p w:rsidR="00AC0832" w:rsidRDefault="00AC0832">
      <w:pPr>
        <w:pStyle w:val="Heading6"/>
      </w:pPr>
      <w:r>
        <w:t>K630073 IPA 2008 - PODRŠKA IMPLEMENTACIJI NOVOG ZAKONA O KAZNENOM POSTUPKU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K630073-IPA 2008 - PODRŠKA IMPLEMENTACIJI NOVOG ZAKONA O KAZNENOM POSTUPKU</w:t>
            </w:r>
          </w:p>
        </w:tc>
        <w:tc>
          <w:tcPr>
            <w:tcW w:w="2322" w:type="dxa"/>
          </w:tcPr>
          <w:p w:rsidR="00AC0832" w:rsidRDefault="00AC0832">
            <w:pPr>
              <w:pStyle w:val="CellColumn"/>
            </w:pPr>
            <w:r>
              <w:t>5.845.946</w:t>
            </w:r>
          </w:p>
        </w:tc>
        <w:tc>
          <w:tcPr>
            <w:tcW w:w="2322" w:type="dxa"/>
          </w:tcPr>
          <w:p w:rsidR="00AC0832" w:rsidRDefault="00AC0832">
            <w:pPr>
              <w:pStyle w:val="CellColumn"/>
            </w:pPr>
            <w:r>
              <w:t>5.747.402</w:t>
            </w:r>
          </w:p>
        </w:tc>
        <w:tc>
          <w:tcPr>
            <w:tcW w:w="2322" w:type="dxa"/>
          </w:tcPr>
          <w:p w:rsidR="00AC0832" w:rsidRDefault="00AC0832">
            <w:pPr>
              <w:pStyle w:val="CellColumn"/>
            </w:pPr>
            <w:r>
              <w:t>98,3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Podrška funkcioniranju sudova u odnosu na nadzor i donošenje odluka, jačanje neovisnosti i učinkovitosti državnih odvjetnika, podrška policiji u provođenju istražnih radnji te nabava opreme - audio video oprema za ispitivanje osumnjičenika. </w:t>
      </w:r>
    </w:p>
    <w:p w:rsidR="00AC0832" w:rsidRDefault="00AC0832">
      <w:pPr>
        <w:pStyle w:val="Normal6"/>
      </w:pPr>
      <w:r>
        <w:t xml:space="preserve">Putem projekta provedene su sljedeće aktivnosti: </w:t>
      </w:r>
    </w:p>
    <w:p w:rsidR="00AC0832" w:rsidRDefault="00AC0832">
      <w:pPr>
        <w:pStyle w:val="Normal6"/>
      </w:pPr>
      <w:r>
        <w:t>1.</w:t>
      </w:r>
      <w:r>
        <w:tab/>
        <w:t xml:space="preserve">analiza provedbe novog Zakona o kaznenom postupku u određenim tijelima vezanim uz provedbu ovog zakona </w:t>
      </w:r>
    </w:p>
    <w:p w:rsidR="00AC0832" w:rsidRDefault="00AC0832">
      <w:pPr>
        <w:pStyle w:val="Normal6"/>
      </w:pPr>
      <w:r>
        <w:t>2.</w:t>
      </w:r>
      <w:r>
        <w:tab/>
        <w:t xml:space="preserve">izrada trening programa za suce i državne odvjetnike vezano za novi ZKP  </w:t>
      </w:r>
    </w:p>
    <w:p w:rsidR="00AC0832" w:rsidRDefault="00AC0832">
      <w:pPr>
        <w:pStyle w:val="Normal6"/>
      </w:pPr>
      <w:r>
        <w:t>3.</w:t>
      </w:r>
      <w:r>
        <w:tab/>
        <w:t xml:space="preserve">edukacija sudaca i državnih odvjetnika o novom ZKP </w:t>
      </w:r>
    </w:p>
    <w:p w:rsidR="00AC0832" w:rsidRDefault="00AC0832">
      <w:pPr>
        <w:pStyle w:val="Normal6"/>
      </w:pPr>
      <w:r>
        <w:t>4.</w:t>
      </w:r>
      <w:r>
        <w:tab/>
        <w:t xml:space="preserve">trening policijskih službenika vezano za novi ZKP </w:t>
      </w:r>
    </w:p>
    <w:p w:rsidR="00AC0832" w:rsidRDefault="00AC0832">
      <w:pPr>
        <w:pStyle w:val="Normal6"/>
      </w:pPr>
      <w:r>
        <w:t>5.</w:t>
      </w:r>
      <w:r>
        <w:tab/>
        <w:t>nabava i instaliriranje IT opreme.</w:t>
      </w:r>
    </w:p>
    <w:p w:rsidR="00AC0832" w:rsidRDefault="00AC0832">
      <w:pPr>
        <w:pStyle w:val="Heading6"/>
      </w:pPr>
      <w:r>
        <w:t>K630097 IPA I 2009 - DALJNJE POBOLJŠANJE INSTITUCIONALNIH KAPACITETA SVIH PREKRŠAJNIH SUDOVA I RAZVOJ ICMS KOMPATIBILNIH MODULA NA IZABRANIM PREKRŠAJNIM SUDOVIMA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K630097-IPA I 2009 - DALJNJE POBOLJŠANJE INSTITUCIONALNIH KAPACITETA SVIH PREKRŠAJNIH SUDOVA I RAZVOJ ICMS KOMPATIBILNIH MODULA NA IZABRANIM PREKRŠAJNIM SUDOVIMA</w:t>
            </w:r>
          </w:p>
        </w:tc>
        <w:tc>
          <w:tcPr>
            <w:tcW w:w="2322" w:type="dxa"/>
          </w:tcPr>
          <w:p w:rsidR="00AC0832" w:rsidRDefault="00AC0832">
            <w:pPr>
              <w:pStyle w:val="CellColumn"/>
            </w:pPr>
            <w:r>
              <w:t>11.919.575</w:t>
            </w:r>
          </w:p>
        </w:tc>
        <w:tc>
          <w:tcPr>
            <w:tcW w:w="2322" w:type="dxa"/>
          </w:tcPr>
          <w:p w:rsidR="00AC0832" w:rsidRDefault="00AC0832">
            <w:pPr>
              <w:pStyle w:val="CellColumn"/>
            </w:pPr>
            <w:r>
              <w:t>3.637.524</w:t>
            </w:r>
          </w:p>
        </w:tc>
        <w:tc>
          <w:tcPr>
            <w:tcW w:w="2322" w:type="dxa"/>
          </w:tcPr>
          <w:p w:rsidR="00AC0832" w:rsidRDefault="00AC0832">
            <w:pPr>
              <w:pStyle w:val="CellColumn"/>
            </w:pPr>
            <w:r>
              <w:t>30,5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Restrukturiranje poslovnih procesa na pojedinim prekršajnim sudovima; centralizacija poslovnih procesa u skladu sa EU praksom; razvoj međusobne suradnje i razmjene informacija u lancu prekršajnih sudova; smanjenje zaostalih predmeta i implementacija podsustava pravnih podataka; unapređenje postojećeg informatičkog sustava (ICMS); analiza smanjenja troškova; provedba treninga za korisnike ICMS-a; nabava neophodne IT opreme za provedbu ICMS-a. </w:t>
      </w:r>
    </w:p>
    <w:p w:rsidR="00AC0832" w:rsidRDefault="00AC0832">
      <w:pPr>
        <w:pStyle w:val="Normal6"/>
      </w:pPr>
      <w:r>
        <w:t xml:space="preserve">Projektom su obuhvaćene sljedeće aktivnosti: </w:t>
      </w:r>
    </w:p>
    <w:p w:rsidR="00AC0832" w:rsidRDefault="00AC0832">
      <w:pPr>
        <w:pStyle w:val="Normal6"/>
      </w:pPr>
      <w:r>
        <w:t>1.</w:t>
      </w:r>
      <w:r>
        <w:tab/>
        <w:t xml:space="preserve">Restrukturiranje poslovnih procesa na prekršajnim sudovima, njihova implementacija i testiranje na odabranim prekršajnim sudovima (planirano 10 pilot sudova). </w:t>
      </w:r>
    </w:p>
    <w:p w:rsidR="00AC0832" w:rsidRDefault="00AC0832">
      <w:pPr>
        <w:pStyle w:val="Normal6"/>
      </w:pPr>
      <w:r>
        <w:t>2.</w:t>
      </w:r>
      <w:r>
        <w:tab/>
        <w:t xml:space="preserve">Centralizacija određenih poslovnih procesa u skladu sa EU praksom, njihova implementacija i testiranje na odabranim prekršajnim sudovima (planirano 10 pilot sudova). </w:t>
      </w:r>
    </w:p>
    <w:p w:rsidR="00AC0832" w:rsidRDefault="00AC0832">
      <w:pPr>
        <w:pStyle w:val="Normal6"/>
      </w:pPr>
      <w:r>
        <w:t>3.</w:t>
      </w:r>
      <w:r>
        <w:tab/>
        <w:t xml:space="preserve">Jačanje međusobne suradnje i razmjene informacija u prekršajnom lancu (između upravnih tijela, policije, prekršajnih sudova i Ministarstva pravosuđa). </w:t>
      </w:r>
    </w:p>
    <w:p w:rsidR="00AC0832" w:rsidRDefault="00AC0832">
      <w:pPr>
        <w:pStyle w:val="Normal6"/>
      </w:pPr>
      <w:r>
        <w:t>4.</w:t>
      </w:r>
      <w:r>
        <w:tab/>
        <w:t xml:space="preserve">Analiza neriješenih predmeta na svim prekršajnim sudovima i izrada Akcijskog plana za prekršajne sudove s kritičnim/najlošijim rezultatima/pokazateljima. </w:t>
      </w:r>
    </w:p>
    <w:p w:rsidR="00AC0832" w:rsidRDefault="00AC0832">
      <w:pPr>
        <w:pStyle w:val="Normal6"/>
      </w:pPr>
      <w:r>
        <w:t>5.</w:t>
      </w:r>
      <w:r>
        <w:tab/>
        <w:t xml:space="preserve">Analiza sustava odabira odluka i procedure za objavljivanje sudske prakse prekršajnih sudova, davanje preporuka za određivanje odgovornih osoba i odabir odluka te njihovo objavljivanje kroz SuPra Nova sustav (Vrhovni sud RH). </w:t>
      </w:r>
    </w:p>
    <w:p w:rsidR="00AC0832" w:rsidRDefault="00AC0832">
      <w:pPr>
        <w:pStyle w:val="Normal6"/>
      </w:pPr>
      <w:r>
        <w:t>6.</w:t>
      </w:r>
      <w:r>
        <w:tab/>
        <w:t xml:space="preserve">Analiza stanja i uvjeta zgrada i radnih prostorija na svim prekršajnim sudovima, te izrada tzv. Bijele knjige koja sadržava procjenu potrebnih sredstava i vremena za poboljšanje postojećih uvjeta rada prekršajnih sudova. </w:t>
      </w:r>
    </w:p>
    <w:p w:rsidR="00AC0832" w:rsidRDefault="00AC0832">
      <w:pPr>
        <w:pStyle w:val="Normal6"/>
      </w:pPr>
      <w:r>
        <w:t>U drugoj polovici 2012. godine započela je provedba projekta (sve komponente).</w:t>
      </w:r>
    </w:p>
    <w:p w:rsidR="00AC0832" w:rsidRDefault="00AC0832">
      <w:pPr>
        <w:pStyle w:val="Heading6"/>
      </w:pPr>
      <w:r>
        <w:t>K630102 INFORMATIZACIJA UPRAVNIH SUDOVA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K630102-INFORMATIZACIJA UPRAVNIH SUDOVA</w:t>
            </w:r>
          </w:p>
        </w:tc>
        <w:tc>
          <w:tcPr>
            <w:tcW w:w="2322" w:type="dxa"/>
          </w:tcPr>
          <w:p w:rsidR="00AC0832" w:rsidRDefault="00AC0832">
            <w:pPr>
              <w:pStyle w:val="CellColumn"/>
            </w:pPr>
            <w:r>
              <w:t>131.360</w:t>
            </w:r>
          </w:p>
        </w:tc>
        <w:tc>
          <w:tcPr>
            <w:tcW w:w="2322" w:type="dxa"/>
          </w:tcPr>
          <w:p w:rsidR="00AC0832" w:rsidRDefault="00AC0832">
            <w:pPr>
              <w:pStyle w:val="CellColumn"/>
            </w:pPr>
            <w:r>
              <w:t>131.325</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Nastavak usluga održavanja i podrške računalnog programa za upravljanje predmetima Upravnog suda (Upisnik upravnih sudova za potrebe četiri prvostupanjska upravna suda i Visoki upravni sud).</w:t>
      </w:r>
    </w:p>
    <w:p w:rsidR="00AC0832" w:rsidRDefault="00AC0832">
      <w:pPr>
        <w:pStyle w:val="Heading6"/>
      </w:pPr>
      <w:r>
        <w:t>T544050 IPA I 2010 RAZVOJ INFORMATIČKOG SUSTAVA ZA MEĐUNARODNU PRAVNU POMOĆ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T544050-IPA I 2010 RAZVOJ INFORMATIČKOG SUSTAVA ZA MEĐUNARODNU PRAVNU POMOĆ</w:t>
            </w:r>
          </w:p>
        </w:tc>
        <w:tc>
          <w:tcPr>
            <w:tcW w:w="2322" w:type="dxa"/>
          </w:tcPr>
          <w:p w:rsidR="00AC0832" w:rsidRDefault="00AC0832">
            <w:pPr>
              <w:pStyle w:val="CellColumn"/>
            </w:pPr>
            <w:r>
              <w:t>1.386.000</w:t>
            </w:r>
          </w:p>
        </w:tc>
        <w:tc>
          <w:tcPr>
            <w:tcW w:w="2322" w:type="dxa"/>
          </w:tcPr>
          <w:p w:rsidR="00AC0832" w:rsidRDefault="00AC0832">
            <w:pPr>
              <w:pStyle w:val="CellColumn"/>
            </w:pPr>
            <w:r>
              <w:t>00</w:t>
            </w:r>
          </w:p>
        </w:tc>
        <w:tc>
          <w:tcPr>
            <w:tcW w:w="2322" w:type="dxa"/>
          </w:tcPr>
          <w:p w:rsidR="00AC0832" w:rsidRDefault="00AC0832">
            <w:pPr>
              <w:pStyle w:val="CellColumn"/>
            </w:pPr>
            <w:r>
              <w:t>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Povećanje efikasnosti Sektora za međunarodnu pravnu pomoć (MPP) kroz podržavanje poslovnih procesa tj. praćenje predmeta uz podršku informatičke tehnologije. </w:t>
      </w:r>
    </w:p>
    <w:p w:rsidR="00AC0832" w:rsidRDefault="00AC0832">
      <w:pPr>
        <w:pStyle w:val="Normal6"/>
      </w:pPr>
      <w:r>
        <w:t xml:space="preserve">Projektom su obuhvaćene sljedeće aktivnosti: </w:t>
      </w:r>
    </w:p>
    <w:p w:rsidR="00AC0832" w:rsidRDefault="00AC0832">
      <w:pPr>
        <w:pStyle w:val="Normal6"/>
      </w:pPr>
      <w:r>
        <w:t>1.</w:t>
      </w:r>
      <w:r>
        <w:tab/>
        <w:t xml:space="preserve">Analiza dobre prakse sličnih sustava u EU  </w:t>
      </w:r>
    </w:p>
    <w:p w:rsidR="00AC0832" w:rsidRDefault="00AC0832">
      <w:pPr>
        <w:pStyle w:val="Normal6"/>
      </w:pPr>
      <w:r>
        <w:t>2.</w:t>
      </w:r>
      <w:r>
        <w:tab/>
        <w:t xml:space="preserve">Održavane su  dvije radionice s konzultantom i predstavnicima korisnika (Sektor za MPP) radi definiranja funkcionalnih uvjeta za MPP IT sustav. </w:t>
      </w:r>
    </w:p>
    <w:p w:rsidR="00AC0832" w:rsidRDefault="00AC0832">
      <w:pPr>
        <w:pStyle w:val="Normal6"/>
      </w:pPr>
      <w:r>
        <w:t>3.</w:t>
      </w:r>
      <w:r>
        <w:tab/>
        <w:t xml:space="preserve">Definiranje funkcionalnih specifikacija MPP IT sustava. </w:t>
      </w:r>
    </w:p>
    <w:p w:rsidR="00AC0832" w:rsidRDefault="00AC0832">
      <w:pPr>
        <w:pStyle w:val="Normal6"/>
      </w:pPr>
      <w:r>
        <w:t>4.</w:t>
      </w:r>
      <w:r>
        <w:tab/>
        <w:t xml:space="preserve">Projektiranje, razvoj i testiranje MPP IT sustava. </w:t>
      </w:r>
    </w:p>
    <w:p w:rsidR="00AC0832" w:rsidRDefault="00AC0832">
      <w:pPr>
        <w:pStyle w:val="Normal6"/>
      </w:pPr>
      <w:r>
        <w:t>5.</w:t>
      </w:r>
      <w:r>
        <w:tab/>
        <w:t xml:space="preserve">Implementacija MPP IT sustava.  </w:t>
      </w:r>
    </w:p>
    <w:p w:rsidR="00AC0832" w:rsidRDefault="00AC0832">
      <w:pPr>
        <w:pStyle w:val="Normal6"/>
      </w:pPr>
      <w:r>
        <w:t>6.</w:t>
      </w:r>
      <w:r>
        <w:tab/>
        <w:t xml:space="preserve">Migracija postojećih podataka u novi MPP IT sustav.  </w:t>
      </w:r>
    </w:p>
    <w:p w:rsidR="00AC0832" w:rsidRDefault="00AC0832">
      <w:pPr>
        <w:pStyle w:val="Normal6"/>
      </w:pPr>
      <w:r>
        <w:t>7.</w:t>
      </w:r>
      <w:r>
        <w:tab/>
        <w:t xml:space="preserve">Pisanje, prijevod i tiskanje priručnika za korisnike i administratore MPP IT sustava. </w:t>
      </w:r>
    </w:p>
    <w:p w:rsidR="00AC0832" w:rsidRDefault="00AC0832">
      <w:pPr>
        <w:pStyle w:val="Normal6"/>
      </w:pPr>
      <w:r>
        <w:t>8.</w:t>
      </w:r>
      <w:r>
        <w:tab/>
        <w:t xml:space="preserve">Razvoj i prijevod strategije za održavanje i podršku. </w:t>
      </w:r>
    </w:p>
    <w:p w:rsidR="00AC0832" w:rsidRDefault="00AC0832">
      <w:pPr>
        <w:pStyle w:val="Normal6"/>
      </w:pPr>
      <w:r>
        <w:t>9.</w:t>
      </w:r>
      <w:r>
        <w:tab/>
        <w:t xml:space="preserve">Razvoj i isporuka potrebne tehničke dokumentacije za novi MPP IT sustav. </w:t>
      </w:r>
    </w:p>
    <w:p w:rsidR="00AC0832" w:rsidRDefault="00AC0832">
      <w:pPr>
        <w:pStyle w:val="Normal6"/>
      </w:pPr>
      <w:r>
        <w:t>10.</w:t>
      </w:r>
      <w:r>
        <w:tab/>
        <w:t xml:space="preserve">Edukacija o korištenju i administraciji MPP IT sustava za korisnike.  </w:t>
      </w:r>
    </w:p>
    <w:p w:rsidR="00AC0832" w:rsidRDefault="00AC0832">
      <w:pPr>
        <w:pStyle w:val="Normal6"/>
      </w:pPr>
      <w:r>
        <w:t>Tijekom 2012. godine se radilo na izradi nove natječajne dokumentacije te je u tijeku bio postupak natječaja za dodjelu ugovora o pružanju usluga.</w:t>
      </w:r>
    </w:p>
    <w:p w:rsidR="00AC0832" w:rsidRDefault="00AC0832">
      <w:pPr>
        <w:pStyle w:val="Heading6"/>
      </w:pPr>
      <w:r>
        <w:t>T630070 IPA 2008 FPP RAC - PODRŠKA USPOSTAVI DRŽAVNE ŠKOLE ZA PRAVOSUDNE DUŽNOSNIKE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T630070-IPA 2008 FPP RAC - PODRŠKA USPOSTAVI DRŽAVNE ŠKOLE ZA PRAVOSUDNE DUŽNOSNIKE</w:t>
            </w:r>
          </w:p>
        </w:tc>
        <w:tc>
          <w:tcPr>
            <w:tcW w:w="2322" w:type="dxa"/>
          </w:tcPr>
          <w:p w:rsidR="00AC0832" w:rsidRDefault="00AC0832">
            <w:pPr>
              <w:pStyle w:val="CellColumn"/>
            </w:pPr>
            <w:r>
              <w:t>343.500</w:t>
            </w:r>
          </w:p>
        </w:tc>
        <w:tc>
          <w:tcPr>
            <w:tcW w:w="2322" w:type="dxa"/>
          </w:tcPr>
          <w:p w:rsidR="00AC0832" w:rsidRDefault="00AC0832">
            <w:pPr>
              <w:pStyle w:val="CellColumn"/>
            </w:pPr>
            <w:r>
              <w:t>00</w:t>
            </w:r>
          </w:p>
        </w:tc>
        <w:tc>
          <w:tcPr>
            <w:tcW w:w="2322" w:type="dxa"/>
          </w:tcPr>
          <w:p w:rsidR="00AC0832" w:rsidRDefault="00AC0832">
            <w:pPr>
              <w:pStyle w:val="CellColumn"/>
            </w:pPr>
            <w:r>
              <w:t>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Aktivnosti koje se financiraju kroz ovaj projekt odnose se na izradu komparativnih analiza i analiza potreba, izradu edukacijskih materijala, provođenje edukacije i podršku pri uspostavi sustava ulaska u Školu za pravosudne dužnosnike. </w:t>
      </w:r>
    </w:p>
    <w:p w:rsidR="00AC0832" w:rsidRDefault="00AC0832">
      <w:pPr>
        <w:pStyle w:val="Normal6"/>
      </w:pPr>
      <w:r>
        <w:t xml:space="preserve">Projektom su provedene sljedeće aktivnosti: </w:t>
      </w:r>
    </w:p>
    <w:p w:rsidR="00AC0832" w:rsidRDefault="00AC0832">
      <w:pPr>
        <w:pStyle w:val="Normal6"/>
      </w:pPr>
      <w:r>
        <w:t>1.</w:t>
      </w:r>
      <w:r>
        <w:tab/>
        <w:t xml:space="preserve">Izrada preporuka za unapređenje zakonodavnog i institucionalnog okvira Škole za pravosudne dužnosnike. </w:t>
      </w:r>
    </w:p>
    <w:p w:rsidR="00AC0832" w:rsidRDefault="00AC0832">
      <w:pPr>
        <w:pStyle w:val="Normal6"/>
      </w:pPr>
      <w:r>
        <w:t>2.</w:t>
      </w:r>
      <w:r>
        <w:tab/>
        <w:t xml:space="preserve">Organiziranje edukacije mentora i predavača na Školi za pravosudne dužnosnike. </w:t>
      </w:r>
    </w:p>
    <w:p w:rsidR="00AC0832" w:rsidRDefault="00AC0832">
      <w:pPr>
        <w:pStyle w:val="Normal6"/>
      </w:pPr>
      <w:r>
        <w:t>3.</w:t>
      </w:r>
      <w:r>
        <w:tab/>
        <w:t>Organiziranje edukacije članova ispitnog povjerenstva o provođenju strukturiranih razgovora.</w:t>
      </w:r>
    </w:p>
    <w:p w:rsidR="00AC0832" w:rsidRDefault="00AC0832">
      <w:pPr>
        <w:pStyle w:val="Heading6"/>
      </w:pPr>
      <w:r>
        <w:t>T630080 IPA 2008 (FPP RAC) - RAZVOJ INFORMACIJSKOG PODSUSTAVA ZA ZAJEDNIČKI INFORMACIJSKI SUSTAV U ZEMLJIŠNOKNJIŽNOM SEKTORU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1"/>
        <w:gridCol w:w="2308"/>
        <w:gridCol w:w="2307"/>
        <w:gridCol w:w="231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T630080-IPA 2008 (FPP RAC) - RAZVOJ INFORMACIJSKOG PODSUSTAVA ZA ZAJEDNIČKI INFORMACIJSKI SUSTAV U ZEMLJIŠNOKNJIŽNOM SEKTORU</w:t>
            </w:r>
          </w:p>
        </w:tc>
        <w:tc>
          <w:tcPr>
            <w:tcW w:w="2322" w:type="dxa"/>
          </w:tcPr>
          <w:p w:rsidR="00AC0832" w:rsidRDefault="00AC0832">
            <w:pPr>
              <w:pStyle w:val="CellColumn"/>
            </w:pPr>
            <w:r>
              <w:t>1.533.043</w:t>
            </w:r>
          </w:p>
        </w:tc>
        <w:tc>
          <w:tcPr>
            <w:tcW w:w="2322" w:type="dxa"/>
          </w:tcPr>
          <w:p w:rsidR="00AC0832" w:rsidRDefault="00AC0832">
            <w:pPr>
              <w:pStyle w:val="CellColumn"/>
            </w:pPr>
            <w:r>
              <w:t>2.116</w:t>
            </w:r>
          </w:p>
        </w:tc>
        <w:tc>
          <w:tcPr>
            <w:tcW w:w="2322" w:type="dxa"/>
          </w:tcPr>
          <w:p w:rsidR="00AC0832" w:rsidRDefault="00AC0832">
            <w:pPr>
              <w:pStyle w:val="CellColumn"/>
            </w:pPr>
            <w:r>
              <w:t>0,1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Specifične aktivnosti koje se financiraju kroz ovaj projekt odnose se na uspostavu aplikacije "One Stop Shop" kao dio ZIS (Zajednički informacijski sustav) aplikacije u zemljišnoknjižnom sustavu, konsolidacija zemljišnoknjižnih podataka u digitalnom obliku i priprema/edukacija korisnika za buduće efikasno korištenje ZIS aplikacije. </w:t>
      </w:r>
    </w:p>
    <w:p w:rsidR="00AC0832" w:rsidRDefault="00AC0832">
      <w:pPr>
        <w:pStyle w:val="Normal6"/>
      </w:pPr>
      <w:r>
        <w:t xml:space="preserve">Projekt obuhvaća sljedeće aktivnosti: </w:t>
      </w:r>
    </w:p>
    <w:p w:rsidR="00AC0832" w:rsidRDefault="00AC0832">
      <w:pPr>
        <w:pStyle w:val="Normal6"/>
      </w:pPr>
      <w:r>
        <w:t xml:space="preserve">1. Razvoj One stop shop  aplikacije (podsustav ZIS sustava). </w:t>
      </w:r>
    </w:p>
    <w:p w:rsidR="00AC0832" w:rsidRDefault="00AC0832">
      <w:pPr>
        <w:pStyle w:val="Normal6"/>
      </w:pPr>
      <w:r>
        <w:t xml:space="preserve">2. Konsolidaciju zemljišnoknjižnih podataka za svih 109 ZK odjela općinskih sudova  </w:t>
      </w:r>
    </w:p>
    <w:p w:rsidR="00AC0832" w:rsidRDefault="00AC0832">
      <w:pPr>
        <w:pStyle w:val="Normal6"/>
      </w:pPr>
      <w:r>
        <w:t xml:space="preserve">3. Razvoj programa edukacije i provođenje same edukacije namijenjene zaposlenicima Ministarstva pravosuđa (ZK Odjela) i Državne geodetske uprave (zaposlenika katastarskih ureda ). </w:t>
      </w:r>
    </w:p>
    <w:p w:rsidR="00AC0832" w:rsidRDefault="00AC0832">
      <w:pPr>
        <w:pStyle w:val="Normal6"/>
      </w:pPr>
      <w:r>
        <w:t xml:space="preserve">Projekt je suspendiran od 17. siječnja 2012. godine, te tijekom cijele 2012. godine stoga nije provedena niti jedna projektna aktivnost. </w:t>
      </w:r>
    </w:p>
    <w:p w:rsidR="00AC0832" w:rsidRDefault="00AC0832">
      <w:pPr>
        <w:pStyle w:val="Normal6"/>
      </w:pPr>
      <w:r>
        <w:t>Razlog suspenzije vezan je uz trenutne probleme sa ZIS-om koji su predmet drugog ugovora financiranog kroz zajam Svjetske banke, ali predstavljaju važan preduvjet za nastavak provedbe ovog projekta s obzirom na činjenicu da je sustav „One Stop Shop“ koji se treba razviti kroz ovaj projekt podsustav ZIS-a.</w:t>
      </w:r>
    </w:p>
    <w:p w:rsidR="00AC0832" w:rsidRDefault="00AC0832">
      <w:pPr>
        <w:pStyle w:val="Heading6"/>
      </w:pPr>
      <w:r>
        <w:t>T630096 IPA I 2009 - IMPLEMENTACIJA E - SPISA NA ODABRANE OPĆINSKE SUDOVE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T630096-IPA I 2009 - IMPLEMENTACIJA E - SPISA NA ODABRANE OPĆINSKE SUDOVE</w:t>
            </w:r>
          </w:p>
        </w:tc>
        <w:tc>
          <w:tcPr>
            <w:tcW w:w="2322" w:type="dxa"/>
          </w:tcPr>
          <w:p w:rsidR="00AC0832" w:rsidRDefault="00AC0832">
            <w:pPr>
              <w:pStyle w:val="CellColumn"/>
            </w:pPr>
            <w:r>
              <w:t>2.403.000</w:t>
            </w:r>
          </w:p>
        </w:tc>
        <w:tc>
          <w:tcPr>
            <w:tcW w:w="2322" w:type="dxa"/>
          </w:tcPr>
          <w:p w:rsidR="00AC0832" w:rsidRDefault="00AC0832">
            <w:pPr>
              <w:pStyle w:val="CellColumn"/>
            </w:pPr>
            <w:r>
              <w:t>2.301.575</w:t>
            </w:r>
          </w:p>
        </w:tc>
        <w:tc>
          <w:tcPr>
            <w:tcW w:w="2322" w:type="dxa"/>
          </w:tcPr>
          <w:p w:rsidR="00AC0832" w:rsidRDefault="00AC0832">
            <w:pPr>
              <w:pStyle w:val="CellColumn"/>
            </w:pPr>
            <w:r>
              <w:t>95,8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Specifične aktivnosti koje se financiraju kroz ovaj projekt odnose se na implementaciju eSpis sustava na preostala 33 općinska suda u RH, edukaciju ključnih korisnika na tim sudovima i izradu web portala. </w:t>
      </w:r>
    </w:p>
    <w:p w:rsidR="00AC0832" w:rsidRDefault="00AC0832">
      <w:pPr>
        <w:pStyle w:val="Normal6"/>
      </w:pPr>
      <w:r>
        <w:t xml:space="preserve">Projektom su obuhvaćene sljedeće aktivnosti: </w:t>
      </w:r>
    </w:p>
    <w:p w:rsidR="00AC0832" w:rsidRDefault="00AC0832">
      <w:pPr>
        <w:pStyle w:val="Normal6"/>
      </w:pPr>
      <w:r>
        <w:t>1.</w:t>
      </w:r>
      <w:r>
        <w:tab/>
        <w:t xml:space="preserve">Implementacija eSpis sustava na preostale općinske sudove odnosna na 33 općinska suda (čime bi se ovaj sustav uveo na sve predviđene sudove u Republici Hrvatskoj) koja uključuje slijedeće faze u samom procesu: instalacija eSpisa, testiranje, pred-produkcija i produkcija (za svaki sud pojedinačno). </w:t>
      </w:r>
    </w:p>
    <w:p w:rsidR="00AC0832" w:rsidRDefault="00AC0832">
      <w:pPr>
        <w:pStyle w:val="Normal6"/>
      </w:pPr>
      <w:r>
        <w:t>2.</w:t>
      </w:r>
      <w:r>
        <w:tab/>
        <w:t xml:space="preserve">Edukacija ključnih korisnika za efikasno korištenje eSpisa na odabranim općinskim sudovima. </w:t>
      </w:r>
    </w:p>
    <w:p w:rsidR="00AC0832" w:rsidRDefault="00AC0832">
      <w:pPr>
        <w:pStyle w:val="Normal6"/>
      </w:pPr>
      <w:r>
        <w:t>3.</w:t>
      </w:r>
      <w:r>
        <w:tab/>
        <w:t xml:space="preserve">Izrada, testiranje i implementacija interne baze znanja za eSpis (koju bi koristilo Ministarstvo pravosuđa i svi zainteresirani korisnici eSpis sustava na sudovima). </w:t>
      </w:r>
    </w:p>
    <w:p w:rsidR="00AC0832" w:rsidRDefault="00AC0832">
      <w:pPr>
        <w:pStyle w:val="Normal6"/>
      </w:pPr>
      <w:r>
        <w:t>4.</w:t>
      </w:r>
      <w:r>
        <w:tab/>
        <w:t xml:space="preserve">Izrada web aplikacije za građanstvo/zainteresirane strane s informacijama vezanim za status predmeta, njeno testiranje i implementacija. </w:t>
      </w:r>
    </w:p>
    <w:p w:rsidR="00AC0832" w:rsidRDefault="00AC0832">
      <w:pPr>
        <w:pStyle w:val="Normal6"/>
      </w:pPr>
      <w:r>
        <w:t>5.</w:t>
      </w:r>
      <w:r>
        <w:tab/>
        <w:t xml:space="preserve">Izrada javne oglasne ploče za sudove na web-u, njeno testiranje i implementacija. </w:t>
      </w:r>
    </w:p>
    <w:p w:rsidR="00AC0832" w:rsidRDefault="00AC0832">
      <w:pPr>
        <w:pStyle w:val="Normal6"/>
      </w:pPr>
      <w:r>
        <w:t>6.</w:t>
      </w:r>
      <w:r>
        <w:tab/>
        <w:t xml:space="preserve">Edukacija zaposlenika sudova za korištenje i održavanje novo razvijenih eSpis web usluga (baza znanja, status predmeta i javna oglasna ploča sudova).  </w:t>
      </w:r>
    </w:p>
    <w:p w:rsidR="00AC0832" w:rsidRDefault="00AC0832">
      <w:pPr>
        <w:pStyle w:val="Normal6"/>
      </w:pPr>
      <w:r>
        <w:t>Provedba ugovora započela je u kolovozu 2012. godine. Projektne aktivnosti odvijale su se sukladno radnom planu tijekom 2012. godine.</w:t>
      </w:r>
    </w:p>
    <w:p w:rsidR="00AC0832" w:rsidRDefault="00AC0832">
      <w:pPr>
        <w:pStyle w:val="Heading5"/>
      </w:pPr>
      <w:r>
        <w:t>2808 POTPORA PRAVOSUDNOM SUSTAVU - ZAJAM IBRD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2808-POTPORA PRAVOSUDNOM SUSTAVU - ZAJAM IBRD</w:t>
            </w:r>
          </w:p>
        </w:tc>
        <w:tc>
          <w:tcPr>
            <w:tcW w:w="2322" w:type="dxa"/>
          </w:tcPr>
          <w:p w:rsidR="00AC0832" w:rsidRDefault="00AC0832">
            <w:pPr>
              <w:pStyle w:val="CellColumn"/>
            </w:pPr>
            <w:r>
              <w:t>12.422.599</w:t>
            </w:r>
          </w:p>
        </w:tc>
        <w:tc>
          <w:tcPr>
            <w:tcW w:w="2322" w:type="dxa"/>
          </w:tcPr>
          <w:p w:rsidR="00AC0832" w:rsidRDefault="00AC0832">
            <w:pPr>
              <w:pStyle w:val="CellColumn"/>
            </w:pPr>
            <w:r>
              <w:t>21.360.108</w:t>
            </w:r>
          </w:p>
        </w:tc>
        <w:tc>
          <w:tcPr>
            <w:tcW w:w="2322" w:type="dxa"/>
          </w:tcPr>
          <w:p w:rsidR="00AC0832" w:rsidRDefault="00AC0832">
            <w:pPr>
              <w:pStyle w:val="CellColumn"/>
            </w:pPr>
            <w:r>
              <w:t>171,9</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Projekt potpore pravosudnom sektoru (JSSP) provodi se kao inter-sektorski i interdisciplinarni program s ciljem ubrzavanja i omogućavanja ostvarenja čitavog niza ciljeva određenih Strategijom reforme pravosuđa i Akcijskim planom za njezinu provedbu. </w:t>
      </w:r>
    </w:p>
    <w:p w:rsidR="00AC0832" w:rsidRDefault="00AC0832">
      <w:pPr>
        <w:pStyle w:val="Normal5"/>
      </w:pPr>
      <w:r>
        <w:t xml:space="preserve">Svi ciljevi koji će se ostvariti ovim programom su ujedno temeljni ciljevi pravosudnog sustava čije ostvarenje se prati i u svjetlu pristupnih pregovora Republike Hrvatske i Europske Unije. Ciljevi koji se žele postići provedbom programa su: </w:t>
      </w:r>
    </w:p>
    <w:p w:rsidR="00AC0832" w:rsidRDefault="00AC0832">
      <w:pPr>
        <w:pStyle w:val="Normal5"/>
      </w:pPr>
      <w:r>
        <w:t xml:space="preserve">- racionalizacija mreže sudova i  mreže državnih odvjetništava, </w:t>
      </w:r>
    </w:p>
    <w:p w:rsidR="00AC0832" w:rsidRDefault="00AC0832">
      <w:pPr>
        <w:pStyle w:val="Normal5"/>
      </w:pPr>
      <w:r>
        <w:t xml:space="preserve">- ubrzavanje i racionalizacija sudskih i državno odvjetničkih postupaka, te posljedično smanjivanje zaostataka, </w:t>
      </w:r>
    </w:p>
    <w:p w:rsidR="00AC0832" w:rsidRDefault="00AC0832">
      <w:pPr>
        <w:pStyle w:val="Normal5"/>
      </w:pPr>
      <w:r>
        <w:t xml:space="preserve">- jačanje transparentnosti u djelovanju sudova i državnih odvjetništava, te jačanje antikoruptivnih mehanizama,  </w:t>
      </w:r>
    </w:p>
    <w:p w:rsidR="00AC0832" w:rsidRDefault="00AC0832">
      <w:pPr>
        <w:pStyle w:val="Normal5"/>
      </w:pPr>
      <w:r>
        <w:t xml:space="preserve">-  smanjenje „dojma“ o korumpiranosti pravosudnog sustava, </w:t>
      </w:r>
    </w:p>
    <w:p w:rsidR="00AC0832" w:rsidRDefault="00AC0832">
      <w:pPr>
        <w:pStyle w:val="Normal5"/>
      </w:pPr>
      <w:r>
        <w:t xml:space="preserve">- reforma ovršnog sustava s ciljem povećanja broja uspješno dovršenih ovršnih postupaka i skraćivanja trajanja postupaka, </w:t>
      </w:r>
    </w:p>
    <w:p w:rsidR="00AC0832" w:rsidRDefault="00AC0832">
      <w:pPr>
        <w:pStyle w:val="Normal5"/>
      </w:pPr>
      <w:r>
        <w:t xml:space="preserve">- jačanje sposobnosti DORH-a i USKOK-a u otkrivanju i progonu kaznenih djela povezanih s korupcijom i organiziranim kriminalom. </w:t>
      </w:r>
    </w:p>
    <w:p w:rsidR="00AC0832" w:rsidRDefault="00AC0832">
      <w:pPr>
        <w:pStyle w:val="Normal5"/>
      </w:pPr>
      <w:r>
        <w:t>Ostvarenje navedenih ciljeva imat će izravne ekonomske i financijske učinke poput rješavanja većeg broja predmeta u kraćem vremenu i uz manji trošak, izravnih ušteda u režijskim troškovima pravosudnog sustava, racionalnom planiranju budućih investicija u pravosudnom sustavu, učinkovitoj naplati potraživanja, a u konačnici pružanju bolje usluge korisnicima kroz jačanje učinkovitosti i ažurnosti pravosuđa i jačanje pravne sigurnosti.</w:t>
      </w:r>
    </w:p>
    <w:p w:rsidR="00AC0832" w:rsidRDefault="00AC0832">
      <w:pPr>
        <w:pStyle w:val="Heading6"/>
      </w:pPr>
      <w:r>
        <w:t>Zakonske i druge pravne osnove</w:t>
      </w:r>
    </w:p>
    <w:p w:rsidR="00AC0832" w:rsidRDefault="00AC0832">
      <w:pPr>
        <w:pStyle w:val="Normal5"/>
      </w:pPr>
      <w:r>
        <w:t xml:space="preserve">Projekt se provodi na temelju Ugovora o zajmu za Projekt potpore pravosudnom sektoru potpisanog između Republike Hrvatske i Međunarodne banke za obnovu i razvoj (Svjetske banke), te Zakona o potvrđivanju Ugovora o zajmu (Međunarodni ugovori NN /10). Ugovor o zajmu stupio je na snagu 12. srpnja 2010. godine. Pored toga projekt predstavlja izravan nastavak i/ili dovršetak niza prethodnih projekata vođenih u sklopu CARDS (2002, 2003, 2004) i PHARE (2006) programa i komplementaran je IPA programima (planiranim ili u tijeku). </w:t>
      </w:r>
    </w:p>
    <w:p w:rsidR="00AC0832" w:rsidRDefault="00AC0832">
      <w:pPr>
        <w:pStyle w:val="Normal5"/>
      </w:pPr>
      <w:r>
        <w:t>Projekt će se provoditi temeljem Zakona o potvrđivanju Ugovora o zajmu; Zakona o sustavu provedbe programa Europske unije i sustavu provedbe projekata financiranih iz sredstava zajmova i darovnica iz ostalih inozemnih izvora (NN 58/06); i Uredbe o poslovima upravljanja sustavom i nadzoru provedbe projekata financiranih iz zajmova i darovnica Republici Hrvatskoj iz ostalih inozemnih izvora (NN 33/07).</w:t>
      </w:r>
    </w:p>
    <w:p w:rsidR="00AC0832" w:rsidRDefault="00AC0832">
      <w:pPr>
        <w:pStyle w:val="Heading7"/>
      </w:pPr>
      <w:r>
        <w:t xml:space="preserve">Cilj 1.  Izgradnja/rekonstrukcija i opremanje 4 zgrade pravosudnih tijela. </w:t>
      </w:r>
    </w:p>
    <w:p w:rsidR="00AC0832" w:rsidRDefault="00AC0832">
      <w:pPr>
        <w:pStyle w:val="Heading7"/>
      </w:pPr>
      <w:r>
        <w:t xml:space="preserve">Cilj 2. Daljnja informatizacija poslovnih procesa u pravosudnom sustavu. </w:t>
      </w:r>
    </w:p>
    <w:p w:rsidR="00AC0832" w:rsidRDefault="00AC0832">
      <w:pPr>
        <w:pStyle w:val="Heading7"/>
      </w:pPr>
      <w:r>
        <w:t>Cilj 3. Unaprjeđenje sustava ovrhe.</w:t>
      </w:r>
    </w:p>
    <w:p w:rsidR="00AC0832" w:rsidRDefault="00AC0832">
      <w:pPr>
        <w:pStyle w:val="Heading7"/>
      </w:pPr>
      <w:r>
        <w:t xml:space="preserve">Cilj 4. Unaprjeđenje upravljanja sudovima i državnim odvjetništvima.  </w:t>
      </w:r>
    </w:p>
    <w:p w:rsidR="00AC0832" w:rsidRDefault="00AC0832">
      <w:pPr>
        <w:pStyle w:val="Heading7"/>
      </w:pPr>
      <w:r>
        <w:t xml:space="preserve">Ministarstva pravosuđa. </w:t>
      </w:r>
    </w:p>
    <w:p w:rsidR="00AC0832" w:rsidRDefault="00AC0832">
      <w:pPr>
        <w:pStyle w:val="Heading6"/>
      </w:pPr>
    </w:p>
    <w:p w:rsidR="00AC0832" w:rsidRDefault="00AC0832">
      <w:pPr>
        <w:pStyle w:val="Heading6"/>
      </w:pPr>
    </w:p>
    <w:p w:rsidR="00AC0832" w:rsidRDefault="00AC0832">
      <w:pPr>
        <w:pStyle w:val="Heading6"/>
      </w:pPr>
    </w:p>
    <w:p w:rsidR="00AC0832" w:rsidRDefault="00AC0832">
      <w:pPr>
        <w:pStyle w:val="Heading6"/>
      </w:pPr>
      <w:r>
        <w:t>K629259 DRŽAVNO ODVJETNIŠTVO REPUBLIKE HRVATSKE (DOGRADNJA ZGRADE) - IBRD 78880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K629259-DRŽAVNO ODVJETNIŠTVO REPUBLIKE HRVATSKE (DOGRADNJA ZGRADE) - IBRD 78880</w:t>
            </w:r>
          </w:p>
        </w:tc>
        <w:tc>
          <w:tcPr>
            <w:tcW w:w="2322" w:type="dxa"/>
          </w:tcPr>
          <w:p w:rsidR="00AC0832" w:rsidRDefault="00AC0832">
            <w:pPr>
              <w:pStyle w:val="CellColumn"/>
            </w:pPr>
            <w:r>
              <w:t>1.308.256</w:t>
            </w:r>
          </w:p>
        </w:tc>
        <w:tc>
          <w:tcPr>
            <w:tcW w:w="2322" w:type="dxa"/>
          </w:tcPr>
          <w:p w:rsidR="00AC0832" w:rsidRDefault="00AC0832">
            <w:pPr>
              <w:pStyle w:val="CellColumn"/>
            </w:pPr>
            <w:r>
              <w:t>6.285.805</w:t>
            </w:r>
          </w:p>
        </w:tc>
        <w:tc>
          <w:tcPr>
            <w:tcW w:w="2322" w:type="dxa"/>
          </w:tcPr>
          <w:p w:rsidR="00AC0832" w:rsidRDefault="00AC0832">
            <w:pPr>
              <w:pStyle w:val="CellColumn"/>
            </w:pPr>
            <w:r>
              <w:t>480,5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Dogradnja i rekonstrukcija te opremanje zgrade Državnog odvjetništva RH u Zagrebu, Gajeva 30 a. Građevinsko-obrtnički radovi, usluge stručnog i obračunskog nadzora, usluge koordinatora I i II.  </w:t>
      </w:r>
    </w:p>
    <w:p w:rsidR="00AC0832" w:rsidRDefault="00AC0832">
      <w:pPr>
        <w:pStyle w:val="Normal6"/>
      </w:pPr>
      <w:r>
        <w:t xml:space="preserve">Poboljšanje uvjeta rada Državnog odvjetništva RH u skladu sa smjernicama reforme pravosuđa   i omogućavanju odgovarajućih uvjeta rada po svim aktivnostima: </w:t>
      </w:r>
    </w:p>
    <w:p w:rsidR="00AC0832" w:rsidRDefault="00AC0832">
      <w:pPr>
        <w:pStyle w:val="Normal6"/>
      </w:pPr>
      <w:r>
        <w:t>•</w:t>
      </w:r>
      <w:r>
        <w:tab/>
        <w:t xml:space="preserve">adaptacija prostorija arhiva u cilju ostvarivanja uvjeta propisanih važećom regulativom, rekonstrukcije ulične zgrade u cilju smanjenja komunikacijskih barijera invalidima, poboljšanje uvjeta rada po svim sadržajima u zgradi, povezivanje sa dvorišnom dogradnjom  </w:t>
      </w:r>
    </w:p>
    <w:p w:rsidR="00AC0832" w:rsidRDefault="00AC0832">
      <w:pPr>
        <w:pStyle w:val="Normal6"/>
      </w:pPr>
      <w:r>
        <w:t>•</w:t>
      </w:r>
      <w:r>
        <w:tab/>
        <w:t xml:space="preserve">dogradnja dvorišne zgrade sa dvoranama za edukaciju i obavljanje svih ostalih djelatnosti DORH-a i USKOK-a, sve usklađeno sa novim standardima i regulativom u cilju zaštite od buke, smanjenja gubitka topline, omogućavanja nesmetane komunikacije invalida. </w:t>
      </w:r>
    </w:p>
    <w:p w:rsidR="00AC0832" w:rsidRDefault="00AC0832">
      <w:pPr>
        <w:pStyle w:val="Normal6"/>
      </w:pPr>
      <w:r>
        <w:t>Tijekom 2012.godine izvršene su gotovo sve planirane aktivnosti, osim dijela završnih radova i montaže opreme. Na taj način objekt je pripremljen za uspješno obavljanje tehničkog pregleda i dobivanja Uporabne dozvole (što je i izvršeno u veljači 2013.godine) sa ciljem poboljšanja uvjeta rada i omogućavanja odvijanja svih aktivnosti korisnika zgrade.</w:t>
      </w:r>
    </w:p>
    <w:p w:rsidR="00AC0832" w:rsidRDefault="00AC0832">
      <w:pPr>
        <w:pStyle w:val="Heading6"/>
      </w:pPr>
      <w:r>
        <w:t>K630026 OPĆINSKO DRŽAVNO ODVJETNIŠTVO U PULI (ADAPTACIJA ZGRADE) - IBRD 78880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K630026-OPĆINSKO DRŽAVNO ODVJETNIŠTVO U PULI (ADAPTACIJA ZGRADE) - IBRD 78880</w:t>
            </w:r>
          </w:p>
        </w:tc>
        <w:tc>
          <w:tcPr>
            <w:tcW w:w="2322" w:type="dxa"/>
          </w:tcPr>
          <w:p w:rsidR="00AC0832" w:rsidRDefault="00AC0832">
            <w:pPr>
              <w:pStyle w:val="CellColumn"/>
            </w:pPr>
            <w:r>
              <w:t>470.000</w:t>
            </w:r>
          </w:p>
        </w:tc>
        <w:tc>
          <w:tcPr>
            <w:tcW w:w="2322" w:type="dxa"/>
          </w:tcPr>
          <w:p w:rsidR="00AC0832" w:rsidRDefault="00AC0832">
            <w:pPr>
              <w:pStyle w:val="CellColumn"/>
            </w:pPr>
            <w:r>
              <w:t>4.187.167</w:t>
            </w:r>
          </w:p>
        </w:tc>
        <w:tc>
          <w:tcPr>
            <w:tcW w:w="2322" w:type="dxa"/>
          </w:tcPr>
          <w:p w:rsidR="00AC0832" w:rsidRDefault="00AC0832">
            <w:pPr>
              <w:pStyle w:val="CellColumn"/>
            </w:pPr>
            <w:r>
              <w:t>890,9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Dogradnja i rekonstrukcija zgrade ex.vojarne „Istarskih brigada” u Puli, za potrebe ŽDO Pula, ODO Pula, ZK odjela OS u Puli. Građevinsko-obrtnički radovi, usluge stručnog i obračunskog nadzora i usluge koordinatora s ciljempoboljšavanje uvjeta rada korisnika  u skladu sa smjernicama reforme pravosuđa  i važećom regulativom i pravilnicima, za potrebe ŽDO u Puli, ODO u Puli i ZK odjela OS u Puli i to: </w:t>
      </w:r>
    </w:p>
    <w:p w:rsidR="00AC0832" w:rsidRDefault="00AC0832">
      <w:pPr>
        <w:pStyle w:val="Normal6"/>
      </w:pPr>
      <w:r>
        <w:t>•</w:t>
      </w:r>
      <w:r>
        <w:tab/>
        <w:t xml:space="preserve">Osiguranje potrebnog uredskog prostora </w:t>
      </w:r>
    </w:p>
    <w:p w:rsidR="00AC0832" w:rsidRDefault="00AC0832">
      <w:pPr>
        <w:pStyle w:val="Normal6"/>
      </w:pPr>
      <w:r>
        <w:t>•</w:t>
      </w:r>
      <w:r>
        <w:tab/>
        <w:t xml:space="preserve">Osiguranje smještaja arhivske građe u skladu sa svom važećom regulativom </w:t>
      </w:r>
    </w:p>
    <w:p w:rsidR="00AC0832" w:rsidRDefault="00AC0832">
      <w:pPr>
        <w:pStyle w:val="Normal6"/>
      </w:pPr>
      <w:r>
        <w:t>•</w:t>
      </w:r>
      <w:r>
        <w:tab/>
        <w:t xml:space="preserve">Omogućavanje optimalnih uvjeta za komunikaciju sa strankama, zaštite od buke, gubitaka topline, zaštite od požara.  </w:t>
      </w:r>
    </w:p>
    <w:p w:rsidR="00AC0832" w:rsidRDefault="00AC0832">
      <w:pPr>
        <w:pStyle w:val="Normal6"/>
      </w:pPr>
      <w:r>
        <w:t>Tijekom 2012. godine izvršene su izmjene postojeće tehničke dokumentacije, što je bila posljedica devastacije objekta koji se rekonstruira i novih ulaznih podataka za projektnu dokumentaciju dobivenih po izvršenim radovima rušenja, razgradnje i demontaže.</w:t>
      </w:r>
    </w:p>
    <w:p w:rsidR="00AC0832" w:rsidRDefault="00AC0832">
      <w:pPr>
        <w:pStyle w:val="Heading6"/>
      </w:pPr>
      <w:r>
        <w:t>K630044 OPĆINSKI SUD U KARLOVCU (DOGRADNJA, ADAPTACIJA I OPREMANJE ZGRADE) - REFORMA - IBRD 78880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K630044-OPĆINSKI SUD U KARLOVCU (DOGRADNJA, ADAPTACIJA I OPREMANJE ZGRADE) - REFORMA - IBRD 78880</w:t>
            </w:r>
          </w:p>
        </w:tc>
        <w:tc>
          <w:tcPr>
            <w:tcW w:w="2322" w:type="dxa"/>
          </w:tcPr>
          <w:p w:rsidR="00AC0832" w:rsidRDefault="00AC0832">
            <w:pPr>
              <w:pStyle w:val="CellColumn"/>
            </w:pPr>
            <w:r>
              <w:t>299.327</w:t>
            </w:r>
          </w:p>
        </w:tc>
        <w:tc>
          <w:tcPr>
            <w:tcW w:w="2322" w:type="dxa"/>
          </w:tcPr>
          <w:p w:rsidR="00AC0832" w:rsidRDefault="00AC0832">
            <w:pPr>
              <w:pStyle w:val="CellColumn"/>
            </w:pPr>
            <w:r>
              <w:t>298.327</w:t>
            </w:r>
          </w:p>
        </w:tc>
        <w:tc>
          <w:tcPr>
            <w:tcW w:w="2322" w:type="dxa"/>
          </w:tcPr>
          <w:p w:rsidR="00AC0832" w:rsidRDefault="00AC0832">
            <w:pPr>
              <w:pStyle w:val="CellColumn"/>
            </w:pPr>
            <w:r>
              <w:t>99,7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Projektom je obuhvaćena rekonstrukcija i dogradnja zgrade Županijskog suda u Karlovcu. Građevinsko-obrtnički radovi, usluge stručnog i obračunskog nadzora i usluge koordinatora s ciljem  poboljšanja uvjeta rada pravosudnih tijela u Karlovcu  u skladu sa smjernicama reforme pravosuđa  i važećom regulativom i pravilnicima : </w:t>
      </w:r>
    </w:p>
    <w:p w:rsidR="00AC0832" w:rsidRDefault="00AC0832">
      <w:pPr>
        <w:pStyle w:val="Normal6"/>
      </w:pPr>
      <w:r>
        <w:t>•</w:t>
      </w:r>
      <w:r>
        <w:tab/>
        <w:t xml:space="preserve">Povećanje potrebnog uredskog prostora </w:t>
      </w:r>
    </w:p>
    <w:p w:rsidR="00AC0832" w:rsidRDefault="00AC0832">
      <w:pPr>
        <w:pStyle w:val="Normal6"/>
      </w:pPr>
      <w:r>
        <w:t>•</w:t>
      </w:r>
      <w:r>
        <w:tab/>
        <w:t xml:space="preserve">Osiguranje smještaja arhivske građe u skladu sa svom važećom regulativom </w:t>
      </w:r>
    </w:p>
    <w:p w:rsidR="00AC0832" w:rsidRDefault="00AC0832">
      <w:pPr>
        <w:pStyle w:val="Normal6"/>
      </w:pPr>
      <w:r>
        <w:t>•</w:t>
      </w:r>
      <w:r>
        <w:tab/>
        <w:t xml:space="preserve">Omogućavanje optimalnih uvjeta za komunikaciju sa strankama, zaštite od buke, gubitaka topline, zaštite od požara. </w:t>
      </w:r>
    </w:p>
    <w:p w:rsidR="00AC0832" w:rsidRDefault="00AC0832">
      <w:pPr>
        <w:pStyle w:val="Normal6"/>
      </w:pPr>
      <w:r>
        <w:t>Tijekom 2012.godine postojeća projektna dokumentacija usklađena je sa važećom regulativom, pravilnicima i novim standardima.</w:t>
      </w:r>
    </w:p>
    <w:p w:rsidR="00AC0832" w:rsidRDefault="00AC0832">
      <w:pPr>
        <w:pStyle w:val="Heading6"/>
      </w:pPr>
      <w:r>
        <w:t>K630081 OPĆINSKI SUD U SPLITU (ADAPTACIJA I OPREMANJE ZGRADE) - IBRD 78880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K630081-OPĆINSKI SUD U SPLITU (ADAPTACIJA I OPREMANJE ZGRADE) - IBRD 78880</w:t>
            </w:r>
          </w:p>
        </w:tc>
        <w:tc>
          <w:tcPr>
            <w:tcW w:w="2322" w:type="dxa"/>
          </w:tcPr>
          <w:p w:rsidR="00AC0832" w:rsidRDefault="00AC0832">
            <w:pPr>
              <w:pStyle w:val="CellColumn"/>
            </w:pPr>
            <w:r>
              <w:t>184.712</w:t>
            </w:r>
          </w:p>
        </w:tc>
        <w:tc>
          <w:tcPr>
            <w:tcW w:w="2322" w:type="dxa"/>
          </w:tcPr>
          <w:p w:rsidR="00AC0832" w:rsidRDefault="00AC0832">
            <w:pPr>
              <w:pStyle w:val="CellColumn"/>
            </w:pPr>
            <w:r>
              <w:t>93.712</w:t>
            </w:r>
          </w:p>
        </w:tc>
        <w:tc>
          <w:tcPr>
            <w:tcW w:w="2322" w:type="dxa"/>
          </w:tcPr>
          <w:p w:rsidR="00AC0832" w:rsidRDefault="00AC0832">
            <w:pPr>
              <w:pStyle w:val="CellColumn"/>
            </w:pPr>
            <w:r>
              <w:t>50,7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Rekonstrukcija, dogradnja i prenamjena zgrade za Općinski sud u Splitu. Građevinsko-obrtnički radovi, usluge stručnog i obračunskog nadzora i usluge koordinatora s ciljem poboljšanja uvjeta rada korisnika  u skladu sa smjernicama reforme pravosuđa  i važećom regulativom i pravilnicima, za potrebe Općinskog suda u Splitu: </w:t>
      </w:r>
    </w:p>
    <w:p w:rsidR="00AC0832" w:rsidRDefault="00AC0832">
      <w:pPr>
        <w:pStyle w:val="Normal6"/>
      </w:pPr>
      <w:r>
        <w:t>•</w:t>
      </w:r>
      <w:r>
        <w:tab/>
        <w:t xml:space="preserve">Osiguranje potrebnog uredskog prostora </w:t>
      </w:r>
    </w:p>
    <w:p w:rsidR="00AC0832" w:rsidRDefault="00AC0832">
      <w:pPr>
        <w:pStyle w:val="Normal6"/>
      </w:pPr>
      <w:r>
        <w:t>•</w:t>
      </w:r>
      <w:r>
        <w:tab/>
        <w:t xml:space="preserve">Osiguranje smještaja arhivske građe u skladu sa svom važećom regulativom </w:t>
      </w:r>
    </w:p>
    <w:p w:rsidR="00AC0832" w:rsidRDefault="00AC0832">
      <w:pPr>
        <w:pStyle w:val="Normal6"/>
      </w:pPr>
      <w:r>
        <w:t>•</w:t>
      </w:r>
      <w:r>
        <w:tab/>
        <w:t xml:space="preserve">Omogućavanje optimalnih uvjeta za komunikaciju sa strankama, zaštite od buke, gubitaka topline, zaštite od požara..  </w:t>
      </w:r>
    </w:p>
    <w:p w:rsidR="00AC0832" w:rsidRDefault="00AC0832">
      <w:pPr>
        <w:pStyle w:val="Normal6"/>
      </w:pPr>
      <w:r>
        <w:t>Tijekom 2012.godine postojeća projektna dokumentacija usklađena je sa važećom regulativom, pravilnicima i novim standardima. Provedene je postupak objave natječaja u lipnju 2012.</w:t>
      </w:r>
    </w:p>
    <w:p w:rsidR="00AC0832" w:rsidRDefault="00AC0832">
      <w:pPr>
        <w:pStyle w:val="Heading6"/>
      </w:pPr>
      <w:r>
        <w:t>K630082 NABAVA RAČUNALNE OPREME ZA PRAVOSUDNA TIJELA - IBRD 78880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K630082-NABAVA RAČUNALNE OPREME ZA PRAVOSUDNA TIJELA - IBRD 78880</w:t>
            </w:r>
          </w:p>
        </w:tc>
        <w:tc>
          <w:tcPr>
            <w:tcW w:w="2322" w:type="dxa"/>
          </w:tcPr>
          <w:p w:rsidR="00AC0832" w:rsidRDefault="00AC0832">
            <w:pPr>
              <w:pStyle w:val="CellColumn"/>
            </w:pPr>
            <w:r>
              <w:t>3.966.798</w:t>
            </w:r>
          </w:p>
        </w:tc>
        <w:tc>
          <w:tcPr>
            <w:tcW w:w="2322" w:type="dxa"/>
          </w:tcPr>
          <w:p w:rsidR="00AC0832" w:rsidRDefault="00AC0832">
            <w:pPr>
              <w:pStyle w:val="CellColumn"/>
            </w:pPr>
            <w:r>
              <w:t>4.566.241</w:t>
            </w:r>
          </w:p>
        </w:tc>
        <w:tc>
          <w:tcPr>
            <w:tcW w:w="2322" w:type="dxa"/>
          </w:tcPr>
          <w:p w:rsidR="00AC0832" w:rsidRDefault="00AC0832">
            <w:pPr>
              <w:pStyle w:val="CellColumn"/>
            </w:pPr>
            <w:r>
              <w:t>115,1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Nabavljena i instalirana računalna oprema za pravosudna tijela (PC računala, prijenosna računala, printeri, serveri), najvećim dijelom općinske sudove radi uvođenja e-spis sustava.</w:t>
      </w:r>
    </w:p>
    <w:p w:rsidR="00AC0832" w:rsidRDefault="00AC0832">
      <w:pPr>
        <w:pStyle w:val="Heading6"/>
      </w:pPr>
      <w:r>
        <w:t>K630083 NABAVA I INSTALACIJA LOKALNE UPRAVLJAČKE MREŽE U PRAVOSUDNIM TIJELIMA - IBRD 78880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K630083-NABAVA I INSTALACIJA LOKALNE UPRAVLJAČKE MREŽE U PRAVOSUDNIM TIJELIMA - IBRD 78880</w:t>
            </w:r>
          </w:p>
        </w:tc>
        <w:tc>
          <w:tcPr>
            <w:tcW w:w="2322" w:type="dxa"/>
          </w:tcPr>
          <w:p w:rsidR="00AC0832" w:rsidRDefault="00AC0832">
            <w:pPr>
              <w:pStyle w:val="CellColumn"/>
            </w:pPr>
            <w:r>
              <w:t>2.385.572</w:t>
            </w:r>
          </w:p>
        </w:tc>
        <w:tc>
          <w:tcPr>
            <w:tcW w:w="2322" w:type="dxa"/>
          </w:tcPr>
          <w:p w:rsidR="00AC0832" w:rsidRDefault="00AC0832">
            <w:pPr>
              <w:pStyle w:val="CellColumn"/>
            </w:pPr>
            <w:r>
              <w:t>2.158.144</w:t>
            </w:r>
          </w:p>
        </w:tc>
        <w:tc>
          <w:tcPr>
            <w:tcW w:w="2322" w:type="dxa"/>
          </w:tcPr>
          <w:p w:rsidR="00AC0832" w:rsidRDefault="00AC0832">
            <w:pPr>
              <w:pStyle w:val="CellColumn"/>
            </w:pPr>
            <w:r>
              <w:t>90,5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Umrežavanje  29 pravosudnih tijela (LAN) u postojeću IT mrežu pravosudnog sustava te osiguranje preduvjeta za el. komunikaciju pravosudnih tijela. </w:t>
      </w:r>
    </w:p>
    <w:p w:rsidR="00AC0832" w:rsidRDefault="00AC0832">
      <w:pPr>
        <w:pStyle w:val="Normal6"/>
      </w:pPr>
      <w:r>
        <w:t>Natječajni postupak je dovršen, ugovor je potpisan u veljači 2012 . godine. Aktivnost je pred dovršetkom, s time da se dodatkom na osnovni ugovor planira obuhvatiti još 3 pravosudna tijela.</w:t>
      </w:r>
    </w:p>
    <w:p w:rsidR="00AC0832" w:rsidRDefault="00AC0832">
      <w:pPr>
        <w:pStyle w:val="Heading6"/>
      </w:pPr>
      <w:r>
        <w:t>K630088 INFORMATIZACIJA MINISTARSTVA PRAVOSUĐA - IBRD 78880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K630088-INFORMATIZACIJA MINISTARSTVA PRAVOSUĐA - IBRD 78880</w:t>
            </w:r>
          </w:p>
        </w:tc>
        <w:tc>
          <w:tcPr>
            <w:tcW w:w="2322" w:type="dxa"/>
          </w:tcPr>
          <w:p w:rsidR="00AC0832" w:rsidRDefault="00AC0832">
            <w:pPr>
              <w:pStyle w:val="CellColumn"/>
            </w:pPr>
            <w:r>
              <w:t>2.000</w:t>
            </w:r>
          </w:p>
        </w:tc>
        <w:tc>
          <w:tcPr>
            <w:tcW w:w="2322" w:type="dxa"/>
          </w:tcPr>
          <w:p w:rsidR="00AC0832" w:rsidRDefault="00AC0832">
            <w:pPr>
              <w:pStyle w:val="CellColumn"/>
            </w:pPr>
            <w:r>
              <w:t>00</w:t>
            </w:r>
          </w:p>
        </w:tc>
        <w:tc>
          <w:tcPr>
            <w:tcW w:w="2322" w:type="dxa"/>
          </w:tcPr>
          <w:p w:rsidR="00AC0832" w:rsidRDefault="00AC0832">
            <w:pPr>
              <w:pStyle w:val="CellColumn"/>
            </w:pPr>
            <w:r>
              <w:t>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Nabava i instalacija sustava za upravljanje IT opremom u pravosuđu. Natječajna dokumentacija je dovršena i natječaj objavljen 21. 12. 2012. s rokom za dostavu ponuda 4. ožujak 2013.</w:t>
      </w:r>
    </w:p>
    <w:p w:rsidR="00AC0832" w:rsidRDefault="00AC0832">
      <w:pPr>
        <w:pStyle w:val="Heading6"/>
      </w:pPr>
      <w:r>
        <w:t>T630084 NADOGRADNJA I UVOĐENJE SUSTAVA ZA UPRAVLJANJE PREDMETIMA U SUDOVIMA I SUSTAVA ZA PRAĆENJE KAZNENIH PREDMETA U DRŽAVNIM ODVJETNIŠTVIMA - IBRD 78880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T630084-NADOGRADNJA I UVOĐENJE SUSTAVA ZA UPRAVLJANJE PREDMETIMA U SUDOVIMA I SUSTAVA ZA PRAĆENJE KAZNENIH PREDMETA U DRŽAVNIM ODVJETNIŠTVIMA - IBRD 78880</w:t>
            </w:r>
          </w:p>
        </w:tc>
        <w:tc>
          <w:tcPr>
            <w:tcW w:w="2322" w:type="dxa"/>
          </w:tcPr>
          <w:p w:rsidR="00AC0832" w:rsidRDefault="00AC0832">
            <w:pPr>
              <w:pStyle w:val="CellColumn"/>
            </w:pPr>
            <w:r>
              <w:t>1.500.000</w:t>
            </w:r>
          </w:p>
        </w:tc>
        <w:tc>
          <w:tcPr>
            <w:tcW w:w="2322" w:type="dxa"/>
          </w:tcPr>
          <w:p w:rsidR="00AC0832" w:rsidRDefault="00AC0832">
            <w:pPr>
              <w:pStyle w:val="CellColumn"/>
            </w:pPr>
            <w:r>
              <w:t>1.633.939</w:t>
            </w:r>
          </w:p>
        </w:tc>
        <w:tc>
          <w:tcPr>
            <w:tcW w:w="2322" w:type="dxa"/>
          </w:tcPr>
          <w:p w:rsidR="00AC0832" w:rsidRDefault="00AC0832">
            <w:pPr>
              <w:pStyle w:val="CellColumn"/>
            </w:pPr>
            <w:r>
              <w:t>108,9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Nadogradnja i unaprjeđenje eSpis sustava radi prilagodba eSpis sustava novom ZKP-u i ZSM-u; programiranje dodatnih statističkih i upravljačkih izvješća, ergonomske intervencije na aplikaciji. </w:t>
      </w:r>
    </w:p>
    <w:p w:rsidR="00AC0832" w:rsidRDefault="00AC0832">
      <w:pPr>
        <w:pStyle w:val="Normal6"/>
      </w:pPr>
      <w:r>
        <w:t>Tijekom 2012. godine dovršena je natječajna dokumentacija te pregovori s IBM-om. Potpisivanje ugovora očekuje se tijekom 2013. godine.</w:t>
      </w:r>
    </w:p>
    <w:p w:rsidR="00AC0832" w:rsidRDefault="00AC0832">
      <w:pPr>
        <w:pStyle w:val="Heading5"/>
      </w:pPr>
      <w:r>
        <w:t>2809 UPRAVLJANJE ZATVORSKIM I PROBACIJSKIM SUSTAVOM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2809-UPRAVLJANJE ZATVORSKIM I PROBACIJSKIM SUSTAVOM</w:t>
            </w:r>
          </w:p>
        </w:tc>
        <w:tc>
          <w:tcPr>
            <w:tcW w:w="2322" w:type="dxa"/>
          </w:tcPr>
          <w:p w:rsidR="00AC0832" w:rsidRDefault="00AC0832">
            <w:pPr>
              <w:pStyle w:val="CellColumn"/>
            </w:pPr>
            <w:r>
              <w:t>18.755.672</w:t>
            </w:r>
          </w:p>
        </w:tc>
        <w:tc>
          <w:tcPr>
            <w:tcW w:w="2322" w:type="dxa"/>
          </w:tcPr>
          <w:p w:rsidR="00AC0832" w:rsidRDefault="00AC0832">
            <w:pPr>
              <w:pStyle w:val="CellColumn"/>
            </w:pPr>
            <w:r>
              <w:t>16.692.197</w:t>
            </w:r>
          </w:p>
        </w:tc>
        <w:tc>
          <w:tcPr>
            <w:tcW w:w="2322" w:type="dxa"/>
          </w:tcPr>
          <w:p w:rsidR="00AC0832" w:rsidRDefault="00AC0832">
            <w:pPr>
              <w:pStyle w:val="CellColumn"/>
            </w:pPr>
            <w:r>
              <w:t>89,0</w:t>
            </w:r>
          </w:p>
        </w:tc>
      </w:tr>
    </w:tbl>
    <w:p w:rsidR="00AC0832" w:rsidRDefault="00AC0832">
      <w:pPr>
        <w:jc w:val="left"/>
      </w:pPr>
    </w:p>
    <w:p w:rsidR="00AC0832" w:rsidRDefault="00AC0832">
      <w:pPr>
        <w:pStyle w:val="Heading6"/>
      </w:pPr>
      <w:r>
        <w:t>Opis programa</w:t>
      </w:r>
    </w:p>
    <w:p w:rsidR="00AC0832" w:rsidRDefault="00AC0832">
      <w:pPr>
        <w:pStyle w:val="Normal5"/>
      </w:pPr>
      <w:r>
        <w:t>Izvršavanje kazne zatvora i mjera pritvora i odgojne mjere, provedba propisa u odnosu na smještaj, prehranu, rublje, odjeću, posteljinu, liječenje, rad, izobrazbu i slobodne aktivnosti zatvorenika i maloljetnika, te ostale djelatnosti vezane za redovno funkcioniranje zatvorskog sustava, provedba propisa u odnosu na službene odore, opremu i službene isprave, provođenje preventivnih zdravstvenih pregleda i cijepljenja, rad komisije u kaznionicama i zatvorima radi uvjetnog otpusta zatvorenika s izdržavanja kazne prije njezina isteka, te aktivnosti na suzbijanju zlouporabe opojnih droga.</w:t>
      </w:r>
    </w:p>
    <w:p w:rsidR="00AC0832" w:rsidRDefault="00AC0832">
      <w:pPr>
        <w:pStyle w:val="Heading6"/>
      </w:pPr>
      <w:r>
        <w:t>Zakonske i druge pravne osnove</w:t>
      </w:r>
    </w:p>
    <w:p w:rsidR="00AC0832" w:rsidRDefault="00AC0832">
      <w:pPr>
        <w:pStyle w:val="Normal5"/>
      </w:pPr>
      <w:r>
        <w:t xml:space="preserve">Zakon o izvršavanju kazne zatvora (Pročišćeni tekst – „Narodne novine“ broj 190/03, 76/07, 27/08 i 83/09), Zakon o izvršavanju sankcija izrečenih maloljetnicima za kaznena djela i prekršaje („Narodne novine“ broj 153/09), Zakon o kaznenom postupku, </w:t>
      </w:r>
    </w:p>
    <w:p w:rsidR="00AC0832" w:rsidRDefault="00AC0832">
      <w:pPr>
        <w:pStyle w:val="Normal5"/>
      </w:pPr>
      <w:r>
        <w:t>Pravilnik o standardima smještaja i prehrane zatvorenika („Narodne novine“ broj 92/02) i Pravilnik o rublju, odjeći, obući i posteljini za zatvorenike („Narodne novine“ broj 61/02) i Pravilnik o kućnom redu u zatvorima za izvršavanje pritvora („Narodne novine“ broj 135/99).</w:t>
      </w:r>
    </w:p>
    <w:p w:rsidR="00AC0832" w:rsidRDefault="00AC0832">
      <w:pPr>
        <w:pStyle w:val="Heading7"/>
      </w:pPr>
      <w:r>
        <w:t xml:space="preserve">Cilj 1. Podizanje razine životnih uvjeta i zaštite ljudskog dostojanstva zatvorenika i maloljetnika na izvršavanju kazne zatvora, mjere pritvora i odgojne mjere. </w:t>
      </w:r>
    </w:p>
    <w:p w:rsidR="00AC0832" w:rsidRDefault="00AC0832">
      <w:pPr>
        <w:pStyle w:val="Heading8"/>
        <w:jc w:val="left"/>
      </w:pPr>
      <w:r>
        <w:t>Opis provedbe cilja programa</w:t>
      </w:r>
    </w:p>
    <w:p w:rsidR="00AC0832" w:rsidRDefault="00AC0832">
      <w:pPr>
        <w:pStyle w:val="Heading6"/>
      </w:pPr>
      <w:r>
        <w:t>A629004 RESOCIJALIZACIJA OSUĐENIH OSOBA KOJE SANKCIJE IZVRŠAVAJU NA SLOBODI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A629004-RESOCIJALIZACIJA OSUĐENIH OSOBA KOJE SANKCIJE IZVRŠAVAJU NA SLOBODI</w:t>
            </w:r>
          </w:p>
        </w:tc>
        <w:tc>
          <w:tcPr>
            <w:tcW w:w="2322" w:type="dxa"/>
          </w:tcPr>
          <w:p w:rsidR="00AC0832" w:rsidRDefault="00AC0832">
            <w:pPr>
              <w:pStyle w:val="CellColumn"/>
            </w:pPr>
            <w:r>
              <w:t>2.900.000</w:t>
            </w:r>
          </w:p>
        </w:tc>
        <w:tc>
          <w:tcPr>
            <w:tcW w:w="2322" w:type="dxa"/>
          </w:tcPr>
          <w:p w:rsidR="00AC0832" w:rsidRDefault="00AC0832">
            <w:pPr>
              <w:pStyle w:val="CellColumn"/>
            </w:pPr>
            <w:r>
              <w:t>2.899.329</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Povjerenici koji rade na izvršavanju rada za opće dobro izrađuju program rada kojim se određuje dinamika i mjesto rada koje se osuđenik dužan pridržavati, uvode osuđenika u posao, pružaju mu potrebnu pomoć i zaštitu, te u suradnji sa sudom nadgledaju ispunjenje obveze rada. U izvršavanju rada za opće dobro na slobodi povjerenici intenzivno surađuju sa pravnim osobama u lokalnoj zajednici. U izvršavanju zaštitnog nadzora uz uvjetnu osudu povjerenici su dužni osuđeniku u unutar odmjerenog vremena provjeravanja pružati potrebnu pomoć, zaštitu i nadzor te u suradnji sa sudom nadgledati ispunjavanje obveza određenih Programom. Redovito izvještavaju sud o načinu života, ponašanju osuđenika i ostvarivanju Programa te o težim povredama ili ustrajnom neispunjavanju određenih obveza. Zadatak je povjerenika u provođenje sankcije uključiti stručne osobe i ustanove, te dogovoriti i poduzeti aktivnosti koje će pridonijeti uspješnijem osobnom i društvenom funkcioniranju osuđenika (psihosocijalni tretman nasilnika, tretman osuđenika sa seksualnim poremećajima, tretmani kontrole ljutnje itd.). U izvršavanju zaštitnog nadzora povjerenik surađuje s članovima obitelji, stručnjacima i različitim ustanovama u zajednici pomažući osuđeniku kod reguliranja zdravstvene zaštite, daljnjeg školovanja, pronalaženja posla, rješavanja egzistencijalnih problema tijekom brakorazvodnog postupka, te u svim drugim aktivnostima za koje ocijeni da su potrebne i/ili da je u njihovom poduzimanju osuđeniku potrebna pomoć. U okviru izvršavanja zaštitnog nadzora povjerenik surađuje s vladinim i nevladinim sektorom - područnim centrima za socijalnu skrb, bolnicama, klubovima liječenih alkoholičara, centrima za ovisnosti i izvanbolničko liječenje, zavodom za zapošljavanje, dječjim domovima, udrugama, domovima zdravlja, psihijatrijskim bolnicama, savjetovalištima, obrazovnim ustanovama.  Uz informiranje, educiranje i senzibiliziranje subjekata socijalne zajednice, cilj je da se, osim savjetovanja, osuđenicima pruži i vrlo konkretna usluga i pomoć, u prevladavanju poteškoća osobnog i društvenog funkcioniranja, koje u konačnici utječe na smanjenje vjerojatnosti ponovnog počinjenja kaznenog djela. </w:t>
      </w:r>
    </w:p>
    <w:p w:rsidR="00AC0832" w:rsidRDefault="00AC0832">
      <w:pPr>
        <w:pStyle w:val="Normal6"/>
      </w:pPr>
      <w:r>
        <w:t>Provedbom ove aktivnosti, manji broj osuđenika bio je poda nadzorom povjerenika, izvršavali su svoje sankcije na slobodi štedeći kapacitete zatvorskog sustava; Stavljanjem u funkciju probacijski uredi preuzimaju nadzor izvršavanja alternativnih sankcija.</w:t>
      </w:r>
    </w:p>
    <w:p w:rsidR="00AC0832" w:rsidRDefault="00AC0832">
      <w:pPr>
        <w:pStyle w:val="Heading6"/>
      </w:pPr>
      <w:r>
        <w:t>A629012 ZATVORENICI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A629012-ZATVORENICI</w:t>
            </w:r>
          </w:p>
        </w:tc>
        <w:tc>
          <w:tcPr>
            <w:tcW w:w="2322" w:type="dxa"/>
          </w:tcPr>
          <w:p w:rsidR="00AC0832" w:rsidRDefault="00AC0832">
            <w:pPr>
              <w:pStyle w:val="CellColumn"/>
            </w:pPr>
            <w:r>
              <w:t>3.500.000</w:t>
            </w:r>
          </w:p>
        </w:tc>
        <w:tc>
          <w:tcPr>
            <w:tcW w:w="2322" w:type="dxa"/>
          </w:tcPr>
          <w:p w:rsidR="00AC0832" w:rsidRDefault="00AC0832">
            <w:pPr>
              <w:pStyle w:val="CellColumn"/>
            </w:pPr>
            <w:r>
              <w:t>3.279.693</w:t>
            </w:r>
          </w:p>
        </w:tc>
        <w:tc>
          <w:tcPr>
            <w:tcW w:w="2322" w:type="dxa"/>
          </w:tcPr>
          <w:p w:rsidR="00AC0832" w:rsidRDefault="00AC0832">
            <w:pPr>
              <w:pStyle w:val="CellColumn"/>
            </w:pPr>
            <w:r>
              <w:t>93,7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Provedba propisa u odnosu na smještaj, prehranu, odjeću, obuću, posteljinu, higijenski pribor, prehranu, slobodne aktivnosti, liječenje i izobrazbu zatvorenika i maloljetnika, čime se postiže jačanje zaštite ljudskih prava te podizanje razine životnih uvjeta i zaštite ljudskog dostojanstva zatvorenika i maloljetnika na izvršavanju kazne zatvora, mjere pritvora i odgojne mjere osiguranjem dovoljnih količina odjeće, obuće, posteljne opreme i higijenskog pribora za zatvorenike. </w:t>
      </w:r>
    </w:p>
    <w:p w:rsidR="00AC0832" w:rsidRDefault="00AC0832">
      <w:pPr>
        <w:pStyle w:val="Normal6"/>
      </w:pPr>
      <w:r>
        <w:t xml:space="preserve">Provedbom aktivnosti kroz 10 ugovora javne nabave u  2012. g., osigurani su materijalni uvjeti održavanja količine i kvalitete opreme i odjeće zatvorenika. </w:t>
      </w:r>
    </w:p>
    <w:p w:rsidR="00AC0832" w:rsidRDefault="00AC0832">
      <w:pPr>
        <w:pStyle w:val="Normal6"/>
      </w:pPr>
      <w:r>
        <w:t>U 2012. godini nije bilo pritužbi zatvorenika sucu izvršenja u odnosu na potrebnu opremu.</w:t>
      </w:r>
    </w:p>
    <w:p w:rsidR="00AC0832" w:rsidRDefault="00AC0832">
      <w:pPr>
        <w:pStyle w:val="Heading6"/>
      </w:pPr>
      <w:r>
        <w:t>A629160 SLUŽBENIČKI SUDOVI KAZNIONICA, ZATVORA I ODGOJNIH ZAVODA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A629160-SLUŽBENIČKI SUDOVI KAZNIONICA, ZATVORA I ODGOJNIH ZAVODA</w:t>
            </w:r>
          </w:p>
        </w:tc>
        <w:tc>
          <w:tcPr>
            <w:tcW w:w="2322" w:type="dxa"/>
          </w:tcPr>
          <w:p w:rsidR="00AC0832" w:rsidRDefault="00AC0832">
            <w:pPr>
              <w:pStyle w:val="CellColumn"/>
            </w:pPr>
            <w:r>
              <w:t>175.000</w:t>
            </w:r>
          </w:p>
        </w:tc>
        <w:tc>
          <w:tcPr>
            <w:tcW w:w="2322" w:type="dxa"/>
          </w:tcPr>
          <w:p w:rsidR="00AC0832" w:rsidRDefault="00AC0832">
            <w:pPr>
              <w:pStyle w:val="CellColumn"/>
            </w:pPr>
            <w:r>
              <w:t>168.208</w:t>
            </w:r>
          </w:p>
        </w:tc>
        <w:tc>
          <w:tcPr>
            <w:tcW w:w="2322" w:type="dxa"/>
          </w:tcPr>
          <w:p w:rsidR="00AC0832" w:rsidRDefault="00AC0832">
            <w:pPr>
              <w:pStyle w:val="CellColumn"/>
            </w:pPr>
            <w:r>
              <w:t>96,1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Provođenje postupka protiv službenika zbog povrede službene dužnosti čime se postiže unapređenje sposobnosti i poboljšanje kvalitete javnih službi i uprave te podizanje razine profesionalnosti i učinkovitosti državnih službenika što se postiže izobrazbom službenika. </w:t>
      </w:r>
    </w:p>
    <w:p w:rsidR="00AC0832" w:rsidRDefault="00AC0832">
      <w:pPr>
        <w:pStyle w:val="Normal6"/>
      </w:pPr>
      <w:r>
        <w:t>U 2012. godini pokrenuta su 48 postupka zbog teške povrede službene dužnosti što je za 22,58% manje u odnosu na 2011. godinu.</w:t>
      </w:r>
    </w:p>
    <w:p w:rsidR="00AC0832" w:rsidRDefault="00AC0832">
      <w:pPr>
        <w:pStyle w:val="Heading6"/>
      </w:pPr>
      <w:r>
        <w:t>A629164 UVJETNI OTPUST ZATVORENIKA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A629164-UVJETNI OTPUST ZATVORENIKA</w:t>
            </w:r>
          </w:p>
        </w:tc>
        <w:tc>
          <w:tcPr>
            <w:tcW w:w="2322" w:type="dxa"/>
          </w:tcPr>
          <w:p w:rsidR="00AC0832" w:rsidRDefault="00AC0832">
            <w:pPr>
              <w:pStyle w:val="CellColumn"/>
            </w:pPr>
            <w:r>
              <w:t>190.000</w:t>
            </w:r>
          </w:p>
        </w:tc>
        <w:tc>
          <w:tcPr>
            <w:tcW w:w="2322" w:type="dxa"/>
          </w:tcPr>
          <w:p w:rsidR="00AC0832" w:rsidRDefault="00AC0832">
            <w:pPr>
              <w:pStyle w:val="CellColumn"/>
            </w:pPr>
            <w:r>
              <w:t>189.608</w:t>
            </w:r>
          </w:p>
        </w:tc>
        <w:tc>
          <w:tcPr>
            <w:tcW w:w="2322" w:type="dxa"/>
          </w:tcPr>
          <w:p w:rsidR="00AC0832" w:rsidRDefault="00AC0832">
            <w:pPr>
              <w:pStyle w:val="CellColumn"/>
            </w:pPr>
            <w:r>
              <w:t>99,8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Rad Povjerenstva u kaznionicama i zatvorima radi uvjetnog otpusta zatvorenika s izdržavanja kazne prije njezina isteka, te poboljšanje kvalitete procjena uspješnosti zatvorenika u provođenju pojedinačnog programa i postignućima zatvorenika u resocijalizaciji prilikom odlučivanja o uvjetnom otpustu. </w:t>
      </w:r>
    </w:p>
    <w:p w:rsidR="00AC0832" w:rsidRDefault="00AC0832">
      <w:pPr>
        <w:pStyle w:val="Normal6"/>
      </w:pPr>
      <w:r>
        <w:t xml:space="preserve">Podizanje razine kvalitete ostvarivanja svrhe kažnjavanja provođenjem pojedinačnih programa izvršavanja kazne zatvora. </w:t>
      </w:r>
    </w:p>
    <w:p w:rsidR="00AC0832" w:rsidRDefault="00AC0832">
      <w:pPr>
        <w:pStyle w:val="Normal6"/>
      </w:pPr>
      <w:r>
        <w:t xml:space="preserve">Povjerenstva u kaznionicama i zatvorima procjenjuju rizičnost uvjetnog otpusta zatvorenika s izdržavanja kazne prije njezina isteka, te je smanjen broj opozvanih uvjetnih otpusta. </w:t>
      </w:r>
    </w:p>
    <w:p w:rsidR="00AC0832" w:rsidRDefault="00AC0832">
      <w:pPr>
        <w:pStyle w:val="Normal6"/>
      </w:pPr>
      <w:r>
        <w:t xml:space="preserve">- U 2012. godini je uvjetno otpušteno 3,13% zatvorenika više u odnosu na 2011. godini. </w:t>
      </w:r>
    </w:p>
    <w:p w:rsidR="00AC0832" w:rsidRDefault="00AC0832">
      <w:pPr>
        <w:pStyle w:val="Normal6"/>
      </w:pPr>
      <w:r>
        <w:t>- U odnosu na nadležnost odlučivanja o uvjetnom otpustu, broj uvjetno otpuštenih zatvorenika na temelju odluke Povjerenstva je povećan za 19,31%, a broj uvjetno otpuštenih zatvorenika na temelju odluke upravitelja je smanjen za 13,97%.</w:t>
      </w:r>
    </w:p>
    <w:p w:rsidR="00AC0832" w:rsidRDefault="00AC0832">
      <w:pPr>
        <w:pStyle w:val="Heading6"/>
      </w:pPr>
      <w:r>
        <w:t>A630018 DJELATNOST OVLAŠTENIH SLUŽBENIH OSOBA UPRAVE ZA ZATVORSKI SUSTAV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A630018-DJELATNOST OVLAŠTENIH SLUŽBENIH OSOBA UPRAVE ZA ZATVORSKI SUSTAV</w:t>
            </w:r>
          </w:p>
        </w:tc>
        <w:tc>
          <w:tcPr>
            <w:tcW w:w="2322" w:type="dxa"/>
          </w:tcPr>
          <w:p w:rsidR="00AC0832" w:rsidRDefault="00AC0832">
            <w:pPr>
              <w:pStyle w:val="CellColumn"/>
            </w:pPr>
            <w:r>
              <w:t>4.100.000</w:t>
            </w:r>
          </w:p>
        </w:tc>
        <w:tc>
          <w:tcPr>
            <w:tcW w:w="2322" w:type="dxa"/>
          </w:tcPr>
          <w:p w:rsidR="00AC0832" w:rsidRDefault="00AC0832">
            <w:pPr>
              <w:pStyle w:val="CellColumn"/>
            </w:pPr>
            <w:r>
              <w:t>3.235.684</w:t>
            </w:r>
          </w:p>
        </w:tc>
        <w:tc>
          <w:tcPr>
            <w:tcW w:w="2322" w:type="dxa"/>
          </w:tcPr>
          <w:p w:rsidR="00AC0832" w:rsidRDefault="00AC0832">
            <w:pPr>
              <w:pStyle w:val="CellColumn"/>
            </w:pPr>
            <w:r>
              <w:t>78,9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Provedeni su propisi u odnosu na službene odore, opremu i službene isprave, te je kroz 9 ugovora javne nabave u 2012.g., nabavljena odgovarajuća službena odjeća, obuća i pripadajuća oprema.</w:t>
      </w:r>
    </w:p>
    <w:p w:rsidR="00AC0832" w:rsidRDefault="00AC0832">
      <w:pPr>
        <w:pStyle w:val="Heading6"/>
      </w:pPr>
      <w:r>
        <w:t>A630079 SUSTAV ZA PROBACIJU U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A630079-SUSTAV ZA PROBACIJU U RH</w:t>
            </w:r>
          </w:p>
        </w:tc>
        <w:tc>
          <w:tcPr>
            <w:tcW w:w="2322" w:type="dxa"/>
          </w:tcPr>
          <w:p w:rsidR="00AC0832" w:rsidRDefault="00AC0832">
            <w:pPr>
              <w:pStyle w:val="CellColumn"/>
            </w:pPr>
            <w:r>
              <w:t>691.000</w:t>
            </w:r>
          </w:p>
        </w:tc>
        <w:tc>
          <w:tcPr>
            <w:tcW w:w="2322" w:type="dxa"/>
          </w:tcPr>
          <w:p w:rsidR="00AC0832" w:rsidRDefault="00AC0832">
            <w:pPr>
              <w:pStyle w:val="CellColumn"/>
            </w:pPr>
            <w:r>
              <w:t>666.743</w:t>
            </w:r>
          </w:p>
        </w:tc>
        <w:tc>
          <w:tcPr>
            <w:tcW w:w="2322" w:type="dxa"/>
          </w:tcPr>
          <w:p w:rsidR="00AC0832" w:rsidRDefault="00AC0832">
            <w:pPr>
              <w:pStyle w:val="CellColumn"/>
            </w:pPr>
            <w:r>
              <w:t>96,5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Sektor za probaciju, Središnji ured prati, unapređuje i nadzire zakonitost rada i postupanja probacijskih službenika, donosi odluke i poduzima mjere u vezi izvršavanja probacijskih poslova tijekom kaznenog postupka, izvršavanja kazne zatvora i uvjetnog otpusta, izvršavanja uvjetne osude sa zaštitnim nadzorom i rada za opće dobro na slobodi, obavlja poslove vezane uz unaprjeđenja materijalnih, kadrovskih i stručnih uvjeta za njihovo izvršavanje. Provodi upravni i inspekcijski nadzor nad radom probacijskih ureda. Probacijski uredi obavljaju poslove vezane uz procjenu kriminogenih rizika i tretmanskih potreba počinitelja, izradu pojedinačnog programa postupanja, nadzor izvršavanja obveza prema rješenju državnog odvjetnika kada se odlučuje o kaznenom progonu prema načelu svrhovitosti, postupke izvršavanja uvjetne osude sa zaštitnim nadzorom i rada za opće dobro na slobodi, nadzor izvršavanja mjere opreza obveze redovitog javljanja određenoj osobi ili državnom tijelu, nadzor provođenja mjera utvrđenih rješenjem o određivanju istražnog zatvora u domu, izradu izvješća zatvoru, odnosno kaznionici, nadzor nad uvjetno otpuštenim osuđenikom, izradu izvješća o počinitelju za državno odvjetništvo, sud ili suca izvršenja, poslove organizacije podrške i pomoći žrtvi i oštećeniku, te podrške i pomoći obitelji žrtve i obitelji počinitelja kaznenog djela. Vode maticu i osobnike osoba uključenih u postupke probacije. </w:t>
      </w:r>
    </w:p>
    <w:p w:rsidR="00AC0832" w:rsidRDefault="00AC0832">
      <w:pPr>
        <w:pStyle w:val="Normal6"/>
      </w:pPr>
      <w:r>
        <w:t>Tijekom 2012. godine, u probaciju je bilo uključeno oko 3000 počinitelja kaznenih djela (zaštitni nadzor, rad za opće dobro, obavještavanje žrtve): Svi službenici probacije prošli su stručnu obuku u okviru koje su osposobljeni za obavljanje probacijskih poslova; izrađeni su nacionalni standardi, smjernice i upute za obavljanje probacijskih poslova; postavljeni su standardi profesionalne prakse.</w:t>
      </w:r>
    </w:p>
    <w:p w:rsidR="00AC0832" w:rsidRDefault="00AC0832">
      <w:pPr>
        <w:pStyle w:val="Heading6"/>
      </w:pPr>
      <w:r>
        <w:t>K630072 IPA 2008 - RAZVOJ PROBACIJSKOG SUSTAVA U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K630072-IPA 2008 - RAZVOJ PROBACIJSKOG SUSTAVA U RH</w:t>
            </w:r>
          </w:p>
        </w:tc>
        <w:tc>
          <w:tcPr>
            <w:tcW w:w="2322" w:type="dxa"/>
          </w:tcPr>
          <w:p w:rsidR="00AC0832" w:rsidRDefault="00AC0832">
            <w:pPr>
              <w:pStyle w:val="CellColumn"/>
            </w:pPr>
            <w:r>
              <w:t>7.199.672</w:t>
            </w:r>
          </w:p>
        </w:tc>
        <w:tc>
          <w:tcPr>
            <w:tcW w:w="2322" w:type="dxa"/>
          </w:tcPr>
          <w:p w:rsidR="00AC0832" w:rsidRDefault="00AC0832">
            <w:pPr>
              <w:pStyle w:val="CellColumn"/>
            </w:pPr>
            <w:r>
              <w:t>6.252.932</w:t>
            </w:r>
          </w:p>
        </w:tc>
        <w:tc>
          <w:tcPr>
            <w:tcW w:w="2322" w:type="dxa"/>
          </w:tcPr>
          <w:p w:rsidR="00AC0832" w:rsidRDefault="00AC0832">
            <w:pPr>
              <w:pStyle w:val="CellColumn"/>
            </w:pPr>
            <w:r>
              <w:t>86,9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Institucionalno jačanje i jačanje kapaciteta Sektora za probaciju, izrada instrumenta za procjenu rizika i potreba počinitelja,  izrada i primjena nacionalnog registra za potrebe probacijske službe i središnjeg aplikacijskog sustava za podržavanje poslovnih procesa probacije te nabava potrebne IT opreme za probacijski sustav. </w:t>
      </w:r>
    </w:p>
    <w:p w:rsidR="00AC0832" w:rsidRDefault="00AC0832">
      <w:pPr>
        <w:pStyle w:val="Normal6"/>
      </w:pPr>
      <w:r>
        <w:t>Projektom su provedene sljedeće aktivnosti:</w:t>
      </w:r>
      <w:r>
        <w:tab/>
        <w:t xml:space="preserve"> </w:t>
      </w:r>
    </w:p>
    <w:p w:rsidR="00AC0832" w:rsidRDefault="00AC0832">
      <w:pPr>
        <w:pStyle w:val="Normal6"/>
      </w:pPr>
      <w:r>
        <w:t>1.</w:t>
      </w:r>
      <w:r>
        <w:tab/>
        <w:t xml:space="preserve">izrada nacionalnih standarda i smjernica za probacijsku službu  </w:t>
      </w:r>
    </w:p>
    <w:p w:rsidR="00AC0832" w:rsidRDefault="00AC0832">
      <w:pPr>
        <w:pStyle w:val="Normal6"/>
      </w:pPr>
      <w:r>
        <w:t>2.</w:t>
      </w:r>
      <w:r>
        <w:tab/>
        <w:t xml:space="preserve">izrada komunikacijske strategije za promoviranje probacijske službe </w:t>
      </w:r>
    </w:p>
    <w:p w:rsidR="00AC0832" w:rsidRDefault="00AC0832">
      <w:pPr>
        <w:pStyle w:val="Normal6"/>
      </w:pPr>
      <w:r>
        <w:t>3.</w:t>
      </w:r>
      <w:r>
        <w:tab/>
        <w:t xml:space="preserve">izrada instrumenata za procjenu rizika ponovnog počinjenja i provođenje edukacije  </w:t>
      </w:r>
    </w:p>
    <w:p w:rsidR="00AC0832" w:rsidRDefault="00AC0832">
      <w:pPr>
        <w:pStyle w:val="Normal6"/>
      </w:pPr>
      <w:r>
        <w:t>4.</w:t>
      </w:r>
      <w:r>
        <w:tab/>
        <w:t xml:space="preserve">izrada dugoročne strategije izobrazbe probacijskih službenika </w:t>
      </w:r>
    </w:p>
    <w:p w:rsidR="00AC0832" w:rsidRDefault="00AC0832">
      <w:pPr>
        <w:pStyle w:val="Normal6"/>
      </w:pPr>
      <w:r>
        <w:t>5.</w:t>
      </w:r>
      <w:r>
        <w:tab/>
        <w:t xml:space="preserve">izrada programa treninga trenera za Sektor za probaciju   </w:t>
      </w:r>
    </w:p>
    <w:p w:rsidR="00AC0832" w:rsidRDefault="00AC0832">
      <w:pPr>
        <w:pStyle w:val="Normal6"/>
      </w:pPr>
      <w:r>
        <w:t>6.</w:t>
      </w:r>
      <w:r>
        <w:tab/>
        <w:t xml:space="preserve">izrada registra i središnje baze podataka za probacijsku službu </w:t>
      </w:r>
    </w:p>
    <w:p w:rsidR="00AC0832" w:rsidRDefault="00AC0832">
      <w:pPr>
        <w:pStyle w:val="Normal6"/>
      </w:pPr>
      <w:r>
        <w:t>7.</w:t>
      </w:r>
      <w:r>
        <w:tab/>
        <w:t xml:space="preserve">nabava IT opreme i namještaja za probacijske urede </w:t>
      </w:r>
    </w:p>
    <w:p w:rsidR="00AC0832" w:rsidRDefault="00AC0832">
      <w:pPr>
        <w:pStyle w:val="Normal6"/>
      </w:pPr>
      <w:r>
        <w:t xml:space="preserve"> </w:t>
      </w:r>
    </w:p>
    <w:p w:rsidR="00AC0832" w:rsidRDefault="00AC0832">
      <w:pPr>
        <w:pStyle w:val="Normal6"/>
      </w:pPr>
      <w:r>
        <w:t>Tijekom godine finalizirane su sve projektne aktivnosti i ostvareni su svi planirani rezultati ugovora o pružanju usluga i nabavi opreme.</w:t>
      </w:r>
    </w:p>
    <w:p w:rsidR="00AC0832" w:rsidRDefault="00AC0832">
      <w:pPr>
        <w:pStyle w:val="Heading5"/>
      </w:pPr>
      <w:r>
        <w:t>2810 SUZBIJANJE KORUPCIJE I ORGANIZIRANOG KRIMINALITETA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2810-SUZBIJANJE KORUPCIJE I ORGANIZIRANOG KRIMINALITETA</w:t>
            </w:r>
          </w:p>
        </w:tc>
        <w:tc>
          <w:tcPr>
            <w:tcW w:w="2322" w:type="dxa"/>
          </w:tcPr>
          <w:p w:rsidR="00AC0832" w:rsidRDefault="00AC0832">
            <w:pPr>
              <w:pStyle w:val="CellColumn"/>
            </w:pPr>
            <w:r>
              <w:t>7.887.500</w:t>
            </w:r>
          </w:p>
        </w:tc>
        <w:tc>
          <w:tcPr>
            <w:tcW w:w="2322" w:type="dxa"/>
          </w:tcPr>
          <w:p w:rsidR="00AC0832" w:rsidRDefault="00AC0832">
            <w:pPr>
              <w:pStyle w:val="CellColumn"/>
            </w:pPr>
            <w:r>
              <w:t>4.834.838</w:t>
            </w:r>
          </w:p>
        </w:tc>
        <w:tc>
          <w:tcPr>
            <w:tcW w:w="2322" w:type="dxa"/>
          </w:tcPr>
          <w:p w:rsidR="00AC0832" w:rsidRDefault="00AC0832">
            <w:pPr>
              <w:pStyle w:val="CellColumn"/>
            </w:pPr>
            <w:r>
              <w:t>61,3</w:t>
            </w:r>
          </w:p>
        </w:tc>
      </w:tr>
    </w:tbl>
    <w:p w:rsidR="00AC0832" w:rsidRDefault="00AC0832">
      <w:pPr>
        <w:jc w:val="left"/>
      </w:pPr>
    </w:p>
    <w:p w:rsidR="00AC0832" w:rsidRDefault="00AC0832">
      <w:pPr>
        <w:pStyle w:val="Heading6"/>
      </w:pPr>
      <w:r>
        <w:t>Opis programa</w:t>
      </w:r>
    </w:p>
    <w:p w:rsidR="00AC0832" w:rsidRDefault="00AC0832">
      <w:pPr>
        <w:pStyle w:val="Normal5"/>
      </w:pPr>
      <w:r>
        <w:t xml:space="preserve">Osnovna zadaća programa je progon počinitelja kaznenih djela Organiziranog kriminaliteta i korupcije, a pored toga ona je i preventivna, te edukativna antikorupcijska aktivnost s ciljem suzbijanja kriminalnih pojava, podizanja javne svijesti o opasnostima korupcije, potrebi njenog suzbijanja, te provedba drugih aktivnosti predviđenih Nacionalnim programom za borbu protiv korupcije. </w:t>
      </w:r>
    </w:p>
    <w:p w:rsidR="00AC0832" w:rsidRDefault="00AC0832">
      <w:pPr>
        <w:pStyle w:val="Normal5"/>
      </w:pPr>
      <w:r>
        <w:t>Da bi se ostvarili ciljevi u suzbijanju korupcije i ostvarivanju Nacionalnog programa posebna pažnja usmjerena je na slučajeve velikih zlouporaba od strane službenih osoba, a u svezi organiziranog kriminala na otkrivanje i procesuiranje transnacionalnog organiziranog kriminaliteta.</w:t>
      </w:r>
    </w:p>
    <w:p w:rsidR="00AC0832" w:rsidRDefault="00AC0832">
      <w:pPr>
        <w:pStyle w:val="Heading6"/>
      </w:pPr>
      <w:r>
        <w:t>Zakonske i druge pravne osnove</w:t>
      </w:r>
    </w:p>
    <w:p w:rsidR="00AC0832" w:rsidRDefault="00AC0832">
      <w:pPr>
        <w:pStyle w:val="Normal5"/>
      </w:pPr>
      <w:r>
        <w:t>Zakon o Uredu za suzbijanje korupcije i organiziranog kriminaliteta („Narodne novine" 76/09), Zakon o državnom odvjetništvu („Narodne novine" broj 76/09) i Zakon o kaznenom postupku („Narodne novine" broj 152/08 i 76/09) i Financijski sporazum za IPA 2007 pretpristupni program pomoći sklopljen između Vlade Republike Hrvatske i Komisije Europske zajednice 17. studenog 2007. godine.</w:t>
      </w:r>
    </w:p>
    <w:p w:rsidR="00AC0832" w:rsidRDefault="00AC0832">
      <w:pPr>
        <w:pStyle w:val="Heading7"/>
      </w:pPr>
      <w:r>
        <w:t xml:space="preserve">Cilj 1. Suzbijanje pojavnih oblika organiziranog kriminaliteta i korupcije. </w:t>
      </w:r>
    </w:p>
    <w:p w:rsidR="00AC0832" w:rsidRDefault="00AC0832">
      <w:pPr>
        <w:pStyle w:val="Heading6"/>
      </w:pPr>
      <w:r>
        <w:t>A629005 SUZBIJANJE ZLOUPORABE OPOJNIH DROGA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A629005-SUZBIJANJE ZLOUPORABE OPOJNIH DROGA</w:t>
            </w:r>
          </w:p>
        </w:tc>
        <w:tc>
          <w:tcPr>
            <w:tcW w:w="2322" w:type="dxa"/>
          </w:tcPr>
          <w:p w:rsidR="00AC0832" w:rsidRDefault="00AC0832">
            <w:pPr>
              <w:pStyle w:val="CellColumn"/>
            </w:pPr>
            <w:r>
              <w:t>30.000</w:t>
            </w:r>
          </w:p>
        </w:tc>
        <w:tc>
          <w:tcPr>
            <w:tcW w:w="2322" w:type="dxa"/>
          </w:tcPr>
          <w:p w:rsidR="00AC0832" w:rsidRDefault="00AC0832">
            <w:pPr>
              <w:pStyle w:val="CellColumn"/>
            </w:pPr>
            <w:r>
              <w:t>30.000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Aktivnost je provođena testiranjem na opojna sredstva. </w:t>
      </w:r>
    </w:p>
    <w:p w:rsidR="00AC0832" w:rsidRDefault="00AC0832">
      <w:pPr>
        <w:pStyle w:val="Normal6"/>
      </w:pPr>
      <w:r>
        <w:t xml:space="preserve">- U 2012. godini provedeno je 25% manje testiranja na drogu u odnosu na 2011.godinu, a otkriveno je 8,13% više pozitivnih na drogu. </w:t>
      </w:r>
    </w:p>
    <w:p w:rsidR="00AC0832" w:rsidRDefault="00AC0832">
      <w:pPr>
        <w:pStyle w:val="Normal6"/>
      </w:pPr>
      <w:r>
        <w:t>- U 2012. godini provedeno je 13% manje testiranja na alkohol u odnosu na 2011.godinu, a otkriveno je 8,20% više pozitivnih na alkohol zahvaljujući kvalitetnijim metodama testiranja.</w:t>
      </w:r>
    </w:p>
    <w:p w:rsidR="00AC0832" w:rsidRDefault="00AC0832">
      <w:pPr>
        <w:pStyle w:val="Heading6"/>
      </w:pPr>
      <w:r>
        <w:t>A629258 ANTIKORUPCIJSKA STRATEGIJA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A629258-ANTIKORUPCIJSKA STRATEGIJA</w:t>
            </w:r>
          </w:p>
        </w:tc>
        <w:tc>
          <w:tcPr>
            <w:tcW w:w="2322" w:type="dxa"/>
          </w:tcPr>
          <w:p w:rsidR="00AC0832" w:rsidRDefault="00AC0832">
            <w:pPr>
              <w:pStyle w:val="CellColumn"/>
            </w:pPr>
            <w:r>
              <w:t>237.000</w:t>
            </w:r>
          </w:p>
        </w:tc>
        <w:tc>
          <w:tcPr>
            <w:tcW w:w="2322" w:type="dxa"/>
          </w:tcPr>
          <w:p w:rsidR="00AC0832" w:rsidRDefault="00AC0832">
            <w:pPr>
              <w:pStyle w:val="CellColumn"/>
            </w:pPr>
            <w:r>
              <w:t>198.249</w:t>
            </w:r>
          </w:p>
        </w:tc>
        <w:tc>
          <w:tcPr>
            <w:tcW w:w="2322" w:type="dxa"/>
          </w:tcPr>
          <w:p w:rsidR="00AC0832" w:rsidRDefault="00AC0832">
            <w:pPr>
              <w:pStyle w:val="CellColumn"/>
            </w:pPr>
            <w:r>
              <w:t>83,6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Kroz provedbu projekta "Jačanje  prava na pristup informacijama"  kojeg je financirala Vlada Velike Britanije u suradnji s Agencijom za zaštitu osobnih  podataka organizirane  su edukacije za povjerenike za  informiranje u Zagrebu, Slavonskom Brodu, Rijeci i Varaždinu. Također, u ožujku 2012. godine provedena je edukacija koja je bila namijenjena službenicima za informiranje u trgovačkim društvima koja provode Antikorupcijski program, a okupila je  predstavnike 52  trgovačka društva. Glavni cilj  edukacije bio je upoznavanja službenika za informiranje sa novim Zakonom o pravu na pristup informacijama te s obvezama tijela javne vlasti koje proizlaze iz navedenog zakona. Djelatnici Samostalnog sektora za suzbijanje  </w:t>
      </w:r>
    </w:p>
    <w:p w:rsidR="00AC0832" w:rsidRDefault="00AC0832">
      <w:pPr>
        <w:pStyle w:val="Normal6"/>
      </w:pPr>
      <w:r>
        <w:t>korupcije Ministarstva pravosuđa sudjelovali  su u osmišljavanju i provedbi specijalističke antikorupcijske edukacije za djelatnike Porezne uprave (lipanj 2012. godine). Provedena je internetska anketa o percepciji  korupcije i stvarnim iskustvima građana s  korupcijom. Anketa je bila objavljena na  mrežnim stranicama Ministarstva pravosuđa i društvenim  mrežama Vlade Republike Hrvatske te ju je bilo moguće ispuniti u razdoblju od 24. do 30. srpnja 2012. godine. Sastavljeno je izvješće  o provedbi Akcijskog plana uz Strategiju suzbijanja korupcije iz 2008. i revidiranog Akcijskog plana uz Strategiju suzbijanja korupcije iz 2010 . godine kao i prijedlog novog Akcijskog plana uz Strategiju suzbijanja korupcije koji je Vlada Republike Hrvatske donijela  15. studenoga 2012. godine. Vlada Republike Hrvatske je na sjednici održanoj 1.veljače 2013. godine prihvatila Izvješće o provedbi Antikorupcijskog programa za trgovačka društva u većinskom državnom vlasništvu za razdoblje 2010 .-2012. Ministarstvo pravosuđa je u suradnji sa Ministarstvo uprave sastavilo upitnik sa pitanjima koja se odnose na transparentnost rada jedinica lokalne i područne(regionalne) samouprave.</w:t>
      </w:r>
    </w:p>
    <w:p w:rsidR="00AC0832" w:rsidRDefault="00AC0832">
      <w:pPr>
        <w:pStyle w:val="Heading6"/>
      </w:pPr>
      <w:r>
        <w:t>K576245 JAČANJE MEĐUAGENCIJSKE SURADNJE U BORBI PROTIV KORUPCIJE (IPA 2007)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K576245-JAČANJE MEĐUAGENCIJSKE SURADNJE U BORBI PROTIV KORUPCIJE (IPA 2007)</w:t>
            </w:r>
          </w:p>
        </w:tc>
        <w:tc>
          <w:tcPr>
            <w:tcW w:w="2322" w:type="dxa"/>
          </w:tcPr>
          <w:p w:rsidR="00AC0832" w:rsidRDefault="00AC0832">
            <w:pPr>
              <w:pStyle w:val="CellColumn"/>
            </w:pPr>
            <w:r>
              <w:t>4.925.500</w:t>
            </w:r>
          </w:p>
        </w:tc>
        <w:tc>
          <w:tcPr>
            <w:tcW w:w="2322" w:type="dxa"/>
          </w:tcPr>
          <w:p w:rsidR="00AC0832" w:rsidRDefault="00AC0832">
            <w:pPr>
              <w:pStyle w:val="CellColumn"/>
            </w:pPr>
            <w:r>
              <w:t>4.606.589</w:t>
            </w:r>
          </w:p>
        </w:tc>
        <w:tc>
          <w:tcPr>
            <w:tcW w:w="2322" w:type="dxa"/>
          </w:tcPr>
          <w:p w:rsidR="00AC0832" w:rsidRDefault="00AC0832">
            <w:pPr>
              <w:pStyle w:val="CellColumn"/>
            </w:pPr>
            <w:r>
              <w:t>93,5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Administrativno jačanje Sektora za borbu protiv korupcije, uspostavljanje sustava protoka informacija i njihova koordinacija između Ministarstva pravosuđa i drugih državnih tijela (sudionika u borbi protiv korupcije), stvaranje središnje baze podataka za sustav suzbijanja korupcije i provođenje javne anti-korupcijske kampanje. </w:t>
      </w:r>
    </w:p>
    <w:p w:rsidR="00AC0832" w:rsidRDefault="00AC0832">
      <w:pPr>
        <w:pStyle w:val="Normal6"/>
      </w:pPr>
      <w:r>
        <w:t xml:space="preserve">Projektom su provedene sljedeće aktivnosti: </w:t>
      </w:r>
    </w:p>
    <w:p w:rsidR="00AC0832" w:rsidRDefault="00AC0832">
      <w:pPr>
        <w:pStyle w:val="Normal6"/>
      </w:pPr>
      <w:r>
        <w:t>1.</w:t>
      </w:r>
      <w:r>
        <w:tab/>
        <w:t xml:space="preserve">izrađene preporuke vezane uz metode rada i unutarnju organizaciju Sektora za borbu protiv korupcije unutar Ministarstva pravosuđa </w:t>
      </w:r>
    </w:p>
    <w:p w:rsidR="00AC0832" w:rsidRDefault="00AC0832">
      <w:pPr>
        <w:pStyle w:val="Normal6"/>
      </w:pPr>
      <w:r>
        <w:t>2.</w:t>
      </w:r>
      <w:r>
        <w:tab/>
        <w:t xml:space="preserve">organizirane radionice za službenike TDU i lokalne i regionalne samouprave </w:t>
      </w:r>
    </w:p>
    <w:p w:rsidR="00AC0832" w:rsidRDefault="00AC0832">
      <w:pPr>
        <w:pStyle w:val="Normal6"/>
      </w:pPr>
      <w:r>
        <w:t>3.</w:t>
      </w:r>
      <w:r>
        <w:tab/>
        <w:t xml:space="preserve">izrađene anti-korupcijske edukacijske programe za određena državna tijela </w:t>
      </w:r>
    </w:p>
    <w:p w:rsidR="00AC0832" w:rsidRDefault="00AC0832">
      <w:pPr>
        <w:pStyle w:val="Normal6"/>
      </w:pPr>
      <w:r>
        <w:t>4.</w:t>
      </w:r>
      <w:r>
        <w:tab/>
        <w:t xml:space="preserve">izrađene preporuke za unapređenje Etičkog kodeksa </w:t>
      </w:r>
    </w:p>
    <w:p w:rsidR="00AC0832" w:rsidRDefault="00AC0832">
      <w:pPr>
        <w:pStyle w:val="Normal6"/>
      </w:pPr>
      <w:r>
        <w:t>5.</w:t>
      </w:r>
      <w:r>
        <w:tab/>
        <w:t xml:space="preserve">izrađene preporuke za unapređenje međuagencijske suradnje – protokol o razmjeni informacija </w:t>
      </w:r>
    </w:p>
    <w:p w:rsidR="00AC0832" w:rsidRDefault="00AC0832">
      <w:pPr>
        <w:pStyle w:val="Normal6"/>
      </w:pPr>
      <w:r>
        <w:t>6.</w:t>
      </w:r>
      <w:r>
        <w:tab/>
        <w:t xml:space="preserve">provođenje medijske anti-korupcijske kampanje </w:t>
      </w:r>
    </w:p>
    <w:p w:rsidR="00AC0832" w:rsidRDefault="00AC0832">
      <w:pPr>
        <w:pStyle w:val="Normal6"/>
      </w:pPr>
      <w:r>
        <w:t>7.</w:t>
      </w:r>
      <w:r>
        <w:tab/>
        <w:t xml:space="preserve">podizanje svijesti o štetnosti korupcije </w:t>
      </w:r>
    </w:p>
    <w:p w:rsidR="00AC0832" w:rsidRDefault="00AC0832">
      <w:pPr>
        <w:pStyle w:val="Normal6"/>
      </w:pPr>
      <w:r>
        <w:t>8.</w:t>
      </w:r>
      <w:r>
        <w:tab/>
        <w:t xml:space="preserve">organiziranje radionica za novinare u svrhu podizanja razine znanja izvještavanja o korupciji </w:t>
      </w:r>
    </w:p>
    <w:p w:rsidR="00AC0832" w:rsidRDefault="00AC0832">
      <w:pPr>
        <w:pStyle w:val="Normal6"/>
      </w:pPr>
      <w:r>
        <w:t>9.</w:t>
      </w:r>
      <w:r>
        <w:tab/>
        <w:t xml:space="preserve">uspostavljanje sustava protoka informacija i njihova koordinacija između Ministarstva pravosuđa i drugih državnih tijela (sudionika u borbi protiv korupcije) kroz stvaranje središnje baze podataka za sustav suzbijanja korupcije  </w:t>
      </w:r>
    </w:p>
    <w:p w:rsidR="00AC0832" w:rsidRDefault="00AC0832">
      <w:pPr>
        <w:pStyle w:val="Normal6"/>
      </w:pPr>
      <w:r>
        <w:t>10.</w:t>
      </w:r>
      <w:r>
        <w:tab/>
        <w:t>edukacija krajnjih korisnika za korištenje razvijene baze podataka.</w:t>
      </w:r>
    </w:p>
    <w:p w:rsidR="00AC0832" w:rsidRDefault="00AC0832">
      <w:pPr>
        <w:pStyle w:val="Heading6"/>
      </w:pPr>
      <w:r>
        <w:t>K576246 JAČANJE KAPACITETA USKOK-A (IPA 2007)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K576246-JAČANJE KAPACITETA USKOK-A (IPA 2007)</w:t>
            </w:r>
          </w:p>
        </w:tc>
        <w:tc>
          <w:tcPr>
            <w:tcW w:w="2322" w:type="dxa"/>
          </w:tcPr>
          <w:p w:rsidR="00AC0832" w:rsidRDefault="00AC0832">
            <w:pPr>
              <w:pStyle w:val="CellColumn"/>
            </w:pPr>
            <w:r>
              <w:t>2.695.000</w:t>
            </w:r>
          </w:p>
        </w:tc>
        <w:tc>
          <w:tcPr>
            <w:tcW w:w="2322" w:type="dxa"/>
          </w:tcPr>
          <w:p w:rsidR="00AC0832" w:rsidRDefault="00AC0832">
            <w:pPr>
              <w:pStyle w:val="CellColumn"/>
            </w:pPr>
            <w:r>
              <w:t>00</w:t>
            </w:r>
          </w:p>
        </w:tc>
        <w:tc>
          <w:tcPr>
            <w:tcW w:w="2322" w:type="dxa"/>
          </w:tcPr>
          <w:p w:rsidR="00AC0832" w:rsidRDefault="00AC0832">
            <w:pPr>
              <w:pStyle w:val="CellColumn"/>
            </w:pPr>
            <w:r>
              <w:t>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Jačanje proaktivnog pristupa u otkrivanju kaznenih djela u nadležnosti USKOK-a, poboljšanje percepcije javnosti o radu USKOK-a, jačanje sposobnosti USKOK-a u provođenju zajedničkih istraga kaznenih djela s međunarodnim elementom i razvoj software-a za upravljanje predmetima na USKOK-u, koji bi također dostavljao podatke o predmetima analitičkom sofware-u kako bi ih on mogao obrađivati. </w:t>
      </w:r>
    </w:p>
    <w:p w:rsidR="00AC0832" w:rsidRDefault="00AC0832">
      <w:pPr>
        <w:pStyle w:val="Normal6"/>
      </w:pPr>
      <w:r>
        <w:t xml:space="preserve">Projekt je završio u lipnju 2012. godine, te do kraja godine nije odobreno finalno izvješće twinning ugovora. </w:t>
      </w:r>
    </w:p>
    <w:p w:rsidR="00AC0832" w:rsidRDefault="00AC0832">
      <w:pPr>
        <w:pStyle w:val="Normal6"/>
      </w:pPr>
      <w:r>
        <w:t>Svi planirani ciljevi projekta su ostvareni do kraja provedbe.</w:t>
      </w:r>
    </w:p>
    <w:p w:rsidR="00AC0832" w:rsidRDefault="00AC0832">
      <w:pPr>
        <w:pStyle w:val="Heading5"/>
      </w:pPr>
      <w:r>
        <w:t>2811 LJUDSKA PRAVA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2811-LJUDSKA PRAVA</w:t>
            </w:r>
          </w:p>
        </w:tc>
        <w:tc>
          <w:tcPr>
            <w:tcW w:w="2322" w:type="dxa"/>
          </w:tcPr>
          <w:p w:rsidR="00AC0832" w:rsidRDefault="00AC0832">
            <w:pPr>
              <w:pStyle w:val="CellColumn"/>
            </w:pPr>
            <w:r>
              <w:t>3.083.141</w:t>
            </w:r>
          </w:p>
        </w:tc>
        <w:tc>
          <w:tcPr>
            <w:tcW w:w="2322" w:type="dxa"/>
          </w:tcPr>
          <w:p w:rsidR="00AC0832" w:rsidRDefault="00AC0832">
            <w:pPr>
              <w:pStyle w:val="CellColumn"/>
            </w:pPr>
            <w:r>
              <w:t>2.964.790</w:t>
            </w:r>
          </w:p>
        </w:tc>
        <w:tc>
          <w:tcPr>
            <w:tcW w:w="2322" w:type="dxa"/>
          </w:tcPr>
          <w:p w:rsidR="00AC0832" w:rsidRDefault="00AC0832">
            <w:pPr>
              <w:pStyle w:val="CellColumn"/>
            </w:pPr>
            <w:r>
              <w:t>96,2</w:t>
            </w:r>
          </w:p>
        </w:tc>
      </w:tr>
    </w:tbl>
    <w:p w:rsidR="00AC0832" w:rsidRDefault="00AC0832">
      <w:pPr>
        <w:jc w:val="left"/>
      </w:pPr>
    </w:p>
    <w:p w:rsidR="00AC0832" w:rsidRDefault="00AC0832">
      <w:pPr>
        <w:pStyle w:val="Heading6"/>
      </w:pPr>
      <w:r>
        <w:t>Opis programa</w:t>
      </w:r>
    </w:p>
    <w:p w:rsidR="00AC0832" w:rsidRDefault="00AC0832">
      <w:pPr>
        <w:pStyle w:val="Normal5"/>
      </w:pPr>
      <w:r>
        <w:t>Programom su obuhvaćene aktivnosti usklađivanja zakonodavstva iz djelokruga Ministarstva pravosuđa s međunarodnim dokumentima iz područja zaštite ljudskih prava i prava nacionalnih manjina, kontinuirano izvještavanje o provedbi Ustavnog zakona o pravima nacionalnih manjina, Akcijskog plana za provedbu Ustavnog zakona o pravima nacionalnih manjina, Nacionalnog plana za borbu protiv diskriminacije, UN Konvencije o uklanjanju svih oblika diskriminacije žena, Međunarodnog pakta o građanskim i političkim pravima, kao i niza drugih nacionalnih strategija i planova.</w:t>
      </w:r>
    </w:p>
    <w:p w:rsidR="00AC0832" w:rsidRDefault="00AC0832">
      <w:pPr>
        <w:pStyle w:val="Heading6"/>
      </w:pPr>
      <w:r>
        <w:t>Zakonske i druge pravne osnove</w:t>
      </w:r>
    </w:p>
    <w:p w:rsidR="00AC0832" w:rsidRDefault="00AC0832">
      <w:pPr>
        <w:pStyle w:val="Normal5"/>
      </w:pPr>
      <w:r>
        <w:t>Provedba međunarodnih ugovora koji se odnose na ostvarivanje i zaštitu ljudskih prava i prava nacionalnih manjina u području pravosuđa te provedba Ustavnog zakona o pravima nacionalnih manjina, Zakona o uporabi jezika i pisma nacionalnih manjina u Republici Hrvatskoj, Zakon o besplatnoj pravnoj pomoći („Narodne novine“, broj 62/08, 44/11 – Odluka USRH i 81/11),</w:t>
      </w:r>
    </w:p>
    <w:p w:rsidR="00AC0832" w:rsidRDefault="00AC0832">
      <w:pPr>
        <w:pStyle w:val="Heading7"/>
      </w:pPr>
      <w:r>
        <w:t>Cilj 1. Unapređenje zaštite ljudskih prava</w:t>
      </w:r>
    </w:p>
    <w:p w:rsidR="00AC0832" w:rsidRDefault="00AC0832">
      <w:pPr>
        <w:pStyle w:val="Heading8"/>
        <w:jc w:val="left"/>
      </w:pPr>
      <w:r>
        <w:t>Opis provedbe cilja programa</w:t>
      </w:r>
    </w:p>
    <w:p w:rsidR="00AC0832" w:rsidRDefault="00AC0832">
      <w:pPr>
        <w:pStyle w:val="Heading6"/>
      </w:pPr>
      <w:r>
        <w:t>A629173 ZASTUPANJE VLADE PRED EUROPSKIM SUDOM ZA LJUDSKA PRAVA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A629173-ZASTUPANJE VLADE PRED EUROPSKIM SUDOM ZA LJUDSKA PRAVA</w:t>
            </w:r>
          </w:p>
        </w:tc>
        <w:tc>
          <w:tcPr>
            <w:tcW w:w="2322" w:type="dxa"/>
          </w:tcPr>
          <w:p w:rsidR="00AC0832" w:rsidRDefault="00AC0832">
            <w:pPr>
              <w:pStyle w:val="CellColumn"/>
            </w:pPr>
            <w:r>
              <w:t>222.186</w:t>
            </w:r>
          </w:p>
        </w:tc>
        <w:tc>
          <w:tcPr>
            <w:tcW w:w="2322" w:type="dxa"/>
          </w:tcPr>
          <w:p w:rsidR="00AC0832" w:rsidRDefault="00AC0832">
            <w:pPr>
              <w:pStyle w:val="CellColumn"/>
            </w:pPr>
            <w:r>
              <w:t>220.333</w:t>
            </w:r>
          </w:p>
        </w:tc>
        <w:tc>
          <w:tcPr>
            <w:tcW w:w="2322" w:type="dxa"/>
          </w:tcPr>
          <w:p w:rsidR="00AC0832" w:rsidRDefault="00AC0832">
            <w:pPr>
              <w:pStyle w:val="CellColumn"/>
            </w:pPr>
            <w:r>
              <w:t>99,2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Donošenjem Državnog proračuna za 2012. godinu i projekcija za 2013. i 2014. godinu odlukom Vlade Republike Hrvatske aktivnost A629173 i A629175 unutar glave 11005-Ministarstva pravosuđa prešle su u nadležnost Vlade Republike Hrvatske.</w:t>
      </w:r>
    </w:p>
    <w:p w:rsidR="00AC0832" w:rsidRDefault="00AC0832">
      <w:pPr>
        <w:pStyle w:val="Heading6"/>
      </w:pPr>
      <w:r>
        <w:t>A629175 IZVRŠENJE PRESUDA SUDA ZA LJUDSKA PRAVA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A629175-IZVRŠENJE PRESUDA SUDA ZA LJUDSKA PRAVA</w:t>
            </w:r>
          </w:p>
        </w:tc>
        <w:tc>
          <w:tcPr>
            <w:tcW w:w="2322" w:type="dxa"/>
          </w:tcPr>
          <w:p w:rsidR="00AC0832" w:rsidRDefault="00AC0832">
            <w:pPr>
              <w:pStyle w:val="CellColumn"/>
            </w:pPr>
            <w:r>
              <w:t>1.243.955</w:t>
            </w:r>
          </w:p>
        </w:tc>
        <w:tc>
          <w:tcPr>
            <w:tcW w:w="2322" w:type="dxa"/>
          </w:tcPr>
          <w:p w:rsidR="00AC0832" w:rsidRDefault="00AC0832">
            <w:pPr>
              <w:pStyle w:val="CellColumn"/>
            </w:pPr>
            <w:r>
              <w:t>1.239.514</w:t>
            </w:r>
          </w:p>
        </w:tc>
        <w:tc>
          <w:tcPr>
            <w:tcW w:w="2322" w:type="dxa"/>
          </w:tcPr>
          <w:p w:rsidR="00AC0832" w:rsidRDefault="00AC0832">
            <w:pPr>
              <w:pStyle w:val="CellColumn"/>
            </w:pPr>
            <w:r>
              <w:t>99,6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Donošenjem Državnog proračuna za 2012. godinu i projekcija za 2013. i 2014. godinu odlukom Vlade Republike Hrvatske aktivnost A629173 i A629175 unutar glave 11005-Ministarstva pravosuđa prešle su u nadležnost Vlade Republike Hrvatske.</w:t>
      </w:r>
    </w:p>
    <w:p w:rsidR="00AC0832" w:rsidRDefault="00AC0832">
      <w:pPr>
        <w:pStyle w:val="Heading6"/>
      </w:pPr>
    </w:p>
    <w:p w:rsidR="00AC0832" w:rsidRDefault="00AC0832">
      <w:pPr>
        <w:pStyle w:val="Heading6"/>
      </w:pPr>
      <w:r>
        <w:t>A629235 LJUDSKA PRAVA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A629235-LJUDSKA PRAVA</w:t>
            </w:r>
          </w:p>
        </w:tc>
        <w:tc>
          <w:tcPr>
            <w:tcW w:w="2322" w:type="dxa"/>
          </w:tcPr>
          <w:p w:rsidR="00AC0832" w:rsidRDefault="00AC0832">
            <w:pPr>
              <w:pStyle w:val="CellColumn"/>
            </w:pPr>
            <w:r>
              <w:t>1.000</w:t>
            </w:r>
          </w:p>
        </w:tc>
        <w:tc>
          <w:tcPr>
            <w:tcW w:w="2322" w:type="dxa"/>
          </w:tcPr>
          <w:p w:rsidR="00AC0832" w:rsidRDefault="00AC0832">
            <w:pPr>
              <w:pStyle w:val="CellColumn"/>
            </w:pPr>
            <w:r>
              <w:t>00</w:t>
            </w:r>
          </w:p>
        </w:tc>
        <w:tc>
          <w:tcPr>
            <w:tcW w:w="2322" w:type="dxa"/>
          </w:tcPr>
          <w:p w:rsidR="00AC0832" w:rsidRDefault="00AC0832">
            <w:pPr>
              <w:pStyle w:val="CellColumn"/>
            </w:pPr>
            <w:r>
              <w:t>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Sudjelovanje u izradi izvješća o primjeni međunarodnih dokumenata te izradi izvješća o primjeni nacionalnih dokumenata iz djelokruga Ministarstva pravosuđa. Nadalje, izrada očitovanja na izvješća međunarodnih tijela i organizacija u pitanjima iz djelokruga Ministarstva: UN, VE, OESS- redovita dvotjedna i posebna izvješća,Visoki povjerenik za ljudska prava, UN – Ured Visokog povjerenika za ljudska prava, izrada odgovora i očitovanja u pojedinim konkretnim slučajevima te sudjelovanje u radu Radne skupine za poglavlje 23. „ Pravosuđe i temeljna prava“ iz djelokruga Odjela za ljudska prava;   </w:t>
      </w:r>
    </w:p>
    <w:p w:rsidR="00AC0832" w:rsidRDefault="00AC0832">
      <w:pPr>
        <w:pStyle w:val="Normal6"/>
      </w:pPr>
      <w:r>
        <w:t xml:space="preserve">Izrađena su godišnja izvješća iz djelokruga Ministarstva po sljedećim nacionalnim dokumentima: Akcijskom planu za provedbu Ustavnog zakona o pravima nacionalnih manjina, Ustavnom zakonu o pravima nacionalnih manjina i utrošku sredstava osiguranih u državnom proračunu, Nacionalnom programu za Rome, Nacionalnoj strategiji izjednačavanja mogućnosti za osobe s invaliditetom 2007.-2015., Nacionalnoj strategiji za promicanje ravnopravnosti spolova, Nacionalnom programu zaštite i promicanja ljudskih prava, Nacionalnom planu za borbu protiv diskriminacije. </w:t>
      </w:r>
    </w:p>
    <w:p w:rsidR="00AC0832" w:rsidRDefault="00AC0832">
      <w:pPr>
        <w:pStyle w:val="Normal6"/>
      </w:pPr>
      <w:r>
        <w:t>Nadalje, izrađeno je Šesto izvješće o primjeni Europske socijalne povelje, te su izrađeni dokumenti u okviru djelokruga Odjela u svrhu izvještavanja Europskoj Komisiji (npr. self-assesment dokumenta, monitoring tablica); Poduzete su aktivnosti za poboljšanje prava nacionalnih manjina (organizacija okruglih stolova i izrada plakata o primjeni članka 22. Ustavnog zakona o pravima nacionalnih manjina).</w:t>
      </w:r>
    </w:p>
    <w:p w:rsidR="00AC0832" w:rsidRDefault="00AC0832">
      <w:pPr>
        <w:pStyle w:val="Heading6"/>
      </w:pPr>
      <w:r>
        <w:t>A630048 BESPLATNA PRAVNA POMOĆ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A630048-BESPLATNA PRAVNA POMOĆ</w:t>
            </w:r>
          </w:p>
        </w:tc>
        <w:tc>
          <w:tcPr>
            <w:tcW w:w="2322" w:type="dxa"/>
          </w:tcPr>
          <w:p w:rsidR="00AC0832" w:rsidRDefault="00AC0832">
            <w:pPr>
              <w:pStyle w:val="CellColumn"/>
            </w:pPr>
            <w:r>
              <w:t>1.261.500</w:t>
            </w:r>
          </w:p>
        </w:tc>
        <w:tc>
          <w:tcPr>
            <w:tcW w:w="2322" w:type="dxa"/>
          </w:tcPr>
          <w:p w:rsidR="00AC0832" w:rsidRDefault="00AC0832">
            <w:pPr>
              <w:pStyle w:val="CellColumn"/>
            </w:pPr>
            <w:r>
              <w:t>1.258.135</w:t>
            </w:r>
          </w:p>
        </w:tc>
        <w:tc>
          <w:tcPr>
            <w:tcW w:w="2322" w:type="dxa"/>
          </w:tcPr>
          <w:p w:rsidR="00AC0832" w:rsidRDefault="00AC0832">
            <w:pPr>
              <w:pStyle w:val="CellColumn"/>
            </w:pPr>
            <w:r>
              <w:t>99,7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Olakšavanje ostvarenja prava građana Republike Hrvatske i stranaca, te pristup sudovima i javnopravnim tijelima u Republici Hrvatskoj, na način da troškove u cijelosti ili djelomično snosi Republika Hrvatska. </w:t>
      </w:r>
    </w:p>
    <w:p w:rsidR="00AC0832" w:rsidRDefault="00AC0832">
      <w:pPr>
        <w:pStyle w:val="Normal6"/>
      </w:pPr>
      <w:r>
        <w:t xml:space="preserve">Osiguravanje stručne pravne pomoći što treba imati učinke na učinkovitost sudskih i upravnih postupaka. </w:t>
      </w:r>
    </w:p>
    <w:p w:rsidR="00AC0832" w:rsidRDefault="00AC0832">
      <w:pPr>
        <w:pStyle w:val="Normal6"/>
      </w:pPr>
      <w:r>
        <w:t>U 2012.g. podneseno je ukupno 7068 zahtjeva za besplatnu pravnu pomoć od čega je odobreno 5877 zahtjeva iz čega proizlazi da su postignuti ciljevi u osiguravanju pristupa sudovima i javnopravnim tijelima u RH.</w:t>
      </w:r>
    </w:p>
    <w:p w:rsidR="00AC0832" w:rsidRDefault="00AC0832">
      <w:pPr>
        <w:pStyle w:val="Heading6"/>
      </w:pPr>
      <w:r>
        <w:t>T630095 IPA I 2009 - UNAPREĐENJE SUSTAVA BESPLATNE PRAVNE POMOĆI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T630095-IPA I 2009 - UNAPREĐENJE SUSTAVA BESPLATNE PRAVNE POMOĆI</w:t>
            </w:r>
          </w:p>
        </w:tc>
        <w:tc>
          <w:tcPr>
            <w:tcW w:w="2322" w:type="dxa"/>
          </w:tcPr>
          <w:p w:rsidR="00AC0832" w:rsidRDefault="00AC0832">
            <w:pPr>
              <w:pStyle w:val="CellColumn"/>
            </w:pPr>
            <w:r>
              <w:t>354.500</w:t>
            </w:r>
          </w:p>
        </w:tc>
        <w:tc>
          <w:tcPr>
            <w:tcW w:w="2322" w:type="dxa"/>
          </w:tcPr>
          <w:p w:rsidR="00AC0832" w:rsidRDefault="00AC0832">
            <w:pPr>
              <w:pStyle w:val="CellColumn"/>
            </w:pPr>
            <w:r>
              <w:t>246.808</w:t>
            </w:r>
          </w:p>
        </w:tc>
        <w:tc>
          <w:tcPr>
            <w:tcW w:w="2322" w:type="dxa"/>
          </w:tcPr>
          <w:p w:rsidR="00AC0832" w:rsidRDefault="00AC0832">
            <w:pPr>
              <w:pStyle w:val="CellColumn"/>
            </w:pPr>
            <w:r>
              <w:t>69,6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Analiza i unaprjeđenje pravnog okvira besplatne pravne pomoći, efikasnije provođenje sustava u praksi i trening zaposlenika o unaprjeđenom sustavu besplatne pravne pomoći. </w:t>
      </w:r>
    </w:p>
    <w:p w:rsidR="00AC0832" w:rsidRDefault="00AC0832">
      <w:pPr>
        <w:pStyle w:val="Normal6"/>
      </w:pPr>
      <w:r>
        <w:t xml:space="preserve">Pojektom su obuhvaćene sljedeće aktivnosti: </w:t>
      </w:r>
    </w:p>
    <w:p w:rsidR="00AC0832" w:rsidRDefault="00AC0832">
      <w:pPr>
        <w:pStyle w:val="Normal6"/>
      </w:pPr>
      <w:r>
        <w:t>1.</w:t>
      </w:r>
      <w:r>
        <w:tab/>
        <w:t xml:space="preserve">Poboljšanje zakonodavnog okvira besplatne pravne pomoći  </w:t>
      </w:r>
    </w:p>
    <w:p w:rsidR="00AC0832" w:rsidRDefault="00AC0832">
      <w:pPr>
        <w:pStyle w:val="Normal6"/>
      </w:pPr>
      <w:r>
        <w:t>2.</w:t>
      </w:r>
      <w:r>
        <w:tab/>
        <w:t xml:space="preserve">Unaprjeđenje sustava provedbe besplatne pravne pomoći  </w:t>
      </w:r>
    </w:p>
    <w:p w:rsidR="00AC0832" w:rsidRDefault="00AC0832">
      <w:pPr>
        <w:pStyle w:val="Normal6"/>
      </w:pPr>
      <w:r>
        <w:t>3.</w:t>
      </w:r>
      <w:r>
        <w:tab/>
        <w:t xml:space="preserve">Poboljšanje dostupnosti informacija o besplatnoj pravnoj pomoći  </w:t>
      </w:r>
    </w:p>
    <w:p w:rsidR="00AC0832" w:rsidRDefault="00AC0832">
      <w:pPr>
        <w:pStyle w:val="Normal6"/>
      </w:pPr>
      <w:r>
        <w:t>4.</w:t>
      </w:r>
      <w:r>
        <w:tab/>
        <w:t xml:space="preserve">Jačanje kapaciteta sudionika koji sudjeluju u provedbi besplatne pravne pomoći - MP, uredi državne uprave u županijama, nevladine organizacije, sudski službenici  </w:t>
      </w:r>
    </w:p>
    <w:p w:rsidR="00AC0832" w:rsidRDefault="00AC0832">
      <w:pPr>
        <w:pStyle w:val="Normal6"/>
      </w:pPr>
      <w:r>
        <w:t>Projekt je završio u ožujku 2012. godine, odobreno je finalno izvješće projekta i provedeno finalno plaćanje do kraja 2012.- godine.</w:t>
      </w:r>
    </w:p>
    <w:p w:rsidR="00AC0832" w:rsidRDefault="00AC0832">
      <w:pPr>
        <w:pStyle w:val="Heading5"/>
      </w:pPr>
      <w:r>
        <w:t>2815 ZEMLJIŠNE KNJIGE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2815-ZEMLJIŠNE KNJIGE</w:t>
            </w:r>
          </w:p>
        </w:tc>
        <w:tc>
          <w:tcPr>
            <w:tcW w:w="2322" w:type="dxa"/>
          </w:tcPr>
          <w:p w:rsidR="00AC0832" w:rsidRDefault="00AC0832">
            <w:pPr>
              <w:pStyle w:val="CellColumn"/>
            </w:pPr>
            <w:r>
              <w:t>10.818.544</w:t>
            </w:r>
          </w:p>
        </w:tc>
        <w:tc>
          <w:tcPr>
            <w:tcW w:w="2322" w:type="dxa"/>
          </w:tcPr>
          <w:p w:rsidR="00AC0832" w:rsidRDefault="00AC0832">
            <w:pPr>
              <w:pStyle w:val="CellColumn"/>
            </w:pPr>
            <w:r>
              <w:t>7.502.756</w:t>
            </w:r>
          </w:p>
        </w:tc>
        <w:tc>
          <w:tcPr>
            <w:tcW w:w="2322" w:type="dxa"/>
          </w:tcPr>
          <w:p w:rsidR="00AC0832" w:rsidRDefault="00AC0832">
            <w:pPr>
              <w:pStyle w:val="CellColumn"/>
            </w:pPr>
            <w:r>
              <w:t>69,4</w:t>
            </w:r>
          </w:p>
        </w:tc>
      </w:tr>
    </w:tbl>
    <w:p w:rsidR="00AC0832" w:rsidRDefault="00AC0832">
      <w:pPr>
        <w:jc w:val="left"/>
      </w:pPr>
    </w:p>
    <w:p w:rsidR="00AC0832" w:rsidRDefault="00AC0832">
      <w:pPr>
        <w:pStyle w:val="Heading6"/>
      </w:pPr>
      <w:r>
        <w:t>Opis programa</w:t>
      </w:r>
    </w:p>
    <w:p w:rsidR="00AC0832" w:rsidRDefault="00AC0832">
      <w:pPr>
        <w:pStyle w:val="Normal5"/>
      </w:pPr>
      <w:r>
        <w:t>Program Zemljišne knjige dio je Nacionalnog programa reforme zemljišne administracije „Uređena zemlja“ koji je pokrenut još 2003. godine kako bi se poboljšale državne usluge sa stajališta učinkovitosti, transparentnosti i troška u svrhu razvoja učinkovitog tržišta nekretnina. Dovršen je Zajednički informacijski sustav zemljišnih knjiga i katastra (ZIS), odnosno uspostavljena je jedinstvena baza podataka i aplikacija za vođenje i održavanje podataka katastra i zemljišne knjige. U tijeku je provođenje postupka implementacije nove ZIS aplikacije.</w:t>
      </w:r>
    </w:p>
    <w:p w:rsidR="00AC0832" w:rsidRDefault="00AC0832">
      <w:pPr>
        <w:pStyle w:val="Heading6"/>
      </w:pPr>
      <w:r>
        <w:t>Zakonske i druge pravne osnove</w:t>
      </w:r>
    </w:p>
    <w:p w:rsidR="00AC0832" w:rsidRDefault="00AC0832">
      <w:pPr>
        <w:pStyle w:val="Normal5"/>
      </w:pPr>
      <w:r>
        <w:t xml:space="preserve">Program se prvenstveno bazira na Zakonu o zemljišnim knjigama (»Narodne novine« br.91/96., 68/98., 137/99., 114/01., 100/04., 107/07. i 152/08.). </w:t>
      </w:r>
    </w:p>
    <w:p w:rsidR="00AC0832" w:rsidRDefault="00AC0832">
      <w:pPr>
        <w:pStyle w:val="Normal5"/>
      </w:pPr>
      <w:r>
        <w:t xml:space="preserve">Ostali pravni dokumenti su slijedeći: </w:t>
      </w:r>
    </w:p>
    <w:p w:rsidR="00AC0832" w:rsidRDefault="00AC0832">
      <w:pPr>
        <w:pStyle w:val="Normal5"/>
      </w:pPr>
      <w:r>
        <w:t xml:space="preserve">- Ugovor o predujmu za pripremu Projekta implementacije integriranog sustava zemljišne administracije između Republike Hrvatske i IBRD-a od 03. kolovoza 2010. godine. </w:t>
      </w:r>
    </w:p>
    <w:p w:rsidR="00AC0832" w:rsidRDefault="00AC0832">
      <w:pPr>
        <w:pStyle w:val="Normal5"/>
      </w:pPr>
      <w:r>
        <w:t xml:space="preserve">- Pravilnik o ustroju i djelovanju zajedničkog informacijskog sustava zemljišnih knjiga i katastra (Narodne novine br. 107/10) </w:t>
      </w:r>
    </w:p>
    <w:p w:rsidR="00AC0832" w:rsidRDefault="00AC0832">
      <w:pPr>
        <w:pStyle w:val="Normal5"/>
      </w:pPr>
      <w:r>
        <w:t xml:space="preserve">- Zaključak Vlade RH Klasa: 940-10/10-02/06 o Planu i programu mjera provedbe brisanja društvenog vlasništva i uknjižbe vlasništva Republike Hrvatske u zemljišne knjige. </w:t>
      </w:r>
    </w:p>
    <w:p w:rsidR="00AC0832" w:rsidRDefault="00AC0832">
      <w:pPr>
        <w:pStyle w:val="Normal5"/>
      </w:pPr>
      <w:r>
        <w:t>- Zakon o vlasništvu i drugim stvarnim pravima (»Narodne novine«, br. 91/96., 68/98., 137/99., 22/00., 73/00., 114/01., 79/06., 141/06., 146/08., 38/09. i 153/09.).</w:t>
      </w:r>
    </w:p>
    <w:p w:rsidR="00AC0832" w:rsidRDefault="00AC0832">
      <w:pPr>
        <w:pStyle w:val="Heading7"/>
      </w:pPr>
      <w:r>
        <w:t xml:space="preserve">Cilj 1. Implementacija ZIS-a na cjelokupnom teritoriju Republike Hrvatske.  </w:t>
      </w:r>
    </w:p>
    <w:p w:rsidR="00AC0832" w:rsidRDefault="00AC0832">
      <w:pPr>
        <w:pStyle w:val="Heading8"/>
        <w:jc w:val="left"/>
      </w:pPr>
      <w:r>
        <w:t>Opis provedbe cilja programa</w:t>
      </w:r>
    </w:p>
    <w:p w:rsidR="00AC0832" w:rsidRDefault="00AC0832">
      <w:pPr>
        <w:pStyle w:val="Heading6"/>
      </w:pPr>
      <w:r>
        <w:t>A630110 BRISANJE DRUŠTVENOG VLASNIŠTVA I UKNJIŽBA VLASNIŠTVA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A630110-BRISANJE DRUŠTVENOG VLASNIŠTVA I UKNJIŽBA VLASNIŠTVA RH</w:t>
            </w:r>
          </w:p>
        </w:tc>
        <w:tc>
          <w:tcPr>
            <w:tcW w:w="2322" w:type="dxa"/>
          </w:tcPr>
          <w:p w:rsidR="00AC0832" w:rsidRDefault="00AC0832">
            <w:pPr>
              <w:pStyle w:val="CellColumn"/>
            </w:pPr>
            <w:r>
              <w:t>10</w:t>
            </w:r>
          </w:p>
        </w:tc>
        <w:tc>
          <w:tcPr>
            <w:tcW w:w="2322" w:type="dxa"/>
          </w:tcPr>
          <w:p w:rsidR="00AC0832" w:rsidRDefault="00AC0832">
            <w:pPr>
              <w:pStyle w:val="CellColumn"/>
            </w:pPr>
            <w:r>
              <w:t>00</w:t>
            </w:r>
          </w:p>
        </w:tc>
        <w:tc>
          <w:tcPr>
            <w:tcW w:w="2322" w:type="dxa"/>
          </w:tcPr>
          <w:p w:rsidR="00AC0832" w:rsidRDefault="00AC0832">
            <w:pPr>
              <w:pStyle w:val="CellColumn"/>
            </w:pPr>
            <w:r>
              <w:t>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Provedba brisanja društvenog vlasništva i uknjižbe vlasništva Republike Hrvatske te upisa općeg i javnog dobra u zemljišne knjige. Osim toga, pokrenuti će se promjene zakona koje je potrebno mijenjati radi rješavanja pitanja uknjižbe vlasništva Republike Hrvatske. Programom se osiguravaju sredstva za troškove parcelacija kao i za troškove sudskih komisija. </w:t>
      </w:r>
    </w:p>
    <w:p w:rsidR="00AC0832" w:rsidRDefault="00AC0832">
      <w:pPr>
        <w:pStyle w:val="Normal6"/>
      </w:pPr>
      <w:r>
        <w:t>Temeljem iskazanog broja katastarskih čestica (558717) na kojima je upisano društveno vlasništvo pripremljena je kvantitativna dinamika rješavanja predmeta uknjižbe u zemljišnoknjižnim.sudovima do 2014. po godinama. Ove aktivnosti moraju se planirati paralelno sa aktivnostima nadležnih državnih odvjetništava koji su ovlašteni za podnošenje prijedloga za upis ali i aktivnostima nadležnog upravnog tijela za prostorno uređenje. Do kraja 2014. godine planirano je potpuno dovršiti postupak brisanja društvenog vlasništva.</w:t>
      </w:r>
    </w:p>
    <w:p w:rsidR="00AC0832" w:rsidRDefault="00AC0832">
      <w:pPr>
        <w:pStyle w:val="Heading6"/>
      </w:pPr>
      <w:r>
        <w:t>K630111 VOĐENJE I ODRŽAVANJE ZAJEDNIČKOG INFORMACIJSKOG SUSTAVA ZEMLJIŠNIH KNJIGA I KATASTRA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K630111-VOĐENJE I ODRŽAVANJE ZAJEDNIČKOG INFORMACIJSKOG SUSTAVA ZEMLJIŠNIH KNJIGA I KATASTRA</w:t>
            </w:r>
          </w:p>
        </w:tc>
        <w:tc>
          <w:tcPr>
            <w:tcW w:w="2322" w:type="dxa"/>
          </w:tcPr>
          <w:p w:rsidR="00AC0832" w:rsidRDefault="00AC0832">
            <w:pPr>
              <w:pStyle w:val="CellColumn"/>
            </w:pPr>
            <w:r>
              <w:t>7.000.000</w:t>
            </w:r>
          </w:p>
        </w:tc>
        <w:tc>
          <w:tcPr>
            <w:tcW w:w="2322" w:type="dxa"/>
          </w:tcPr>
          <w:p w:rsidR="00AC0832" w:rsidRDefault="00AC0832">
            <w:pPr>
              <w:pStyle w:val="CellColumn"/>
            </w:pPr>
            <w:r>
              <w:t>4.719.341</w:t>
            </w:r>
          </w:p>
        </w:tc>
        <w:tc>
          <w:tcPr>
            <w:tcW w:w="2322" w:type="dxa"/>
          </w:tcPr>
          <w:p w:rsidR="00AC0832" w:rsidRDefault="00AC0832">
            <w:pPr>
              <w:pStyle w:val="CellColumn"/>
            </w:pPr>
            <w:r>
              <w:t>67,4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Zajednički informacijski sustav zemljišnih knjiga i katastra (ZIS) na jednom mjestu povezuje i održava Bazu zemljišnih podataka sa podacima Baze digitalnih katastarskih planova. Projektom se osiguravaju sredstva za troškove udomljavanja i održavanja Zajedničkog informacijskog sustava  u APIS d.o.o. kao i za troškove održavanja postojećeg (IGEA) sustava podataka, temeljem Okrivnog sporazuma o udomljavanju o održavanju Zajedničkog informacijskog sustava zemljišnih knjiga i katastra sklopljenog s APIS d.o.o. i Okvirnog sporazuma o održavanju EOP-zemljišne knjige sklopljenog sa IGEA d.o.o Varaždin. </w:t>
      </w:r>
    </w:p>
    <w:p w:rsidR="00AC0832" w:rsidRDefault="00AC0832">
      <w:pPr>
        <w:pStyle w:val="Normal6"/>
      </w:pPr>
      <w:r>
        <w:t xml:space="preserve">Do kraja 2015. godine planirano je da će u svih 109 zemljišno-knjižnih odjela biti implementirana nova ZIS aplikacija koja će zamijeniti staru IGEA-inu aplikaciju, te će se time u potpunosti poslovati na jedinstvenom Zajedničkom informacijskom sustavu. </w:t>
      </w:r>
    </w:p>
    <w:p w:rsidR="00AC0832" w:rsidRDefault="00AC0832">
      <w:pPr>
        <w:pStyle w:val="Normal6"/>
      </w:pPr>
      <w:r>
        <w:t xml:space="preserve">Planirani broj zemljišno-knjižnih odjela po godinama na kojima će biti proveden postupak implementacije nove ZIS aplikacija: </w:t>
      </w:r>
    </w:p>
    <w:p w:rsidR="00AC0832" w:rsidRDefault="00AC0832">
      <w:pPr>
        <w:pStyle w:val="Normal6"/>
      </w:pPr>
      <w:r>
        <w:t>-</w:t>
      </w:r>
      <w:r>
        <w:tab/>
        <w:t xml:space="preserve">2012. godina: 20 </w:t>
      </w:r>
    </w:p>
    <w:p w:rsidR="00AC0832" w:rsidRDefault="00AC0832">
      <w:pPr>
        <w:pStyle w:val="Normal6"/>
      </w:pPr>
      <w:r>
        <w:t>-</w:t>
      </w:r>
      <w:r>
        <w:tab/>
        <w:t xml:space="preserve">2013. godina: 40 </w:t>
      </w:r>
    </w:p>
    <w:p w:rsidR="00AC0832" w:rsidRDefault="00AC0832">
      <w:pPr>
        <w:pStyle w:val="Normal6"/>
      </w:pPr>
      <w:r>
        <w:t>-</w:t>
      </w:r>
      <w:r>
        <w:tab/>
        <w:t xml:space="preserve">2014. godina :49 </w:t>
      </w:r>
    </w:p>
    <w:p w:rsidR="00AC0832" w:rsidRDefault="00AC0832">
      <w:pPr>
        <w:pStyle w:val="Normal6"/>
      </w:pPr>
      <w:r>
        <w:t>U 2012. godini cilj nije ostvaren iz razloga što je u tijeku revizija ZIS- programa zbog nedostataka u katastarskom dijelu aplikacije, te je iz tog razloga daljnje širenje ZIS-a zaustavljeno do završetka revizije.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0"/>
        <w:gridCol w:w="1550"/>
        <w:gridCol w:w="1211"/>
        <w:gridCol w:w="1242"/>
        <w:gridCol w:w="1234"/>
        <w:gridCol w:w="1242"/>
        <w:gridCol w:w="125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implementacija ZIS-a na zk odjele</w:t>
            </w:r>
          </w:p>
        </w:tc>
        <w:tc>
          <w:tcPr>
            <w:tcW w:w="1300" w:type="dxa"/>
          </w:tcPr>
          <w:p w:rsidR="00AC0832" w:rsidRDefault="00AC0832">
            <w:pPr>
              <w:pStyle w:val="CellColumn"/>
            </w:pPr>
            <w:r>
              <w:t>broj zemljišno-knjižnih odjela na kojima je proveden postupak implementacije nove ZIS aplikacije</w:t>
            </w:r>
          </w:p>
        </w:tc>
        <w:tc>
          <w:tcPr>
            <w:tcW w:w="1300" w:type="dxa"/>
          </w:tcPr>
          <w:p w:rsidR="00AC0832" w:rsidRDefault="00AC0832">
            <w:pPr>
              <w:pStyle w:val="CellColumn"/>
            </w:pPr>
            <w:r>
              <w:t>broj zk odjela</w:t>
            </w:r>
          </w:p>
        </w:tc>
        <w:tc>
          <w:tcPr>
            <w:tcW w:w="1300" w:type="dxa"/>
          </w:tcPr>
          <w:p w:rsidR="00AC0832" w:rsidRDefault="00AC0832">
            <w:pPr>
              <w:pStyle w:val="CellColumn"/>
            </w:pPr>
            <w:r>
              <w:t>5</w:t>
            </w:r>
          </w:p>
        </w:tc>
        <w:tc>
          <w:tcPr>
            <w:tcW w:w="1300" w:type="dxa"/>
          </w:tcPr>
          <w:p w:rsidR="00AC0832" w:rsidRDefault="00AC0832">
            <w:pPr>
              <w:pStyle w:val="CellColumn"/>
            </w:pPr>
            <w:r>
              <w:t>MP</w:t>
            </w:r>
          </w:p>
        </w:tc>
        <w:tc>
          <w:tcPr>
            <w:tcW w:w="1300" w:type="dxa"/>
          </w:tcPr>
          <w:p w:rsidR="00AC0832" w:rsidRDefault="00AC0832">
            <w:pPr>
              <w:pStyle w:val="CellColumn"/>
            </w:pPr>
            <w:r>
              <w:t>20</w:t>
            </w:r>
          </w:p>
        </w:tc>
        <w:tc>
          <w:tcPr>
            <w:tcW w:w="1300" w:type="dxa"/>
          </w:tcPr>
          <w:p w:rsidR="00AC0832" w:rsidRDefault="00AC0832">
            <w:pPr>
              <w:pStyle w:val="CellColumn"/>
            </w:pPr>
            <w:r>
              <w:t>5</w:t>
            </w:r>
          </w:p>
        </w:tc>
      </w:tr>
    </w:tbl>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pStyle w:val="Heading2"/>
      </w:pPr>
      <w:r>
        <w:t>11006 Pravosudna akademija</w:t>
      </w:r>
    </w:p>
    <w:p w:rsidR="00AC0832" w:rsidRDefault="00AC0832">
      <w:pPr>
        <w:pStyle w:val="Heading4"/>
      </w:pPr>
      <w:r>
        <w:t>Uvod</w:t>
      </w:r>
    </w:p>
    <w:p w:rsidR="00AC0832" w:rsidRDefault="00AC0832">
      <w:pPr>
        <w:pStyle w:val="Normal3"/>
      </w:pPr>
      <w:r>
        <w:t xml:space="preserve">Osnovana je temeljem Zakona o Pravosudnoj akademiji koji je Hrvatski sabor donio 11. prosinca 2009. godine. </w:t>
      </w:r>
    </w:p>
    <w:p w:rsidR="00AC0832" w:rsidRDefault="00AC0832">
      <w:pPr>
        <w:pStyle w:val="Normal3"/>
      </w:pPr>
      <w:r>
        <w:t>Pravosudna akademija provodi početnu izobrazbu i osposobljavanje kandidata za samostalno, odgovorno, neovisno i nepristrano obnašanje pravosudne dužnosti, stručno obrazovanje vježbenika i sudskih savjetnika te kontinuirano usavršavanje pravosudnih dužnosnika.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11006-Pravosudna akademija</w:t>
            </w:r>
          </w:p>
        </w:tc>
        <w:tc>
          <w:tcPr>
            <w:tcW w:w="2322" w:type="dxa"/>
          </w:tcPr>
          <w:p w:rsidR="00AC0832" w:rsidRDefault="00AC0832">
            <w:pPr>
              <w:pStyle w:val="CellColumn"/>
            </w:pPr>
            <w:r>
              <w:t>13.114.110</w:t>
            </w:r>
          </w:p>
        </w:tc>
        <w:tc>
          <w:tcPr>
            <w:tcW w:w="2322" w:type="dxa"/>
          </w:tcPr>
          <w:p w:rsidR="00AC0832" w:rsidRDefault="00AC0832">
            <w:pPr>
              <w:pStyle w:val="CellColumn"/>
            </w:pPr>
            <w:r>
              <w:t>13.316.088</w:t>
            </w:r>
          </w:p>
        </w:tc>
        <w:tc>
          <w:tcPr>
            <w:tcW w:w="2322" w:type="dxa"/>
          </w:tcPr>
          <w:p w:rsidR="00AC0832" w:rsidRDefault="00AC0832">
            <w:pPr>
              <w:pStyle w:val="CellColumn"/>
            </w:pPr>
            <w:r>
              <w:t>101,5</w:t>
            </w:r>
          </w:p>
        </w:tc>
      </w:tr>
      <w:tr w:rsidR="00AC0832" w:rsidTr="00BE20ED">
        <w:trPr>
          <w:jc w:val="center"/>
        </w:trPr>
        <w:tc>
          <w:tcPr>
            <w:tcW w:w="2322" w:type="dxa"/>
          </w:tcPr>
          <w:p w:rsidR="00AC0832" w:rsidRDefault="00AC0832">
            <w:pPr>
              <w:pStyle w:val="CellColumnSmall"/>
            </w:pPr>
            <w:r>
              <w:t>2804-EDUKACIJA I INFORMIRANJE U PRAVOSUDNOM SUSTAVU</w:t>
            </w:r>
          </w:p>
        </w:tc>
        <w:tc>
          <w:tcPr>
            <w:tcW w:w="2322" w:type="dxa"/>
          </w:tcPr>
          <w:p w:rsidR="00AC0832" w:rsidRDefault="00AC0832">
            <w:pPr>
              <w:pStyle w:val="CellColumnSmall"/>
            </w:pPr>
            <w:r>
              <w:t>13.114.110</w:t>
            </w:r>
          </w:p>
        </w:tc>
        <w:tc>
          <w:tcPr>
            <w:tcW w:w="2322" w:type="dxa"/>
          </w:tcPr>
          <w:p w:rsidR="00AC0832" w:rsidRDefault="00AC0832">
            <w:pPr>
              <w:pStyle w:val="CellColumnSmall"/>
            </w:pPr>
            <w:r>
              <w:t>13.316.088</w:t>
            </w:r>
          </w:p>
        </w:tc>
        <w:tc>
          <w:tcPr>
            <w:tcW w:w="2322" w:type="dxa"/>
          </w:tcPr>
          <w:p w:rsidR="00AC0832" w:rsidRDefault="00AC0832">
            <w:pPr>
              <w:pStyle w:val="CellColumnSmall"/>
            </w:pPr>
            <w:r>
              <w:t>101,5</w:t>
            </w:r>
          </w:p>
        </w:tc>
      </w:tr>
    </w:tbl>
    <w:p w:rsidR="00AC0832" w:rsidRDefault="00AC0832">
      <w:pPr>
        <w:jc w:val="left"/>
      </w:pPr>
    </w:p>
    <w:p w:rsidR="00AC0832" w:rsidRDefault="00AC0832">
      <w:pPr>
        <w:pStyle w:val="Heading4"/>
      </w:pPr>
      <w:r>
        <w:t>OBRAZLOŽENJE PROGRAMA</w:t>
      </w:r>
    </w:p>
    <w:p w:rsidR="00AC0832" w:rsidRDefault="00AC0832">
      <w:pPr>
        <w:pStyle w:val="Heading5"/>
      </w:pPr>
      <w:r>
        <w:t>2804 EDUKACIJA I INFORMIRANJE U PRAVOSUDNOM SUSTAVU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2804-EDUKACIJA I INFORMIRANJE U PRAVOSUDNOM SUSTAVU</w:t>
            </w:r>
          </w:p>
        </w:tc>
        <w:tc>
          <w:tcPr>
            <w:tcW w:w="2322" w:type="dxa"/>
          </w:tcPr>
          <w:p w:rsidR="00AC0832" w:rsidRDefault="00AC0832">
            <w:pPr>
              <w:pStyle w:val="CellColumn"/>
            </w:pPr>
            <w:r>
              <w:t>13.114.110</w:t>
            </w:r>
          </w:p>
        </w:tc>
        <w:tc>
          <w:tcPr>
            <w:tcW w:w="2322" w:type="dxa"/>
          </w:tcPr>
          <w:p w:rsidR="00AC0832" w:rsidRDefault="00AC0832">
            <w:pPr>
              <w:pStyle w:val="CellColumn"/>
            </w:pPr>
            <w:r>
              <w:t>13.316.088</w:t>
            </w:r>
          </w:p>
        </w:tc>
        <w:tc>
          <w:tcPr>
            <w:tcW w:w="2322" w:type="dxa"/>
          </w:tcPr>
          <w:p w:rsidR="00AC0832" w:rsidRDefault="00AC0832">
            <w:pPr>
              <w:pStyle w:val="CellColumn"/>
            </w:pPr>
            <w:r>
              <w:t>101,5</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 edukacije i informiranja u pravosudnom sustavu provodi se najvećim dijelom kroz aktivnosti Pravosudne akademije putem </w:t>
      </w:r>
    </w:p>
    <w:p w:rsidR="00AC0832" w:rsidRDefault="00AC0832">
      <w:pPr>
        <w:pStyle w:val="Normal5"/>
      </w:pPr>
      <w:r>
        <w:t xml:space="preserve">- kontinuiranog usavršavanja sudaca i državnih odvjetnika provedbom programa specijaliziranog i stručnog usavršavanja. </w:t>
      </w:r>
    </w:p>
    <w:p w:rsidR="00AC0832" w:rsidRDefault="00AC0832">
      <w:pPr>
        <w:pStyle w:val="Normal5"/>
      </w:pPr>
      <w:r>
        <w:t xml:space="preserve">- provođenja radionica za buduće voditelje aktivnosti stručnog usavršavanja sudaca i državnih odvjetnika, </w:t>
      </w:r>
    </w:p>
    <w:p w:rsidR="00AC0832" w:rsidRDefault="00AC0832">
      <w:pPr>
        <w:pStyle w:val="Normal5"/>
      </w:pPr>
      <w:r>
        <w:t xml:space="preserve">- upoznavanja vježbenika s određenim pravnim institutima, te primjene stečenog znanja u rješavanju hipotetskih primjera i prerađenih primjera iz prakse u svrhu pripreme za polaganje pravosudnog ispita i za primjenu znanja u praksi, </w:t>
      </w:r>
    </w:p>
    <w:p w:rsidR="00AC0832" w:rsidRDefault="00AC0832">
      <w:pPr>
        <w:pStyle w:val="Normal5"/>
      </w:pPr>
      <w:r>
        <w:t>- stjecanja vještina za rješavanje praktičnih poslova iz djelokruga rada sudova i državnog odvjetništva i dr.</w:t>
      </w:r>
    </w:p>
    <w:p w:rsidR="00AC0832" w:rsidRDefault="00AC0832">
      <w:pPr>
        <w:pStyle w:val="Heading6"/>
      </w:pPr>
      <w:r>
        <w:t>Zakonske i druge pravne osnove</w:t>
      </w:r>
    </w:p>
    <w:p w:rsidR="00AC0832" w:rsidRDefault="00AC0832">
      <w:pPr>
        <w:pStyle w:val="Normal5"/>
      </w:pPr>
      <w:r>
        <w:t xml:space="preserve">Zakon o Pravosudnoj akademiji („Narodne novine“ broj 153/2009) </w:t>
      </w:r>
    </w:p>
    <w:p w:rsidR="00AC0832" w:rsidRDefault="00AC0832">
      <w:pPr>
        <w:pStyle w:val="Normal5"/>
      </w:pPr>
      <w:r>
        <w:t xml:space="preserve">Zakon o sudovima ("Narodne novine" broj 28/2013) </w:t>
      </w:r>
    </w:p>
    <w:p w:rsidR="00AC0832" w:rsidRDefault="00AC0832">
      <w:pPr>
        <w:pStyle w:val="Normal5"/>
      </w:pPr>
      <w:r>
        <w:t xml:space="preserve">Zakon o državnom odvjetništvu ("Narodne novine" broj 51/2001) </w:t>
      </w:r>
    </w:p>
    <w:p w:rsidR="00AC0832" w:rsidRDefault="00AC0832">
      <w:pPr>
        <w:pStyle w:val="Normal5"/>
      </w:pPr>
      <w:r>
        <w:t>Zakon o državnom sudbenom vijeću ("Narodne novine" broj 116/2010)</w:t>
      </w:r>
    </w:p>
    <w:p w:rsidR="00AC0832" w:rsidRDefault="00AC0832">
      <w:pPr>
        <w:pStyle w:val="Heading6"/>
      </w:pPr>
      <w:r>
        <w:t>A629024 STRUČNO USAVRŠAVANJE PRAVOSUDNIH DUŽNOSNIKA I SAVJETNIKA U PRAVOSUDNIM TIJELIMA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A629024-STRUČNO USAVRŠAVANJE PRAVOSUDNIH DUŽNOSNIKA I SAVJETNIKA U PRAVOSUDNIM TIJELIMA</w:t>
            </w:r>
          </w:p>
        </w:tc>
        <w:tc>
          <w:tcPr>
            <w:tcW w:w="2322" w:type="dxa"/>
          </w:tcPr>
          <w:p w:rsidR="00AC0832" w:rsidRDefault="00AC0832">
            <w:pPr>
              <w:pStyle w:val="CellColumn"/>
            </w:pPr>
            <w:r>
              <w:t>2.092.900</w:t>
            </w:r>
          </w:p>
        </w:tc>
        <w:tc>
          <w:tcPr>
            <w:tcW w:w="2322" w:type="dxa"/>
          </w:tcPr>
          <w:p w:rsidR="00AC0832" w:rsidRDefault="00AC0832">
            <w:pPr>
              <w:pStyle w:val="CellColumn"/>
            </w:pPr>
            <w:r>
              <w:t>2.333.709</w:t>
            </w:r>
          </w:p>
        </w:tc>
        <w:tc>
          <w:tcPr>
            <w:tcW w:w="2322" w:type="dxa"/>
          </w:tcPr>
          <w:p w:rsidR="00AC0832" w:rsidRDefault="00AC0832">
            <w:pPr>
              <w:pStyle w:val="CellColumn"/>
            </w:pPr>
            <w:r>
              <w:t>111,5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Kontinuirano stručno usavršavanje sudaca, državnih odvjetnika i savjetnika u pravosudnim tijelima sukladno Programu stručnog usavršavanja koje donosi Programsko vijeće Pravosudne akademije u cilju unaprjeđenja stručnih sposobnosti i vještina pravosudnih dužnosnika kroz:  </w:t>
      </w:r>
    </w:p>
    <w:p w:rsidR="00AC0832" w:rsidRDefault="00AC0832">
      <w:pPr>
        <w:pStyle w:val="Normal6"/>
      </w:pPr>
      <w:r>
        <w:t xml:space="preserve">-standardno stručno usavršavanje </w:t>
      </w:r>
    </w:p>
    <w:p w:rsidR="00AC0832" w:rsidRDefault="00AC0832">
      <w:pPr>
        <w:pStyle w:val="Normal6"/>
      </w:pPr>
      <w:r>
        <w:t xml:space="preserve">-specijalizirano stručno usavršavanje  </w:t>
      </w:r>
    </w:p>
    <w:p w:rsidR="00AC0832" w:rsidRDefault="00AC0832">
      <w:pPr>
        <w:pStyle w:val="Normal6"/>
      </w:pPr>
      <w:r>
        <w:t xml:space="preserve">Održano je 157  aktivnosti u pet regionalnih centara za ukupno  3037 polaznika, po sljedećimnastavnim cjelinama : </w:t>
      </w:r>
    </w:p>
    <w:p w:rsidR="00AC0832" w:rsidRDefault="00AC0832">
      <w:pPr>
        <w:pStyle w:val="Normal6"/>
      </w:pPr>
      <w:r>
        <w:t xml:space="preserve">Kazneno  pravo </w:t>
      </w:r>
    </w:p>
    <w:p w:rsidR="00AC0832" w:rsidRDefault="00AC0832">
      <w:pPr>
        <w:pStyle w:val="Normal6"/>
      </w:pPr>
      <w:r>
        <w:t xml:space="preserve">Građansko pravo </w:t>
      </w:r>
    </w:p>
    <w:p w:rsidR="00AC0832" w:rsidRDefault="00AC0832">
      <w:pPr>
        <w:pStyle w:val="Normal6"/>
      </w:pPr>
      <w:r>
        <w:t xml:space="preserve">Trgovačko pravo </w:t>
      </w:r>
    </w:p>
    <w:p w:rsidR="00AC0832" w:rsidRDefault="00AC0832">
      <w:pPr>
        <w:pStyle w:val="Normal6"/>
      </w:pPr>
      <w:r>
        <w:t xml:space="preserve">Prekršajno pravo </w:t>
      </w:r>
    </w:p>
    <w:p w:rsidR="00AC0832" w:rsidRDefault="00AC0832">
      <w:pPr>
        <w:pStyle w:val="Normal6"/>
      </w:pPr>
      <w:r>
        <w:t xml:space="preserve">Upravno pravo </w:t>
      </w:r>
    </w:p>
    <w:p w:rsidR="00AC0832" w:rsidRDefault="00AC0832">
      <w:pPr>
        <w:pStyle w:val="Normal6"/>
      </w:pPr>
      <w:r>
        <w:t xml:space="preserve">EU i međunarodno pravo </w:t>
      </w:r>
    </w:p>
    <w:p w:rsidR="00AC0832" w:rsidRDefault="00AC0832">
      <w:pPr>
        <w:pStyle w:val="Normal6"/>
      </w:pPr>
      <w:r>
        <w:t>Razvoj vještina.</w:t>
      </w:r>
    </w:p>
    <w:p w:rsidR="00AC0832" w:rsidRDefault="00AC0832">
      <w:pPr>
        <w:pStyle w:val="Heading6"/>
      </w:pPr>
      <w:r>
        <w:t>A630051 IZBOR I OBUKA VJEŽBENIKA U PRAVOSUDNIM TIJELIMA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A630051-IZBOR I OBUKA VJEŽBENIKA U PRAVOSUDNIM TIJELIMA RH</w:t>
            </w:r>
          </w:p>
        </w:tc>
        <w:tc>
          <w:tcPr>
            <w:tcW w:w="2322" w:type="dxa"/>
          </w:tcPr>
          <w:p w:rsidR="00AC0832" w:rsidRDefault="00AC0832">
            <w:pPr>
              <w:pStyle w:val="CellColumn"/>
            </w:pPr>
            <w:r>
              <w:t>2.294.500</w:t>
            </w:r>
          </w:p>
        </w:tc>
        <w:tc>
          <w:tcPr>
            <w:tcW w:w="2322" w:type="dxa"/>
          </w:tcPr>
          <w:p w:rsidR="00AC0832" w:rsidRDefault="00AC0832">
            <w:pPr>
              <w:pStyle w:val="CellColumn"/>
            </w:pPr>
            <w:r>
              <w:t>2.318.704</w:t>
            </w:r>
          </w:p>
        </w:tc>
        <w:tc>
          <w:tcPr>
            <w:tcW w:w="2322" w:type="dxa"/>
          </w:tcPr>
          <w:p w:rsidR="00AC0832" w:rsidRDefault="00AC0832">
            <w:pPr>
              <w:pStyle w:val="CellColumn"/>
            </w:pPr>
            <w:r>
              <w:t>101,1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Početna obuka vježbenika u pravosudnim tijelima (diplomirani pravnici koji nisu položili pravosudni ispit) sukladno Programu stručnog usavršavanja koji je sastavni dio cjelokupnog Programa stručnog usavršavanja Pravosudne akademije </w:t>
      </w:r>
    </w:p>
    <w:p w:rsidR="00AC0832" w:rsidRDefault="00AC0832">
      <w:pPr>
        <w:pStyle w:val="Normal6"/>
      </w:pPr>
      <w:r>
        <w:t xml:space="preserve">Posebni cilj stručnog obrazovanja vježbenika je stjecanje uvjeta za polaganje pravosudnog ispita i stručno osposobljavanje za samostalno obavljanje poslova pred pravosudnim tijelima. </w:t>
      </w:r>
    </w:p>
    <w:p w:rsidR="00AC0832" w:rsidRDefault="00AC0832">
      <w:pPr>
        <w:pStyle w:val="Normal6"/>
      </w:pPr>
      <w:r>
        <w:t xml:space="preserve">Održano 300 radionica ( po 60 u 5 regionalnih centara) za ukupno 110 polaznika, po slijedećim nastavnim cjelinama: </w:t>
      </w:r>
    </w:p>
    <w:p w:rsidR="00AC0832" w:rsidRDefault="00AC0832">
      <w:pPr>
        <w:pStyle w:val="Normal6"/>
      </w:pPr>
      <w:r>
        <w:t xml:space="preserve">Organizacija pravosuđa  </w:t>
      </w:r>
    </w:p>
    <w:p w:rsidR="00AC0832" w:rsidRDefault="00AC0832">
      <w:pPr>
        <w:pStyle w:val="Normal6"/>
      </w:pPr>
      <w:r>
        <w:t xml:space="preserve">Građansko i građansko postupovno pravo </w:t>
      </w:r>
    </w:p>
    <w:p w:rsidR="00AC0832" w:rsidRDefault="00AC0832">
      <w:pPr>
        <w:pStyle w:val="Normal6"/>
      </w:pPr>
      <w:r>
        <w:t xml:space="preserve">Trgovačko pravo </w:t>
      </w:r>
    </w:p>
    <w:p w:rsidR="00AC0832" w:rsidRDefault="00AC0832">
      <w:pPr>
        <w:pStyle w:val="Normal6"/>
      </w:pPr>
      <w:r>
        <w:t xml:space="preserve">Obiteljsko pravo </w:t>
      </w:r>
    </w:p>
    <w:p w:rsidR="00AC0832" w:rsidRDefault="00AC0832">
      <w:pPr>
        <w:pStyle w:val="Normal6"/>
      </w:pPr>
      <w:r>
        <w:t xml:space="preserve">Kazneno i kazneno postupovno pravo </w:t>
      </w:r>
    </w:p>
    <w:p w:rsidR="00AC0832" w:rsidRDefault="00AC0832">
      <w:pPr>
        <w:pStyle w:val="Normal6"/>
      </w:pPr>
      <w:r>
        <w:t xml:space="preserve">Osnove Europske unije </w:t>
      </w:r>
    </w:p>
    <w:p w:rsidR="00AC0832" w:rsidRDefault="00AC0832">
      <w:pPr>
        <w:pStyle w:val="Normal6"/>
      </w:pPr>
      <w:r>
        <w:t xml:space="preserve">Radno pravo </w:t>
      </w:r>
    </w:p>
    <w:p w:rsidR="00AC0832" w:rsidRDefault="00AC0832">
      <w:pPr>
        <w:pStyle w:val="Normal6"/>
      </w:pPr>
      <w:r>
        <w:t xml:space="preserve">Upravno pravo </w:t>
      </w:r>
    </w:p>
    <w:p w:rsidR="00AC0832" w:rsidRDefault="00AC0832">
      <w:pPr>
        <w:pStyle w:val="Normal6"/>
      </w:pPr>
      <w:r>
        <w:t xml:space="preserve">Ustav i ustavni sustav </w:t>
      </w:r>
    </w:p>
    <w:p w:rsidR="00AC0832" w:rsidRDefault="00AC0832">
      <w:pPr>
        <w:pStyle w:val="Normal6"/>
      </w:pPr>
      <w:r>
        <w:t>,Ustav i ustavni sustav.</w:t>
      </w:r>
    </w:p>
    <w:p w:rsidR="00AC0832" w:rsidRDefault="00AC0832">
      <w:pPr>
        <w:pStyle w:val="Heading6"/>
      </w:pPr>
      <w:r>
        <w:t>A844001 ADMINISTRACIJA I UPRAVLJANJE PRAVOSUDNE AKADEMIJE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A844001-ADMINISTRACIJA I UPRAVLJANJE PRAVOSUDNE AKADEMIJE</w:t>
            </w:r>
          </w:p>
        </w:tc>
        <w:tc>
          <w:tcPr>
            <w:tcW w:w="2322" w:type="dxa"/>
          </w:tcPr>
          <w:p w:rsidR="00AC0832" w:rsidRDefault="00AC0832">
            <w:pPr>
              <w:pStyle w:val="CellColumn"/>
            </w:pPr>
            <w:r>
              <w:t>6.868.710</w:t>
            </w:r>
          </w:p>
        </w:tc>
        <w:tc>
          <w:tcPr>
            <w:tcW w:w="2322" w:type="dxa"/>
          </w:tcPr>
          <w:p w:rsidR="00AC0832" w:rsidRDefault="00AC0832">
            <w:pPr>
              <w:pStyle w:val="CellColumn"/>
            </w:pPr>
            <w:r>
              <w:t>6.764.456</w:t>
            </w:r>
          </w:p>
        </w:tc>
        <w:tc>
          <w:tcPr>
            <w:tcW w:w="2322" w:type="dxa"/>
          </w:tcPr>
          <w:p w:rsidR="00AC0832" w:rsidRDefault="00AC0832">
            <w:pPr>
              <w:pStyle w:val="CellColumn"/>
            </w:pPr>
            <w:r>
              <w:t>98,5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Osiguravanje uvjeta (prostornih, materijalnih, ljudskih, administrativnih i dr.) za svakodnevni rad i funkcioniranje Pravosudne akademije kao javne ustanove koja se bavi stručnim usavršavanjem u pravosuđu. </w:t>
      </w:r>
    </w:p>
    <w:p w:rsidR="00AC0832" w:rsidRDefault="00AC0832">
      <w:pPr>
        <w:pStyle w:val="Normal6"/>
      </w:pPr>
      <w:r>
        <w:t xml:space="preserve">Provedene aktivnosti stručnog usavršavanja sukladno donesenom Programu za 2012. godinu od strane Programskog vijeća Pravosudne akademije :  </w:t>
      </w:r>
    </w:p>
    <w:p w:rsidR="00AC0832" w:rsidRDefault="00AC0832">
      <w:pPr>
        <w:pStyle w:val="Normal6"/>
      </w:pPr>
      <w:r>
        <w:t xml:space="preserve">- Kontinuirano stručno usavršavanje pravosudnih dužnosnika i savjetnika u pravosudnim tijelima: 3037 polaznika </w:t>
      </w:r>
    </w:p>
    <w:p w:rsidR="00AC0832" w:rsidRDefault="00AC0832">
      <w:pPr>
        <w:pStyle w:val="Normal6"/>
      </w:pPr>
      <w:r>
        <w:t xml:space="preserve">- Početno stručno usavršavanje vježbenika u pravosudnim tijelima : 110 polaznika </w:t>
      </w:r>
    </w:p>
    <w:p w:rsidR="00AC0832" w:rsidRDefault="00AC0832">
      <w:pPr>
        <w:pStyle w:val="Normal6"/>
      </w:pPr>
      <w:r>
        <w:t>- Početno usavršavanje kandidata za pravosudne dužnosnike u Državnoj školi za pravosudne dužnosnike: 60 polaznika.</w:t>
      </w:r>
    </w:p>
    <w:p w:rsidR="00AC0832" w:rsidRDefault="00AC0832">
      <w:pPr>
        <w:pStyle w:val="Heading6"/>
      </w:pPr>
      <w:r>
        <w:t>A844002 DRŽAVNA ŠKOLA ZA PRAVOSUDNE DUŽNOSNIKE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A844002-DRŽAVNA ŠKOLA ZA PRAVOSUDNE DUŽNOSNIKE</w:t>
            </w:r>
          </w:p>
        </w:tc>
        <w:tc>
          <w:tcPr>
            <w:tcW w:w="2322" w:type="dxa"/>
          </w:tcPr>
          <w:p w:rsidR="00AC0832" w:rsidRDefault="00AC0832">
            <w:pPr>
              <w:pStyle w:val="CellColumn"/>
            </w:pPr>
            <w:r>
              <w:t>1.858.000</w:t>
            </w:r>
          </w:p>
        </w:tc>
        <w:tc>
          <w:tcPr>
            <w:tcW w:w="2322" w:type="dxa"/>
          </w:tcPr>
          <w:p w:rsidR="00AC0832" w:rsidRDefault="00AC0832">
            <w:pPr>
              <w:pStyle w:val="CellColumn"/>
            </w:pPr>
            <w:r>
              <w:t>1.899.218</w:t>
            </w:r>
          </w:p>
        </w:tc>
        <w:tc>
          <w:tcPr>
            <w:tcW w:w="2322" w:type="dxa"/>
          </w:tcPr>
          <w:p w:rsidR="00AC0832" w:rsidRDefault="00AC0832">
            <w:pPr>
              <w:pStyle w:val="CellColumn"/>
            </w:pPr>
            <w:r>
              <w:t>102,2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Početno usavršavanje kandidata za pravosudne dužnosnike radi stjecanja znanja i vještina za samostalno, odgovorno, neovisno i nepristrano obnašanje pravosudne dužnosti, a u svrhu unaprjeđenja učinkovitosti i stručnosti pravosuđa. </w:t>
      </w:r>
    </w:p>
    <w:p w:rsidR="00AC0832" w:rsidRDefault="00AC0832">
      <w:pPr>
        <w:pStyle w:val="Normal6"/>
      </w:pPr>
      <w:r>
        <w:t xml:space="preserve"> </w:t>
      </w:r>
    </w:p>
    <w:p w:rsidR="00AC0832" w:rsidRDefault="00AC0832">
      <w:pPr>
        <w:pStyle w:val="Normal6"/>
      </w:pPr>
      <w:r>
        <w:t xml:space="preserve"> </w:t>
      </w:r>
    </w:p>
    <w:p w:rsidR="00AC0832" w:rsidRDefault="00AC0832">
      <w:pPr>
        <w:pStyle w:val="Normal6"/>
      </w:pPr>
      <w:r>
        <w:t xml:space="preserve">Održano 74 radionica (podijeljenih u 6 grupa) za ukupno 115 polaznika, na slijedeće teme: </w:t>
      </w:r>
    </w:p>
    <w:p w:rsidR="00AC0832" w:rsidRDefault="00AC0832">
      <w:pPr>
        <w:pStyle w:val="Normal6"/>
      </w:pPr>
      <w:r>
        <w:t xml:space="preserve">Etika i deontologija profesije suca i državnog odvjetnika, te samostalnost i neovisnost sudbene vlasti i državnog odvjetništva </w:t>
      </w:r>
    </w:p>
    <w:p w:rsidR="00AC0832" w:rsidRDefault="00AC0832">
      <w:pPr>
        <w:pStyle w:val="Normal6"/>
      </w:pPr>
      <w:r>
        <w:t xml:space="preserve">Zemljišne knjige </w:t>
      </w:r>
    </w:p>
    <w:p w:rsidR="00AC0832" w:rsidRDefault="00AC0832">
      <w:pPr>
        <w:pStyle w:val="Normal6"/>
      </w:pPr>
      <w:r>
        <w:t xml:space="preserve">Pretraživanje sudskog registra </w:t>
      </w:r>
    </w:p>
    <w:p w:rsidR="00AC0832" w:rsidRDefault="00AC0832">
      <w:pPr>
        <w:pStyle w:val="Normal6"/>
      </w:pPr>
      <w:r>
        <w:t xml:space="preserve">Sudska praksa </w:t>
      </w:r>
    </w:p>
    <w:p w:rsidR="00AC0832" w:rsidRDefault="00AC0832">
      <w:pPr>
        <w:pStyle w:val="Normal6"/>
      </w:pPr>
      <w:r>
        <w:t xml:space="preserve">Pravo EU – Temelji prava EU i odnos s nacionalnim pravom </w:t>
      </w:r>
    </w:p>
    <w:p w:rsidR="00AC0832" w:rsidRDefault="00AC0832">
      <w:pPr>
        <w:pStyle w:val="Normal6"/>
      </w:pPr>
      <w:r>
        <w:t xml:space="preserve">Pravo EU – Interpretacija prava EU i nacionalnog prava i obveze nacionalni sudaca </w:t>
      </w:r>
    </w:p>
    <w:p w:rsidR="00AC0832" w:rsidRDefault="00AC0832">
      <w:pPr>
        <w:pStyle w:val="Normal6"/>
      </w:pPr>
      <w:r>
        <w:t xml:space="preserve">Pravo EU – Pravo unutrašnjeg tržišta EU (I dio) </w:t>
      </w:r>
    </w:p>
    <w:p w:rsidR="00AC0832" w:rsidRDefault="00AC0832">
      <w:pPr>
        <w:pStyle w:val="Normal6"/>
      </w:pPr>
      <w:r>
        <w:t xml:space="preserve">Pravo EU – Pravo unutrašnjeg tržišta EU (II dio) </w:t>
      </w:r>
    </w:p>
    <w:p w:rsidR="00AC0832" w:rsidRDefault="00AC0832">
      <w:pPr>
        <w:pStyle w:val="Normal6"/>
      </w:pPr>
      <w:r>
        <w:t xml:space="preserve">Međunarodna pravna pomoć   </w:t>
      </w:r>
    </w:p>
    <w:p w:rsidR="00AC0832" w:rsidRDefault="00AC0832">
      <w:pPr>
        <w:pStyle w:val="Normal6"/>
      </w:pPr>
      <w:r>
        <w:t xml:space="preserve">Pravo EU </w:t>
      </w:r>
    </w:p>
    <w:p w:rsidR="00AC0832" w:rsidRDefault="00AC0832">
      <w:pPr>
        <w:pStyle w:val="Normal6"/>
      </w:pPr>
      <w:r>
        <w:t xml:space="preserve">Pravo na obranu / pravo na zastupanje </w:t>
      </w:r>
    </w:p>
    <w:p w:rsidR="00AC0832" w:rsidRDefault="00AC0832">
      <w:pPr>
        <w:pStyle w:val="Normal6"/>
      </w:pPr>
      <w:r>
        <w:t xml:space="preserve">„Brzi“ postupci </w:t>
      </w:r>
    </w:p>
    <w:p w:rsidR="00AC0832" w:rsidRDefault="00AC0832">
      <w:pPr>
        <w:pStyle w:val="Normal6"/>
      </w:pPr>
      <w:r>
        <w:t xml:space="preserve">Građansko pravni aspekti Europske konvencije za zaštitu ljudskih prava i temeljnih sloboda </w:t>
      </w:r>
    </w:p>
    <w:p w:rsidR="00AC0832" w:rsidRDefault="00AC0832">
      <w:pPr>
        <w:pStyle w:val="Normal6"/>
      </w:pPr>
      <w:r>
        <w:t xml:space="preserve">Državnoodvjetnička istraga </w:t>
      </w:r>
    </w:p>
    <w:p w:rsidR="00AC0832" w:rsidRDefault="00AC0832">
      <w:pPr>
        <w:pStyle w:val="Normal6"/>
      </w:pPr>
      <w:r>
        <w:t xml:space="preserve">Mirno rješavanje sporova </w:t>
      </w:r>
    </w:p>
    <w:p w:rsidR="00AC0832" w:rsidRDefault="00AC0832">
      <w:pPr>
        <w:pStyle w:val="Normal6"/>
      </w:pPr>
      <w:r>
        <w:t xml:space="preserve">Rad na složenim/opsežnim predmetima </w:t>
      </w:r>
    </w:p>
    <w:p w:rsidR="00AC0832" w:rsidRDefault="00AC0832">
      <w:pPr>
        <w:pStyle w:val="Normal6"/>
      </w:pPr>
      <w:r>
        <w:t xml:space="preserve">Postupanje s posebnim strankama, svjedocima i oštećenicima (djeca, mladi, žrtve kaznenih djela, teške stranke) </w:t>
      </w:r>
    </w:p>
    <w:p w:rsidR="00AC0832" w:rsidRDefault="00AC0832">
      <w:pPr>
        <w:pStyle w:val="Normal6"/>
      </w:pPr>
      <w:r>
        <w:t xml:space="preserve">Upravno sudovanje u prvom stupnju </w:t>
      </w:r>
    </w:p>
    <w:p w:rsidR="00AC0832" w:rsidRDefault="00AC0832">
      <w:pPr>
        <w:pStyle w:val="Normal6"/>
      </w:pPr>
      <w:r>
        <w:t xml:space="preserve">Međunarodna pravna pomoć </w:t>
      </w:r>
    </w:p>
    <w:p w:rsidR="00AC0832" w:rsidRDefault="00AC0832">
      <w:pPr>
        <w:pStyle w:val="Normal6"/>
      </w:pPr>
      <w:r>
        <w:t>Izrada optužnice i tužbe / presude.</w:t>
      </w:r>
    </w:p>
    <w:p w:rsidR="00AC0832" w:rsidRDefault="00AC0832">
      <w:pPr>
        <w:pStyle w:val="Heading2"/>
      </w:pPr>
      <w:r>
        <w:t>11010 Zatvori i kaznionice</w:t>
      </w:r>
    </w:p>
    <w:p w:rsidR="00AC0832" w:rsidRDefault="00AC0832">
      <w:pPr>
        <w:pStyle w:val="Heading4"/>
      </w:pPr>
      <w:r>
        <w:t>Uvod</w:t>
      </w:r>
    </w:p>
    <w:p w:rsidR="00AC0832" w:rsidRDefault="00AC0832">
      <w:pPr>
        <w:pStyle w:val="Normal3"/>
      </w:pPr>
      <w:r>
        <w:t>Kazna zatvora u Republici Hrvatskoj izvršava se kroz 23 institucije zatvora, kaznionica i odgojnih zavoda. Zakonom o izvršavanju kazne zatvora propisani su standardi smještaja zatvorenika. Broj zatvorenika je u stalnom porastu te je nužno povećanje smještajnih kapaciteta zatvorskih institiucija.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11010-Zatvori i kaznionice</w:t>
            </w:r>
          </w:p>
        </w:tc>
        <w:tc>
          <w:tcPr>
            <w:tcW w:w="2322" w:type="dxa"/>
          </w:tcPr>
          <w:p w:rsidR="00AC0832" w:rsidRDefault="00AC0832">
            <w:pPr>
              <w:pStyle w:val="CellColumn"/>
            </w:pPr>
            <w:r>
              <w:t>495.680.000</w:t>
            </w:r>
          </w:p>
        </w:tc>
        <w:tc>
          <w:tcPr>
            <w:tcW w:w="2322" w:type="dxa"/>
          </w:tcPr>
          <w:p w:rsidR="00AC0832" w:rsidRDefault="00AC0832">
            <w:pPr>
              <w:pStyle w:val="CellColumn"/>
            </w:pPr>
            <w:r>
              <w:t>492.558.221</w:t>
            </w:r>
          </w:p>
        </w:tc>
        <w:tc>
          <w:tcPr>
            <w:tcW w:w="2322" w:type="dxa"/>
          </w:tcPr>
          <w:p w:rsidR="00AC0832" w:rsidRDefault="00AC0832">
            <w:pPr>
              <w:pStyle w:val="CellColumn"/>
            </w:pPr>
            <w:r>
              <w:t>99,4</w:t>
            </w:r>
          </w:p>
        </w:tc>
      </w:tr>
      <w:tr w:rsidR="00AC0832" w:rsidTr="00BE20ED">
        <w:trPr>
          <w:jc w:val="center"/>
        </w:trPr>
        <w:tc>
          <w:tcPr>
            <w:tcW w:w="2322" w:type="dxa"/>
          </w:tcPr>
          <w:p w:rsidR="00AC0832" w:rsidRDefault="00AC0832">
            <w:pPr>
              <w:pStyle w:val="CellColumnSmall"/>
            </w:pPr>
            <w:r>
              <w:t>2809-UPRAVLJANJE ZATVORSKIM I PROBACIJSKIM SUSTAVOM</w:t>
            </w:r>
          </w:p>
        </w:tc>
        <w:tc>
          <w:tcPr>
            <w:tcW w:w="2322" w:type="dxa"/>
          </w:tcPr>
          <w:p w:rsidR="00AC0832" w:rsidRDefault="00AC0832">
            <w:pPr>
              <w:pStyle w:val="CellColumnSmall"/>
            </w:pPr>
            <w:r>
              <w:t>495.680.000</w:t>
            </w:r>
          </w:p>
        </w:tc>
        <w:tc>
          <w:tcPr>
            <w:tcW w:w="2322" w:type="dxa"/>
          </w:tcPr>
          <w:p w:rsidR="00AC0832" w:rsidRDefault="00AC0832">
            <w:pPr>
              <w:pStyle w:val="CellColumnSmall"/>
            </w:pPr>
            <w:r>
              <w:t>492.558.221</w:t>
            </w:r>
          </w:p>
        </w:tc>
        <w:tc>
          <w:tcPr>
            <w:tcW w:w="2322" w:type="dxa"/>
          </w:tcPr>
          <w:p w:rsidR="00AC0832" w:rsidRDefault="00AC0832">
            <w:pPr>
              <w:pStyle w:val="CellColumnSmall"/>
            </w:pPr>
            <w:r>
              <w:t>99,4</w:t>
            </w:r>
          </w:p>
        </w:tc>
      </w:tr>
    </w:tbl>
    <w:p w:rsidR="00AC0832" w:rsidRDefault="00AC0832">
      <w:pPr>
        <w:jc w:val="left"/>
      </w:pPr>
    </w:p>
    <w:p w:rsidR="00AC0832" w:rsidRDefault="00AC0832">
      <w:pPr>
        <w:pStyle w:val="Heading4"/>
      </w:pPr>
      <w:r>
        <w:t>OBRAZLOŽENJE PROGRAMA</w:t>
      </w:r>
    </w:p>
    <w:p w:rsidR="00AC0832" w:rsidRDefault="00AC0832">
      <w:pPr>
        <w:pStyle w:val="Heading5"/>
      </w:pPr>
      <w:r>
        <w:t>2809 UPRAVLJANJE ZATVORSKIM I PROBACIJSKIM SUSTAVOM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2809-UPRAVLJANJE ZATVORSKIM I PROBACIJSKIM SUSTAVOM</w:t>
            </w:r>
          </w:p>
        </w:tc>
        <w:tc>
          <w:tcPr>
            <w:tcW w:w="2322" w:type="dxa"/>
          </w:tcPr>
          <w:p w:rsidR="00AC0832" w:rsidRDefault="00AC0832">
            <w:pPr>
              <w:pStyle w:val="CellColumn"/>
            </w:pPr>
            <w:r>
              <w:t>495.680.000</w:t>
            </w:r>
          </w:p>
        </w:tc>
        <w:tc>
          <w:tcPr>
            <w:tcW w:w="2322" w:type="dxa"/>
          </w:tcPr>
          <w:p w:rsidR="00AC0832" w:rsidRDefault="00AC0832">
            <w:pPr>
              <w:pStyle w:val="CellColumn"/>
            </w:pPr>
            <w:r>
              <w:t>492.558.221</w:t>
            </w:r>
          </w:p>
        </w:tc>
        <w:tc>
          <w:tcPr>
            <w:tcW w:w="2322" w:type="dxa"/>
          </w:tcPr>
          <w:p w:rsidR="00AC0832" w:rsidRDefault="00AC0832">
            <w:pPr>
              <w:pStyle w:val="CellColumn"/>
            </w:pPr>
            <w:r>
              <w:t>99,4</w:t>
            </w:r>
          </w:p>
        </w:tc>
      </w:tr>
    </w:tbl>
    <w:p w:rsidR="00AC0832" w:rsidRDefault="00AC0832">
      <w:pPr>
        <w:jc w:val="left"/>
      </w:pPr>
    </w:p>
    <w:p w:rsidR="00AC0832" w:rsidRDefault="00AC0832">
      <w:pPr>
        <w:pStyle w:val="Heading6"/>
      </w:pPr>
      <w:r>
        <w:t>Opis programa</w:t>
      </w:r>
    </w:p>
    <w:p w:rsidR="00AC0832" w:rsidRDefault="00AC0832">
      <w:pPr>
        <w:pStyle w:val="Normal5"/>
      </w:pPr>
      <w:r>
        <w:t>Izvršavanje kazne zatvora i mjera pritvora i odgojne mjere, provedba propisa u odnosu na smještaj, prehranu, rublje, odjeću, posteljinu, liječenje, rad, izobrazbu i slobodne aktivnosti zatvorenika i maloljetnika, te ostale djelatnosti vezane za redovno funkcioniranje zatvorskog sustava, provedba propisa u odnosu na službene odore, opremu i službene isprave, provođenje preventivnih zdravstvenih pregleda i cijepljenja, rad komisije u kaznionicama i zatvorima radi uvjetnog otpusta zatvorenika s izdržavanja kazne prije njezina isteka te aktivnosti na suzbijanju zlouporabe opojnih droga.</w:t>
      </w:r>
    </w:p>
    <w:p w:rsidR="00AC0832" w:rsidRDefault="00AC0832">
      <w:pPr>
        <w:pStyle w:val="Heading6"/>
      </w:pPr>
      <w:r>
        <w:t>Zakonske i druge pravne osnove</w:t>
      </w:r>
    </w:p>
    <w:p w:rsidR="00AC0832" w:rsidRDefault="00AC0832">
      <w:pPr>
        <w:pStyle w:val="Normal5"/>
      </w:pPr>
      <w:r>
        <w:t>Zakon o izvršavanju kazne zatvora (Pročišćeni tekst – „Narodne novine“ broj 190/03, 76/07, 27/08 i 83/09), Zakon o izvršavanju sankcija izrečenih maloljetnicima za kaznena djela i prekršaje („Narodne novine“ broj 153/09), Zakon o kaznenom postupku, Pravilnik o standardima smještaja i prehrane zatvorenika („Narodne novine“ broj 92/02) i Pravilnik o rublju, odjeći, obući i posteljini za zatvorenike („Narodne novine“ broj 61/02) i Pravilnik o kućnom redu u zatvorima za izvršavanje pritvora („Narodne novine“ broj 135/99).</w:t>
      </w:r>
    </w:p>
    <w:p w:rsidR="00AC0832" w:rsidRDefault="00AC0832">
      <w:pPr>
        <w:pStyle w:val="Heading7"/>
      </w:pPr>
      <w:r>
        <w:t xml:space="preserve">Cilj 1. Podizanje razine životnih uvjeta i zaštite ljudskog dostojanstva zatvorenika i maloljetnika na izvršavanju kazne zatvora, mjere pritvora i odgojne mjere </w:t>
      </w:r>
    </w:p>
    <w:p w:rsidR="00AC0832" w:rsidRDefault="00AC0832">
      <w:pPr>
        <w:pStyle w:val="Heading8"/>
        <w:jc w:val="left"/>
      </w:pPr>
      <w:r>
        <w:t>Opis provedbe cilja programa</w:t>
      </w:r>
    </w:p>
    <w:p w:rsidR="00AC0832" w:rsidRDefault="00AC0832">
      <w:pPr>
        <w:pStyle w:val="Heading6"/>
      </w:pPr>
      <w:r>
        <w:t>A630000 IZVRŠAVANJE KAZNE ZATVORA, MJERE PRITVORA I ODGOJNE MJERE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A630000-IZVRŠAVANJE KAZNE ZATVORA, MJERE PRITVORA I ODGOJNE MJERE</w:t>
            </w:r>
          </w:p>
        </w:tc>
        <w:tc>
          <w:tcPr>
            <w:tcW w:w="2322" w:type="dxa"/>
          </w:tcPr>
          <w:p w:rsidR="00AC0832" w:rsidRDefault="00AC0832">
            <w:pPr>
              <w:pStyle w:val="CellColumn"/>
            </w:pPr>
            <w:r>
              <w:t>495.289.000</w:t>
            </w:r>
          </w:p>
        </w:tc>
        <w:tc>
          <w:tcPr>
            <w:tcW w:w="2322" w:type="dxa"/>
          </w:tcPr>
          <w:p w:rsidR="00AC0832" w:rsidRDefault="00AC0832">
            <w:pPr>
              <w:pStyle w:val="CellColumn"/>
            </w:pPr>
            <w:r>
              <w:t>492.167.221</w:t>
            </w:r>
          </w:p>
        </w:tc>
        <w:tc>
          <w:tcPr>
            <w:tcW w:w="2322" w:type="dxa"/>
          </w:tcPr>
          <w:p w:rsidR="00AC0832" w:rsidRDefault="00AC0832">
            <w:pPr>
              <w:pStyle w:val="CellColumn"/>
            </w:pPr>
            <w:r>
              <w:t>99,4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Izvršavanje kazne zatvora i mjere pritvora i odgojne mjere, provedba propisa u odnosu na smještaj, prehranu, rublje, odjeću, posteljinu, liječenje, rad, izobrazbu i slobodne aktivnosti zatvorenika i maloljetnika, te ostale djelatnosti vezane uz redovno funkcioniranje zatvorskog sustava. </w:t>
      </w:r>
    </w:p>
    <w:p w:rsidR="00AC0832" w:rsidRDefault="00AC0832">
      <w:pPr>
        <w:pStyle w:val="Normal6"/>
      </w:pPr>
      <w:r>
        <w:t xml:space="preserve">Posebna pozornost polaže se na osposobljavanje osoba koje se nalaze na izdržavanju kazne zatvora za život na slobodi u skladu sa zakonima i društvenim pravilima, te osiguranje zaštite temeljnih prava zatvorenika utvrđenih Ustavom i zakonima Republike Hrvatske i međunarodnim ugovorima. </w:t>
      </w:r>
    </w:p>
    <w:p w:rsidR="00AC0832" w:rsidRDefault="00AC0832">
      <w:pPr>
        <w:pStyle w:val="Normal6"/>
      </w:pPr>
      <w:r>
        <w:t xml:space="preserve">Provedene aktivnosti tijekom 2012. godine odnose se na: </w:t>
      </w:r>
    </w:p>
    <w:p w:rsidR="00AC0832" w:rsidRDefault="00AC0832">
      <w:pPr>
        <w:pStyle w:val="Normal6"/>
      </w:pPr>
      <w:r>
        <w:t xml:space="preserve">-postupak uvjetno otpuštenih zatvorenika kojih je u 2012. godini bilo više za 3,13 % nego u 2011. godini, </w:t>
      </w:r>
    </w:p>
    <w:p w:rsidR="00AC0832" w:rsidRDefault="00AC0832">
      <w:pPr>
        <w:pStyle w:val="Normal6"/>
      </w:pPr>
      <w:r>
        <w:t xml:space="preserve">-radno angažiranje zatvorenika koje je zbog utjecaja recesije na pronalaženje novih poslova manje za 9,42% u odnosu na 2011. godinu, </w:t>
      </w:r>
    </w:p>
    <w:p w:rsidR="00AC0832" w:rsidRDefault="00AC0832">
      <w:pPr>
        <w:pStyle w:val="Normal6"/>
      </w:pPr>
      <w:r>
        <w:t>- u 2012. godini je u odnosu na 2011. Godinu 12,05% zatvorenika manje uključeno je u različite obrazovne programe kao što su opismenjavanje, osnovno obrazovanje, te obrazovanja za konkretna zanimanja na razini srednje, više i visoke stručne spreme.</w:t>
      </w:r>
    </w:p>
    <w:p w:rsidR="00AC0832" w:rsidRDefault="00AC0832">
      <w:pPr>
        <w:pStyle w:val="Heading6"/>
      </w:pPr>
      <w:r>
        <w:t>A630012 CENTAR ZA IZOBRAZBU ZAPOSLENIKA U ZATVORSKOM SUSTAVU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A630012-CENTAR ZA IZOBRAZBU ZAPOSLENIKA U ZATVORSKOM SUSTAVU</w:t>
            </w:r>
          </w:p>
        </w:tc>
        <w:tc>
          <w:tcPr>
            <w:tcW w:w="2322" w:type="dxa"/>
          </w:tcPr>
          <w:p w:rsidR="00AC0832" w:rsidRDefault="00AC0832">
            <w:pPr>
              <w:pStyle w:val="CellColumn"/>
            </w:pPr>
            <w:r>
              <w:t>391.000</w:t>
            </w:r>
          </w:p>
        </w:tc>
        <w:tc>
          <w:tcPr>
            <w:tcW w:w="2322" w:type="dxa"/>
          </w:tcPr>
          <w:p w:rsidR="00AC0832" w:rsidRDefault="00AC0832">
            <w:pPr>
              <w:pStyle w:val="CellColumn"/>
            </w:pPr>
            <w:r>
              <w:t>391.000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Uvodni tečajevi za novoprimljene službenike, temeljni tečajevi službenika pravosudne policije i dopunski tečajevi za sve ovlaštene službene osobe radi stjecanja dodatnih specijalističkih znanja. Provođenjem izobrazbe ostvaruju se posebni ciljevi iz Strategije Vlade RH za 2012. – 2014. godinu, i to: jačanje zaštite ljudskih prava, suzbijanje korupcije i organiziranog kriminaliteta, te unapređenje sposobnosti i poboljšanje kvalitete javnih službi i uprave. </w:t>
      </w:r>
    </w:p>
    <w:p w:rsidR="00AC0832" w:rsidRDefault="00AC0832">
      <w:pPr>
        <w:pStyle w:val="Normal6"/>
      </w:pPr>
      <w:r>
        <w:t xml:space="preserve">Kontinuirana izobrazba i stjecanje novih znanja službenika radi zakonitog i stručnog obavljanja poslova izvršavanja kaznenopravnih sankcija i mjera, te povećanje broja dodatno stručno osposobljenih službenika </w:t>
      </w:r>
    </w:p>
    <w:p w:rsidR="00AC0832" w:rsidRDefault="00AC0832">
      <w:pPr>
        <w:pStyle w:val="Normal6"/>
      </w:pPr>
      <w:r>
        <w:t xml:space="preserve">Navedena aktivnost ostvaruje se  provedbom Programa izobrazbe Centra u odnosu na službenike zatvorskog sustava. </w:t>
      </w:r>
    </w:p>
    <w:p w:rsidR="00AC0832" w:rsidRDefault="00AC0832">
      <w:pPr>
        <w:pStyle w:val="Normal6"/>
      </w:pPr>
      <w:r>
        <w:t>U 2012. godini je programe izobrazbe u Centru pohađalo 200 službenika manje ili 26% manje u odnosu na 2011. godinu. Provedena je izobrazba sa dva nova posebna programa u 2012.g.</w:t>
      </w:r>
    </w:p>
    <w:p w:rsidR="00AC0832" w:rsidRDefault="00AC0832">
      <w:pPr>
        <w:pStyle w:val="Heading2"/>
      </w:pPr>
      <w:r>
        <w:t>11015 Vrhovni sud Republike Hrvatske</w:t>
      </w:r>
    </w:p>
    <w:p w:rsidR="00AC0832" w:rsidRDefault="00AC0832">
      <w:pPr>
        <w:pStyle w:val="Heading4"/>
      </w:pPr>
      <w:r>
        <w:t>Uvod</w:t>
      </w:r>
    </w:p>
    <w:p w:rsidR="00AC0832" w:rsidRDefault="00AC0832">
      <w:pPr>
        <w:pStyle w:val="Normal3"/>
      </w:pPr>
      <w:r>
        <w:t>Sudbenu vlast u Republici Hrvatskoj obavljaju sudovi samostalno i neovisno. Sudovi sude na temelju Ustava i Zakona, međunarodnih ugovora i drugih važećih izvora prava. Najviši sud u Republici Hrvatskoj je Vrhovni sud Republike Hrvatske koji ima Ustavom i zakonom određenu dužnost: osigurava jedinstvenu primjenu prava i ravnopravnost svih u njegovoj primjeni, odlučuje o izvanrednim pravnim lijekovima protiv pravomoćnih odluka sudova u Republici Hrvatskoj i o redovnim pravnim lijekovima kad je to propisano posebnim zakonom, rješava o sukobu nadležnosti kad je to propisano posebnim zakonom, razmatra aktualna pitanja sudske prakse, analizira potrebe za stručnim usavršavanjem sudaca,savjetnika i sudskih vježbenika. Kao redovni sud Vrhovni sud Republike Hrvatske kao najviše tijelo sudske uprave nadzire rad nižih sudova u Republici Hrvatskoj.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11015-Vrhovni sud Republike Hrvatske</w:t>
            </w:r>
          </w:p>
        </w:tc>
        <w:tc>
          <w:tcPr>
            <w:tcW w:w="2322" w:type="dxa"/>
          </w:tcPr>
          <w:p w:rsidR="00AC0832" w:rsidRDefault="00AC0832">
            <w:pPr>
              <w:pStyle w:val="CellColumn"/>
            </w:pPr>
            <w:r>
              <w:t>31.300.300</w:t>
            </w:r>
          </w:p>
        </w:tc>
        <w:tc>
          <w:tcPr>
            <w:tcW w:w="2322" w:type="dxa"/>
          </w:tcPr>
          <w:p w:rsidR="00AC0832" w:rsidRDefault="00AC0832">
            <w:pPr>
              <w:pStyle w:val="CellColumn"/>
            </w:pPr>
            <w:r>
              <w:t>30.846.728</w:t>
            </w:r>
          </w:p>
        </w:tc>
        <w:tc>
          <w:tcPr>
            <w:tcW w:w="2322" w:type="dxa"/>
          </w:tcPr>
          <w:p w:rsidR="00AC0832" w:rsidRDefault="00AC0832">
            <w:pPr>
              <w:pStyle w:val="CellColumn"/>
            </w:pPr>
            <w:r>
              <w:t>98,6</w:t>
            </w:r>
          </w:p>
        </w:tc>
      </w:tr>
      <w:tr w:rsidR="00AC0832" w:rsidTr="00BE20ED">
        <w:trPr>
          <w:jc w:val="center"/>
        </w:trPr>
        <w:tc>
          <w:tcPr>
            <w:tcW w:w="2322" w:type="dxa"/>
          </w:tcPr>
          <w:p w:rsidR="00AC0832" w:rsidRDefault="00AC0832">
            <w:pPr>
              <w:pStyle w:val="CellColumnSmall"/>
            </w:pPr>
            <w:r>
              <w:t>2803-VOĐENJE SUDSKIH POSTUPAKA</w:t>
            </w:r>
          </w:p>
        </w:tc>
        <w:tc>
          <w:tcPr>
            <w:tcW w:w="2322" w:type="dxa"/>
          </w:tcPr>
          <w:p w:rsidR="00AC0832" w:rsidRDefault="00AC0832">
            <w:pPr>
              <w:pStyle w:val="CellColumnSmall"/>
            </w:pPr>
            <w:r>
              <w:t>31.300.300</w:t>
            </w:r>
          </w:p>
        </w:tc>
        <w:tc>
          <w:tcPr>
            <w:tcW w:w="2322" w:type="dxa"/>
          </w:tcPr>
          <w:p w:rsidR="00AC0832" w:rsidRDefault="00AC0832">
            <w:pPr>
              <w:pStyle w:val="CellColumnSmall"/>
            </w:pPr>
            <w:r>
              <w:t>30.846.728</w:t>
            </w:r>
          </w:p>
        </w:tc>
        <w:tc>
          <w:tcPr>
            <w:tcW w:w="2322" w:type="dxa"/>
          </w:tcPr>
          <w:p w:rsidR="00AC0832" w:rsidRDefault="00AC0832">
            <w:pPr>
              <w:pStyle w:val="CellColumnSmall"/>
            </w:pPr>
            <w:r>
              <w:t>98,6</w:t>
            </w:r>
          </w:p>
        </w:tc>
      </w:tr>
    </w:tbl>
    <w:p w:rsidR="00AC0832" w:rsidRDefault="00AC0832">
      <w:pPr>
        <w:jc w:val="left"/>
      </w:pPr>
    </w:p>
    <w:p w:rsidR="00AC0832" w:rsidRDefault="00AC0832">
      <w:pPr>
        <w:pStyle w:val="Heading4"/>
      </w:pPr>
      <w:r>
        <w:t>OBRAZLOŽENJE PROGRAMA</w:t>
      </w:r>
    </w:p>
    <w:p w:rsidR="00AC0832" w:rsidRDefault="00AC0832">
      <w:pPr>
        <w:pStyle w:val="Heading5"/>
      </w:pPr>
      <w:r>
        <w:t>2803 VOĐENJE SUDSKIH POSTUPAKA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2803-VOĐENJE SUDSKIH POSTUPAKA</w:t>
            </w:r>
          </w:p>
        </w:tc>
        <w:tc>
          <w:tcPr>
            <w:tcW w:w="2322" w:type="dxa"/>
          </w:tcPr>
          <w:p w:rsidR="00AC0832" w:rsidRDefault="00AC0832">
            <w:pPr>
              <w:pStyle w:val="CellColumn"/>
            </w:pPr>
            <w:r>
              <w:t>31.300.300</w:t>
            </w:r>
          </w:p>
        </w:tc>
        <w:tc>
          <w:tcPr>
            <w:tcW w:w="2322" w:type="dxa"/>
          </w:tcPr>
          <w:p w:rsidR="00AC0832" w:rsidRDefault="00AC0832">
            <w:pPr>
              <w:pStyle w:val="CellColumn"/>
            </w:pPr>
            <w:r>
              <w:t>30.846.728</w:t>
            </w:r>
          </w:p>
        </w:tc>
        <w:tc>
          <w:tcPr>
            <w:tcW w:w="2322" w:type="dxa"/>
          </w:tcPr>
          <w:p w:rsidR="00AC0832" w:rsidRDefault="00AC0832">
            <w:pPr>
              <w:pStyle w:val="CellColumn"/>
            </w:pPr>
            <w:r>
              <w:t>98,6</w:t>
            </w:r>
          </w:p>
        </w:tc>
      </w:tr>
    </w:tbl>
    <w:p w:rsidR="00AC0832" w:rsidRDefault="00AC0832">
      <w:pPr>
        <w:jc w:val="left"/>
      </w:pPr>
    </w:p>
    <w:p w:rsidR="00AC0832" w:rsidRDefault="00AC0832">
      <w:pPr>
        <w:pStyle w:val="Heading6"/>
      </w:pPr>
      <w:r>
        <w:t>Opis programa</w:t>
      </w:r>
    </w:p>
    <w:p w:rsidR="00AC0832" w:rsidRDefault="00AC0832">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prekršajni sud RH, Visoki  upravni sud RH, upravni sudovi, županijski sudovi, trgovački sudovi, općinski sudovi i prekršajni sudovi. U Državnom proračunu Republike Hrvatske „Program Vođenje sudskih postupaka“obuhvaća vođenje sudskih postupaka iz nadležnosti Vrhovnog suda Republike Hrvatske, Visokog trgovačkog suda RH, Visokog upravnog suda Republike Hrvatske, Visokog prekršajnog suda Republike Hrvatske, županijskih sudova, upravnih sudova, trgovačkih sudova, općinskih sudova i prekršajnih sudova.</w:t>
      </w:r>
    </w:p>
    <w:p w:rsidR="00AC0832" w:rsidRDefault="00AC0832">
      <w:pPr>
        <w:pStyle w:val="Heading6"/>
      </w:pPr>
      <w:r>
        <w:t>Zakonske i druge pravne osnove</w:t>
      </w:r>
    </w:p>
    <w:p w:rsidR="00AC0832" w:rsidRDefault="00AC0832">
      <w:pPr>
        <w:pStyle w:val="Normal5"/>
      </w:pPr>
      <w:r>
        <w:t>Zakon o sudovima („Narodne novine“, broj 150/05, 16/07, 113/08, 153/09 i 116/10, 27/11, 130/11 i 28/13), Zakon o područjima i sjedištima sudova („Narodne novine“, broj 85/08, 144/10 i 84/11) i Zakon o područjima i sjedištima prekršajnih sudova "Narodne novine" broj 137/09).</w:t>
      </w:r>
    </w:p>
    <w:p w:rsidR="00AC0832" w:rsidRDefault="00AC0832">
      <w:pPr>
        <w:pStyle w:val="Heading7"/>
      </w:pPr>
      <w:r>
        <w:t xml:space="preserve">Cilj 1. . Jedinstvena primjena zakona i ravnopravnost građana te jednakost svih pred zakonom. </w:t>
      </w:r>
    </w:p>
    <w:p w:rsidR="00AC0832" w:rsidRDefault="00AC0832">
      <w:pPr>
        <w:pStyle w:val="Heading8"/>
        <w:jc w:val="left"/>
      </w:pPr>
      <w:r>
        <w:t>Opis provedbe cilja programa</w:t>
      </w:r>
    </w:p>
    <w:p w:rsidR="00AC0832" w:rsidRDefault="00AC0832">
      <w:pPr>
        <w:pStyle w:val="Heading6"/>
      </w:pPr>
      <w:r>
        <w:t>A631000 VOĐENJE SUDSKIH POSTUPAKA IZ NADLEŽNOSTI VRHOVNOG SUDA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A631000-VOĐENJE SUDSKIH POSTUPAKA IZ NADLEŽNOSTI VRHOVNOG SUDA RH</w:t>
            </w:r>
          </w:p>
        </w:tc>
        <w:tc>
          <w:tcPr>
            <w:tcW w:w="2322" w:type="dxa"/>
          </w:tcPr>
          <w:p w:rsidR="00AC0832" w:rsidRDefault="00AC0832">
            <w:pPr>
              <w:pStyle w:val="CellColumn"/>
            </w:pPr>
            <w:r>
              <w:t>30.748.800</w:t>
            </w:r>
          </w:p>
        </w:tc>
        <w:tc>
          <w:tcPr>
            <w:tcW w:w="2322" w:type="dxa"/>
          </w:tcPr>
          <w:p w:rsidR="00AC0832" w:rsidRDefault="00AC0832">
            <w:pPr>
              <w:pStyle w:val="CellColumn"/>
            </w:pPr>
            <w:r>
              <w:t>30.333.331</w:t>
            </w:r>
          </w:p>
        </w:tc>
        <w:tc>
          <w:tcPr>
            <w:tcW w:w="2322" w:type="dxa"/>
          </w:tcPr>
          <w:p w:rsidR="00AC0832" w:rsidRDefault="00AC0832">
            <w:pPr>
              <w:pStyle w:val="CellColumn"/>
            </w:pPr>
            <w:r>
              <w:t>98,6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Najviši sud u Republici Hrvatskoj je Vrhovni sud Republike Hrvatske koji ima Ustavom i </w:t>
      </w:r>
    </w:p>
    <w:p w:rsidR="00AC0832" w:rsidRDefault="00AC0832">
      <w:pPr>
        <w:pStyle w:val="Normal6"/>
      </w:pPr>
      <w:r>
        <w:t xml:space="preserve">zakonom određenu dužnost: osigurava jedinstvenu primjenu prava i ravnopravnost svih u </w:t>
      </w:r>
    </w:p>
    <w:p w:rsidR="00AC0832" w:rsidRDefault="00AC0832">
      <w:pPr>
        <w:pStyle w:val="Normal6"/>
      </w:pPr>
      <w:r>
        <w:t xml:space="preserve">njegovoj primjeni, odlučuje o izvanrednim pravnim lijekovima protiv pravomoćnih </w:t>
      </w:r>
    </w:p>
    <w:p w:rsidR="00AC0832" w:rsidRDefault="00AC0832">
      <w:pPr>
        <w:pStyle w:val="Normal6"/>
      </w:pPr>
      <w:r>
        <w:t xml:space="preserve">odluka sudova u Republici Hrvatskoj i o redovnim pravnim lijekovima kad je to propisano </w:t>
      </w:r>
    </w:p>
    <w:p w:rsidR="00AC0832" w:rsidRDefault="00AC0832">
      <w:pPr>
        <w:pStyle w:val="Normal6"/>
      </w:pPr>
      <w:r>
        <w:t xml:space="preserve">posebnim zakonom, rješava o sukobu nadležnosti kad je to propisano posebnim zakonom, </w:t>
      </w:r>
    </w:p>
    <w:p w:rsidR="00AC0832" w:rsidRDefault="00AC0832">
      <w:pPr>
        <w:pStyle w:val="Normal6"/>
      </w:pPr>
      <w:r>
        <w:t xml:space="preserve">razmatra aktualna pitanja sudske prakse, analizira potrebe za stručnim usavršavanjem </w:t>
      </w:r>
    </w:p>
    <w:p w:rsidR="00AC0832" w:rsidRDefault="00AC0832">
      <w:pPr>
        <w:pStyle w:val="Normal6"/>
      </w:pPr>
      <w:r>
        <w:t xml:space="preserve">sudaca, savjetnika i sudskih vježbenika. Kao redovni sud Vrhovni sud Republike Hrvatske </w:t>
      </w:r>
    </w:p>
    <w:p w:rsidR="00AC0832" w:rsidRDefault="00AC0832">
      <w:pPr>
        <w:pStyle w:val="Normal6"/>
      </w:pPr>
      <w:r>
        <w:t xml:space="preserve">kao najviše tijelo sudske uprave nadzire rad nižih sudova u Republici Hrvatskoj. </w:t>
      </w:r>
    </w:p>
    <w:p w:rsidR="00AC0832" w:rsidRDefault="00AC0832">
      <w:pPr>
        <w:pStyle w:val="Normal6"/>
      </w:pPr>
      <w:r>
        <w:t>Tijekom 2012. godine Vrhovni sud RH zaprimio je ukupno  10.535  predmeta, riješio  9.184  predmeta, a ostalo je ukupno neriješeno  10.032 predmeta.</w:t>
      </w:r>
    </w:p>
    <w:p w:rsidR="00AC0832" w:rsidRDefault="00AC0832">
      <w:pPr>
        <w:pStyle w:val="Heading6"/>
      </w:pPr>
      <w:r>
        <w:t>A631001 MEĐUNARODNA SURADNJA VRHOVNOG SUDA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A631001-MEĐUNARODNA SURADNJA VRHOVNOG SUDA RH</w:t>
            </w:r>
          </w:p>
        </w:tc>
        <w:tc>
          <w:tcPr>
            <w:tcW w:w="2322" w:type="dxa"/>
          </w:tcPr>
          <w:p w:rsidR="00AC0832" w:rsidRDefault="00AC0832">
            <w:pPr>
              <w:pStyle w:val="CellColumn"/>
            </w:pPr>
            <w:r>
              <w:t>91.500</w:t>
            </w:r>
          </w:p>
        </w:tc>
        <w:tc>
          <w:tcPr>
            <w:tcW w:w="2322" w:type="dxa"/>
          </w:tcPr>
          <w:p w:rsidR="00AC0832" w:rsidRDefault="00AC0832">
            <w:pPr>
              <w:pStyle w:val="CellColumn"/>
            </w:pPr>
            <w:r>
              <w:t>65.106</w:t>
            </w:r>
          </w:p>
        </w:tc>
        <w:tc>
          <w:tcPr>
            <w:tcW w:w="2322" w:type="dxa"/>
          </w:tcPr>
          <w:p w:rsidR="00AC0832" w:rsidRDefault="00AC0832">
            <w:pPr>
              <w:pStyle w:val="CellColumn"/>
            </w:pPr>
            <w:r>
              <w:t>71,2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Uspostavljanje suradnje s inozemnim vrhovnim sudovima, pravosudnim tijelima te međunarodnim organizacijama </w:t>
      </w:r>
    </w:p>
    <w:p w:rsidR="00AC0832" w:rsidRDefault="00AC0832">
      <w:pPr>
        <w:pStyle w:val="Normal6"/>
      </w:pPr>
      <w:r>
        <w:t xml:space="preserve">Sudjelovanje u međunarodnim projektima i stručnim skupovima u cilju međusobnog upoznavanja s radom navedenih tijela  te sudjelovanje u radu konferencija, seminara i drugih skupova u svrhu razmjene iskustva, obrazovanja, ustanovljavanja zajedničkog stručnog djelovanja na određenim područjima. </w:t>
      </w:r>
    </w:p>
    <w:p w:rsidR="00AC0832" w:rsidRDefault="00AC0832">
      <w:pPr>
        <w:pStyle w:val="Normal6"/>
      </w:pPr>
      <w:r>
        <w:t xml:space="preserve">Tijekom 2012. godine u okviru međunarodne suradnje obavljene su sljedeće aktivnosti: </w:t>
      </w:r>
    </w:p>
    <w:p w:rsidR="00AC0832" w:rsidRDefault="00AC0832">
      <w:pPr>
        <w:pStyle w:val="Normal6"/>
      </w:pPr>
      <w:r>
        <w:t xml:space="preserve">- posjet predsjednice Vrhovnog suda Crne Gore </w:t>
      </w:r>
    </w:p>
    <w:p w:rsidR="00AC0832" w:rsidRDefault="00AC0832">
      <w:pPr>
        <w:pStyle w:val="Normal6"/>
      </w:pPr>
      <w:r>
        <w:t xml:space="preserve">-posjet predsjednika Vrhovnog suda    </w:t>
      </w:r>
    </w:p>
    <w:p w:rsidR="00AC0832" w:rsidRDefault="00AC0832">
      <w:pPr>
        <w:pStyle w:val="Normal6"/>
      </w:pPr>
      <w:r>
        <w:t xml:space="preserve">  Azerbajdžana </w:t>
      </w:r>
    </w:p>
    <w:p w:rsidR="00AC0832" w:rsidRDefault="00AC0832">
      <w:pPr>
        <w:pStyle w:val="Normal6"/>
      </w:pPr>
      <w:r>
        <w:t xml:space="preserve">- posjet predsjednika Vrhovnog trgovačkog suda  </w:t>
      </w:r>
    </w:p>
    <w:p w:rsidR="00AC0832" w:rsidRDefault="00AC0832">
      <w:pPr>
        <w:pStyle w:val="Normal6"/>
      </w:pPr>
      <w:r>
        <w:t xml:space="preserve">  Ruske Federacije </w:t>
      </w:r>
    </w:p>
    <w:p w:rsidR="00AC0832" w:rsidRDefault="00AC0832">
      <w:pPr>
        <w:pStyle w:val="Normal6"/>
      </w:pPr>
      <w:r>
        <w:t xml:space="preserve">- posjet Sudu pravde u Luxembourgu </w:t>
      </w:r>
    </w:p>
    <w:p w:rsidR="00AC0832" w:rsidRDefault="00AC0832">
      <w:pPr>
        <w:pStyle w:val="Normal6"/>
      </w:pPr>
      <w:r>
        <w:t xml:space="preserve">- susret i dogovor o suradnji s predsjednikom    </w:t>
      </w:r>
    </w:p>
    <w:p w:rsidR="00AC0832" w:rsidRDefault="00AC0832">
      <w:pPr>
        <w:pStyle w:val="Normal6"/>
      </w:pPr>
      <w:r>
        <w:t xml:space="preserve">  Vrhovnog suda Mađarske </w:t>
      </w:r>
    </w:p>
    <w:p w:rsidR="00AC0832" w:rsidRDefault="00AC0832">
      <w:pPr>
        <w:pStyle w:val="Normal6"/>
      </w:pPr>
      <w:r>
        <w:t xml:space="preserve">- sudjelovanje na Konferenciji o borbi protiv  </w:t>
      </w:r>
    </w:p>
    <w:p w:rsidR="00AC0832" w:rsidRDefault="00AC0832">
      <w:pPr>
        <w:pStyle w:val="Normal6"/>
      </w:pPr>
      <w:r>
        <w:t xml:space="preserve">  korupcije u Bukureštu </w:t>
      </w:r>
    </w:p>
    <w:p w:rsidR="00AC0832" w:rsidRDefault="00AC0832">
      <w:pPr>
        <w:pStyle w:val="Normal6"/>
      </w:pPr>
      <w:r>
        <w:t xml:space="preserve">- sudjelovanje na Konferenciji predsjednika vrhovnih sudova Srednje i Istočne Europe u Tirani </w:t>
      </w:r>
    </w:p>
    <w:p w:rsidR="00AC0832" w:rsidRDefault="00AC0832">
      <w:pPr>
        <w:pStyle w:val="Normal6"/>
      </w:pPr>
      <w:r>
        <w:t xml:space="preserve">- sudjelovanje na sastanku Mreže predsjednika vrhovnih sudova Europske Unije u Parizu </w:t>
      </w:r>
    </w:p>
    <w:p w:rsidR="00AC0832" w:rsidRDefault="00AC0832">
      <w:pPr>
        <w:pStyle w:val="Normal6"/>
      </w:pPr>
      <w:r>
        <w:t xml:space="preserve">-sudjelovanje u studijskom putovanju u organizaciji Zaklade K. Adenauer – posjet europskim institucijama u Strasbourgu, Luxembourgu i Bruxellesu </w:t>
      </w:r>
    </w:p>
    <w:p w:rsidR="00AC0832" w:rsidRDefault="00AC0832">
      <w:pPr>
        <w:pStyle w:val="Normal6"/>
      </w:pPr>
      <w:r>
        <w:t xml:space="preserve">- sudjelovanje u radu stručnih i obrazovnih skupova </w:t>
      </w:r>
    </w:p>
    <w:p w:rsidR="00AC0832" w:rsidRDefault="00AC0832">
      <w:pPr>
        <w:pStyle w:val="Normal6"/>
      </w:pPr>
      <w:r>
        <w:t>- sudjelovanje u projektima razmjene sudaca.</w:t>
      </w:r>
    </w:p>
    <w:p w:rsidR="00AC0832" w:rsidRDefault="00AC0832">
      <w:pPr>
        <w:pStyle w:val="Heading6"/>
      </w:pPr>
      <w:r>
        <w:t>A631012 SUSTAV OBJAVLJIVANJA SUDSKIH ODLUKA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A631012-SUSTAV OBJAVLJIVANJA SUDSKIH ODLUKA</w:t>
            </w:r>
          </w:p>
        </w:tc>
        <w:tc>
          <w:tcPr>
            <w:tcW w:w="2322" w:type="dxa"/>
          </w:tcPr>
          <w:p w:rsidR="00AC0832" w:rsidRDefault="00AC0832">
            <w:pPr>
              <w:pStyle w:val="CellColumn"/>
            </w:pPr>
            <w:r>
              <w:t>460.000</w:t>
            </w:r>
          </w:p>
        </w:tc>
        <w:tc>
          <w:tcPr>
            <w:tcW w:w="2322" w:type="dxa"/>
          </w:tcPr>
          <w:p w:rsidR="00AC0832" w:rsidRDefault="00AC0832">
            <w:pPr>
              <w:pStyle w:val="CellColumn"/>
            </w:pPr>
            <w:r>
              <w:t>448.290</w:t>
            </w:r>
          </w:p>
        </w:tc>
        <w:tc>
          <w:tcPr>
            <w:tcW w:w="2322" w:type="dxa"/>
          </w:tcPr>
          <w:p w:rsidR="00AC0832" w:rsidRDefault="00AC0832">
            <w:pPr>
              <w:pStyle w:val="CellColumn"/>
            </w:pPr>
            <w:r>
              <w:t>97,5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Sustav objavljivanja sudskih odluka tijekom 2012. godine obuhvatio je sljedeće aktivnosti: </w:t>
      </w:r>
    </w:p>
    <w:p w:rsidR="00AC0832" w:rsidRDefault="00AC0832">
      <w:pPr>
        <w:pStyle w:val="Normal6"/>
      </w:pPr>
      <w:r>
        <w:t xml:space="preserve">-Podrška i održavanje AutonomyMeridioeDRM sustava – Supra“, koji se koristi za evidenciju odluka, njihovo indeksiranje i objavu na Intranetu i Internetu.Sustav je tijekom 2012. godine bio visoko dostupan, tijekom 2012. godine uneseno je 12325 novih odluka u sustav te je zabilježeno 776875 pristupa web stranici s odlukama objavljenim za javnost. </w:t>
      </w:r>
    </w:p>
    <w:p w:rsidR="00AC0832" w:rsidRDefault="00AC0832">
      <w:pPr>
        <w:pStyle w:val="Normal6"/>
      </w:pPr>
      <w:r>
        <w:t xml:space="preserve">-Podrška i održavanje sustava Web stranice Vrhovnog suda Republike Hrvatske (www.vsrh.hr).   </w:t>
      </w:r>
    </w:p>
    <w:p w:rsidR="00AC0832" w:rsidRDefault="00AC0832">
      <w:pPr>
        <w:pStyle w:val="Normal6"/>
      </w:pPr>
      <w:r>
        <w:t xml:space="preserve">Tijekom 2012. uz ažuriranje postojećeg sadržaja javne web stranice Vrhovnog suda, dodatno je objavljeno: 7 priopćenja o događanjima i aktivnostima suda, 19 obavijesti o održavanju stručnih seminara, 288 obavijesti o javnoj sjednici (281 održanih javnih sjednica i 7 odgoda, 1 natječaj o zapošljavanju, 2 obavijesti kandidatima i 1 natječaj javne nabave. </w:t>
      </w:r>
    </w:p>
    <w:p w:rsidR="00AC0832" w:rsidRDefault="00AC0832">
      <w:pPr>
        <w:pStyle w:val="Normal6"/>
      </w:pPr>
      <w:r>
        <w:t xml:space="preserve">-Osiguravanje stabilnog rada računalne infrastrukture Vrhovnog suda te pružanje savjetodavne podrške. </w:t>
      </w:r>
    </w:p>
    <w:p w:rsidR="00AC0832" w:rsidRDefault="00AC0832">
      <w:pPr>
        <w:pStyle w:val="Normal6"/>
      </w:pPr>
      <w:r>
        <w:t xml:space="preserve">Tijekom 2012. godine uz podršku Microsofta obavljena je migracija sustava elektroničke pošte Vrhovnog suda s verzije MS Exchange 2007 na MS Exchange 2010. </w:t>
      </w:r>
    </w:p>
    <w:p w:rsidR="00AC0832" w:rsidRDefault="00AC0832">
      <w:pPr>
        <w:pStyle w:val="Normal6"/>
      </w:pPr>
      <w:r>
        <w:t xml:space="preserve">Dovršena je izrada aplikacije (internog i javno dostupnog modula) za potrebe Knjižnice Vrhovnog suda. </w:t>
      </w:r>
    </w:p>
    <w:p w:rsidR="00AC0832" w:rsidRDefault="00AC0832">
      <w:pPr>
        <w:pStyle w:val="Normal6"/>
      </w:pPr>
      <w:r>
        <w:t>Održana je edukacija korisnika za rad s programom  za unos i obradu teksta - MS Word 2010.</w:t>
      </w:r>
    </w:p>
    <w:p w:rsidR="00AC0832" w:rsidRDefault="00AC0832">
      <w:pPr>
        <w:pStyle w:val="Heading2"/>
      </w:pPr>
      <w:r>
        <w:t>11020 Visoki trgovački sud Republike Hrvatske</w:t>
      </w:r>
    </w:p>
    <w:p w:rsidR="00AC0832" w:rsidRDefault="00AC0832">
      <w:pPr>
        <w:pStyle w:val="Heading4"/>
      </w:pPr>
      <w:r>
        <w:t>Uvod</w:t>
      </w:r>
    </w:p>
    <w:p w:rsidR="00AC0832" w:rsidRDefault="00AC0832">
      <w:pPr>
        <w:pStyle w:val="Normal3"/>
      </w:pPr>
      <w:r>
        <w:t>Ustroj, djelokrug i nadležnost Visokog trgovačkog suda Republike Hrvatske propisan je Zakonom o sudovima te odredbama drugih propisa, a ustanovljen je za područje Republike Hrvatske sa sjedištem u Zagrebu. Visoki trgovački sud Republike Hrvatske odlučuje o žalbama protiv odluka trgovačkih sudova donesenih u prvom stupnju, o sukobu mjesne nadležnosti između trgovačkih sudova i obavlja druge poslove određene Zakonom.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11020-Visoki trgovački sud Republike Hrvatske</w:t>
            </w:r>
          </w:p>
        </w:tc>
        <w:tc>
          <w:tcPr>
            <w:tcW w:w="2322" w:type="dxa"/>
          </w:tcPr>
          <w:p w:rsidR="00AC0832" w:rsidRDefault="00AC0832">
            <w:pPr>
              <w:pStyle w:val="CellColumn"/>
            </w:pPr>
            <w:r>
              <w:t>20.006.755</w:t>
            </w:r>
          </w:p>
        </w:tc>
        <w:tc>
          <w:tcPr>
            <w:tcW w:w="2322" w:type="dxa"/>
          </w:tcPr>
          <w:p w:rsidR="00AC0832" w:rsidRDefault="00AC0832">
            <w:pPr>
              <w:pStyle w:val="CellColumn"/>
            </w:pPr>
            <w:r>
              <w:t>19.802.587</w:t>
            </w:r>
          </w:p>
        </w:tc>
        <w:tc>
          <w:tcPr>
            <w:tcW w:w="2322" w:type="dxa"/>
          </w:tcPr>
          <w:p w:rsidR="00AC0832" w:rsidRDefault="00AC0832">
            <w:pPr>
              <w:pStyle w:val="CellColumn"/>
            </w:pPr>
            <w:r>
              <w:t>99,0</w:t>
            </w:r>
          </w:p>
        </w:tc>
      </w:tr>
      <w:tr w:rsidR="00AC0832" w:rsidTr="00BE20ED">
        <w:trPr>
          <w:jc w:val="center"/>
        </w:trPr>
        <w:tc>
          <w:tcPr>
            <w:tcW w:w="2322" w:type="dxa"/>
          </w:tcPr>
          <w:p w:rsidR="00AC0832" w:rsidRDefault="00AC0832">
            <w:pPr>
              <w:pStyle w:val="CellColumnSmall"/>
            </w:pPr>
            <w:r>
              <w:t>2803-VOĐENJE SUDSKIH POSTUPAKA</w:t>
            </w:r>
          </w:p>
        </w:tc>
        <w:tc>
          <w:tcPr>
            <w:tcW w:w="2322" w:type="dxa"/>
          </w:tcPr>
          <w:p w:rsidR="00AC0832" w:rsidRDefault="00AC0832">
            <w:pPr>
              <w:pStyle w:val="CellColumnSmall"/>
            </w:pPr>
            <w:r>
              <w:t>19.946.755</w:t>
            </w:r>
          </w:p>
        </w:tc>
        <w:tc>
          <w:tcPr>
            <w:tcW w:w="2322" w:type="dxa"/>
          </w:tcPr>
          <w:p w:rsidR="00AC0832" w:rsidRDefault="00AC0832">
            <w:pPr>
              <w:pStyle w:val="CellColumnSmall"/>
            </w:pPr>
            <w:r>
              <w:t>19.768.051</w:t>
            </w:r>
          </w:p>
        </w:tc>
        <w:tc>
          <w:tcPr>
            <w:tcW w:w="2322" w:type="dxa"/>
          </w:tcPr>
          <w:p w:rsidR="00AC0832" w:rsidRDefault="00AC0832">
            <w:pPr>
              <w:pStyle w:val="CellColumnSmall"/>
            </w:pPr>
            <w:r>
              <w:t>99,1</w:t>
            </w:r>
          </w:p>
        </w:tc>
      </w:tr>
      <w:tr w:rsidR="00AC0832" w:rsidTr="00BE20ED">
        <w:trPr>
          <w:jc w:val="center"/>
        </w:trPr>
        <w:tc>
          <w:tcPr>
            <w:tcW w:w="2322" w:type="dxa"/>
          </w:tcPr>
          <w:p w:rsidR="00AC0832" w:rsidRDefault="00AC0832">
            <w:pPr>
              <w:pStyle w:val="CellColumnSmall"/>
            </w:pPr>
            <w:r>
              <w:t>2804-EDUKACIJA I INFORMIRANJE U PRAVOSUDNOM SUSTAVU</w:t>
            </w:r>
          </w:p>
        </w:tc>
        <w:tc>
          <w:tcPr>
            <w:tcW w:w="2322" w:type="dxa"/>
          </w:tcPr>
          <w:p w:rsidR="00AC0832" w:rsidRDefault="00AC0832">
            <w:pPr>
              <w:pStyle w:val="CellColumnSmall"/>
            </w:pPr>
            <w:r>
              <w:t>60.000</w:t>
            </w:r>
          </w:p>
        </w:tc>
        <w:tc>
          <w:tcPr>
            <w:tcW w:w="2322" w:type="dxa"/>
          </w:tcPr>
          <w:p w:rsidR="00AC0832" w:rsidRDefault="00AC0832">
            <w:pPr>
              <w:pStyle w:val="CellColumnSmall"/>
            </w:pPr>
            <w:r>
              <w:t>34.536</w:t>
            </w:r>
          </w:p>
        </w:tc>
        <w:tc>
          <w:tcPr>
            <w:tcW w:w="2322" w:type="dxa"/>
          </w:tcPr>
          <w:p w:rsidR="00AC0832" w:rsidRDefault="00AC0832">
            <w:pPr>
              <w:pStyle w:val="CellColumnSmall"/>
            </w:pPr>
            <w:r>
              <w:t>57,6</w:t>
            </w:r>
          </w:p>
        </w:tc>
      </w:tr>
    </w:tbl>
    <w:p w:rsidR="00AC0832" w:rsidRDefault="00AC0832">
      <w:pPr>
        <w:jc w:val="left"/>
      </w:pPr>
    </w:p>
    <w:p w:rsidR="00AC0832" w:rsidRDefault="00AC0832">
      <w:pPr>
        <w:pStyle w:val="Heading4"/>
      </w:pPr>
      <w:r>
        <w:t>OBRAZLOŽENJE PROGRAMA</w:t>
      </w:r>
    </w:p>
    <w:p w:rsidR="00AC0832" w:rsidRDefault="00AC0832">
      <w:pPr>
        <w:pStyle w:val="Heading5"/>
      </w:pPr>
      <w:r>
        <w:t>2803 VOĐENJE SUDSKIH POSTUPAKA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2803-VOĐENJE SUDSKIH POSTUPAKA</w:t>
            </w:r>
          </w:p>
        </w:tc>
        <w:tc>
          <w:tcPr>
            <w:tcW w:w="2322" w:type="dxa"/>
          </w:tcPr>
          <w:p w:rsidR="00AC0832" w:rsidRDefault="00AC0832">
            <w:pPr>
              <w:pStyle w:val="CellColumn"/>
            </w:pPr>
            <w:r>
              <w:t>19.946.755</w:t>
            </w:r>
          </w:p>
        </w:tc>
        <w:tc>
          <w:tcPr>
            <w:tcW w:w="2322" w:type="dxa"/>
          </w:tcPr>
          <w:p w:rsidR="00AC0832" w:rsidRDefault="00AC0832">
            <w:pPr>
              <w:pStyle w:val="CellColumn"/>
            </w:pPr>
            <w:r>
              <w:t>19.768.051</w:t>
            </w:r>
          </w:p>
        </w:tc>
        <w:tc>
          <w:tcPr>
            <w:tcW w:w="2322" w:type="dxa"/>
          </w:tcPr>
          <w:p w:rsidR="00AC0832" w:rsidRDefault="00AC0832">
            <w:pPr>
              <w:pStyle w:val="CellColumn"/>
            </w:pPr>
            <w:r>
              <w:t>99,1</w:t>
            </w:r>
          </w:p>
        </w:tc>
      </w:tr>
    </w:tbl>
    <w:p w:rsidR="00AC0832" w:rsidRDefault="00AC0832">
      <w:pPr>
        <w:jc w:val="left"/>
      </w:pPr>
    </w:p>
    <w:p w:rsidR="00AC0832" w:rsidRDefault="00AC0832">
      <w:pPr>
        <w:pStyle w:val="Heading6"/>
      </w:pPr>
      <w:r>
        <w:t>Opis programa</w:t>
      </w:r>
    </w:p>
    <w:p w:rsidR="00AC0832" w:rsidRDefault="00AC0832">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prekršajni sud RH, Visoki upravni sud RH, upravni sudovi,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Republike Hrvatske, Visokog prekršajnog suda Republike Hrvatske, upravnih sudova, županijskih sudova, trgovačkih sudova, općinskih sudova i prekršajnih sudova.</w:t>
      </w:r>
    </w:p>
    <w:p w:rsidR="00AC0832" w:rsidRDefault="00AC0832">
      <w:pPr>
        <w:pStyle w:val="Heading6"/>
      </w:pPr>
      <w:r>
        <w:t>Zakonske i druge pravne osnove</w:t>
      </w:r>
    </w:p>
    <w:p w:rsidR="00AC0832" w:rsidRDefault="00AC0832">
      <w:pPr>
        <w:pStyle w:val="Normal5"/>
      </w:pPr>
      <w:r>
        <w:t>Zakon o sudovima („Narodne novine“, broj 150/05, 16/07, 113/08, 153/09 i 116/10, 27/11, 130/11 i 28/13), Zakon o područjima i sjedištima sudova („Narodne novine“, broj 85/08, 144/10 i 84/11) i Zakon o područjima i sjedištima prekršajnih sudova "Narodne novine" broj 137/09).</w:t>
      </w:r>
    </w:p>
    <w:p w:rsidR="00AC0832" w:rsidRDefault="00AC0832">
      <w:pPr>
        <w:pStyle w:val="Heading7"/>
      </w:pPr>
      <w:r>
        <w:t xml:space="preserve">Cilj 1. Jedinstvena primjena zakona i ravnopravnost građana te jednakost svih pred zakonom. </w:t>
      </w:r>
    </w:p>
    <w:p w:rsidR="00AC0832" w:rsidRDefault="00AC0832">
      <w:pPr>
        <w:pStyle w:val="Heading8"/>
        <w:jc w:val="left"/>
      </w:pPr>
      <w:r>
        <w:t>Opis provedbe cilja programa</w:t>
      </w:r>
    </w:p>
    <w:p w:rsidR="00AC0832" w:rsidRDefault="00AC0832">
      <w:pPr>
        <w:pStyle w:val="Heading6"/>
      </w:pPr>
      <w:r>
        <w:t>A632000 VOĐENJE SUDSKIH POSTUPAKA IZ NADLEŽNOSTI VISOKOG TRGOVAČKOG SUDA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A632000-VOĐENJE SUDSKIH POSTUPAKA IZ NADLEŽNOSTI VISOKOG TRGOVAČKOG SUDA RH</w:t>
            </w:r>
          </w:p>
        </w:tc>
        <w:tc>
          <w:tcPr>
            <w:tcW w:w="2322" w:type="dxa"/>
          </w:tcPr>
          <w:p w:rsidR="00AC0832" w:rsidRDefault="00AC0832">
            <w:pPr>
              <w:pStyle w:val="CellColumn"/>
            </w:pPr>
            <w:r>
              <w:t>19.946.755</w:t>
            </w:r>
          </w:p>
        </w:tc>
        <w:tc>
          <w:tcPr>
            <w:tcW w:w="2322" w:type="dxa"/>
          </w:tcPr>
          <w:p w:rsidR="00AC0832" w:rsidRDefault="00AC0832">
            <w:pPr>
              <w:pStyle w:val="CellColumn"/>
            </w:pPr>
            <w:r>
              <w:t>19.768.051</w:t>
            </w:r>
          </w:p>
        </w:tc>
        <w:tc>
          <w:tcPr>
            <w:tcW w:w="2322" w:type="dxa"/>
          </w:tcPr>
          <w:p w:rsidR="00AC0832" w:rsidRDefault="00AC0832">
            <w:pPr>
              <w:pStyle w:val="CellColumn"/>
            </w:pPr>
            <w:r>
              <w:t>99,1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Ustroj, djelokrug i nadležnost Visokog trgovačkog suda Republike Hrvatske propisan je </w:t>
      </w:r>
    </w:p>
    <w:p w:rsidR="00AC0832" w:rsidRDefault="00AC0832">
      <w:pPr>
        <w:pStyle w:val="Normal6"/>
      </w:pPr>
      <w:r>
        <w:t xml:space="preserve">Zakonom o sudovima te odredbama drugih propisa. Visoki trgovački sud Republike Hrvatske odlučuje o žalbama </w:t>
      </w:r>
    </w:p>
    <w:p w:rsidR="00AC0832" w:rsidRDefault="00AC0832">
      <w:pPr>
        <w:pStyle w:val="Normal6"/>
      </w:pPr>
      <w:r>
        <w:t>protiv odluka trgovačkih sudova donesenih u prvom stupnju, o sukobu mjesne nadležnosti između trgovačkih sudova i obavlja druge poslove odreñene Zakonom. Tijekom 2012. godine Visoki trgovački sud  RH zaprimio je ukupno 9.672 predmeta, riješio 9.529   predmeta, a ostalo je ukupno neriješeno 14.456 predmeta.</w:t>
      </w:r>
    </w:p>
    <w:p w:rsidR="00AC0832" w:rsidRDefault="00AC0832">
      <w:pPr>
        <w:pStyle w:val="Heading5"/>
      </w:pPr>
      <w:r>
        <w:t>2804 EDUKACIJA I INFORMIRANJE U PRAVOSUDNOM SUSTAVU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2804-EDUKACIJA I INFORMIRANJE U PRAVOSUDNOM SUSTAVU</w:t>
            </w:r>
          </w:p>
        </w:tc>
        <w:tc>
          <w:tcPr>
            <w:tcW w:w="2322" w:type="dxa"/>
          </w:tcPr>
          <w:p w:rsidR="00AC0832" w:rsidRDefault="00AC0832">
            <w:pPr>
              <w:pStyle w:val="CellColumn"/>
            </w:pPr>
            <w:r>
              <w:t>60.000</w:t>
            </w:r>
          </w:p>
        </w:tc>
        <w:tc>
          <w:tcPr>
            <w:tcW w:w="2322" w:type="dxa"/>
          </w:tcPr>
          <w:p w:rsidR="00AC0832" w:rsidRDefault="00AC0832">
            <w:pPr>
              <w:pStyle w:val="CellColumn"/>
            </w:pPr>
            <w:r>
              <w:t>34.536</w:t>
            </w:r>
          </w:p>
        </w:tc>
        <w:tc>
          <w:tcPr>
            <w:tcW w:w="2322" w:type="dxa"/>
          </w:tcPr>
          <w:p w:rsidR="00AC0832" w:rsidRDefault="00AC0832">
            <w:pPr>
              <w:pStyle w:val="CellColumn"/>
            </w:pPr>
            <w:r>
              <w:t>57,6</w:t>
            </w:r>
          </w:p>
        </w:tc>
      </w:tr>
    </w:tbl>
    <w:p w:rsidR="00AC0832" w:rsidRDefault="00AC0832">
      <w:pPr>
        <w:jc w:val="left"/>
      </w:pPr>
    </w:p>
    <w:p w:rsidR="00AC0832" w:rsidRDefault="00AC0832">
      <w:pPr>
        <w:pStyle w:val="Heading6"/>
      </w:pPr>
      <w:r>
        <w:t>Opis programa</w:t>
      </w:r>
    </w:p>
    <w:p w:rsidR="00AC0832" w:rsidRDefault="00AC0832">
      <w:pPr>
        <w:pStyle w:val="Normal5"/>
      </w:pPr>
      <w:r>
        <w:t>Programom se provodi kontinuirana edukacija za suce, državne odvjetnike, sudačke i Državno odvjetničke savjetnike i službenike i namještenike Ministarstva.</w:t>
      </w:r>
    </w:p>
    <w:p w:rsidR="00AC0832" w:rsidRDefault="00AC0832">
      <w:pPr>
        <w:pStyle w:val="Heading6"/>
      </w:pPr>
      <w:r>
        <w:t>Zakonske i druge pravne osnove</w:t>
      </w:r>
    </w:p>
    <w:p w:rsidR="00AC0832" w:rsidRDefault="00AC0832">
      <w:pPr>
        <w:pStyle w:val="Normal5"/>
      </w:pPr>
      <w:r>
        <w:t>Zakon o državnim službenicima i namještenicima (NN 27/2001); Zakon o sudovima (NN 122/2010); Zakon o državnom odvjetništvu (NN 76/2009); Pravilnik o izobrazbi zaposlenika u kaznionicama i zatvorima Uprave za zatvorski sustav Ministarstva pravosuđa (NN 81/2002).</w:t>
      </w:r>
    </w:p>
    <w:p w:rsidR="00AC0832" w:rsidRDefault="00AC0832">
      <w:pPr>
        <w:pStyle w:val="Heading6"/>
      </w:pPr>
      <w:r>
        <w:t>A632001 SAVJETOVANJA I SEMINARI IZ NADLEŽNOSTI VISOKOG TRGOVAČKOG SUDA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A632001-SAVJETOVANJA I SEMINARI IZ NADLEŽNOSTI VISOKOG TRGOVAČKOG SUDA RH</w:t>
            </w:r>
          </w:p>
        </w:tc>
        <w:tc>
          <w:tcPr>
            <w:tcW w:w="2322" w:type="dxa"/>
          </w:tcPr>
          <w:p w:rsidR="00AC0832" w:rsidRDefault="00AC0832">
            <w:pPr>
              <w:pStyle w:val="CellColumn"/>
            </w:pPr>
            <w:r>
              <w:t>60.000</w:t>
            </w:r>
          </w:p>
        </w:tc>
        <w:tc>
          <w:tcPr>
            <w:tcW w:w="2322" w:type="dxa"/>
          </w:tcPr>
          <w:p w:rsidR="00AC0832" w:rsidRDefault="00AC0832">
            <w:pPr>
              <w:pStyle w:val="CellColumn"/>
            </w:pPr>
            <w:r>
              <w:t>34.536</w:t>
            </w:r>
          </w:p>
        </w:tc>
        <w:tc>
          <w:tcPr>
            <w:tcW w:w="2322" w:type="dxa"/>
          </w:tcPr>
          <w:p w:rsidR="00AC0832" w:rsidRDefault="00AC0832">
            <w:pPr>
              <w:pStyle w:val="CellColumn"/>
            </w:pPr>
            <w:r>
              <w:t>57,6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okviru ove aktivnosti provodi se organizacija savjetovanja i seminara za suce i sudske </w:t>
      </w:r>
    </w:p>
    <w:p w:rsidR="00AC0832" w:rsidRDefault="00AC0832">
      <w:pPr>
        <w:pStyle w:val="Normal6"/>
      </w:pPr>
      <w:r>
        <w:t xml:space="preserve">savjetnike trgovačkih sudova u RH. Aktivnost obuhvaća pripremu radnog materijala, </w:t>
      </w:r>
    </w:p>
    <w:p w:rsidR="00AC0832" w:rsidRDefault="00AC0832">
      <w:pPr>
        <w:pStyle w:val="Normal6"/>
      </w:pPr>
      <w:r>
        <w:t xml:space="preserve">organizaciju okruglih stolova i radionica s različitom tematikom iz djelokruga rada </w:t>
      </w:r>
    </w:p>
    <w:p w:rsidR="00AC0832" w:rsidRDefault="00AC0832">
      <w:pPr>
        <w:pStyle w:val="Normal6"/>
      </w:pPr>
      <w:r>
        <w:t>trgovačkih sudova i Visokog trgovačkog suda RH.</w:t>
      </w:r>
    </w:p>
    <w:p w:rsidR="00AC0832" w:rsidRDefault="00AC0832">
      <w:pPr>
        <w:pStyle w:val="Heading2"/>
      </w:pPr>
      <w:r>
        <w:t>11025 Visoki upravni sud Republike Hrvatske</w:t>
      </w:r>
    </w:p>
    <w:p w:rsidR="00AC0832" w:rsidRDefault="00AC0832">
      <w:pPr>
        <w:pStyle w:val="Heading4"/>
      </w:pPr>
      <w:r>
        <w:t>Uvod</w:t>
      </w:r>
    </w:p>
    <w:p w:rsidR="00AC0832" w:rsidRDefault="00AC0832">
      <w:pPr>
        <w:pStyle w:val="Normal3"/>
      </w:pPr>
      <w:r>
        <w:t>Visoki upravni sud Republike Hrvatske odlučuje o tužbama protiv konačnih upravnih akata (upravni sporovi) temeljem Zakona o upravnim sporovima i Zakona o općem upravnom postupku.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11025-Visoki upravni sud Republike Hrvatske</w:t>
            </w:r>
          </w:p>
        </w:tc>
        <w:tc>
          <w:tcPr>
            <w:tcW w:w="2322" w:type="dxa"/>
          </w:tcPr>
          <w:p w:rsidR="00AC0832" w:rsidRDefault="00AC0832">
            <w:pPr>
              <w:pStyle w:val="CellColumn"/>
            </w:pPr>
            <w:r>
              <w:t>25.076.400</w:t>
            </w:r>
          </w:p>
        </w:tc>
        <w:tc>
          <w:tcPr>
            <w:tcW w:w="2322" w:type="dxa"/>
          </w:tcPr>
          <w:p w:rsidR="00AC0832" w:rsidRDefault="00AC0832">
            <w:pPr>
              <w:pStyle w:val="CellColumn"/>
            </w:pPr>
            <w:r>
              <w:t>24.749.147</w:t>
            </w:r>
          </w:p>
        </w:tc>
        <w:tc>
          <w:tcPr>
            <w:tcW w:w="2322" w:type="dxa"/>
          </w:tcPr>
          <w:p w:rsidR="00AC0832" w:rsidRDefault="00AC0832">
            <w:pPr>
              <w:pStyle w:val="CellColumn"/>
            </w:pPr>
            <w:r>
              <w:t>98,7</w:t>
            </w:r>
          </w:p>
        </w:tc>
      </w:tr>
      <w:tr w:rsidR="00AC0832" w:rsidTr="00BE20ED">
        <w:trPr>
          <w:jc w:val="center"/>
        </w:trPr>
        <w:tc>
          <w:tcPr>
            <w:tcW w:w="2322" w:type="dxa"/>
          </w:tcPr>
          <w:p w:rsidR="00AC0832" w:rsidRDefault="00AC0832">
            <w:pPr>
              <w:pStyle w:val="CellColumnSmall"/>
            </w:pPr>
            <w:r>
              <w:t>2803-VOĐENJE SUDSKIH POSTUPAKA</w:t>
            </w:r>
          </w:p>
        </w:tc>
        <w:tc>
          <w:tcPr>
            <w:tcW w:w="2322" w:type="dxa"/>
          </w:tcPr>
          <w:p w:rsidR="00AC0832" w:rsidRDefault="00AC0832">
            <w:pPr>
              <w:pStyle w:val="CellColumnSmall"/>
            </w:pPr>
            <w:r>
              <w:t>25.076.400</w:t>
            </w:r>
          </w:p>
        </w:tc>
        <w:tc>
          <w:tcPr>
            <w:tcW w:w="2322" w:type="dxa"/>
          </w:tcPr>
          <w:p w:rsidR="00AC0832" w:rsidRDefault="00AC0832">
            <w:pPr>
              <w:pStyle w:val="CellColumnSmall"/>
            </w:pPr>
            <w:r>
              <w:t>24.749.147</w:t>
            </w:r>
          </w:p>
        </w:tc>
        <w:tc>
          <w:tcPr>
            <w:tcW w:w="2322" w:type="dxa"/>
          </w:tcPr>
          <w:p w:rsidR="00AC0832" w:rsidRDefault="00AC0832">
            <w:pPr>
              <w:pStyle w:val="CellColumnSmall"/>
            </w:pPr>
            <w:r>
              <w:t>98,7</w:t>
            </w:r>
          </w:p>
        </w:tc>
      </w:tr>
    </w:tbl>
    <w:p w:rsidR="00AC0832" w:rsidRDefault="00AC0832">
      <w:pPr>
        <w:jc w:val="left"/>
      </w:pPr>
    </w:p>
    <w:p w:rsidR="00AC0832" w:rsidRDefault="00AC0832">
      <w:pPr>
        <w:jc w:val="left"/>
      </w:pPr>
    </w:p>
    <w:p w:rsidR="00AC0832" w:rsidRDefault="00AC0832">
      <w:pPr>
        <w:jc w:val="left"/>
      </w:pPr>
    </w:p>
    <w:p w:rsidR="00AC0832" w:rsidRDefault="00AC0832">
      <w:pPr>
        <w:pStyle w:val="Heading4"/>
      </w:pPr>
      <w:r>
        <w:t>OBRAZLOŽENJE PROGRAMA</w:t>
      </w:r>
    </w:p>
    <w:p w:rsidR="00AC0832" w:rsidRDefault="00AC0832">
      <w:pPr>
        <w:pStyle w:val="Heading5"/>
      </w:pPr>
      <w:r>
        <w:t>2803 VOĐENJE SUDSKIH POSTUPAKA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2803-VOĐENJE SUDSKIH POSTUPAKA</w:t>
            </w:r>
          </w:p>
        </w:tc>
        <w:tc>
          <w:tcPr>
            <w:tcW w:w="2322" w:type="dxa"/>
          </w:tcPr>
          <w:p w:rsidR="00AC0832" w:rsidRDefault="00AC0832">
            <w:pPr>
              <w:pStyle w:val="CellColumn"/>
            </w:pPr>
            <w:r>
              <w:t>25.076.400</w:t>
            </w:r>
          </w:p>
        </w:tc>
        <w:tc>
          <w:tcPr>
            <w:tcW w:w="2322" w:type="dxa"/>
          </w:tcPr>
          <w:p w:rsidR="00AC0832" w:rsidRDefault="00AC0832">
            <w:pPr>
              <w:pStyle w:val="CellColumn"/>
            </w:pPr>
            <w:r>
              <w:t>24.749.147</w:t>
            </w:r>
          </w:p>
        </w:tc>
        <w:tc>
          <w:tcPr>
            <w:tcW w:w="2322" w:type="dxa"/>
          </w:tcPr>
          <w:p w:rsidR="00AC0832" w:rsidRDefault="00AC0832">
            <w:pPr>
              <w:pStyle w:val="CellColumn"/>
            </w:pPr>
            <w:r>
              <w:t>98,7</w:t>
            </w:r>
          </w:p>
        </w:tc>
      </w:tr>
    </w:tbl>
    <w:p w:rsidR="00AC0832" w:rsidRDefault="00AC0832">
      <w:pPr>
        <w:jc w:val="left"/>
      </w:pPr>
    </w:p>
    <w:p w:rsidR="00AC0832" w:rsidRDefault="00AC0832">
      <w:pPr>
        <w:pStyle w:val="Heading6"/>
      </w:pPr>
      <w:r>
        <w:t>Opis programa</w:t>
      </w:r>
    </w:p>
    <w:p w:rsidR="00AC0832" w:rsidRDefault="00AC0832">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prekršajni sud RH, Visoki upravni sud RH, upravni sudovi,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RH, upravnih sudova, Visokog prekršajnog suda Republike Hrvatske, županijskih sudova, trgovačkih sudova, općinskih sudova i prekršajnih sudova.</w:t>
      </w:r>
    </w:p>
    <w:p w:rsidR="00AC0832" w:rsidRDefault="00AC0832">
      <w:pPr>
        <w:pStyle w:val="Heading6"/>
      </w:pPr>
      <w:r>
        <w:t>Zakonske i druge pravne osnove</w:t>
      </w:r>
    </w:p>
    <w:p w:rsidR="00AC0832" w:rsidRDefault="00AC0832">
      <w:pPr>
        <w:pStyle w:val="Normal5"/>
      </w:pPr>
      <w:r>
        <w:t>Zakon o sudovima („Narodne novine“, broj 150/05, 16/07, 113/08, 153/09 i 116/10, 27/11, 130/11 i 28/13), Zakon o područjima i sjedištima sudova („Narodne novine“, broj 85/08, 144/10 i 84/11) i Zakon o područjima i sjedištima prekršajnih sudova "Narodne novine" broj 137/09).</w:t>
      </w:r>
    </w:p>
    <w:p w:rsidR="00AC0832" w:rsidRDefault="00AC0832">
      <w:pPr>
        <w:pStyle w:val="Heading7"/>
      </w:pPr>
      <w:r>
        <w:t>Cilj 1. Povećanje učinkovitosti rada sudova</w:t>
      </w:r>
    </w:p>
    <w:p w:rsidR="00AC0832" w:rsidRDefault="00AC0832">
      <w:pPr>
        <w:pStyle w:val="Heading8"/>
        <w:jc w:val="left"/>
      </w:pPr>
      <w:r>
        <w:t>Opis provedbe cilja programa</w:t>
      </w:r>
    </w:p>
    <w:p w:rsidR="00AC0832" w:rsidRDefault="00AC0832">
      <w:pPr>
        <w:pStyle w:val="Heading6"/>
      </w:pPr>
      <w:r>
        <w:t>A633000 VOĐENJE SUDSKIH POSTUPAKA IZ NADLEŽNOSTI VISOKOG UPRAVNOG SUDA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A633000-VOĐENJE SUDSKIH POSTUPAKA IZ NADLEŽNOSTI VISOKOG UPRAVNOG SUDA RH</w:t>
            </w:r>
          </w:p>
        </w:tc>
        <w:tc>
          <w:tcPr>
            <w:tcW w:w="2322" w:type="dxa"/>
          </w:tcPr>
          <w:p w:rsidR="00AC0832" w:rsidRDefault="00AC0832">
            <w:pPr>
              <w:pStyle w:val="CellColumn"/>
            </w:pPr>
            <w:r>
              <w:t>25.076.400</w:t>
            </w:r>
          </w:p>
        </w:tc>
        <w:tc>
          <w:tcPr>
            <w:tcW w:w="2322" w:type="dxa"/>
          </w:tcPr>
          <w:p w:rsidR="00AC0832" w:rsidRDefault="00AC0832">
            <w:pPr>
              <w:pStyle w:val="CellColumn"/>
            </w:pPr>
            <w:r>
              <w:t>24.749.147</w:t>
            </w:r>
          </w:p>
        </w:tc>
        <w:tc>
          <w:tcPr>
            <w:tcW w:w="2322" w:type="dxa"/>
          </w:tcPr>
          <w:p w:rsidR="00AC0832" w:rsidRDefault="00AC0832">
            <w:pPr>
              <w:pStyle w:val="CellColumn"/>
            </w:pPr>
            <w:r>
              <w:t>98,7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Visoki upravni sud Republike Hrvatske odlučuje o tužbama protiv konačnih upravnih </w:t>
      </w:r>
    </w:p>
    <w:p w:rsidR="00AC0832" w:rsidRDefault="00AC0832">
      <w:pPr>
        <w:pStyle w:val="Normal6"/>
      </w:pPr>
      <w:r>
        <w:t xml:space="preserve">akata (upravni sporovi) temeljem Zakona o upravnim sporovima i Zakona o općem </w:t>
      </w:r>
    </w:p>
    <w:p w:rsidR="00AC0832" w:rsidRDefault="00AC0832">
      <w:pPr>
        <w:pStyle w:val="Normal6"/>
      </w:pPr>
      <w:r>
        <w:t>upravnom postupku. Tijekom 2012. godine Visoki upravni  sud  RH zaprimio je ukupno 3.982 predmeta, riješio 17.792    predmeta, a ostalo je ukupno neriješeno 18.625 predmeta.</w:t>
      </w:r>
    </w:p>
    <w:p w:rsidR="00AC0832" w:rsidRDefault="00AC0832">
      <w:pPr>
        <w:pStyle w:val="Heading2"/>
      </w:pPr>
      <w:r>
        <w:t>11027 Upravni sudovi</w:t>
      </w:r>
    </w:p>
    <w:p w:rsidR="00AC0832" w:rsidRDefault="00AC0832">
      <w:pPr>
        <w:pStyle w:val="Heading4"/>
      </w:pPr>
      <w:r>
        <w:t>Uvod</w:t>
      </w:r>
    </w:p>
    <w:p w:rsidR="00AC0832" w:rsidRDefault="00AC0832">
      <w:pPr>
        <w:pStyle w:val="Normal3"/>
      </w:pPr>
      <w:r>
        <w:t>Upravni sudovi započeli su sa radom 01.01.2012. godine temeljem Zakona o upravnim sporovima radi uspostave sustava dvostupanjskog upravnog sudovanja u Republici Hrvatskoj u svrhu osiguranja pune jurisdikcije Upravnog suda i usklađivanja s pravnim standardima Europske unije u zaštiti ljudskih prava i temeljnih sloboda.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11027-Upravni sudovi</w:t>
            </w:r>
          </w:p>
        </w:tc>
        <w:tc>
          <w:tcPr>
            <w:tcW w:w="2322" w:type="dxa"/>
          </w:tcPr>
          <w:p w:rsidR="00AC0832" w:rsidRDefault="00AC0832">
            <w:pPr>
              <w:pStyle w:val="CellColumn"/>
            </w:pPr>
            <w:r>
              <w:t>13.090.000</w:t>
            </w:r>
          </w:p>
        </w:tc>
        <w:tc>
          <w:tcPr>
            <w:tcW w:w="2322" w:type="dxa"/>
          </w:tcPr>
          <w:p w:rsidR="00AC0832" w:rsidRDefault="00AC0832">
            <w:pPr>
              <w:pStyle w:val="CellColumn"/>
            </w:pPr>
            <w:r>
              <w:t>12.266.936</w:t>
            </w:r>
          </w:p>
        </w:tc>
        <w:tc>
          <w:tcPr>
            <w:tcW w:w="2322" w:type="dxa"/>
          </w:tcPr>
          <w:p w:rsidR="00AC0832" w:rsidRDefault="00AC0832">
            <w:pPr>
              <w:pStyle w:val="CellColumn"/>
            </w:pPr>
            <w:r>
              <w:t>93,7</w:t>
            </w:r>
          </w:p>
        </w:tc>
      </w:tr>
      <w:tr w:rsidR="00AC0832" w:rsidTr="00BE20ED">
        <w:trPr>
          <w:jc w:val="center"/>
        </w:trPr>
        <w:tc>
          <w:tcPr>
            <w:tcW w:w="2322" w:type="dxa"/>
          </w:tcPr>
          <w:p w:rsidR="00AC0832" w:rsidRDefault="00AC0832">
            <w:pPr>
              <w:pStyle w:val="CellColumnSmall"/>
            </w:pPr>
            <w:r>
              <w:t>2803-VOĐENJE SUDSKIH POSTUPAKA</w:t>
            </w:r>
          </w:p>
        </w:tc>
        <w:tc>
          <w:tcPr>
            <w:tcW w:w="2322" w:type="dxa"/>
          </w:tcPr>
          <w:p w:rsidR="00AC0832" w:rsidRDefault="00AC0832">
            <w:pPr>
              <w:pStyle w:val="CellColumnSmall"/>
            </w:pPr>
            <w:r>
              <w:t>13.090.000</w:t>
            </w:r>
          </w:p>
        </w:tc>
        <w:tc>
          <w:tcPr>
            <w:tcW w:w="2322" w:type="dxa"/>
          </w:tcPr>
          <w:p w:rsidR="00AC0832" w:rsidRDefault="00AC0832">
            <w:pPr>
              <w:pStyle w:val="CellColumnSmall"/>
            </w:pPr>
            <w:r>
              <w:t>12.266.936</w:t>
            </w:r>
          </w:p>
        </w:tc>
        <w:tc>
          <w:tcPr>
            <w:tcW w:w="2322" w:type="dxa"/>
          </w:tcPr>
          <w:p w:rsidR="00AC0832" w:rsidRDefault="00AC0832">
            <w:pPr>
              <w:pStyle w:val="CellColumnSmall"/>
            </w:pPr>
            <w:r>
              <w:t>93,7</w:t>
            </w:r>
          </w:p>
        </w:tc>
      </w:tr>
    </w:tbl>
    <w:p w:rsidR="00AC0832" w:rsidRDefault="00AC0832">
      <w:pPr>
        <w:jc w:val="left"/>
      </w:pPr>
    </w:p>
    <w:p w:rsidR="00AC0832" w:rsidRDefault="00AC0832">
      <w:pPr>
        <w:pStyle w:val="Heading4"/>
      </w:pPr>
      <w:r>
        <w:t>OBRAZLOŽENJE PROGRAMA</w:t>
      </w:r>
    </w:p>
    <w:p w:rsidR="00AC0832" w:rsidRDefault="00AC0832">
      <w:pPr>
        <w:pStyle w:val="Heading5"/>
      </w:pPr>
      <w:r>
        <w:t>2803 VOĐENJE SUDSKIH POSTUPAKA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2803-VOĐENJE SUDSKIH POSTUPAKA</w:t>
            </w:r>
          </w:p>
        </w:tc>
        <w:tc>
          <w:tcPr>
            <w:tcW w:w="2322" w:type="dxa"/>
          </w:tcPr>
          <w:p w:rsidR="00AC0832" w:rsidRDefault="00AC0832">
            <w:pPr>
              <w:pStyle w:val="CellColumn"/>
            </w:pPr>
            <w:r>
              <w:t>13.090.000</w:t>
            </w:r>
          </w:p>
        </w:tc>
        <w:tc>
          <w:tcPr>
            <w:tcW w:w="2322" w:type="dxa"/>
          </w:tcPr>
          <w:p w:rsidR="00AC0832" w:rsidRDefault="00AC0832">
            <w:pPr>
              <w:pStyle w:val="CellColumn"/>
            </w:pPr>
            <w:r>
              <w:t>12.266.936</w:t>
            </w:r>
          </w:p>
        </w:tc>
        <w:tc>
          <w:tcPr>
            <w:tcW w:w="2322" w:type="dxa"/>
          </w:tcPr>
          <w:p w:rsidR="00AC0832" w:rsidRDefault="00AC0832">
            <w:pPr>
              <w:pStyle w:val="CellColumn"/>
            </w:pPr>
            <w:r>
              <w:t>93,7</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Prema Ustavu Republike Hrvatske nositelji sudbene vlasti su sudovi. U okviru svojih ustavnih zadaća i Zakonom o sudovima utvrđenih nadležnosti u Republici Hrvatskoj sudske postupke vode slijedeći sudovi: Vrhovni sud RH, Visoki trgovački sud RH, Visoki prekršajni sud RH, Upravni sud RH, županijski sudovi, trgovački sudovi, općinski sudovi i prekršajni sudovi. </w:t>
      </w:r>
    </w:p>
    <w:p w:rsidR="00AC0832" w:rsidRDefault="00AC0832">
      <w:pPr>
        <w:pStyle w:val="Normal5"/>
      </w:pPr>
      <w:r>
        <w:t>U Državnom proračunu Republike Hrvatske „Program Vođenje sudskih postupaka“ obuhvaća vođenje sudskih postupaka iz nadležnosti Vrhovnog suda Republike Hrvatske, Visokog trgovačkog suda RH, Visokog upravnog suda Republike Hrvatske, Visokog prekršajnog suda Republike Hrvatske, županijskih sudova, upravnih sudova, trgovačkih sudova, općinskih sudova i prekršajnih sudova.</w:t>
      </w:r>
    </w:p>
    <w:p w:rsidR="00AC0832" w:rsidRDefault="00AC0832">
      <w:pPr>
        <w:pStyle w:val="Heading6"/>
      </w:pPr>
      <w:r>
        <w:t>Zakonske i druge pravne osnove</w:t>
      </w:r>
    </w:p>
    <w:p w:rsidR="00AC0832" w:rsidRDefault="00AC0832">
      <w:pPr>
        <w:pStyle w:val="Normal5"/>
      </w:pPr>
      <w:r>
        <w:t>Zakon o sudovima („Narodne novine“, broj 150/05, 16/07, 113/08, 153/09 i 116/10, 27/11, 130/11 i 28/13), Zakon o područjima i sjedištima sudova („Narodne novine“, broj 85/08, 144/10 i 84/11) i Zakon o područjima i sjedištima prekršajnih sudova "Narodne novine" broj 137/09).</w:t>
      </w:r>
    </w:p>
    <w:p w:rsidR="00AC0832" w:rsidRDefault="00AC0832">
      <w:pPr>
        <w:pStyle w:val="Heading7"/>
      </w:pPr>
      <w:r>
        <w:t xml:space="preserve">Cilj 1.  Usklađivanje s pravnim standardima Europske unije u zaštiti ljudskih prava i temeljnih sloboda. </w:t>
      </w:r>
    </w:p>
    <w:p w:rsidR="00AC0832" w:rsidRDefault="00AC0832">
      <w:pPr>
        <w:pStyle w:val="Heading8"/>
        <w:jc w:val="left"/>
      </w:pPr>
      <w:r>
        <w:t>Opis provedbe cilja programa</w:t>
      </w:r>
    </w:p>
    <w:p w:rsidR="00AC0832" w:rsidRDefault="00AC0832">
      <w:pPr>
        <w:pStyle w:val="Heading6"/>
      </w:pPr>
      <w:r>
        <w:t>A851001 VOĐENJE SUDSKIH POSTUPAKA IZ NADLEŽNOSTI UPRAVNIH SUDOVA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A851001-VOĐENJE SUDSKIH POSTUPAKA IZ NADLEŽNOSTI UPRAVNIH SUDOVA</w:t>
            </w:r>
          </w:p>
        </w:tc>
        <w:tc>
          <w:tcPr>
            <w:tcW w:w="2322" w:type="dxa"/>
          </w:tcPr>
          <w:p w:rsidR="00AC0832" w:rsidRDefault="00AC0832">
            <w:pPr>
              <w:pStyle w:val="CellColumn"/>
            </w:pPr>
            <w:r>
              <w:t>13.090.000</w:t>
            </w:r>
          </w:p>
        </w:tc>
        <w:tc>
          <w:tcPr>
            <w:tcW w:w="2322" w:type="dxa"/>
          </w:tcPr>
          <w:p w:rsidR="00AC0832" w:rsidRDefault="00AC0832">
            <w:pPr>
              <w:pStyle w:val="CellColumn"/>
            </w:pPr>
            <w:r>
              <w:t>12.266.936</w:t>
            </w:r>
          </w:p>
        </w:tc>
        <w:tc>
          <w:tcPr>
            <w:tcW w:w="2322" w:type="dxa"/>
          </w:tcPr>
          <w:p w:rsidR="00AC0832" w:rsidRDefault="00AC0832">
            <w:pPr>
              <w:pStyle w:val="CellColumn"/>
            </w:pPr>
            <w:r>
              <w:t>93,7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Upravni sudovi započeli su sa radom 01.01.2012. godine temeljem Zakona o upravnim </w:t>
      </w:r>
    </w:p>
    <w:p w:rsidR="00AC0832" w:rsidRDefault="00AC0832">
      <w:pPr>
        <w:pStyle w:val="Normal6"/>
      </w:pPr>
      <w:r>
        <w:t xml:space="preserve">sporovima radi uspostave sustava dvostupanjskog upravnog sudovanja u Republici </w:t>
      </w:r>
    </w:p>
    <w:p w:rsidR="00AC0832" w:rsidRDefault="00AC0832">
      <w:pPr>
        <w:pStyle w:val="Normal6"/>
      </w:pPr>
      <w:r>
        <w:t xml:space="preserve">Hrvatskoj u svrhu osiguranja pune jurisdikcije Upravnog suda i usklađivanja s pravnim </w:t>
      </w:r>
    </w:p>
    <w:p w:rsidR="00AC0832" w:rsidRDefault="00AC0832">
      <w:pPr>
        <w:pStyle w:val="Normal6"/>
      </w:pPr>
      <w:r>
        <w:t>standardima Europske unije u zaštiti ljudskih prava i temeljnih sloboda. Tijekom 2012. godine svi upravni sudovi zaprimili su ukupno 12.011 predmet, riješili 4.936 predmeta, a ostalo je ukupno neriješeno 7.075 predmeta.</w:t>
      </w:r>
    </w:p>
    <w:p w:rsidR="00AC0832" w:rsidRDefault="00AC0832">
      <w:pPr>
        <w:pStyle w:val="Heading2"/>
      </w:pPr>
      <w:r>
        <w:t>11030 Državno odvjetništvo Republike Hrvatske</w:t>
      </w:r>
    </w:p>
    <w:p w:rsidR="00AC0832" w:rsidRDefault="00AC0832">
      <w:pPr>
        <w:pStyle w:val="Heading4"/>
      </w:pPr>
      <w:r>
        <w:t>Uvod</w:t>
      </w:r>
    </w:p>
    <w:p w:rsidR="00AC0832" w:rsidRDefault="00AC0832">
      <w:pPr>
        <w:pStyle w:val="Normal3"/>
      </w:pPr>
      <w:r>
        <w:t xml:space="preserve">Državno odvjetništvo je samostalno i neovisno pravosudno tijelo ovlašteno i dužno postupati protiv počinitelja kaznenih djela i drugih kažnjivih djela, poduzimati prave radnje radi zaštite imovine RH te podnositi pravna sredstva za zaštitu Ustava i zakona </w:t>
      </w:r>
    </w:p>
    <w:p w:rsidR="00AC0832" w:rsidRDefault="00AC0832">
      <w:pPr>
        <w:pStyle w:val="Normal3"/>
      </w:pPr>
      <w:r>
        <w:t>Državno odvjetništvo Republike Hrvatske je čelno državno odvjetništvo koje uz poslove iz svoje nadležnosti nadzire i usmjerava rad svih državnih odvjetništava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11030-Državno odvjetništvo Republike Hrvatske</w:t>
            </w:r>
          </w:p>
        </w:tc>
        <w:tc>
          <w:tcPr>
            <w:tcW w:w="2322" w:type="dxa"/>
          </w:tcPr>
          <w:p w:rsidR="00AC0832" w:rsidRDefault="00AC0832">
            <w:pPr>
              <w:pStyle w:val="CellColumn"/>
            </w:pPr>
            <w:r>
              <w:t>21.105.100</w:t>
            </w:r>
          </w:p>
        </w:tc>
        <w:tc>
          <w:tcPr>
            <w:tcW w:w="2322" w:type="dxa"/>
          </w:tcPr>
          <w:p w:rsidR="00AC0832" w:rsidRDefault="00AC0832">
            <w:pPr>
              <w:pStyle w:val="CellColumn"/>
            </w:pPr>
            <w:r>
              <w:t>20.900.736</w:t>
            </w:r>
          </w:p>
        </w:tc>
        <w:tc>
          <w:tcPr>
            <w:tcW w:w="2322" w:type="dxa"/>
          </w:tcPr>
          <w:p w:rsidR="00AC0832" w:rsidRDefault="00AC0832">
            <w:pPr>
              <w:pStyle w:val="CellColumn"/>
            </w:pPr>
            <w:r>
              <w:t>99,0</w:t>
            </w:r>
          </w:p>
        </w:tc>
      </w:tr>
      <w:tr w:rsidR="00AC0832" w:rsidTr="00BE20ED">
        <w:trPr>
          <w:jc w:val="center"/>
        </w:trPr>
        <w:tc>
          <w:tcPr>
            <w:tcW w:w="2322" w:type="dxa"/>
          </w:tcPr>
          <w:p w:rsidR="00AC0832" w:rsidRDefault="00AC0832">
            <w:pPr>
              <w:pStyle w:val="CellColumnSmall"/>
            </w:pPr>
            <w:r>
              <w:t>2812-DJELOVANJE DRŽAVNIH ODVJETNIŠTAVA</w:t>
            </w:r>
          </w:p>
        </w:tc>
        <w:tc>
          <w:tcPr>
            <w:tcW w:w="2322" w:type="dxa"/>
          </w:tcPr>
          <w:p w:rsidR="00AC0832" w:rsidRDefault="00AC0832">
            <w:pPr>
              <w:pStyle w:val="CellColumnSmall"/>
            </w:pPr>
            <w:r>
              <w:t>21.105.100</w:t>
            </w:r>
          </w:p>
        </w:tc>
        <w:tc>
          <w:tcPr>
            <w:tcW w:w="2322" w:type="dxa"/>
          </w:tcPr>
          <w:p w:rsidR="00AC0832" w:rsidRDefault="00AC0832">
            <w:pPr>
              <w:pStyle w:val="CellColumnSmall"/>
            </w:pPr>
            <w:r>
              <w:t>20.900.736</w:t>
            </w:r>
          </w:p>
        </w:tc>
        <w:tc>
          <w:tcPr>
            <w:tcW w:w="2322" w:type="dxa"/>
          </w:tcPr>
          <w:p w:rsidR="00AC0832" w:rsidRDefault="00AC0832">
            <w:pPr>
              <w:pStyle w:val="CellColumnSmall"/>
            </w:pPr>
            <w:r>
              <w:t>99,0</w:t>
            </w:r>
          </w:p>
        </w:tc>
      </w:tr>
    </w:tbl>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pStyle w:val="Heading4"/>
      </w:pPr>
      <w:r>
        <w:t>OBRAZLOŽENJE PROGRAMA</w:t>
      </w:r>
    </w:p>
    <w:p w:rsidR="00AC0832" w:rsidRDefault="00AC0832">
      <w:pPr>
        <w:pStyle w:val="Heading5"/>
      </w:pPr>
      <w:r>
        <w:t>2812 DJELOVANJE DRŽAVNIH ODVJETNIŠTAVA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2812-DJELOVANJE DRŽAVNIH ODVJETNIŠTAVA</w:t>
            </w:r>
          </w:p>
        </w:tc>
        <w:tc>
          <w:tcPr>
            <w:tcW w:w="2322" w:type="dxa"/>
          </w:tcPr>
          <w:p w:rsidR="00AC0832" w:rsidRDefault="00AC0832">
            <w:pPr>
              <w:pStyle w:val="CellColumn"/>
            </w:pPr>
            <w:r>
              <w:t>21.105.100</w:t>
            </w:r>
          </w:p>
        </w:tc>
        <w:tc>
          <w:tcPr>
            <w:tcW w:w="2322" w:type="dxa"/>
          </w:tcPr>
          <w:p w:rsidR="00AC0832" w:rsidRDefault="00AC0832">
            <w:pPr>
              <w:pStyle w:val="CellColumn"/>
            </w:pPr>
            <w:r>
              <w:t>20.900.736</w:t>
            </w:r>
          </w:p>
        </w:tc>
        <w:tc>
          <w:tcPr>
            <w:tcW w:w="2322" w:type="dxa"/>
          </w:tcPr>
          <w:p w:rsidR="00AC0832" w:rsidRDefault="00AC0832">
            <w:pPr>
              <w:pStyle w:val="CellColumn"/>
            </w:pPr>
            <w:r>
              <w:t>99,0</w:t>
            </w:r>
          </w:p>
        </w:tc>
      </w:tr>
    </w:tbl>
    <w:p w:rsidR="00AC0832" w:rsidRDefault="00AC0832">
      <w:pPr>
        <w:jc w:val="left"/>
      </w:pPr>
    </w:p>
    <w:p w:rsidR="00AC0832" w:rsidRDefault="00AC0832">
      <w:pPr>
        <w:pStyle w:val="Heading6"/>
      </w:pPr>
      <w:r>
        <w:t>Opis programa</w:t>
      </w:r>
    </w:p>
    <w:p w:rsidR="00AC0832" w:rsidRDefault="00AC0832">
      <w:pPr>
        <w:pStyle w:val="Normal5"/>
      </w:pPr>
      <w:r>
        <w:t>Programom je obuhvaćen progon počinitelja kaznenih djela, zaštita imovine RH te podnošenje pravnih sredstava za zaštitu zakonitosti i to kako pred županijskim, općinskim sudovima i upravnim tijelima, tako i pred Vrhovnim sudom RH te drugim tijelima.</w:t>
      </w:r>
    </w:p>
    <w:p w:rsidR="00AC0832" w:rsidRDefault="00AC0832">
      <w:pPr>
        <w:pStyle w:val="Heading6"/>
      </w:pPr>
      <w:r>
        <w:t>Zakonske i druge pravne osnove</w:t>
      </w:r>
    </w:p>
    <w:p w:rsidR="00AC0832" w:rsidRDefault="00AC0832">
      <w:pPr>
        <w:pStyle w:val="Normal5"/>
      </w:pPr>
      <w:r>
        <w:t>Zakon o državnom odvjetništvu („Narodne novine“, broj 76/09, 153/09, 116/10, 145/10, 57/11, 130/11), Zakon o područjima i sjedištima državnih odvjetništava („Narodne novine“, broj 146/08), Zakon o kaznenom postupku (NN 152/08, 76/09, 80/11, 91/12 i 143/12).</w:t>
      </w:r>
    </w:p>
    <w:p w:rsidR="00AC0832" w:rsidRDefault="00AC0832">
      <w:pPr>
        <w:pStyle w:val="Heading7"/>
      </w:pPr>
      <w:r>
        <w:t xml:space="preserve">Cilj 1. Jedinstvena primjena zakona i ravnopravnost građana te jednakost svih pred zakonom. </w:t>
      </w:r>
    </w:p>
    <w:p w:rsidR="00AC0832" w:rsidRDefault="00AC0832">
      <w:pPr>
        <w:pStyle w:val="Heading8"/>
        <w:jc w:val="left"/>
      </w:pPr>
      <w:r>
        <w:t>Opis provedbe cilja programa</w:t>
      </w:r>
    </w:p>
    <w:p w:rsidR="00AC0832" w:rsidRDefault="00AC0832">
      <w:pPr>
        <w:pStyle w:val="Heading6"/>
      </w:pPr>
      <w:r>
        <w:t>A629262 SURADNJA REPUBLIKE HRVATSKE I EUROJUST-A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A629262-SURADNJA REPUBLIKE HRVATSKE I EUROJUST-A</w:t>
            </w:r>
          </w:p>
        </w:tc>
        <w:tc>
          <w:tcPr>
            <w:tcW w:w="2322" w:type="dxa"/>
          </w:tcPr>
          <w:p w:rsidR="00AC0832" w:rsidRDefault="00AC0832">
            <w:pPr>
              <w:pStyle w:val="CellColumn"/>
            </w:pPr>
            <w:r>
              <w:t>511.500</w:t>
            </w:r>
          </w:p>
        </w:tc>
        <w:tc>
          <w:tcPr>
            <w:tcW w:w="2322" w:type="dxa"/>
          </w:tcPr>
          <w:p w:rsidR="00AC0832" w:rsidRDefault="00AC0832">
            <w:pPr>
              <w:pStyle w:val="CellColumn"/>
            </w:pPr>
            <w:r>
              <w:t>511.500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Sporazum o jačanju suradnje između Hrvatske i Eurojusta, potpisan je 9. studenog 2007. </w:t>
      </w:r>
    </w:p>
    <w:p w:rsidR="00AC0832" w:rsidRDefault="00AC0832">
      <w:pPr>
        <w:pStyle w:val="Normal6"/>
      </w:pPr>
      <w:r>
        <w:t xml:space="preserve">godine. Eurojust je tijelo Europske Unije, osnovano Odlukom Vijeća Europske Unije 28. </w:t>
      </w:r>
    </w:p>
    <w:p w:rsidR="00AC0832" w:rsidRDefault="00AC0832">
      <w:pPr>
        <w:pStyle w:val="Normal6"/>
      </w:pPr>
      <w:r>
        <w:t xml:space="preserve">veljače 2002. godine u čijem radu sudjeluju predstavnici država članica Europske Unije u </w:t>
      </w:r>
    </w:p>
    <w:p w:rsidR="00AC0832" w:rsidRDefault="00AC0832">
      <w:pPr>
        <w:pStyle w:val="Normal6"/>
      </w:pPr>
      <w:r>
        <w:t xml:space="preserve">provedbi istrage i progona ozbiljnog prekograničnog i organiziranog kriminala, kao i za </w:t>
      </w:r>
    </w:p>
    <w:p w:rsidR="00AC0832" w:rsidRDefault="00AC0832">
      <w:pPr>
        <w:pStyle w:val="Normal6"/>
      </w:pPr>
      <w:r>
        <w:t xml:space="preserve">unapređenje postupaka pružanja složenijih oblika međunarodne pravne pomoći u </w:t>
      </w:r>
    </w:p>
    <w:p w:rsidR="00AC0832" w:rsidRDefault="00AC0832">
      <w:pPr>
        <w:pStyle w:val="Normal6"/>
      </w:pPr>
      <w:r>
        <w:t xml:space="preserve">kaznenim stvarima i za ubrzanje postupaka izručenja. Eurojust je ovlašten s trećim </w:t>
      </w:r>
    </w:p>
    <w:p w:rsidR="00AC0832" w:rsidRDefault="00AC0832">
      <w:pPr>
        <w:pStyle w:val="Normal6"/>
      </w:pPr>
      <w:r>
        <w:t xml:space="preserve">državama sklapati sporazume o suradnji kojima se uređuju pitanja međusobne suradnje iz </w:t>
      </w:r>
    </w:p>
    <w:p w:rsidR="00AC0832" w:rsidRDefault="00AC0832">
      <w:pPr>
        <w:pStyle w:val="Normal6"/>
      </w:pPr>
      <w:r>
        <w:t xml:space="preserve">nadležnosti Eurojusta, što obuhvaća i mogućnost za te države imenovanje svog </w:t>
      </w:r>
    </w:p>
    <w:p w:rsidR="00AC0832" w:rsidRDefault="00AC0832">
      <w:pPr>
        <w:pStyle w:val="Normal6"/>
      </w:pPr>
      <w:r>
        <w:t xml:space="preserve">nacionalnog predstavnika (časnika za vezu) pri Eurojustu sa sjedištem u Den Hagu. </w:t>
      </w:r>
    </w:p>
    <w:p w:rsidR="00AC0832" w:rsidRDefault="00AC0832">
      <w:pPr>
        <w:pStyle w:val="Normal6"/>
      </w:pPr>
      <w:r>
        <w:t xml:space="preserve">Tijekom 2012. godine obavljene su sljedeće aktivnosti: </w:t>
      </w:r>
    </w:p>
    <w:p w:rsidR="00AC0832" w:rsidRDefault="00AC0832">
      <w:pPr>
        <w:pStyle w:val="Normal6"/>
      </w:pPr>
      <w:r>
        <w:t xml:space="preserve">- sudjelovanje u radu Kolegija, </w:t>
      </w:r>
    </w:p>
    <w:p w:rsidR="00AC0832" w:rsidRDefault="00AC0832">
      <w:pPr>
        <w:pStyle w:val="Normal6"/>
      </w:pPr>
      <w:r>
        <w:t xml:space="preserve">- sudjelovanje na koordinacijskim sastancima II i II razine organiziranima u prostorijama EUROJUST-a ili država članica EU, </w:t>
      </w:r>
    </w:p>
    <w:p w:rsidR="00AC0832" w:rsidRDefault="00AC0832">
      <w:pPr>
        <w:pStyle w:val="Normal6"/>
      </w:pPr>
      <w:r>
        <w:t xml:space="preserve">- sudjelovanje na Okruglim stolovima, Strateškim sastancima, Savjetovanjima organiziranima od strane EUROJUST-a, </w:t>
      </w:r>
    </w:p>
    <w:p w:rsidR="00AC0832" w:rsidRDefault="00AC0832">
      <w:pPr>
        <w:pStyle w:val="Normal6"/>
      </w:pPr>
      <w:r>
        <w:t xml:space="preserve">- godišnje savjetovanje sukladno Sporazumu RH i EUROJUST-a glede evaluacije provođenja Sporazuma </w:t>
      </w:r>
    </w:p>
    <w:p w:rsidR="00AC0832" w:rsidRDefault="00AC0832">
      <w:pPr>
        <w:pStyle w:val="Normal6"/>
      </w:pPr>
      <w:r>
        <w:t xml:space="preserve"> </w:t>
      </w:r>
    </w:p>
    <w:p w:rsidR="00AC0832" w:rsidRDefault="00AC0832">
      <w:pPr>
        <w:pStyle w:val="Normal6"/>
      </w:pPr>
      <w:r>
        <w:t xml:space="preserve">Rad u pojedinačnim predmetima: </w:t>
      </w:r>
    </w:p>
    <w:p w:rsidR="00AC0832" w:rsidRDefault="00AC0832">
      <w:pPr>
        <w:pStyle w:val="Normal6"/>
      </w:pPr>
      <w:r>
        <w:t xml:space="preserve">- onima koji se otvaraju na zahtjev predstavnika država članica EU, </w:t>
      </w:r>
    </w:p>
    <w:p w:rsidR="00AC0832" w:rsidRDefault="00AC0832">
      <w:pPr>
        <w:pStyle w:val="Normal6"/>
      </w:pPr>
      <w:r>
        <w:t xml:space="preserve">- onima koji se otvaraju na temelju zahtjeva domaćih pravosudnih tijela. </w:t>
      </w:r>
    </w:p>
    <w:p w:rsidR="00AC0832" w:rsidRDefault="00AC0832">
      <w:pPr>
        <w:pStyle w:val="Normal6"/>
      </w:pPr>
      <w:r>
        <w:t xml:space="preserve"> </w:t>
      </w:r>
    </w:p>
    <w:p w:rsidR="00AC0832" w:rsidRDefault="00AC0832">
      <w:pPr>
        <w:pStyle w:val="Normal6"/>
      </w:pPr>
      <w:r>
        <w:t xml:space="preserve">- Ostvarivanje međunarodne pravne pomoći u složenim predmetima organiziranog kriminala, korupcije, terorizma, trgovine drogama i drugim kaznenim djelima iz kataloga EU Odluke o EUROJUST-u. </w:t>
      </w:r>
    </w:p>
    <w:p w:rsidR="00AC0832" w:rsidRDefault="00AC0832">
      <w:pPr>
        <w:pStyle w:val="Normal6"/>
      </w:pPr>
      <w:r>
        <w:t xml:space="preserve"> </w:t>
      </w:r>
    </w:p>
    <w:p w:rsidR="00AC0832" w:rsidRDefault="00AC0832">
      <w:pPr>
        <w:pStyle w:val="Normal6"/>
      </w:pPr>
      <w:r>
        <w:t xml:space="preserve">- Ubrzavanja izvršenja zahtjeva za pružanjem međunarodne  pravne pomoći (mala međunarodna pravna pomoć: ispitivanje okrivljenika i svjedoka, videokonferencija, pretrage osoba i prostora, prikupljanje dokumentacije u inozemstvu; izručenje) </w:t>
      </w:r>
    </w:p>
    <w:p w:rsidR="00AC0832" w:rsidRDefault="00AC0832">
      <w:pPr>
        <w:pStyle w:val="Normal6"/>
      </w:pPr>
      <w:r>
        <w:t xml:space="preserve">- Uspostavljanje kontakata sa stranim pravosudnim dužnosnicima kada se kazneni postupak vodi u više država, </w:t>
      </w:r>
    </w:p>
    <w:p w:rsidR="00AC0832" w:rsidRDefault="00AC0832">
      <w:pPr>
        <w:pStyle w:val="Normal6"/>
      </w:pPr>
      <w:r>
        <w:t xml:space="preserve">- Formiranje zajedničkih istražnih timova </w:t>
      </w:r>
    </w:p>
    <w:p w:rsidR="00AC0832" w:rsidRDefault="00AC0832">
      <w:pPr>
        <w:pStyle w:val="Normal6"/>
      </w:pPr>
      <w:r>
        <w:t xml:space="preserve">Ukupno zaprimljeno 75 predmeta: </w:t>
      </w:r>
    </w:p>
    <w:p w:rsidR="00AC0832" w:rsidRDefault="00AC0832">
      <w:pPr>
        <w:pStyle w:val="Normal6"/>
      </w:pPr>
      <w:r>
        <w:t xml:space="preserve">- 48 od strane EUROJUST-a i država članica EU </w:t>
      </w:r>
    </w:p>
    <w:p w:rsidR="00AC0832" w:rsidRDefault="00AC0832">
      <w:pPr>
        <w:pStyle w:val="Normal6"/>
      </w:pPr>
      <w:r>
        <w:t xml:space="preserve">- 27 od strane RH </w:t>
      </w:r>
    </w:p>
    <w:p w:rsidR="00AC0832" w:rsidRDefault="00AC0832">
      <w:pPr>
        <w:pStyle w:val="Normal6"/>
      </w:pPr>
      <w:r>
        <w:t xml:space="preserve"> </w:t>
      </w:r>
    </w:p>
    <w:p w:rsidR="00AC0832" w:rsidRDefault="00AC0832">
      <w:pPr>
        <w:pStyle w:val="Normal6"/>
      </w:pPr>
      <w:r>
        <w:t xml:space="preserve">Predmeti otvoreni na Kolegiju: 5 </w:t>
      </w:r>
    </w:p>
    <w:p w:rsidR="00AC0832" w:rsidRDefault="00AC0832">
      <w:pPr>
        <w:pStyle w:val="Normal6"/>
      </w:pPr>
      <w:r>
        <w:t xml:space="preserve">Sudjelovanje u radu Kolegija </w:t>
      </w:r>
    </w:p>
    <w:p w:rsidR="00AC0832" w:rsidRDefault="00AC0832">
      <w:pPr>
        <w:pStyle w:val="Normal6"/>
      </w:pPr>
      <w:r>
        <w:t xml:space="preserve">Sudjelovanje na Strateškom savjetovanju  </w:t>
      </w:r>
    </w:p>
    <w:p w:rsidR="00AC0832" w:rsidRDefault="00AC0832">
      <w:pPr>
        <w:pStyle w:val="Normal6"/>
      </w:pPr>
      <w:r>
        <w:t>Sudjelovanje na koordinacijskim sastancima</w:t>
      </w:r>
    </w:p>
    <w:p w:rsidR="00AC0832" w:rsidRDefault="00AC0832">
      <w:pPr>
        <w:pStyle w:val="Heading6"/>
      </w:pPr>
      <w:r>
        <w:t>A634000 PROGON POČINITELJA KAZNENIH DJELA, ZAŠTITA IMOVINE RH I PODNOŠENJE PRAVNIH SREDSTAVA ZA ZAŠTITU ZAKONITOSTI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A634000-PROGON POČINITELJA KAZNENIH DJELA, ZAŠTITA IMOVINE RH I PODNOŠENJE PRAVNIH SREDSTAVA ZA ZAŠTITU ZAKONITOSTI</w:t>
            </w:r>
          </w:p>
        </w:tc>
        <w:tc>
          <w:tcPr>
            <w:tcW w:w="2322" w:type="dxa"/>
          </w:tcPr>
          <w:p w:rsidR="00AC0832" w:rsidRDefault="00AC0832">
            <w:pPr>
              <w:pStyle w:val="CellColumn"/>
            </w:pPr>
            <w:r>
              <w:t>18.075.900</w:t>
            </w:r>
          </w:p>
        </w:tc>
        <w:tc>
          <w:tcPr>
            <w:tcW w:w="2322" w:type="dxa"/>
          </w:tcPr>
          <w:p w:rsidR="00AC0832" w:rsidRDefault="00AC0832">
            <w:pPr>
              <w:pStyle w:val="CellColumn"/>
            </w:pPr>
            <w:r>
              <w:t>17.871.536</w:t>
            </w:r>
          </w:p>
        </w:tc>
        <w:tc>
          <w:tcPr>
            <w:tcW w:w="2322" w:type="dxa"/>
          </w:tcPr>
          <w:p w:rsidR="00AC0832" w:rsidRDefault="00AC0832">
            <w:pPr>
              <w:pStyle w:val="CellColumn"/>
            </w:pPr>
            <w:r>
              <w:t>98,9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Rad Državnog odvjetništva Republike Hrvatske u 2012. godini bio je usmjeren na temeljne zadaće državnog odvjetništva, to jest na  nadzor nad progonom počinitelja kaznenih djela, i zaštitom imovinskih interesa RH i podnošenje pravnih sredstava za zaštitu zakonitosti.  </w:t>
      </w:r>
    </w:p>
    <w:p w:rsidR="00AC0832" w:rsidRDefault="00AC0832">
      <w:pPr>
        <w:pStyle w:val="Normal6"/>
      </w:pPr>
      <w:r>
        <w:t xml:space="preserve">U ostvarivanju navedenih zadaća posebna pažnja bila je kao i ranijih godina usmjerena na koordinaciju rada i nadzor nad poslovima :  </w:t>
      </w:r>
    </w:p>
    <w:p w:rsidR="00AC0832" w:rsidRDefault="00AC0832">
      <w:pPr>
        <w:pStyle w:val="Normal6"/>
      </w:pPr>
      <w:r>
        <w:t xml:space="preserve">-suzbijanje korupcije i gospodarskog kriminaliteta,  </w:t>
      </w:r>
    </w:p>
    <w:p w:rsidR="00AC0832" w:rsidRDefault="00AC0832">
      <w:pPr>
        <w:pStyle w:val="Normal6"/>
      </w:pPr>
      <w:r>
        <w:t xml:space="preserve">-suzbijanje organiziranog, a posebno organiziranog transnacionalnog kriminala, </w:t>
      </w:r>
    </w:p>
    <w:p w:rsidR="00AC0832" w:rsidRDefault="00AC0832">
      <w:pPr>
        <w:pStyle w:val="Normal6"/>
      </w:pPr>
      <w:r>
        <w:t xml:space="preserve">-rad na predmetima pretvorbenog kriminala i ratnog profiterstva, </w:t>
      </w:r>
    </w:p>
    <w:p w:rsidR="00AC0832" w:rsidRDefault="00AC0832">
      <w:pPr>
        <w:pStyle w:val="Normal6"/>
      </w:pPr>
      <w:r>
        <w:t xml:space="preserve">-zaštitu imovinskih interesa Republike Hrvatske, kako u postupcima tako i posebno kroz poslove uknjižbe imovine Republike Hrvatske. </w:t>
      </w:r>
    </w:p>
    <w:p w:rsidR="00AC0832" w:rsidRDefault="00AC0832">
      <w:pPr>
        <w:pStyle w:val="Normal6"/>
      </w:pPr>
      <w:r>
        <w:t xml:space="preserve">Nadzor nad radom i koordinacija rada provodi se kroz redovite i izvanredne preglede, praćenje statističkih pokazatelja o radu, te izradu izviješća o radu u kojima su iskazani kako pozitivni, tako i negativni trendovi u kretanju kaznenih i drugih predmeta. </w:t>
      </w:r>
    </w:p>
    <w:p w:rsidR="00AC0832" w:rsidRDefault="00AC0832">
      <w:pPr>
        <w:pStyle w:val="Normal6"/>
      </w:pPr>
      <w:r>
        <w:t xml:space="preserve">Državno odvjetništvo Republike Hrvatske je kroz redovite mjesečne sastanke, davanjem uputa i koordinaciju u najvažnijim predmetima usmjeravalo i nadziralo rad nižih državnih odvjetništava čiji su kazneni odjeli imali ukupno u radu 91244 kaznenih prijava, od čega 39393 protiv nepoznatih počinitelja, riješeno je 82987 predmeta dok je ostalo neriješeno 8158 predmeta u kojima traju izvidi li se čeka međunarodna pravna pomoći itd. Podaci pokazuju kako je na 31. prosinca 2012. u samom državnom odvjetništvu bilo 137 neriješena kaznena predmeta. Postotak neriješenih predmeta, kod kojih još uvijek traju izvidi i slično je 15,7% u odnosu na ukupan broj predmeta u radu. Imajući u vidu da je uspješnost u kaznenim predmetima protiv odraslih počinitelja dobra i iznosi 89%  smatramo da su državna odvjetništva u prvostupanjskom postupku cijelosti ostvarila one poslove koji su bili planirani prilikom dodjele sredstva za rad u 2012. godini. </w:t>
      </w:r>
    </w:p>
    <w:p w:rsidR="00AC0832" w:rsidRDefault="00AC0832">
      <w:pPr>
        <w:pStyle w:val="Normal6"/>
      </w:pPr>
      <w:r>
        <w:t xml:space="preserve">Građanko-upravni odjeli imali su u radu ukupno 88959 predmeta. Riješeno je donošenjem odluke u državnom odvjetništvu, odnosno kroz očitovanja na podneske i tužbe drugih 78804 predmeta dok je ostalo neriješeno 10027 predmeta i to u velikoj većini kod drugih državnih tijela od kojih se čekaju podaci nužni za donošenje odluke. Postotak neriješenih predmeta iznosio je 12,7% i cijenimo kako je na ovom području državno odvjetništvo ostvarilo onaj posao koji je planiran prilikom zahtijevanja sredstava.  </w:t>
      </w:r>
    </w:p>
    <w:p w:rsidR="00AC0832" w:rsidRDefault="00AC0832">
      <w:pPr>
        <w:pStyle w:val="Normal6"/>
      </w:pPr>
      <w:r>
        <w:t xml:space="preserve">Također je, ali s daleko većim intenzitetom nadziran i usmjeravan rad Ureda za suzbijanje korupcije i organiziranog kriminaliteta koji u tijeku 2012. godine primio 1226 prijave protiv poznatih odraslih osoba, uz to primio je 23 prijava protiv pravnih osoba, te 37 prijava protiv nepoznatih osoba. Odbačajem je riješeno 571 prijava ili 48%, neposrednim optuženjem 98 prijava ili 8%, dok je u odnosu na 531 osoba ili 44% naloženo provođenje istrage. Nakon istrage optuženo je 370 osoba i kada tome pribrojimo neposredna optuženja proizlazi da su 2012. godine optuženo 468 osoba. Sudovi su donijeli presude u odnosu na 410 osoba, od kojih je 385 osoba ili 94% osuđujućih. Od 344 osuđenih osoba njih 140 osuđeno je na kazne zatvora.  </w:t>
      </w:r>
    </w:p>
    <w:p w:rsidR="00AC0832" w:rsidRDefault="00AC0832">
      <w:pPr>
        <w:pStyle w:val="Normal6"/>
      </w:pPr>
      <w:r>
        <w:t>Samo Državno odvjetništvo Republike Hrvatske imalo je u radu1664 drugostupanjskih kaznenih predmeta koji su riješeni davanjem mišljenja. Tijekom godine riješeno je 442 predmeta u vezi zaštite zakonitosti u kaznenim i prekršajnim predmetima, a također  je Državno odvjetništvo Republike Hrvatske postupalo u predmetima izvanrednih pravnih lijekova u kaznenim predmetima  (858  predmeta, te je neposredno naziralo i usmjeravalo rad u pojedinim kaznenim predmetima nižih državnih odvjetništava ( 2300 predmeta) također je postupalo u  građanskim i upravnim stvarima (4089 predmeta)</w:t>
      </w:r>
    </w:p>
    <w:p w:rsidR="00AC0832" w:rsidRDefault="00AC0832">
      <w:pPr>
        <w:pStyle w:val="Heading6"/>
      </w:pPr>
      <w:r>
        <w:t>A634002 MEĐUNARODNA SURADNJA DRŽAVNIH ODVJETNIŠTAVA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A634002-MEĐUNARODNA SURADNJA DRŽAVNIH ODVJETNIŠTAVA</w:t>
            </w:r>
          </w:p>
        </w:tc>
        <w:tc>
          <w:tcPr>
            <w:tcW w:w="2322" w:type="dxa"/>
          </w:tcPr>
          <w:p w:rsidR="00AC0832" w:rsidRDefault="00AC0832">
            <w:pPr>
              <w:pStyle w:val="CellColumn"/>
            </w:pPr>
            <w:r>
              <w:t>285.500</w:t>
            </w:r>
          </w:p>
        </w:tc>
        <w:tc>
          <w:tcPr>
            <w:tcW w:w="2322" w:type="dxa"/>
          </w:tcPr>
          <w:p w:rsidR="00AC0832" w:rsidRDefault="00AC0832">
            <w:pPr>
              <w:pStyle w:val="CellColumn"/>
            </w:pPr>
            <w:r>
              <w:t>285.500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Aktivnost se odnosi na suradnju Državnog odvjetništva RH s drugim državnim </w:t>
      </w:r>
    </w:p>
    <w:p w:rsidR="00AC0832" w:rsidRDefault="00AC0832">
      <w:pPr>
        <w:pStyle w:val="Normal6"/>
      </w:pPr>
      <w:r>
        <w:t xml:space="preserve">odvjetništivima kako u regiji tako i u Europi i izvan Europe, a sve u cilju stvaranja uvjeta </w:t>
      </w:r>
    </w:p>
    <w:p w:rsidR="00AC0832" w:rsidRDefault="00AC0832">
      <w:pPr>
        <w:pStyle w:val="Normal6"/>
      </w:pPr>
      <w:r>
        <w:t xml:space="preserve">za učinkovitiju međunarodnu suradnju i pravnu pomoć. </w:t>
      </w:r>
    </w:p>
    <w:p w:rsidR="00AC0832" w:rsidRDefault="00AC0832">
      <w:pPr>
        <w:pStyle w:val="Normal6"/>
      </w:pPr>
      <w:r>
        <w:t xml:space="preserve">Tijekom 2012. godine provodile su se sljedeće aktivnosti: </w:t>
      </w:r>
    </w:p>
    <w:p w:rsidR="00AC0832" w:rsidRDefault="00AC0832">
      <w:pPr>
        <w:pStyle w:val="Normal6"/>
      </w:pPr>
      <w:r>
        <w:t xml:space="preserve">-Preuzimanje kaznenih progona, </w:t>
      </w:r>
    </w:p>
    <w:p w:rsidR="00AC0832" w:rsidRDefault="00AC0832">
      <w:pPr>
        <w:pStyle w:val="Normal6"/>
      </w:pPr>
      <w:r>
        <w:t xml:space="preserve">-Ustupanje kaznenih progona,  </w:t>
      </w:r>
    </w:p>
    <w:p w:rsidR="00AC0832" w:rsidRDefault="00AC0832">
      <w:pPr>
        <w:pStyle w:val="Normal6"/>
      </w:pPr>
      <w:r>
        <w:t xml:space="preserve">-Transferi osuđenika, </w:t>
      </w:r>
    </w:p>
    <w:p w:rsidR="00AC0832" w:rsidRDefault="00AC0832">
      <w:pPr>
        <w:pStyle w:val="Normal6"/>
      </w:pPr>
      <w:r>
        <w:t xml:space="preserve">-Postupanje po međunarodnim potragama, </w:t>
      </w:r>
    </w:p>
    <w:p w:rsidR="00AC0832" w:rsidRDefault="00AC0832">
      <w:pPr>
        <w:pStyle w:val="Normal6"/>
      </w:pPr>
      <w:r>
        <w:t xml:space="preserve">-Zahtijevanje međunarodne pravne pomoći radi kaznenog progona u RH, </w:t>
      </w:r>
    </w:p>
    <w:p w:rsidR="00AC0832" w:rsidRDefault="00AC0832">
      <w:pPr>
        <w:pStyle w:val="Normal6"/>
      </w:pPr>
      <w:r>
        <w:t xml:space="preserve">-Postupanje po stranim zamolnicama za pružanje pravne pomoći, </w:t>
      </w:r>
    </w:p>
    <w:p w:rsidR="00AC0832" w:rsidRDefault="00AC0832">
      <w:pPr>
        <w:pStyle w:val="Normal6"/>
      </w:pPr>
      <w:r>
        <w:t xml:space="preserve">-Izručenja </w:t>
      </w:r>
    </w:p>
    <w:p w:rsidR="00AC0832" w:rsidRDefault="00AC0832">
      <w:pPr>
        <w:pStyle w:val="Normal6"/>
      </w:pPr>
      <w:r>
        <w:t xml:space="preserve">- Sudjelovanje u međunarodnim projektima vezanima uz aktivnosti državnih odvjetništava, </w:t>
      </w:r>
    </w:p>
    <w:p w:rsidR="00AC0832" w:rsidRDefault="00AC0832">
      <w:pPr>
        <w:pStyle w:val="Normal6"/>
      </w:pPr>
      <w:r>
        <w:t xml:space="preserve">-Regionalna suradnja </w:t>
      </w:r>
    </w:p>
    <w:p w:rsidR="00AC0832" w:rsidRDefault="00AC0832">
      <w:pPr>
        <w:pStyle w:val="Normal6"/>
      </w:pPr>
      <w:r>
        <w:t xml:space="preserve">-Suradnja unutar Vijeća Europe, </w:t>
      </w:r>
    </w:p>
    <w:p w:rsidR="00AC0832" w:rsidRDefault="00AC0832">
      <w:pPr>
        <w:pStyle w:val="Normal6"/>
      </w:pPr>
      <w:r>
        <w:t xml:space="preserve">-Suradnja na međunarodnom planu – Svjetsko udruženje državnih odvjetnika </w:t>
      </w:r>
    </w:p>
    <w:p w:rsidR="00AC0832" w:rsidRDefault="00AC0832">
      <w:pPr>
        <w:pStyle w:val="Normal6"/>
      </w:pPr>
      <w:r>
        <w:t xml:space="preserve">- Potreba donošenja državnoodvjetničkih odluka u kaznenim postupcima sa „stranim – međunarodnim“ elementom, </w:t>
      </w:r>
    </w:p>
    <w:p w:rsidR="00AC0832" w:rsidRDefault="00AC0832">
      <w:pPr>
        <w:pStyle w:val="Normal6"/>
      </w:pPr>
      <w:r>
        <w:t xml:space="preserve">- Omogućavanje vođenja kaznenih postupaka protiv osoba koje su nedostupne domaćim zakonodavstvima, </w:t>
      </w:r>
    </w:p>
    <w:p w:rsidR="00AC0832" w:rsidRDefault="00AC0832">
      <w:pPr>
        <w:pStyle w:val="Normal6"/>
      </w:pPr>
      <w:r>
        <w:t xml:space="preserve">-Izvršenje sudskih odluka u domicilnim državama osuđenika, </w:t>
      </w:r>
    </w:p>
    <w:p w:rsidR="00AC0832" w:rsidRDefault="00AC0832">
      <w:pPr>
        <w:pStyle w:val="Normal6"/>
      </w:pPr>
      <w:r>
        <w:t xml:space="preserve">-Udovoljavanje stranim zahtjevima za pružanje međunarodne pravne pomoći, </w:t>
      </w:r>
    </w:p>
    <w:p w:rsidR="00AC0832" w:rsidRDefault="00AC0832">
      <w:pPr>
        <w:pStyle w:val="Normal6"/>
      </w:pPr>
      <w:r>
        <w:t xml:space="preserve">-Uspostavljanje regionalne državnoodvjetničke suradnje, </w:t>
      </w:r>
    </w:p>
    <w:p w:rsidR="00AC0832" w:rsidRDefault="00AC0832">
      <w:pPr>
        <w:pStyle w:val="Normal6"/>
      </w:pPr>
      <w:r>
        <w:t xml:space="preserve">-Sudjelovanje u donošenju odluka Vijeća Europe kroz Savjetodavno vijeće državnih odvjetnika Vijeća Europe (CCPE), </w:t>
      </w:r>
    </w:p>
    <w:p w:rsidR="00AC0832" w:rsidRDefault="00AC0832">
      <w:pPr>
        <w:pStyle w:val="Normal6"/>
      </w:pPr>
      <w:r>
        <w:t xml:space="preserve">-Uspostavljanje međunarodnih kontakata i suradnja sa izvaneuropskim državama </w:t>
      </w:r>
    </w:p>
    <w:p w:rsidR="00AC0832" w:rsidRDefault="00AC0832">
      <w:pPr>
        <w:pStyle w:val="Normal6"/>
      </w:pPr>
      <w:r>
        <w:t xml:space="preserve"> </w:t>
      </w:r>
    </w:p>
    <w:p w:rsidR="00AC0832" w:rsidRDefault="00AC0832">
      <w:pPr>
        <w:pStyle w:val="Normal6"/>
      </w:pPr>
      <w:r>
        <w:t xml:space="preserve">Rad na predmetima: </w:t>
      </w:r>
    </w:p>
    <w:p w:rsidR="00AC0832" w:rsidRDefault="00AC0832">
      <w:pPr>
        <w:pStyle w:val="Normal6"/>
      </w:pPr>
      <w:r>
        <w:t xml:space="preserve">-ustup kaznenog progona: 107 predmeta </w:t>
      </w:r>
    </w:p>
    <w:p w:rsidR="00AC0832" w:rsidRDefault="00AC0832">
      <w:pPr>
        <w:pStyle w:val="Normal6"/>
      </w:pPr>
      <w:r>
        <w:t xml:space="preserve">-preuzimanje kaznenog progona: 94 predmeta </w:t>
      </w:r>
    </w:p>
    <w:p w:rsidR="00AC0832" w:rsidRDefault="00AC0832">
      <w:pPr>
        <w:pStyle w:val="Normal6"/>
      </w:pPr>
      <w:r>
        <w:t xml:space="preserve">-transfer osuđenika: 17 predmeta </w:t>
      </w:r>
    </w:p>
    <w:p w:rsidR="00AC0832" w:rsidRDefault="00AC0832">
      <w:pPr>
        <w:pStyle w:val="Normal6"/>
      </w:pPr>
      <w:r>
        <w:t xml:space="preserve">-međunarodne potrage: 86 predmeta </w:t>
      </w:r>
    </w:p>
    <w:p w:rsidR="00AC0832" w:rsidRDefault="00AC0832">
      <w:pPr>
        <w:pStyle w:val="Normal6"/>
      </w:pPr>
      <w:r>
        <w:t xml:space="preserve">-međunarodna pravna pomoć: 137 predmeta </w:t>
      </w:r>
    </w:p>
    <w:p w:rsidR="00AC0832" w:rsidRDefault="00AC0832">
      <w:pPr>
        <w:pStyle w:val="Normal6"/>
      </w:pPr>
      <w:r>
        <w:t xml:space="preserve">-izručenje: 2 predmeta. </w:t>
      </w:r>
    </w:p>
    <w:p w:rsidR="00AC0832" w:rsidRDefault="00AC0832">
      <w:pPr>
        <w:pStyle w:val="Normal6"/>
      </w:pPr>
      <w:r>
        <w:t xml:space="preserve">-Održana VI Regionalna konferencija državnih odvjetnika/tužitelja u vezi sa progonom ratnih zločina, </w:t>
      </w:r>
    </w:p>
    <w:p w:rsidR="00AC0832" w:rsidRDefault="00AC0832">
      <w:pPr>
        <w:pStyle w:val="Normal6"/>
      </w:pPr>
      <w:r>
        <w:t xml:space="preserve">-Održan sastanak Izvršnog odbora Međunarodnog udruženja državnih odvjetnika, </w:t>
      </w:r>
    </w:p>
    <w:p w:rsidR="00AC0832" w:rsidRDefault="00AC0832">
      <w:pPr>
        <w:pStyle w:val="Normal6"/>
      </w:pPr>
      <w:r>
        <w:t>-Sudjelovanje na brojnik međunarodnim sastancima, okruglim stolovima, konferencijama i kongresima.</w:t>
      </w:r>
    </w:p>
    <w:p w:rsidR="00AC0832" w:rsidRDefault="00AC0832">
      <w:pPr>
        <w:pStyle w:val="Heading6"/>
      </w:pPr>
      <w:r>
        <w:t>A634012 UNAPREĐENJE I PRAĆENJE REZULTATA RADA IZ NADLEŽNOSTI DRŽAVNIH ODVJETNIŠTAVA NA SVIM RAZINAMA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A634012-UNAPREĐENJE I PRAĆENJE REZULTATA RADA IZ NADLEŽNOSTI DRŽAVNIH ODVJETNIŠTAVA NA SVIM RAZINAMA</w:t>
            </w:r>
          </w:p>
        </w:tc>
        <w:tc>
          <w:tcPr>
            <w:tcW w:w="2322" w:type="dxa"/>
          </w:tcPr>
          <w:p w:rsidR="00AC0832" w:rsidRDefault="00AC0832">
            <w:pPr>
              <w:pStyle w:val="CellColumn"/>
            </w:pPr>
            <w:r>
              <w:t>226.200</w:t>
            </w:r>
          </w:p>
        </w:tc>
        <w:tc>
          <w:tcPr>
            <w:tcW w:w="2322" w:type="dxa"/>
          </w:tcPr>
          <w:p w:rsidR="00AC0832" w:rsidRDefault="00AC0832">
            <w:pPr>
              <w:pStyle w:val="CellColumn"/>
            </w:pPr>
            <w:r>
              <w:t>226.200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Državno odvjetništvo prati rad svih državnih odvjetništava na mjesečnoj i godišnjoj razini, dok državni odvjetnici prate rad svojih zamjenika u pogledu  broja predmeta, faza u kojoj se predmet nalazi, okrivljenici, kaznena djela, strukture kriminala, uspješnosti u postupku i dr. </w:t>
      </w:r>
    </w:p>
    <w:p w:rsidR="00AC0832" w:rsidRDefault="00AC0832">
      <w:pPr>
        <w:pStyle w:val="Normal6"/>
      </w:pPr>
      <w:r>
        <w:t xml:space="preserve">Podaci služe kao podloga za izračun ocjena državnih odvjetnika i zamjenika. </w:t>
      </w:r>
    </w:p>
    <w:p w:rsidR="00AC0832" w:rsidRDefault="00AC0832">
      <w:pPr>
        <w:pStyle w:val="Normal6"/>
      </w:pPr>
      <w:r>
        <w:t xml:space="preserve">Tijekom 2012.  započeli smo s unosom podataka u CTS – program za praćenje i upravljanje predmetima za sada su u sustavu CTS-a četiri državna odvjetništva. </w:t>
      </w:r>
    </w:p>
    <w:p w:rsidR="00AC0832" w:rsidRDefault="00AC0832">
      <w:pPr>
        <w:pStyle w:val="Normal6"/>
      </w:pPr>
      <w:r>
        <w:t xml:space="preserve">Druga državna odvjetništva podatke unose u upisnika i na osnovu tih podataka sačinjavaju se analitička mjesečna i godišnja izviješća. </w:t>
      </w:r>
    </w:p>
    <w:p w:rsidR="00AC0832" w:rsidRDefault="00AC0832">
      <w:pPr>
        <w:pStyle w:val="Normal6"/>
      </w:pPr>
      <w:r>
        <w:t>Cilj i svrha je s jedne strane održavanje ažurnosti a s druge praćenje rada i prikupljanje podataka kako za izviješća tako i za ocjenjivanja.</w:t>
      </w:r>
    </w:p>
    <w:p w:rsidR="00AC0832" w:rsidRDefault="00AC0832">
      <w:pPr>
        <w:pStyle w:val="Heading6"/>
      </w:pPr>
      <w:r>
        <w:t>A634013 ZASTUPANJE REPUBLIKE HRVATSKE U INOZEMSTVU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A634013-ZASTUPANJE REPUBLIKE HRVATSKE U INOZEMSTVU</w:t>
            </w:r>
          </w:p>
        </w:tc>
        <w:tc>
          <w:tcPr>
            <w:tcW w:w="2322" w:type="dxa"/>
          </w:tcPr>
          <w:p w:rsidR="00AC0832" w:rsidRDefault="00AC0832">
            <w:pPr>
              <w:pStyle w:val="CellColumn"/>
            </w:pPr>
            <w:r>
              <w:t>2.006.000</w:t>
            </w:r>
          </w:p>
        </w:tc>
        <w:tc>
          <w:tcPr>
            <w:tcW w:w="2322" w:type="dxa"/>
          </w:tcPr>
          <w:p w:rsidR="00AC0832" w:rsidRDefault="00AC0832">
            <w:pPr>
              <w:pStyle w:val="CellColumn"/>
            </w:pPr>
            <w:r>
              <w:t>2.006.000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 xml:space="preserve">Državno odvjetništvo Republike Hrvatske zastupa Republiku Hrvatsku u imovinskim sporovima koji se mogu podijeliti na postupke pred redovnim sudovima drugih država i postupke pred međunarodnim tijelima, u pravilu međunarodnim arbitražama.  </w:t>
      </w:r>
    </w:p>
    <w:p w:rsidR="00AC0832" w:rsidRDefault="00AC0832">
      <w:pPr>
        <w:pStyle w:val="Normal6"/>
      </w:pPr>
      <w:r>
        <w:t xml:space="preserve">Postupci pred međunarodnim arbitražama mogu proizaći iz spora koji je nastao između stranaka koje su sklopile određeni  pravni posao i ugovorile nadležnost međunarodne arbitraže ili iz bilateralnih ugovora o poticanju i zaštiti ulaganja, u kojem slučaju ulagatelj tuži Republiku Hrvatsku neovisno o tome čijom je radnjom (npr. državnog tijela, jedinice lokalne samouprave, tijela s javnim ovlastima) došlo do povrede ugovora.  </w:t>
      </w:r>
    </w:p>
    <w:p w:rsidR="00AC0832" w:rsidRDefault="00AC0832">
      <w:pPr>
        <w:pStyle w:val="Normal6"/>
      </w:pPr>
      <w:r>
        <w:t xml:space="preserve">U postupcima pred međunarodnim ili stranim sudovima u kojima prema mjerodavnom pravu Državno odvjetništvo Republike Hrvatske ne može zastupati, Glavni državni odvjetnik uz suglasnost Vlade Republike Hrvatske ovlašćuje odgovarajućeg stranog stručnjaka, u pravilu odvjetnika iz države u kojoj se vodi spor. </w:t>
      </w:r>
    </w:p>
    <w:p w:rsidR="00AC0832" w:rsidRDefault="00AC0832">
      <w:pPr>
        <w:pStyle w:val="Normal6"/>
      </w:pPr>
      <w:r>
        <w:t xml:space="preserve">Cilj primjene programa je zaštita  imovinskih interesa Republike Hrvatske.  Program se izvršava poduzimanjem odgovarajućih pravnih radnji u postupku s ciljem zaštite prava i interesa Republike Hrvatske.  </w:t>
      </w:r>
    </w:p>
    <w:p w:rsidR="00AC0832" w:rsidRDefault="00AC0832">
      <w:pPr>
        <w:pStyle w:val="Normal6"/>
      </w:pPr>
      <w:r>
        <w:t xml:space="preserve">Prije pokretanja arbitražne obavezan je postupak prijateljskog rješavanja spora,  u kojem Državno odvjetništvo zajedno s Državnim uredom za trgovinsku politiku i tijelom u čijoj je nadležnosti nastala povreda na koju se tužitelj poziva, sudjeluje radi pokušaja mirnog rješenja spora i izbjegavanja arbitražnog postupka.  </w:t>
      </w:r>
    </w:p>
    <w:p w:rsidR="00AC0832" w:rsidRDefault="00AC0832">
      <w:pPr>
        <w:pStyle w:val="Normal6"/>
      </w:pPr>
      <w:r>
        <w:t xml:space="preserve"> </w:t>
      </w:r>
    </w:p>
    <w:p w:rsidR="00AC0832" w:rsidRDefault="00AC0832">
      <w:pPr>
        <w:pStyle w:val="Normal6"/>
      </w:pPr>
      <w:r>
        <w:t xml:space="preserve">U 2012. pokrenut je jedan arbitražni postupak protiv Republike Hrvatske, a zaprimljen je i jedan zahtjev za prijateljsko rješavanje spora stranog ulagatelja. </w:t>
      </w:r>
    </w:p>
    <w:p w:rsidR="00AC0832" w:rsidRDefault="00AC0832">
      <w:pPr>
        <w:pStyle w:val="Normal6"/>
      </w:pPr>
      <w:r>
        <w:t xml:space="preserve"> </w:t>
      </w:r>
    </w:p>
    <w:p w:rsidR="00AC0832" w:rsidRDefault="00AC0832">
      <w:pPr>
        <w:pStyle w:val="Normal6"/>
      </w:pPr>
      <w:r>
        <w:t xml:space="preserve">Pred redovnim sudovima drugih država vođeno je 8 postupaka, i to u Italiji Republika Hrvatska sudjeluje kao umješač u upravnom postupku zbog ometanja televizijskog signala, u Sjedinjenim Američkim Državama i Njemačkoj postupci koji se odnose na sukcesiju imovine bivše SFRJ, u Nizozemskoj postupak radi pobijanja pravorijeka arbitražnog suda, a u Njemačkoj, Francuskoj, Velikoj Britaniji i Bosni i Hercegovini postupci radi naknade štete odnosno isplate protiv Republike Hrvatske.  </w:t>
      </w:r>
    </w:p>
    <w:p w:rsidR="00AC0832" w:rsidRDefault="00AC0832">
      <w:pPr>
        <w:pStyle w:val="Normal6"/>
      </w:pPr>
      <w:r>
        <w:t xml:space="preserve"> </w:t>
      </w:r>
    </w:p>
    <w:p w:rsidR="00AC0832" w:rsidRDefault="00AC0832">
      <w:pPr>
        <w:pStyle w:val="Normal6"/>
      </w:pPr>
      <w:r>
        <w:t xml:space="preserve">U postupku u Njemačkoj, gdje je Republika Hrvatska tužitelj, podnijet je ovršni prijedlog protiv banke radi dostave dokumentacije. </w:t>
      </w:r>
    </w:p>
    <w:p w:rsidR="00AC0832" w:rsidRDefault="00AC0832">
      <w:pPr>
        <w:pStyle w:val="Normal6"/>
      </w:pPr>
      <w:r>
        <w:t xml:space="preserve">Tužiteljica u sporu u Francuskoj povukla je tužbu. </w:t>
      </w:r>
    </w:p>
    <w:p w:rsidR="00AC0832" w:rsidRDefault="00AC0832">
      <w:pPr>
        <w:pStyle w:val="Normal6"/>
      </w:pPr>
      <w:r>
        <w:t xml:space="preserve">Tužiteljica u sporu u Velikoj Britaniji povukla je tužbu u 2013. </w:t>
      </w:r>
    </w:p>
    <w:p w:rsidR="00AC0832" w:rsidRDefault="00AC0832">
      <w:pPr>
        <w:pStyle w:val="Normal6"/>
      </w:pPr>
      <w:r>
        <w:t>Sud u Nizozemskoj donio je presudu kojom je odbio tužbeni zahtjev tužitelja radi pobijanja pravorijeka arbitražnog suda kojim je odbijen njegov zahtjev.</w:t>
      </w:r>
    </w:p>
    <w:p w:rsidR="00AC0832" w:rsidRDefault="00AC0832">
      <w:pPr>
        <w:pStyle w:val="Heading2"/>
      </w:pPr>
      <w:r>
        <w:t>11035 Državnoodvjetničko vijeće</w:t>
      </w:r>
    </w:p>
    <w:p w:rsidR="00AC0832" w:rsidRDefault="00AC0832">
      <w:pPr>
        <w:pStyle w:val="Heading4"/>
      </w:pPr>
      <w:r>
        <w:t>Uvod</w:t>
      </w:r>
    </w:p>
    <w:p w:rsidR="00AC0832" w:rsidRDefault="00AC0832">
      <w:pPr>
        <w:pStyle w:val="Normal3"/>
      </w:pPr>
      <w:r>
        <w:t>Državno odvjetničko vijeće  imenuje  državne odvjetnike i zamjenike državnih odvjetnika, vodi postupke i odlučuje o stegovnoj odgovornosti državnih odvjetnika i zamjenika državnih odvjetnika, odlučuje o razrješenju državnih odvjetnika i zamjenika državnih odvjetnika, odlučuje o davanju odobrenja za pokretanje kaznenih postupaka protiv državnih odvjetnika i zamjenika državnih dvjetnika, odlučuje o privremenim udaljenjima državnih odvjetnika i zamjenika državnih odvjetnika od obnašanja dužnosti, kao i obavljanje drugih poslova u skladu sa Zakonom.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11035-Državnoodvjetničko vijeće</w:t>
            </w:r>
          </w:p>
        </w:tc>
        <w:tc>
          <w:tcPr>
            <w:tcW w:w="2322" w:type="dxa"/>
          </w:tcPr>
          <w:p w:rsidR="00AC0832" w:rsidRDefault="00AC0832">
            <w:pPr>
              <w:pStyle w:val="CellColumn"/>
            </w:pPr>
            <w:r>
              <w:t>1.297.000</w:t>
            </w:r>
          </w:p>
        </w:tc>
        <w:tc>
          <w:tcPr>
            <w:tcW w:w="2322" w:type="dxa"/>
          </w:tcPr>
          <w:p w:rsidR="00AC0832" w:rsidRDefault="00AC0832">
            <w:pPr>
              <w:pStyle w:val="CellColumn"/>
            </w:pPr>
            <w:r>
              <w:t>1.265.000</w:t>
            </w:r>
          </w:p>
        </w:tc>
        <w:tc>
          <w:tcPr>
            <w:tcW w:w="2322" w:type="dxa"/>
          </w:tcPr>
          <w:p w:rsidR="00AC0832" w:rsidRDefault="00AC0832">
            <w:pPr>
              <w:pStyle w:val="CellColumn"/>
            </w:pPr>
            <w:r>
              <w:t>97,5</w:t>
            </w:r>
          </w:p>
        </w:tc>
      </w:tr>
      <w:tr w:rsidR="00AC0832" w:rsidTr="00BE20ED">
        <w:trPr>
          <w:jc w:val="center"/>
        </w:trPr>
        <w:tc>
          <w:tcPr>
            <w:tcW w:w="2322" w:type="dxa"/>
          </w:tcPr>
          <w:p w:rsidR="00AC0832" w:rsidRDefault="00AC0832">
            <w:pPr>
              <w:pStyle w:val="CellColumnSmall"/>
            </w:pPr>
            <w:r>
              <w:t>2802-IMENOVANJA PRAVOSUDNIH DUŽNOSNIKA</w:t>
            </w:r>
          </w:p>
        </w:tc>
        <w:tc>
          <w:tcPr>
            <w:tcW w:w="2322" w:type="dxa"/>
          </w:tcPr>
          <w:p w:rsidR="00AC0832" w:rsidRDefault="00AC0832">
            <w:pPr>
              <w:pStyle w:val="CellColumnSmall"/>
            </w:pPr>
            <w:r>
              <w:t>1.297.000</w:t>
            </w:r>
          </w:p>
        </w:tc>
        <w:tc>
          <w:tcPr>
            <w:tcW w:w="2322" w:type="dxa"/>
          </w:tcPr>
          <w:p w:rsidR="00AC0832" w:rsidRDefault="00AC0832">
            <w:pPr>
              <w:pStyle w:val="CellColumnSmall"/>
            </w:pPr>
            <w:r>
              <w:t>1.265.000</w:t>
            </w:r>
          </w:p>
        </w:tc>
        <w:tc>
          <w:tcPr>
            <w:tcW w:w="2322" w:type="dxa"/>
          </w:tcPr>
          <w:p w:rsidR="00AC0832" w:rsidRDefault="00AC0832">
            <w:pPr>
              <w:pStyle w:val="CellColumnSmall"/>
            </w:pPr>
            <w:r>
              <w:t>97,5</w:t>
            </w:r>
          </w:p>
        </w:tc>
      </w:tr>
    </w:tbl>
    <w:p w:rsidR="00AC0832" w:rsidRDefault="00AC0832">
      <w:pPr>
        <w:jc w:val="left"/>
      </w:pPr>
    </w:p>
    <w:p w:rsidR="00AC0832" w:rsidRDefault="00AC0832">
      <w:pPr>
        <w:pStyle w:val="Heading4"/>
      </w:pPr>
      <w:r>
        <w:t>OBRAZLOŽENJE PROGRAMA</w:t>
      </w:r>
    </w:p>
    <w:p w:rsidR="00AC0832" w:rsidRDefault="00AC0832">
      <w:pPr>
        <w:pStyle w:val="Heading6"/>
      </w:pPr>
      <w:r>
        <w:t>A858001 DRŽAVNO ODVJETNIČKO VIJEĆE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A858001-DRŽAVNO ODVJETNIČKO VIJEĆE</w:t>
            </w:r>
          </w:p>
        </w:tc>
        <w:tc>
          <w:tcPr>
            <w:tcW w:w="2322" w:type="dxa"/>
          </w:tcPr>
          <w:p w:rsidR="00AC0832" w:rsidRDefault="00AC0832">
            <w:pPr>
              <w:pStyle w:val="CellColumn"/>
            </w:pPr>
            <w:r>
              <w:t>1.297.000</w:t>
            </w:r>
          </w:p>
        </w:tc>
        <w:tc>
          <w:tcPr>
            <w:tcW w:w="2322" w:type="dxa"/>
          </w:tcPr>
          <w:p w:rsidR="00AC0832" w:rsidRDefault="00AC0832">
            <w:pPr>
              <w:pStyle w:val="CellColumn"/>
            </w:pPr>
            <w:r>
              <w:t>1.265.000</w:t>
            </w:r>
          </w:p>
        </w:tc>
        <w:tc>
          <w:tcPr>
            <w:tcW w:w="2322" w:type="dxa"/>
          </w:tcPr>
          <w:p w:rsidR="00AC0832" w:rsidRDefault="00AC0832">
            <w:pPr>
              <w:pStyle w:val="CellColumn"/>
            </w:pPr>
            <w:r>
              <w:t>97,5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Državnoodvjetničko vijeće je posebno tijelo nadležno za imenovanje i razrješenje zamjenika državnih odvjetnika, imenovanje i razrješenje županijskih i općinskih državnih odvjetnika, vođenje postupka i odlučivanje o stegovnoj odgovornosti zamjenika državnih odvjetnika, premještaj zamjenika državnih odvjetnika, raspisivanje izbora za članove Vijeća iz redova zamjenika državnih odvjetnika, sudjelovanje u osposobljavanju i usavršavanju državnih odvjetnika, zamjenika i državnoodvjetničkih službenika, odlučivanje o prigovoru na ocjenu, provođenje postupka upisa kandidata u Državnu školu za pravosudne dužnosnike i postupka polaganja završnog ispita, odlučivanje o prigovoru na završnu ocjenu kandidata u Državnoj školi za pravosudne dužnosnike, vođenje očevidnika državnih odvjetnika i zamjenika, vođenje i kontrola imovinskih kartica državnih odvjetnika i zamjenika državnih odvjetnika, i obavljanje drugih poslova u skladu sa zakonom.</w:t>
      </w:r>
    </w:p>
    <w:p w:rsidR="00AC0832" w:rsidRDefault="00AC0832">
      <w:pPr>
        <w:pStyle w:val="Heading2"/>
      </w:pPr>
      <w:r>
        <w:t>11036 Državno sudbeno vijeće</w:t>
      </w:r>
    </w:p>
    <w:p w:rsidR="00AC0832" w:rsidRDefault="00AC0832">
      <w:pPr>
        <w:pStyle w:val="Heading4"/>
      </w:pPr>
      <w:r>
        <w:t>Uvod</w:t>
      </w:r>
    </w:p>
    <w:p w:rsidR="00AC0832" w:rsidRDefault="00AC0832">
      <w:pPr>
        <w:pStyle w:val="Normal3"/>
      </w:pPr>
      <w:r>
        <w:t>Državno sudbeno vijeće imenuje suce, vodi  postupke i odlučuje o stegovnoj odgovornosti sudaca, odlučuje o razrješenju sudaca,odlučuje  o davanju odobrenja za pokretanje kaznenih postupaka protiv sudaca,odlučuje o privremenim udaljenjima sudaca od obnašanja dužnosti, provodi testiranje kandidata u postupku imenovanja pravosudnih dužnosnika i obavlja druge poslove u skladu sa Zakonom.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11036-Državno sudbeno vijeće</w:t>
            </w:r>
          </w:p>
        </w:tc>
        <w:tc>
          <w:tcPr>
            <w:tcW w:w="2322" w:type="dxa"/>
          </w:tcPr>
          <w:p w:rsidR="00AC0832" w:rsidRDefault="00AC0832">
            <w:pPr>
              <w:pStyle w:val="CellColumn"/>
            </w:pPr>
            <w:r>
              <w:t>1.730.900</w:t>
            </w:r>
          </w:p>
        </w:tc>
        <w:tc>
          <w:tcPr>
            <w:tcW w:w="2322" w:type="dxa"/>
          </w:tcPr>
          <w:p w:rsidR="00AC0832" w:rsidRDefault="00AC0832">
            <w:pPr>
              <w:pStyle w:val="CellColumn"/>
            </w:pPr>
            <w:r>
              <w:t>1.317.830</w:t>
            </w:r>
          </w:p>
        </w:tc>
        <w:tc>
          <w:tcPr>
            <w:tcW w:w="2322" w:type="dxa"/>
          </w:tcPr>
          <w:p w:rsidR="00AC0832" w:rsidRDefault="00AC0832">
            <w:pPr>
              <w:pStyle w:val="CellColumn"/>
            </w:pPr>
            <w:r>
              <w:t>76,1</w:t>
            </w:r>
          </w:p>
        </w:tc>
      </w:tr>
      <w:tr w:rsidR="00AC0832" w:rsidTr="00BE20ED">
        <w:trPr>
          <w:jc w:val="center"/>
        </w:trPr>
        <w:tc>
          <w:tcPr>
            <w:tcW w:w="2322" w:type="dxa"/>
          </w:tcPr>
          <w:p w:rsidR="00AC0832" w:rsidRDefault="00AC0832">
            <w:pPr>
              <w:pStyle w:val="CellColumnSmall"/>
            </w:pPr>
            <w:r>
              <w:t>2802-IMENOVANJA PRAVOSUDNIH DUŽNOSNIKA</w:t>
            </w:r>
          </w:p>
        </w:tc>
        <w:tc>
          <w:tcPr>
            <w:tcW w:w="2322" w:type="dxa"/>
          </w:tcPr>
          <w:p w:rsidR="00AC0832" w:rsidRDefault="00AC0832">
            <w:pPr>
              <w:pStyle w:val="CellColumnSmall"/>
            </w:pPr>
            <w:r>
              <w:t>1.730.900</w:t>
            </w:r>
          </w:p>
        </w:tc>
        <w:tc>
          <w:tcPr>
            <w:tcW w:w="2322" w:type="dxa"/>
          </w:tcPr>
          <w:p w:rsidR="00AC0832" w:rsidRDefault="00AC0832">
            <w:pPr>
              <w:pStyle w:val="CellColumnSmall"/>
            </w:pPr>
            <w:r>
              <w:t>1.317.830</w:t>
            </w:r>
          </w:p>
        </w:tc>
        <w:tc>
          <w:tcPr>
            <w:tcW w:w="2322" w:type="dxa"/>
          </w:tcPr>
          <w:p w:rsidR="00AC0832" w:rsidRDefault="00AC0832">
            <w:pPr>
              <w:pStyle w:val="CellColumnSmall"/>
            </w:pPr>
            <w:r>
              <w:t>76,1</w:t>
            </w:r>
          </w:p>
        </w:tc>
      </w:tr>
    </w:tbl>
    <w:p w:rsidR="00AC0832" w:rsidRDefault="00AC0832">
      <w:pPr>
        <w:jc w:val="left"/>
      </w:pPr>
    </w:p>
    <w:p w:rsidR="00AC0832" w:rsidRDefault="00AC0832">
      <w:pPr>
        <w:pStyle w:val="Heading4"/>
      </w:pPr>
      <w:r>
        <w:t>OBRAZLOŽENJE PROGRAMA</w:t>
      </w:r>
    </w:p>
    <w:p w:rsidR="00AC0832" w:rsidRDefault="00AC0832">
      <w:pPr>
        <w:pStyle w:val="Heading5"/>
      </w:pPr>
      <w:r>
        <w:t>2802 IMENOVANJA PRAVOSUDNIH DUŽNOSNIKA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2802-IMENOVANJA PRAVOSUDNIH DUŽNOSNIKA</w:t>
            </w:r>
          </w:p>
        </w:tc>
        <w:tc>
          <w:tcPr>
            <w:tcW w:w="2322" w:type="dxa"/>
          </w:tcPr>
          <w:p w:rsidR="00AC0832" w:rsidRDefault="00AC0832">
            <w:pPr>
              <w:pStyle w:val="CellColumn"/>
            </w:pPr>
            <w:r>
              <w:t>1.730.900</w:t>
            </w:r>
          </w:p>
        </w:tc>
        <w:tc>
          <w:tcPr>
            <w:tcW w:w="2322" w:type="dxa"/>
          </w:tcPr>
          <w:p w:rsidR="00AC0832" w:rsidRDefault="00AC0832">
            <w:pPr>
              <w:pStyle w:val="CellColumn"/>
            </w:pPr>
            <w:r>
              <w:t>1.317.830</w:t>
            </w:r>
          </w:p>
        </w:tc>
        <w:tc>
          <w:tcPr>
            <w:tcW w:w="2322" w:type="dxa"/>
          </w:tcPr>
          <w:p w:rsidR="00AC0832" w:rsidRDefault="00AC0832">
            <w:pPr>
              <w:pStyle w:val="CellColumn"/>
            </w:pPr>
            <w:r>
              <w:t>76,1</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 Imenovanja pravosudnih dužnosnika provodi se preko Državnog sudbenog vijeća i Državnog odvjetničkog vijeća što obuhvaća: imenovanja Pravosudnih dužnosnika, vođenje postupaka i odlučivanje o stegovnoj odgovornosti Pravosudnih dužnosnika, odlučivanja o razrješenju pravosudnih dužnosnika, odlučivanja o davanju odobrenja za pokretanje kaznenih postupaka protiv pravosudnih dužnosnika, odlučivanja o privremenim udaljenjima pravosudnih dužnosnika od obnašanja dužnosti, provođenje testiranja kanditata u postupku imenovanja pravosudnih dužnosnika i obavljanje drugih poslova u skladu sa Zakonom. </w:t>
      </w:r>
    </w:p>
    <w:p w:rsidR="00AC0832" w:rsidRDefault="00AC0832">
      <w:pPr>
        <w:pStyle w:val="Normal5"/>
      </w:pPr>
      <w:r>
        <w:t>Važnije aktivnosti unutar programa su Državno sudbeno vijeće i Državno odvjetničko vijeće.</w:t>
      </w:r>
    </w:p>
    <w:p w:rsidR="00AC0832" w:rsidRDefault="00AC0832">
      <w:pPr>
        <w:pStyle w:val="Heading6"/>
      </w:pPr>
      <w:r>
        <w:t>Zakonske i druge pravne osnove</w:t>
      </w:r>
    </w:p>
    <w:p w:rsidR="00AC0832" w:rsidRDefault="00AC0832">
      <w:pPr>
        <w:pStyle w:val="Normal5"/>
      </w:pPr>
      <w:r>
        <w:t>Zakon o Državnom sudbenom vijeću („Narodne novine“ broj 58/93, 49/99 i 129/00) i Zakon o državnom odvjetništvu („Narodne novine“ broj 51/01.).</w:t>
      </w:r>
    </w:p>
    <w:p w:rsidR="00AC0832" w:rsidRDefault="00AC0832">
      <w:pPr>
        <w:pStyle w:val="Heading6"/>
      </w:pPr>
      <w:r>
        <w:t>A859001 DRŽAVNO SUDBENO VIJEĆE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A859001-DRŽAVNO SUDBENO VIJEĆE</w:t>
            </w:r>
          </w:p>
        </w:tc>
        <w:tc>
          <w:tcPr>
            <w:tcW w:w="2322" w:type="dxa"/>
          </w:tcPr>
          <w:p w:rsidR="00AC0832" w:rsidRDefault="00AC0832">
            <w:pPr>
              <w:pStyle w:val="CellColumn"/>
            </w:pPr>
            <w:r>
              <w:t>1.730.900</w:t>
            </w:r>
          </w:p>
        </w:tc>
        <w:tc>
          <w:tcPr>
            <w:tcW w:w="2322" w:type="dxa"/>
          </w:tcPr>
          <w:p w:rsidR="00AC0832" w:rsidRDefault="00AC0832">
            <w:pPr>
              <w:pStyle w:val="CellColumn"/>
            </w:pPr>
            <w:r>
              <w:t>1.317.830</w:t>
            </w:r>
          </w:p>
        </w:tc>
        <w:tc>
          <w:tcPr>
            <w:tcW w:w="2322" w:type="dxa"/>
          </w:tcPr>
          <w:p w:rsidR="00AC0832" w:rsidRDefault="00AC0832">
            <w:pPr>
              <w:pStyle w:val="CellColumn"/>
            </w:pPr>
            <w:r>
              <w:t>76,1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Imenovanje sudaca, imenovanje i razrješenje predsjednika sudova, odlučivanje o premještaju sudaca, vođenje stegovnog postupka i odlučivanje o stegovnoj odgovornosti sudaca, odlučivanje o razrješenju sudaca, sudjelovanje u osposobljavanju i usavršavanju sudaca i sudskih službenika, provođenje postupka upisa kandidata u Državnu školu za pravosudne dužnosnike i postupka polaganja završnog ispita, donošenje Metodologije izrade ocjene sudaca, vođenje osobnih očevidnika sudaca te provođenje i kontrola imovinskih kartica, ispunjavanje obveza u skladu s odredbama Zakona o državnom sudbenom vijeću. </w:t>
      </w:r>
    </w:p>
    <w:p w:rsidR="00AC0832" w:rsidRDefault="00AC0832">
      <w:pPr>
        <w:pStyle w:val="Normal6"/>
      </w:pPr>
      <w:r>
        <w:t xml:space="preserve">Tijekom 2012. godine obavljeno je sljedeće: </w:t>
      </w:r>
    </w:p>
    <w:p w:rsidR="00AC0832" w:rsidRDefault="00AC0832">
      <w:pPr>
        <w:pStyle w:val="Normal6"/>
      </w:pPr>
      <w:r>
        <w:t>-</w:t>
      </w:r>
      <w:r>
        <w:tab/>
        <w:t xml:space="preserve">Provedeno pismeno testiranje kandidata za suce Županijskog suda u Zagrebu – Stalna služba u Zlataru, Karlovcu, Rijeci i Splitu (4 kandidata), Trgovačkog suda u Zagrebu, Varaždinu, Splitu i Rijeci (99 kandidata), Upravnog suda u Osijeku, Rijeci i Splitu (111 kandidata), Općinskog suda u Sesvetama, Zlataru, Benkovcu, Zadru, Gospiću, Dubrovniku, Krku, Puli, Metkoviću, Korčuli i Općinskom građanskom sudu u Zagrebu (123 kandidata) te Prekršajnog suda u Gospiću, Kutini, Sisku i Pagu (25 kandidata) </w:t>
      </w:r>
    </w:p>
    <w:p w:rsidR="00AC0832" w:rsidRDefault="00AC0832">
      <w:pPr>
        <w:pStyle w:val="Normal6"/>
      </w:pPr>
      <w:r>
        <w:t>-</w:t>
      </w:r>
      <w:r>
        <w:tab/>
        <w:t xml:space="preserve">Provedeno testiranje kandidata za upis u III generaciju polaznika Državne škole za pravosudne dužnosnike (27 kandidata) </w:t>
      </w:r>
    </w:p>
    <w:p w:rsidR="00AC0832" w:rsidRDefault="00AC0832">
      <w:pPr>
        <w:pStyle w:val="Normal6"/>
      </w:pPr>
      <w:r>
        <w:t>-</w:t>
      </w:r>
      <w:r>
        <w:tab/>
        <w:t xml:space="preserve">Imenovano 40 predsjednika (proveden razgovor sa 76 kandidata za predsjednike sudova) te donesene 3 odluke o razrješenju predsjednika sudova </w:t>
      </w:r>
    </w:p>
    <w:p w:rsidR="00AC0832" w:rsidRDefault="00AC0832">
      <w:pPr>
        <w:pStyle w:val="Normal6"/>
      </w:pPr>
      <w:r>
        <w:t>-</w:t>
      </w:r>
      <w:r>
        <w:tab/>
        <w:t xml:space="preserve">Imenovano 63 suca (proveden razgovor sa 331 kandidatom za suce) </w:t>
      </w:r>
    </w:p>
    <w:p w:rsidR="00AC0832" w:rsidRDefault="00AC0832">
      <w:pPr>
        <w:pStyle w:val="Normal6"/>
      </w:pPr>
      <w:r>
        <w:t>-</w:t>
      </w:r>
      <w:r>
        <w:tab/>
        <w:t xml:space="preserve">Proveden razgovor s 33 kandidata za Državnu školu za pravosudne dužnosnike (20 kandidata imenovano za II generaciju polaznika DŠ) </w:t>
      </w:r>
    </w:p>
    <w:p w:rsidR="00AC0832" w:rsidRDefault="00AC0832">
      <w:pPr>
        <w:pStyle w:val="Normal6"/>
      </w:pPr>
      <w:r>
        <w:t>-</w:t>
      </w:r>
      <w:r>
        <w:tab/>
        <w:t xml:space="preserve">Provedeno 46 stegovnih ročišta, doneseno 27 odluka o stegovnoj odgovornosti: ( 3 novčane kazne, 4 uvjetna razrješenja, 2 razrješenja, 1 oslobađajuća odluka, 20 ukora, 6 obustava postupka, 1 zahtjev odbijen) </w:t>
      </w:r>
    </w:p>
    <w:p w:rsidR="00AC0832" w:rsidRDefault="00AC0832">
      <w:pPr>
        <w:pStyle w:val="Normal6"/>
      </w:pPr>
      <w:r>
        <w:t>-</w:t>
      </w:r>
      <w:r>
        <w:tab/>
        <w:t xml:space="preserve">DSV donijelo odluke o razrješenju 44 suca </w:t>
      </w:r>
    </w:p>
    <w:p w:rsidR="00AC0832" w:rsidRDefault="00AC0832">
      <w:pPr>
        <w:pStyle w:val="Normal6"/>
      </w:pPr>
      <w:r>
        <w:t>-</w:t>
      </w:r>
      <w:r>
        <w:tab/>
        <w:t xml:space="preserve">U 16 predmeta DSV je odlučivalo o skidanju imuniteta sucima </w:t>
      </w:r>
    </w:p>
    <w:p w:rsidR="00AC0832" w:rsidRDefault="00AC0832">
      <w:pPr>
        <w:pStyle w:val="Normal6"/>
      </w:pPr>
      <w:r>
        <w:t>-</w:t>
      </w:r>
      <w:r>
        <w:tab/>
        <w:t xml:space="preserve">DSV donijelo Metodologiju izrade ocjene sudaca </w:t>
      </w:r>
    </w:p>
    <w:p w:rsidR="00AC0832" w:rsidRDefault="00AC0832">
      <w:pPr>
        <w:pStyle w:val="Normal6"/>
      </w:pPr>
      <w:r>
        <w:t>-</w:t>
      </w:r>
      <w:r>
        <w:tab/>
        <w:t xml:space="preserve">DSV privremeno uputilo 22 suca na druge sudove te donijelo odluke od 48 trajnih premještaja sudaca </w:t>
      </w:r>
    </w:p>
    <w:p w:rsidR="00AC0832" w:rsidRDefault="00AC0832">
      <w:pPr>
        <w:pStyle w:val="Normal6"/>
      </w:pPr>
      <w:r>
        <w:t>-</w:t>
      </w:r>
      <w:r>
        <w:tab/>
        <w:t>Svi suci u RH dostavili su tijekom 2012. imovinske kartice koje su pregledane, a posebno je zatraženo dopuna od 953 suca</w:t>
      </w:r>
    </w:p>
    <w:p w:rsidR="00AC0832" w:rsidRDefault="00AC0832">
      <w:pPr>
        <w:pStyle w:val="Heading2"/>
      </w:pPr>
      <w:r>
        <w:t>11040 Visoki prekršajni sud Republike Hrvatske</w:t>
      </w:r>
    </w:p>
    <w:p w:rsidR="00AC0832" w:rsidRDefault="00AC0832">
      <w:pPr>
        <w:pStyle w:val="Heading4"/>
      </w:pPr>
      <w:r>
        <w:t>Uvod</w:t>
      </w:r>
    </w:p>
    <w:p w:rsidR="00AC0832" w:rsidRDefault="00AC0832">
      <w:pPr>
        <w:pStyle w:val="Normal3"/>
      </w:pPr>
      <w:r>
        <w:t>Visoki prekršajni sud Republike Hrvatske je uspostavljen temeljem Zakona o sudovima i Zakona o prekršajima kao specijalizirani sud za područje Republike Hrvatske sa sjedištem u Zagrebu. Visoki prekršajni sud odlučuje o žalbama protiv prvostupanjskih rješenja o prekršaju koja su donijeli sudovi i upravna tijela, kao i o žalbama protiv drugih rješenja sudova i upravnih tijela kada je to propisano Zakonom, osim ako posebnim zakonom nije određena nadležnost nekoga drugog suda; rješava sukob nadležnosti između sudova; odlučuje o zahtjevima za izuzećem predsjednika sudova; odlučuje o zahtjevima za izvanredno ublažavanje kazne i o zahtjevima za izvanredno preispitivanje pravomoćnih rješenja o prekršaju te obavlja druge poslove određene Zakonom.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11040-Visoki prekršajni sud Republike Hrvatske</w:t>
            </w:r>
          </w:p>
        </w:tc>
        <w:tc>
          <w:tcPr>
            <w:tcW w:w="2322" w:type="dxa"/>
          </w:tcPr>
          <w:p w:rsidR="00AC0832" w:rsidRDefault="00AC0832">
            <w:pPr>
              <w:pStyle w:val="CellColumn"/>
            </w:pPr>
            <w:r>
              <w:t>25.164.100</w:t>
            </w:r>
          </w:p>
        </w:tc>
        <w:tc>
          <w:tcPr>
            <w:tcW w:w="2322" w:type="dxa"/>
          </w:tcPr>
          <w:p w:rsidR="00AC0832" w:rsidRDefault="00AC0832">
            <w:pPr>
              <w:pStyle w:val="CellColumn"/>
            </w:pPr>
            <w:r>
              <w:t>25.075.396</w:t>
            </w:r>
          </w:p>
        </w:tc>
        <w:tc>
          <w:tcPr>
            <w:tcW w:w="2322" w:type="dxa"/>
          </w:tcPr>
          <w:p w:rsidR="00AC0832" w:rsidRDefault="00AC0832">
            <w:pPr>
              <w:pStyle w:val="CellColumn"/>
            </w:pPr>
            <w:r>
              <w:t>99,6</w:t>
            </w:r>
          </w:p>
        </w:tc>
      </w:tr>
      <w:tr w:rsidR="00AC0832" w:rsidTr="00BE20ED">
        <w:trPr>
          <w:jc w:val="center"/>
        </w:trPr>
        <w:tc>
          <w:tcPr>
            <w:tcW w:w="2322" w:type="dxa"/>
          </w:tcPr>
          <w:p w:rsidR="00AC0832" w:rsidRDefault="00AC0832">
            <w:pPr>
              <w:pStyle w:val="CellColumnSmall"/>
            </w:pPr>
            <w:r>
              <w:t>2803-VOĐENJE SUDSKIH POSTUPAKA</w:t>
            </w:r>
          </w:p>
        </w:tc>
        <w:tc>
          <w:tcPr>
            <w:tcW w:w="2322" w:type="dxa"/>
          </w:tcPr>
          <w:p w:rsidR="00AC0832" w:rsidRDefault="00AC0832">
            <w:pPr>
              <w:pStyle w:val="CellColumnSmall"/>
            </w:pPr>
            <w:r>
              <w:t>25.164.100</w:t>
            </w:r>
          </w:p>
        </w:tc>
        <w:tc>
          <w:tcPr>
            <w:tcW w:w="2322" w:type="dxa"/>
          </w:tcPr>
          <w:p w:rsidR="00AC0832" w:rsidRDefault="00AC0832">
            <w:pPr>
              <w:pStyle w:val="CellColumnSmall"/>
            </w:pPr>
            <w:r>
              <w:t>25.075.396</w:t>
            </w:r>
          </w:p>
        </w:tc>
        <w:tc>
          <w:tcPr>
            <w:tcW w:w="2322" w:type="dxa"/>
          </w:tcPr>
          <w:p w:rsidR="00AC0832" w:rsidRDefault="00AC0832">
            <w:pPr>
              <w:pStyle w:val="CellColumnSmall"/>
            </w:pPr>
            <w:r>
              <w:t>99,6</w:t>
            </w:r>
          </w:p>
        </w:tc>
      </w:tr>
    </w:tbl>
    <w:p w:rsidR="00AC0832" w:rsidRDefault="00AC0832">
      <w:pPr>
        <w:jc w:val="left"/>
      </w:pPr>
    </w:p>
    <w:p w:rsidR="00AC0832" w:rsidRDefault="00AC0832">
      <w:pPr>
        <w:pStyle w:val="Heading4"/>
      </w:pPr>
      <w:r>
        <w:t>OBRAZLOŽENJE PROGRAMA</w:t>
      </w:r>
    </w:p>
    <w:p w:rsidR="00AC0832" w:rsidRDefault="00AC0832">
      <w:pPr>
        <w:pStyle w:val="Heading5"/>
      </w:pPr>
      <w:r>
        <w:t>2803 VOĐENJE SUDSKIH POSTUPAKA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2803-VOĐENJE SUDSKIH POSTUPAKA</w:t>
            </w:r>
          </w:p>
        </w:tc>
        <w:tc>
          <w:tcPr>
            <w:tcW w:w="2322" w:type="dxa"/>
          </w:tcPr>
          <w:p w:rsidR="00AC0832" w:rsidRDefault="00AC0832">
            <w:pPr>
              <w:pStyle w:val="CellColumn"/>
            </w:pPr>
            <w:r>
              <w:t>25.164.100</w:t>
            </w:r>
          </w:p>
        </w:tc>
        <w:tc>
          <w:tcPr>
            <w:tcW w:w="2322" w:type="dxa"/>
          </w:tcPr>
          <w:p w:rsidR="00AC0832" w:rsidRDefault="00AC0832">
            <w:pPr>
              <w:pStyle w:val="CellColumn"/>
            </w:pPr>
            <w:r>
              <w:t>25.075.396</w:t>
            </w:r>
          </w:p>
        </w:tc>
        <w:tc>
          <w:tcPr>
            <w:tcW w:w="2322" w:type="dxa"/>
          </w:tcPr>
          <w:p w:rsidR="00AC0832" w:rsidRDefault="00AC0832">
            <w:pPr>
              <w:pStyle w:val="CellColumn"/>
            </w:pPr>
            <w:r>
              <w:t>99,6</w:t>
            </w:r>
          </w:p>
        </w:tc>
      </w:tr>
    </w:tbl>
    <w:p w:rsidR="00AC0832" w:rsidRDefault="00AC0832">
      <w:pPr>
        <w:jc w:val="left"/>
      </w:pPr>
    </w:p>
    <w:p w:rsidR="00AC0832" w:rsidRDefault="00AC0832">
      <w:pPr>
        <w:pStyle w:val="Heading6"/>
      </w:pPr>
      <w:r>
        <w:t>Opis programa</w:t>
      </w:r>
    </w:p>
    <w:p w:rsidR="00AC0832" w:rsidRDefault="00AC0832">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prekršajni sud RH, Upravni sud RH,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Republike Hrvatske, Visokog prekršajnog suda Republike Hrvatske,upravnih sudova, županijskih sudova, trgovačkih sudova, općinskih sudova i prekršajnih sudova.</w:t>
      </w:r>
    </w:p>
    <w:p w:rsidR="00AC0832" w:rsidRDefault="00AC0832">
      <w:pPr>
        <w:pStyle w:val="Heading6"/>
      </w:pPr>
      <w:r>
        <w:t>Zakonske i druge pravne osnove</w:t>
      </w:r>
    </w:p>
    <w:p w:rsidR="00AC0832" w:rsidRDefault="00AC0832">
      <w:pPr>
        <w:pStyle w:val="Normal5"/>
      </w:pPr>
      <w:r>
        <w:t>Zakon o sudovima („Narodne novine“, broj 150/05, 16/07, 113/08, 153/09 i 116/10, 27/11, 130/11 i 28/13), Zakon o područjima i sjedištima sudova („Narodne novine“, broj 85/08, 144/10 i 84/11) i Zakon o područjima i sjedištima prekršajnih sudova "Narodne novine" broj 137/09).</w:t>
      </w:r>
    </w:p>
    <w:p w:rsidR="00AC0832" w:rsidRDefault="00AC0832">
      <w:pPr>
        <w:pStyle w:val="Heading7"/>
      </w:pPr>
      <w:r>
        <w:t xml:space="preserve">Cilj 1. Jedinstvena primjena zakona i ravnopravnost građana te jednakost svih pred zakonom. </w:t>
      </w:r>
    </w:p>
    <w:p w:rsidR="00AC0832" w:rsidRDefault="00AC0832">
      <w:pPr>
        <w:pStyle w:val="Heading8"/>
        <w:jc w:val="left"/>
      </w:pPr>
      <w:r>
        <w:t>Opis provedbe cilja programa</w:t>
      </w:r>
    </w:p>
    <w:p w:rsidR="00AC0832" w:rsidRDefault="00AC0832">
      <w:pPr>
        <w:pStyle w:val="Heading6"/>
      </w:pPr>
      <w:r>
        <w:t>A637000 VOĐENJE SUDSKIH POSTUPAKA IZ NADLEŽNOSTI VISOKOG PREKRŠAJNOG SUDA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A637000-VOĐENJE SUDSKIH POSTUPAKA IZ NADLEŽNOSTI VISOKOG PREKRŠAJNOG SUDA RH</w:t>
            </w:r>
          </w:p>
        </w:tc>
        <w:tc>
          <w:tcPr>
            <w:tcW w:w="2322" w:type="dxa"/>
          </w:tcPr>
          <w:p w:rsidR="00AC0832" w:rsidRDefault="00AC0832">
            <w:pPr>
              <w:pStyle w:val="CellColumn"/>
            </w:pPr>
            <w:r>
              <w:t>25.164.100</w:t>
            </w:r>
          </w:p>
        </w:tc>
        <w:tc>
          <w:tcPr>
            <w:tcW w:w="2322" w:type="dxa"/>
          </w:tcPr>
          <w:p w:rsidR="00AC0832" w:rsidRDefault="00AC0832">
            <w:pPr>
              <w:pStyle w:val="CellColumn"/>
            </w:pPr>
            <w:r>
              <w:t>25.075.396</w:t>
            </w:r>
          </w:p>
        </w:tc>
        <w:tc>
          <w:tcPr>
            <w:tcW w:w="2322" w:type="dxa"/>
          </w:tcPr>
          <w:p w:rsidR="00AC0832" w:rsidRDefault="00AC0832">
            <w:pPr>
              <w:pStyle w:val="CellColumn"/>
            </w:pPr>
            <w:r>
              <w:t>99,6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Visoki prekršajni sud Republike Hrvatske je uspostavljen temeljem Zakona o sudovima i </w:t>
      </w:r>
    </w:p>
    <w:p w:rsidR="00AC0832" w:rsidRDefault="00AC0832">
      <w:pPr>
        <w:pStyle w:val="Normal6"/>
      </w:pPr>
      <w:r>
        <w:t xml:space="preserve">Zakona o prekršajima kao specijalizirani sud za područje RH sa sjedištem u Zagrebu. </w:t>
      </w:r>
    </w:p>
    <w:p w:rsidR="00AC0832" w:rsidRDefault="00AC0832">
      <w:pPr>
        <w:pStyle w:val="Normal6"/>
      </w:pPr>
      <w:r>
        <w:t>Tijekom 2012. godine Visoki prekršajni  sud  RH zaprimio je ukupno 44.661 predmet, riješio 32.313 predmeta, a ostalo je ukupno neriješeno 70.466 predmeta</w:t>
      </w:r>
    </w:p>
    <w:p w:rsidR="00AC0832" w:rsidRDefault="00AC0832">
      <w:pPr>
        <w:pStyle w:val="Heading2"/>
      </w:pPr>
      <w:r>
        <w:t>11045 Županijski sudovi</w:t>
      </w:r>
    </w:p>
    <w:p w:rsidR="00AC0832" w:rsidRDefault="00AC0832">
      <w:pPr>
        <w:pStyle w:val="Heading4"/>
      </w:pPr>
      <w:r>
        <w:t>Uvod</w:t>
      </w:r>
    </w:p>
    <w:p w:rsidR="00AC0832" w:rsidRDefault="00AC0832">
      <w:pPr>
        <w:pStyle w:val="Normal3"/>
      </w:pPr>
      <w:r>
        <w:t>Glava 11045 – Županijski sudovi obuhvaća 15 Županijskih sudova čiji je djelokrug rada propisan Zakonom o sudovima, te drugim zakonima i programima, a ustrojavaju se kao redovni sudovi za područje jedne ili više županija. Županijski sudovi su nadležni za drugostupanjski sudski postupak nakon odluke Općinskog suda ali i za zaštitu od nezakonitih radnji i odluka donesenih od strane službenih osoba i tijela državne vlasti, odnosno nezakonitih radnji i odluke odgovornih osoba u trgovačkom društvu u prvom stupnju.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11045-Županijski sudovi</w:t>
            </w:r>
          </w:p>
        </w:tc>
        <w:tc>
          <w:tcPr>
            <w:tcW w:w="2322" w:type="dxa"/>
          </w:tcPr>
          <w:p w:rsidR="00AC0832" w:rsidRDefault="00AC0832">
            <w:pPr>
              <w:pStyle w:val="CellColumn"/>
            </w:pPr>
            <w:r>
              <w:t>276.984.000</w:t>
            </w:r>
          </w:p>
        </w:tc>
        <w:tc>
          <w:tcPr>
            <w:tcW w:w="2322" w:type="dxa"/>
          </w:tcPr>
          <w:p w:rsidR="00AC0832" w:rsidRDefault="00AC0832">
            <w:pPr>
              <w:pStyle w:val="CellColumn"/>
            </w:pPr>
            <w:r>
              <w:t>276.364.911</w:t>
            </w:r>
          </w:p>
        </w:tc>
        <w:tc>
          <w:tcPr>
            <w:tcW w:w="2322" w:type="dxa"/>
          </w:tcPr>
          <w:p w:rsidR="00AC0832" w:rsidRDefault="00AC0832">
            <w:pPr>
              <w:pStyle w:val="CellColumn"/>
            </w:pPr>
            <w:r>
              <w:t>99,8</w:t>
            </w:r>
          </w:p>
        </w:tc>
      </w:tr>
      <w:tr w:rsidR="00AC0832" w:rsidTr="00BE20ED">
        <w:trPr>
          <w:jc w:val="center"/>
        </w:trPr>
        <w:tc>
          <w:tcPr>
            <w:tcW w:w="2322" w:type="dxa"/>
          </w:tcPr>
          <w:p w:rsidR="00AC0832" w:rsidRDefault="00AC0832">
            <w:pPr>
              <w:pStyle w:val="CellColumnSmall"/>
            </w:pPr>
            <w:r>
              <w:t>2803-VOĐENJE SUDSKIH POSTUPAKA</w:t>
            </w:r>
          </w:p>
        </w:tc>
        <w:tc>
          <w:tcPr>
            <w:tcW w:w="2322" w:type="dxa"/>
          </w:tcPr>
          <w:p w:rsidR="00AC0832" w:rsidRDefault="00AC0832">
            <w:pPr>
              <w:pStyle w:val="CellColumnSmall"/>
            </w:pPr>
            <w:r>
              <w:t>276.984.000</w:t>
            </w:r>
          </w:p>
        </w:tc>
        <w:tc>
          <w:tcPr>
            <w:tcW w:w="2322" w:type="dxa"/>
          </w:tcPr>
          <w:p w:rsidR="00AC0832" w:rsidRDefault="00AC0832">
            <w:pPr>
              <w:pStyle w:val="CellColumnSmall"/>
            </w:pPr>
            <w:r>
              <w:t>276.364.911</w:t>
            </w:r>
          </w:p>
        </w:tc>
        <w:tc>
          <w:tcPr>
            <w:tcW w:w="2322" w:type="dxa"/>
          </w:tcPr>
          <w:p w:rsidR="00AC0832" w:rsidRDefault="00AC0832">
            <w:pPr>
              <w:pStyle w:val="CellColumnSmall"/>
            </w:pPr>
            <w:r>
              <w:t>99,8</w:t>
            </w:r>
          </w:p>
        </w:tc>
      </w:tr>
    </w:tbl>
    <w:p w:rsidR="00AC0832" w:rsidRDefault="00AC0832">
      <w:pPr>
        <w:jc w:val="left"/>
      </w:pPr>
    </w:p>
    <w:p w:rsidR="00AC0832" w:rsidRDefault="00AC0832">
      <w:pPr>
        <w:pStyle w:val="Heading4"/>
      </w:pPr>
      <w:r>
        <w:t>OBRAZLOŽENJE PROGRAMA</w:t>
      </w:r>
    </w:p>
    <w:p w:rsidR="00AC0832" w:rsidRDefault="00AC0832">
      <w:pPr>
        <w:pStyle w:val="Heading5"/>
      </w:pPr>
      <w:r>
        <w:t>2803 VOĐENJE SUDSKIH POSTUPAKA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2803-VOĐENJE SUDSKIH POSTUPAKA</w:t>
            </w:r>
          </w:p>
        </w:tc>
        <w:tc>
          <w:tcPr>
            <w:tcW w:w="2322" w:type="dxa"/>
          </w:tcPr>
          <w:p w:rsidR="00AC0832" w:rsidRDefault="00AC0832">
            <w:pPr>
              <w:pStyle w:val="CellColumn"/>
            </w:pPr>
            <w:r>
              <w:t>276.984.000</w:t>
            </w:r>
          </w:p>
        </w:tc>
        <w:tc>
          <w:tcPr>
            <w:tcW w:w="2322" w:type="dxa"/>
          </w:tcPr>
          <w:p w:rsidR="00AC0832" w:rsidRDefault="00AC0832">
            <w:pPr>
              <w:pStyle w:val="CellColumn"/>
            </w:pPr>
            <w:r>
              <w:t>276.364.911</w:t>
            </w:r>
          </w:p>
        </w:tc>
        <w:tc>
          <w:tcPr>
            <w:tcW w:w="2322" w:type="dxa"/>
          </w:tcPr>
          <w:p w:rsidR="00AC0832" w:rsidRDefault="00AC0832">
            <w:pPr>
              <w:pStyle w:val="CellColumn"/>
            </w:pPr>
            <w:r>
              <w:t>99,8</w:t>
            </w:r>
          </w:p>
        </w:tc>
      </w:tr>
    </w:tbl>
    <w:p w:rsidR="00AC0832" w:rsidRDefault="00AC0832">
      <w:pPr>
        <w:jc w:val="left"/>
      </w:pPr>
    </w:p>
    <w:p w:rsidR="00AC0832" w:rsidRDefault="00AC0832">
      <w:pPr>
        <w:pStyle w:val="Heading6"/>
      </w:pPr>
      <w:r>
        <w:t>Opis programa</w:t>
      </w:r>
    </w:p>
    <w:p w:rsidR="00AC0832" w:rsidRDefault="00AC0832">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prekršajni sud RH, Visoki upravni sud RH, upravni sudovi,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Republike Hrvatske, Visokog prekršajnog suda Republike Hrvatske, upravnih sudova, županijskih sudova, trgovačkih sudova, općinskih sudova i prekršajnih sudova.</w:t>
      </w:r>
    </w:p>
    <w:p w:rsidR="00AC0832" w:rsidRDefault="00AC0832">
      <w:pPr>
        <w:pStyle w:val="Heading6"/>
      </w:pPr>
      <w:r>
        <w:t>Zakonske i druge pravne osnove</w:t>
      </w:r>
    </w:p>
    <w:p w:rsidR="00AC0832" w:rsidRDefault="00AC0832">
      <w:pPr>
        <w:pStyle w:val="Normal5"/>
      </w:pPr>
      <w:r>
        <w:t>Zakon o sudovima („Narodne novine“, broj 150/05, 16/07, 113/08, 153/09 i 116/10, 27/11, 130/11 i 28/13), Zakon o područjima i sjedištima sudova („Narodne novine“, broj 85/08, 144/10 i 84/11) i Zakon o područjima i sjedištima prekršajnih sudova "Narodne novine" broj 137/09).</w:t>
      </w:r>
    </w:p>
    <w:p w:rsidR="00AC0832" w:rsidRDefault="00AC0832">
      <w:pPr>
        <w:pStyle w:val="Heading7"/>
      </w:pPr>
      <w:r>
        <w:t xml:space="preserve">Cilj 1. Jedinstvena primjena zakona i ravnopravnost građana te jednakost svih pred zakonom. </w:t>
      </w:r>
    </w:p>
    <w:p w:rsidR="00AC0832" w:rsidRDefault="00AC0832">
      <w:pPr>
        <w:pStyle w:val="Heading8"/>
        <w:jc w:val="left"/>
      </w:pPr>
      <w:r>
        <w:t>Opis provedbe cilja programa</w:t>
      </w:r>
    </w:p>
    <w:p w:rsidR="00AC0832" w:rsidRDefault="00AC0832">
      <w:pPr>
        <w:pStyle w:val="Heading6"/>
      </w:pPr>
      <w:r>
        <w:t>A638000 VOĐENJE SUDSKIH POSTUPAKA IZ NADLEŽNOSTI ŽUPANIJSKIH SUDOVA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A638000-VOĐENJE SUDSKIH POSTUPAKA IZ NADLEŽNOSTI ŽUPANIJSKIH SUDOVA</w:t>
            </w:r>
          </w:p>
        </w:tc>
        <w:tc>
          <w:tcPr>
            <w:tcW w:w="2322" w:type="dxa"/>
          </w:tcPr>
          <w:p w:rsidR="00AC0832" w:rsidRDefault="00AC0832">
            <w:pPr>
              <w:pStyle w:val="CellColumn"/>
            </w:pPr>
            <w:r>
              <w:t>276.984.000</w:t>
            </w:r>
          </w:p>
        </w:tc>
        <w:tc>
          <w:tcPr>
            <w:tcW w:w="2322" w:type="dxa"/>
          </w:tcPr>
          <w:p w:rsidR="00AC0832" w:rsidRDefault="00AC0832">
            <w:pPr>
              <w:pStyle w:val="CellColumn"/>
            </w:pPr>
            <w:r>
              <w:t>276.364.911</w:t>
            </w:r>
          </w:p>
        </w:tc>
        <w:tc>
          <w:tcPr>
            <w:tcW w:w="2322" w:type="dxa"/>
          </w:tcPr>
          <w:p w:rsidR="00AC0832" w:rsidRDefault="00AC0832">
            <w:pPr>
              <w:pStyle w:val="CellColumn"/>
            </w:pPr>
            <w:r>
              <w:t>99,8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Županijski sudovi su nadležni za drugostupanjski sudski postupak nakon odluke </w:t>
      </w:r>
    </w:p>
    <w:p w:rsidR="00AC0832" w:rsidRDefault="00AC0832">
      <w:pPr>
        <w:pStyle w:val="Normal6"/>
      </w:pPr>
      <w:r>
        <w:t xml:space="preserve">Općinskog suda ali i za zaštitu od nezakonitih radnji i odluka donesenih od strane </w:t>
      </w:r>
    </w:p>
    <w:p w:rsidR="00AC0832" w:rsidRDefault="00AC0832">
      <w:pPr>
        <w:pStyle w:val="Normal6"/>
      </w:pPr>
      <w:r>
        <w:t xml:space="preserve">službenih osoba i tijela državne vlasti, odnosno nezakonitih radnji i odluke odgovornih </w:t>
      </w:r>
    </w:p>
    <w:p w:rsidR="00AC0832" w:rsidRDefault="00AC0832">
      <w:pPr>
        <w:pStyle w:val="Normal6"/>
      </w:pPr>
      <w:r>
        <w:t xml:space="preserve">osoba u trgovačkom društvu u prvom stupnju. </w:t>
      </w:r>
    </w:p>
    <w:p w:rsidR="00AC0832" w:rsidRDefault="00AC0832">
      <w:pPr>
        <w:pStyle w:val="Normal6"/>
      </w:pPr>
      <w:r>
        <w:t>Tijekom 2012. godine svi županijski  sudovi zaprimili su ukupno  132.423  predmeta, riješili  126.177 predmeta, a ostalo je ukupno neriješeno 68.044  predmeta.</w:t>
      </w:r>
    </w:p>
    <w:p w:rsidR="00AC0832" w:rsidRDefault="00AC0832">
      <w:pPr>
        <w:pStyle w:val="Heading2"/>
      </w:pPr>
      <w:r>
        <w:t>11050 Trgovački sudovi</w:t>
      </w:r>
    </w:p>
    <w:p w:rsidR="00AC0832" w:rsidRDefault="00AC0832">
      <w:pPr>
        <w:pStyle w:val="Heading4"/>
      </w:pPr>
      <w:r>
        <w:t>Uvod</w:t>
      </w:r>
    </w:p>
    <w:p w:rsidR="00AC0832" w:rsidRDefault="00AC0832">
      <w:pPr>
        <w:pStyle w:val="Normal3"/>
      </w:pPr>
      <w:r>
        <w:t>Glava 11050 – Trgovački sudovi obuhvaća 7 trgovačkih sudova čija je stvarna nadležnost određena  Zakonom o sudovima, a mjesna nadležnost trgovačkih sudova određena je Zakonom o područjima i sjedištima sudova i drugim zakonima, Zakonom o parničnom postupku, Zakonom o sudskom registru, Stečajnim zakonom i odredbama Ovršnog zakona. Trgovački sudovi u izvanparničnom postupku obavljaju sljedeće poslove: postupaju u registarskim stvarima i vode sudske registre; odlučuju o prijedlozima u svezi s osnivanjem, rada i prestanka trgovačkog društva; određuju i provode ovrhu odluka koje su donijeli, kao i sporove koji nastanu u tijeku i povodom ovrha tih odluka, a provođenje ovrhe na nenovčanim sredstvima ovršenika mogu povjeriti općinskom sudu; provode postupak priznanja i ovrhe inozemnih sudskih odluka kao i arbitražnih odluka u trgovačkim sporovima te odlučuju o prijedlozima za otvaranje stečajnog postupka i provode stečajne postupke.</w:t>
      </w:r>
    </w:p>
    <w:p w:rsidR="00AC0832" w:rsidRDefault="00AC0832">
      <w:pPr>
        <w:pStyle w:val="Normal3"/>
      </w:pPr>
    </w:p>
    <w:p w:rsidR="00AC0832" w:rsidRDefault="00AC0832">
      <w:pPr>
        <w:pStyle w:val="Normal3"/>
      </w:pPr>
    </w:p>
    <w:p w:rsidR="00AC0832" w:rsidRDefault="00AC0832">
      <w:pPr>
        <w:pStyle w:val="Normal3"/>
      </w:pPr>
    </w:p>
    <w:p w:rsidR="00AC0832" w:rsidRDefault="00AC0832">
      <w:pPr>
        <w:pStyle w:val="Normal3"/>
      </w:pPr>
    </w:p>
    <w:p w:rsidR="00AC0832" w:rsidRDefault="00AC0832">
      <w:pPr>
        <w:pStyle w:val="Normal3"/>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11050-Trgovački sudovi</w:t>
            </w:r>
          </w:p>
        </w:tc>
        <w:tc>
          <w:tcPr>
            <w:tcW w:w="2322" w:type="dxa"/>
          </w:tcPr>
          <w:p w:rsidR="00AC0832" w:rsidRDefault="00AC0832">
            <w:pPr>
              <w:pStyle w:val="CellColumn"/>
            </w:pPr>
            <w:r>
              <w:t>86.999.548</w:t>
            </w:r>
          </w:p>
        </w:tc>
        <w:tc>
          <w:tcPr>
            <w:tcW w:w="2322" w:type="dxa"/>
          </w:tcPr>
          <w:p w:rsidR="00AC0832" w:rsidRDefault="00AC0832">
            <w:pPr>
              <w:pStyle w:val="CellColumn"/>
            </w:pPr>
            <w:r>
              <w:t>86.745.919</w:t>
            </w:r>
          </w:p>
        </w:tc>
        <w:tc>
          <w:tcPr>
            <w:tcW w:w="2322" w:type="dxa"/>
          </w:tcPr>
          <w:p w:rsidR="00AC0832" w:rsidRDefault="00AC0832">
            <w:pPr>
              <w:pStyle w:val="CellColumn"/>
            </w:pPr>
            <w:r>
              <w:t>99,7</w:t>
            </w:r>
          </w:p>
        </w:tc>
      </w:tr>
      <w:tr w:rsidR="00AC0832" w:rsidTr="00BE20ED">
        <w:trPr>
          <w:jc w:val="center"/>
        </w:trPr>
        <w:tc>
          <w:tcPr>
            <w:tcW w:w="2322" w:type="dxa"/>
          </w:tcPr>
          <w:p w:rsidR="00AC0832" w:rsidRDefault="00AC0832">
            <w:pPr>
              <w:pStyle w:val="CellColumnSmall"/>
            </w:pPr>
            <w:r>
              <w:t>2803-VOĐENJE SUDSKIH POSTUPAKA</w:t>
            </w:r>
          </w:p>
        </w:tc>
        <w:tc>
          <w:tcPr>
            <w:tcW w:w="2322" w:type="dxa"/>
          </w:tcPr>
          <w:p w:rsidR="00AC0832" w:rsidRDefault="00AC0832">
            <w:pPr>
              <w:pStyle w:val="CellColumnSmall"/>
            </w:pPr>
            <w:r>
              <w:t>86.999.548</w:t>
            </w:r>
          </w:p>
        </w:tc>
        <w:tc>
          <w:tcPr>
            <w:tcW w:w="2322" w:type="dxa"/>
          </w:tcPr>
          <w:p w:rsidR="00AC0832" w:rsidRDefault="00AC0832">
            <w:pPr>
              <w:pStyle w:val="CellColumnSmall"/>
            </w:pPr>
            <w:r>
              <w:t>86.745.919</w:t>
            </w:r>
          </w:p>
        </w:tc>
        <w:tc>
          <w:tcPr>
            <w:tcW w:w="2322" w:type="dxa"/>
          </w:tcPr>
          <w:p w:rsidR="00AC0832" w:rsidRDefault="00AC0832">
            <w:pPr>
              <w:pStyle w:val="CellColumnSmall"/>
            </w:pPr>
            <w:r>
              <w:t>99,7</w:t>
            </w:r>
          </w:p>
        </w:tc>
      </w:tr>
    </w:tbl>
    <w:p w:rsidR="00AC0832" w:rsidRDefault="00AC0832">
      <w:pPr>
        <w:jc w:val="left"/>
      </w:pPr>
    </w:p>
    <w:p w:rsidR="00AC0832" w:rsidRDefault="00AC0832">
      <w:pPr>
        <w:pStyle w:val="Heading4"/>
      </w:pPr>
      <w:r>
        <w:t>OBRAZLOŽENJE PROGRAMA</w:t>
      </w:r>
    </w:p>
    <w:p w:rsidR="00AC0832" w:rsidRDefault="00AC0832">
      <w:pPr>
        <w:pStyle w:val="Heading5"/>
      </w:pPr>
      <w:r>
        <w:t>2803 VOĐENJE SUDSKIH POSTUPAKA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2803-VOĐENJE SUDSKIH POSTUPAKA</w:t>
            </w:r>
          </w:p>
        </w:tc>
        <w:tc>
          <w:tcPr>
            <w:tcW w:w="2322" w:type="dxa"/>
          </w:tcPr>
          <w:p w:rsidR="00AC0832" w:rsidRDefault="00AC0832">
            <w:pPr>
              <w:pStyle w:val="CellColumn"/>
            </w:pPr>
            <w:r>
              <w:t>86.999.548</w:t>
            </w:r>
          </w:p>
        </w:tc>
        <w:tc>
          <w:tcPr>
            <w:tcW w:w="2322" w:type="dxa"/>
          </w:tcPr>
          <w:p w:rsidR="00AC0832" w:rsidRDefault="00AC0832">
            <w:pPr>
              <w:pStyle w:val="CellColumn"/>
            </w:pPr>
            <w:r>
              <w:t>86.745.919</w:t>
            </w:r>
          </w:p>
        </w:tc>
        <w:tc>
          <w:tcPr>
            <w:tcW w:w="2322" w:type="dxa"/>
          </w:tcPr>
          <w:p w:rsidR="00AC0832" w:rsidRDefault="00AC0832">
            <w:pPr>
              <w:pStyle w:val="CellColumn"/>
            </w:pPr>
            <w:r>
              <w:t>99,7</w:t>
            </w:r>
          </w:p>
        </w:tc>
      </w:tr>
    </w:tbl>
    <w:p w:rsidR="00AC0832" w:rsidRDefault="00AC0832">
      <w:pPr>
        <w:jc w:val="left"/>
      </w:pPr>
    </w:p>
    <w:p w:rsidR="00AC0832" w:rsidRDefault="00AC0832">
      <w:pPr>
        <w:pStyle w:val="Heading6"/>
      </w:pPr>
      <w:r>
        <w:t>Opis programa</w:t>
      </w:r>
    </w:p>
    <w:p w:rsidR="00AC0832" w:rsidRDefault="00AC0832">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prekršajni sud RH, Upravni sud RH, županijski sudovi, trgovački sudovi, općinski sudovi i prekršajni sudovi. U Državnom proračunu Republike Hrvatske „Program Vođenje sudskih postupaka“ obuhvaća vođenje sudskih postupaka iz nadležnosti Vrhovnog suda Republike Hrvatske, Visokog trgovačkog suda RH, Upravnog suda Republike Hrvatske, Visokog prekršajnog suda Republike Hrvatske, županijskih sudova, trgovačkih sudova, općinskih sudova i prekršajnih sudova.</w:t>
      </w:r>
    </w:p>
    <w:p w:rsidR="00AC0832" w:rsidRDefault="00AC0832">
      <w:pPr>
        <w:pStyle w:val="Heading6"/>
      </w:pPr>
      <w:r>
        <w:t>Zakonske i druge pravne osnove</w:t>
      </w:r>
    </w:p>
    <w:p w:rsidR="00AC0832" w:rsidRDefault="00AC0832">
      <w:pPr>
        <w:pStyle w:val="Normal5"/>
      </w:pPr>
      <w:r>
        <w:t>Zakon o sudovima („Narodne novine“, broj 150/05, 16/07, 113/08, 153/09 i 116/10, 27/11, 130/11 i 28/13), Zakon o područjima i sjedištima sudova („Narodne novine“, broj 85/08, 144/10 i 84/11) i Zakon o područjima i sjedištima prekršajnih sudova "Narodne novine" broj 137/09).</w:t>
      </w:r>
    </w:p>
    <w:p w:rsidR="00AC0832" w:rsidRDefault="00AC0832">
      <w:pPr>
        <w:pStyle w:val="Heading7"/>
      </w:pPr>
      <w:r>
        <w:t xml:space="preserve">Cilj 1. Jedinstvena primjena zakona i ravnopravnost građana te jednakost svih pred zakonom. </w:t>
      </w:r>
    </w:p>
    <w:p w:rsidR="00AC0832" w:rsidRDefault="00AC0832">
      <w:pPr>
        <w:pStyle w:val="Heading8"/>
        <w:jc w:val="left"/>
      </w:pPr>
      <w:r>
        <w:t>Opis provedbe cilja programa</w:t>
      </w:r>
    </w:p>
    <w:p w:rsidR="00AC0832" w:rsidRDefault="00AC0832">
      <w:pPr>
        <w:pStyle w:val="Heading6"/>
      </w:pPr>
      <w:r>
        <w:t>A639000 VOĐENJE SUDSKIH POSTUPAKA IZ NADLEŽNOSTI TRGOVAČKIH SUDOVA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A639000-VOĐENJE SUDSKIH POSTUPAKA IZ NADLEŽNOSTI TRGOVAČKIH SUDOVA</w:t>
            </w:r>
          </w:p>
        </w:tc>
        <w:tc>
          <w:tcPr>
            <w:tcW w:w="2322" w:type="dxa"/>
          </w:tcPr>
          <w:p w:rsidR="00AC0832" w:rsidRDefault="00AC0832">
            <w:pPr>
              <w:pStyle w:val="CellColumn"/>
            </w:pPr>
            <w:r>
              <w:t>86.999.548</w:t>
            </w:r>
          </w:p>
        </w:tc>
        <w:tc>
          <w:tcPr>
            <w:tcW w:w="2322" w:type="dxa"/>
          </w:tcPr>
          <w:p w:rsidR="00AC0832" w:rsidRDefault="00AC0832">
            <w:pPr>
              <w:pStyle w:val="CellColumn"/>
            </w:pPr>
            <w:r>
              <w:t>86.745.919</w:t>
            </w:r>
          </w:p>
        </w:tc>
        <w:tc>
          <w:tcPr>
            <w:tcW w:w="2322" w:type="dxa"/>
          </w:tcPr>
          <w:p w:rsidR="00AC0832" w:rsidRDefault="00AC0832">
            <w:pPr>
              <w:pStyle w:val="CellColumn"/>
            </w:pPr>
            <w:r>
              <w:t>99,7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Trgovački sudovi u izvanparničnom postupku obavljaju sljedeće poslove: postupaju u </w:t>
      </w:r>
    </w:p>
    <w:p w:rsidR="00AC0832" w:rsidRDefault="00AC0832">
      <w:pPr>
        <w:pStyle w:val="Normal6"/>
      </w:pPr>
      <w:r>
        <w:t xml:space="preserve">registarskim stvarima i vode sudske registre; odlučuju o prijedlozima u svezi s </w:t>
      </w:r>
    </w:p>
    <w:p w:rsidR="00AC0832" w:rsidRDefault="00AC0832">
      <w:pPr>
        <w:pStyle w:val="Normal6"/>
      </w:pPr>
      <w:r>
        <w:t xml:space="preserve">osnivanjem, radom i prestankom trgovačkog društva; odreñuju i provode ovrhe sukladno </w:t>
      </w:r>
    </w:p>
    <w:p w:rsidR="00AC0832" w:rsidRDefault="00AC0832">
      <w:pPr>
        <w:pStyle w:val="Normal6"/>
      </w:pPr>
      <w:r>
        <w:t xml:space="preserve">odlukama koje su donijeli, kao i sporove koji nastanu u tijeku i povodom ovrha tih odluka, </w:t>
      </w:r>
    </w:p>
    <w:p w:rsidR="00AC0832" w:rsidRDefault="00AC0832">
      <w:pPr>
        <w:pStyle w:val="Normal6"/>
      </w:pPr>
      <w:r>
        <w:t xml:space="preserve">a provoñenje ovrhe na nenovčanim sredstvima ovršenika mogu povjeriti općinskom sudu; </w:t>
      </w:r>
    </w:p>
    <w:p w:rsidR="00AC0832" w:rsidRDefault="00AC0832">
      <w:pPr>
        <w:pStyle w:val="Normal6"/>
      </w:pPr>
      <w:r>
        <w:t xml:space="preserve">provode postupak priznanja i ovrhe inozemnih sudskih odluka kao i arbitražnih odluka u </w:t>
      </w:r>
    </w:p>
    <w:p w:rsidR="00AC0832" w:rsidRDefault="00AC0832">
      <w:pPr>
        <w:pStyle w:val="Normal6"/>
      </w:pPr>
      <w:r>
        <w:t xml:space="preserve">trgovačkim sporovima te odlučuju o prijedlozima za otvaranje stečajnog postupka i </w:t>
      </w:r>
    </w:p>
    <w:p w:rsidR="00AC0832" w:rsidRDefault="00AC0832">
      <w:pPr>
        <w:pStyle w:val="Normal6"/>
      </w:pPr>
      <w:r>
        <w:t xml:space="preserve">provode stečajne postupke. </w:t>
      </w:r>
    </w:p>
    <w:p w:rsidR="00AC0832" w:rsidRDefault="00AC0832">
      <w:pPr>
        <w:pStyle w:val="Normal6"/>
      </w:pPr>
      <w:r>
        <w:t>Tijekom 2012. godine svi trgovački   sudovi zaprimili su ukupno 166.064  predmeta, riješili 178.628    predmeta, a ostalo je ukupno neriješeno 46.864 predmeta</w:t>
      </w:r>
    </w:p>
    <w:p w:rsidR="00AC0832" w:rsidRDefault="00AC0832">
      <w:pPr>
        <w:pStyle w:val="Heading2"/>
      </w:pPr>
      <w:r>
        <w:t>11055 Županijska državna odvjetništva</w:t>
      </w:r>
    </w:p>
    <w:p w:rsidR="00AC0832" w:rsidRDefault="00AC0832">
      <w:pPr>
        <w:pStyle w:val="Heading4"/>
      </w:pPr>
      <w:r>
        <w:t>Uvod</w:t>
      </w:r>
    </w:p>
    <w:p w:rsidR="00AC0832" w:rsidRDefault="00AC0832">
      <w:pPr>
        <w:pStyle w:val="Normal3"/>
      </w:pPr>
      <w:r>
        <w:t xml:space="preserve">Glava 11055 – Županijska državna odvjetništva obuhvaća 15 županijskih državnih odvjetništava koja su samostalna i neovisna pravosudna tijela ovlaštena i dužna postupati protiv počinitelja kaznenih djela i drugih kažnjivih djela, poduzimati pravne radnje radi </w:t>
      </w:r>
    </w:p>
    <w:p w:rsidR="00AC0832" w:rsidRDefault="00AC0832">
      <w:pPr>
        <w:pStyle w:val="Normal3"/>
      </w:pPr>
      <w:r>
        <w:t>zaštite imovine Republike Hrvatske te podnositi pravna sredstva za zaštitu Ustava i Zakona.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11055-Županijska državna odvjetništva</w:t>
            </w:r>
          </w:p>
        </w:tc>
        <w:tc>
          <w:tcPr>
            <w:tcW w:w="2322" w:type="dxa"/>
          </w:tcPr>
          <w:p w:rsidR="00AC0832" w:rsidRDefault="00AC0832">
            <w:pPr>
              <w:pStyle w:val="CellColumn"/>
            </w:pPr>
            <w:r>
              <w:t>94.185.400</w:t>
            </w:r>
          </w:p>
        </w:tc>
        <w:tc>
          <w:tcPr>
            <w:tcW w:w="2322" w:type="dxa"/>
          </w:tcPr>
          <w:p w:rsidR="00AC0832" w:rsidRDefault="00AC0832">
            <w:pPr>
              <w:pStyle w:val="CellColumn"/>
            </w:pPr>
            <w:r>
              <w:t>93.870.639</w:t>
            </w:r>
          </w:p>
        </w:tc>
        <w:tc>
          <w:tcPr>
            <w:tcW w:w="2322" w:type="dxa"/>
          </w:tcPr>
          <w:p w:rsidR="00AC0832" w:rsidRDefault="00AC0832">
            <w:pPr>
              <w:pStyle w:val="CellColumn"/>
            </w:pPr>
            <w:r>
              <w:t>99,7</w:t>
            </w:r>
          </w:p>
        </w:tc>
      </w:tr>
      <w:tr w:rsidR="00AC0832" w:rsidTr="00BE20ED">
        <w:trPr>
          <w:jc w:val="center"/>
        </w:trPr>
        <w:tc>
          <w:tcPr>
            <w:tcW w:w="2322" w:type="dxa"/>
          </w:tcPr>
          <w:p w:rsidR="00AC0832" w:rsidRDefault="00AC0832">
            <w:pPr>
              <w:pStyle w:val="CellColumnSmall"/>
            </w:pPr>
            <w:r>
              <w:t>2812-DJELOVANJE DRŽAVNIH ODVJETNIŠTAVA</w:t>
            </w:r>
          </w:p>
        </w:tc>
        <w:tc>
          <w:tcPr>
            <w:tcW w:w="2322" w:type="dxa"/>
          </w:tcPr>
          <w:p w:rsidR="00AC0832" w:rsidRDefault="00AC0832">
            <w:pPr>
              <w:pStyle w:val="CellColumnSmall"/>
            </w:pPr>
            <w:r>
              <w:t>94.185.400</w:t>
            </w:r>
          </w:p>
        </w:tc>
        <w:tc>
          <w:tcPr>
            <w:tcW w:w="2322" w:type="dxa"/>
          </w:tcPr>
          <w:p w:rsidR="00AC0832" w:rsidRDefault="00AC0832">
            <w:pPr>
              <w:pStyle w:val="CellColumnSmall"/>
            </w:pPr>
            <w:r>
              <w:t>93.870.639</w:t>
            </w:r>
          </w:p>
        </w:tc>
        <w:tc>
          <w:tcPr>
            <w:tcW w:w="2322" w:type="dxa"/>
          </w:tcPr>
          <w:p w:rsidR="00AC0832" w:rsidRDefault="00AC0832">
            <w:pPr>
              <w:pStyle w:val="CellColumnSmall"/>
            </w:pPr>
            <w:r>
              <w:t>99,7</w:t>
            </w:r>
          </w:p>
        </w:tc>
      </w:tr>
    </w:tbl>
    <w:p w:rsidR="00AC0832" w:rsidRDefault="00AC0832">
      <w:pPr>
        <w:jc w:val="left"/>
      </w:pPr>
    </w:p>
    <w:p w:rsidR="00AC0832" w:rsidRDefault="00AC0832">
      <w:pPr>
        <w:pStyle w:val="Heading4"/>
      </w:pPr>
      <w:r>
        <w:t>OBRAZLOŽENJE PROGRAMA</w:t>
      </w:r>
    </w:p>
    <w:p w:rsidR="00AC0832" w:rsidRDefault="00AC0832">
      <w:pPr>
        <w:pStyle w:val="Heading5"/>
      </w:pPr>
      <w:r>
        <w:t>2812 DJELOVANJE DRŽAVNIH ODVJETNIŠTAVA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2812-DJELOVANJE DRŽAVNIH ODVJETNIŠTAVA</w:t>
            </w:r>
          </w:p>
        </w:tc>
        <w:tc>
          <w:tcPr>
            <w:tcW w:w="2322" w:type="dxa"/>
          </w:tcPr>
          <w:p w:rsidR="00AC0832" w:rsidRDefault="00AC0832">
            <w:pPr>
              <w:pStyle w:val="CellColumn"/>
            </w:pPr>
            <w:r>
              <w:t>94.185.400</w:t>
            </w:r>
          </w:p>
        </w:tc>
        <w:tc>
          <w:tcPr>
            <w:tcW w:w="2322" w:type="dxa"/>
          </w:tcPr>
          <w:p w:rsidR="00AC0832" w:rsidRDefault="00AC0832">
            <w:pPr>
              <w:pStyle w:val="CellColumn"/>
            </w:pPr>
            <w:r>
              <w:t>93.870.639</w:t>
            </w:r>
          </w:p>
        </w:tc>
        <w:tc>
          <w:tcPr>
            <w:tcW w:w="2322" w:type="dxa"/>
          </w:tcPr>
          <w:p w:rsidR="00AC0832" w:rsidRDefault="00AC0832">
            <w:pPr>
              <w:pStyle w:val="CellColumn"/>
            </w:pPr>
            <w:r>
              <w:t>99,7</w:t>
            </w:r>
          </w:p>
        </w:tc>
      </w:tr>
    </w:tbl>
    <w:p w:rsidR="00AC0832" w:rsidRDefault="00AC0832">
      <w:pPr>
        <w:jc w:val="left"/>
      </w:pPr>
    </w:p>
    <w:p w:rsidR="00AC0832" w:rsidRDefault="00AC0832">
      <w:pPr>
        <w:pStyle w:val="Heading6"/>
      </w:pPr>
      <w:r>
        <w:t>Opis programa</w:t>
      </w:r>
    </w:p>
    <w:p w:rsidR="00AC0832" w:rsidRDefault="00AC0832">
      <w:pPr>
        <w:pStyle w:val="Normal5"/>
      </w:pPr>
      <w:r>
        <w:t>Programom je obuhvaćen progon počinitelja kaznenih djela, zaštita imovine RH te podnošenje pravnih sredstava za zaštitu zakonitosti i to kako pred županijskim, općinskim sudovima i upravnim tijelima, tako i pred Vrhovnim sudom RH te drugim tijelima.</w:t>
      </w:r>
    </w:p>
    <w:p w:rsidR="00AC0832" w:rsidRDefault="00AC0832">
      <w:pPr>
        <w:pStyle w:val="Heading6"/>
      </w:pPr>
      <w:r>
        <w:t>Zakonske i druge pravne osnove</w:t>
      </w:r>
    </w:p>
    <w:p w:rsidR="00AC0832" w:rsidRDefault="00AC0832">
      <w:pPr>
        <w:pStyle w:val="Normal5"/>
      </w:pPr>
      <w:r>
        <w:t>Zakon o državnom odvjetništvu („Narodne novine“, broj 76/09, 153/09, 116/10, 145/10, 57/11, 130/11), Zakon o područjima i sjedištima državnih odvjetništava („Narodne novine“, broj 146/08), Zakon o kaznenom postupku (NN 152/08, 76/09, 80/11, 91/12 i 143/12).</w:t>
      </w:r>
    </w:p>
    <w:p w:rsidR="00AC0832" w:rsidRDefault="00AC0832">
      <w:pPr>
        <w:pStyle w:val="Heading7"/>
      </w:pPr>
      <w:r>
        <w:t xml:space="preserve">Cilj 1. Jedinstvena primjena zakona i ravnopravnost građana te jednakost svih pred zakonom. </w:t>
      </w:r>
    </w:p>
    <w:p w:rsidR="00AC0832" w:rsidRDefault="00AC0832">
      <w:pPr>
        <w:pStyle w:val="Heading2"/>
      </w:pPr>
      <w:r>
        <w:t>11065 Općinski sudovi</w:t>
      </w:r>
    </w:p>
    <w:p w:rsidR="00AC0832" w:rsidRDefault="00AC0832">
      <w:pPr>
        <w:pStyle w:val="Heading4"/>
      </w:pPr>
      <w:r>
        <w:t>Uvod</w:t>
      </w:r>
    </w:p>
    <w:p w:rsidR="00AC0832" w:rsidRDefault="00AC0832">
      <w:pPr>
        <w:pStyle w:val="Normal3"/>
      </w:pPr>
      <w:r>
        <w:t xml:space="preserve">Glava 11065 – Općinski sudovi obuhvaća 67 općinskih sudova koji su osnovani temeljem Zakona o sudovima i Zakona o područjima i sjedištima sudova. Pored nadležnosti propisane drugim zakonima, općinski sudovi rješavaju: izvanparnične i ovršne predmete ako rješavanje tih stvari nije povjereno drugom sudu; ostavinske predmete, zemljišnoknjižne predmete i vode zemljišne knjige; o priznanju i ovrsi odluka stranih sudova te obavljaju poslove međunarodne pravne pomoći u postupcima iz svoje nadležnosti. </w:t>
      </w:r>
    </w:p>
    <w:p w:rsidR="00AC0832" w:rsidRDefault="00AC0832">
      <w:pPr>
        <w:pStyle w:val="Normal3"/>
      </w:pPr>
      <w:r>
        <w:t>Općinski sudovi rješavaju u svim predmetima Zakona o sudovima koji nisu stavljeni u djelokrug nekoga drugog suda ili javnog bilježnika. U kaznenim predmetima protiv vojnih osoba, vojnih službenika i vojnih namještenika u službi u oružanim snagama za kaznena djela u obavljanju službe, za kaznena djela iz nadležnosti općinskih sudova, sude općinski sudovi s potpunom nadležnošću.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11065-Općinski sudovi</w:t>
            </w:r>
          </w:p>
        </w:tc>
        <w:tc>
          <w:tcPr>
            <w:tcW w:w="2322" w:type="dxa"/>
          </w:tcPr>
          <w:p w:rsidR="00AC0832" w:rsidRDefault="00AC0832">
            <w:pPr>
              <w:pStyle w:val="CellColumn"/>
            </w:pPr>
            <w:r>
              <w:t>665.216.342</w:t>
            </w:r>
          </w:p>
        </w:tc>
        <w:tc>
          <w:tcPr>
            <w:tcW w:w="2322" w:type="dxa"/>
          </w:tcPr>
          <w:p w:rsidR="00AC0832" w:rsidRDefault="00AC0832">
            <w:pPr>
              <w:pStyle w:val="CellColumn"/>
            </w:pPr>
            <w:r>
              <w:t>663.928.769</w:t>
            </w:r>
          </w:p>
        </w:tc>
        <w:tc>
          <w:tcPr>
            <w:tcW w:w="2322" w:type="dxa"/>
          </w:tcPr>
          <w:p w:rsidR="00AC0832" w:rsidRDefault="00AC0832">
            <w:pPr>
              <w:pStyle w:val="CellColumn"/>
            </w:pPr>
            <w:r>
              <w:t>99,8</w:t>
            </w:r>
          </w:p>
        </w:tc>
      </w:tr>
      <w:tr w:rsidR="00AC0832" w:rsidTr="00BE20ED">
        <w:trPr>
          <w:jc w:val="center"/>
        </w:trPr>
        <w:tc>
          <w:tcPr>
            <w:tcW w:w="2322" w:type="dxa"/>
          </w:tcPr>
          <w:p w:rsidR="00AC0832" w:rsidRDefault="00AC0832">
            <w:pPr>
              <w:pStyle w:val="CellColumnSmall"/>
            </w:pPr>
            <w:r>
              <w:t>2803-VOĐENJE SUDSKIH POSTUPAKA</w:t>
            </w:r>
          </w:p>
        </w:tc>
        <w:tc>
          <w:tcPr>
            <w:tcW w:w="2322" w:type="dxa"/>
          </w:tcPr>
          <w:p w:rsidR="00AC0832" w:rsidRDefault="00AC0832">
            <w:pPr>
              <w:pStyle w:val="CellColumnSmall"/>
            </w:pPr>
            <w:r>
              <w:t>665.216.342</w:t>
            </w:r>
          </w:p>
        </w:tc>
        <w:tc>
          <w:tcPr>
            <w:tcW w:w="2322" w:type="dxa"/>
          </w:tcPr>
          <w:p w:rsidR="00AC0832" w:rsidRDefault="00AC0832">
            <w:pPr>
              <w:pStyle w:val="CellColumnSmall"/>
            </w:pPr>
            <w:r>
              <w:t>663.928.769</w:t>
            </w:r>
          </w:p>
        </w:tc>
        <w:tc>
          <w:tcPr>
            <w:tcW w:w="2322" w:type="dxa"/>
          </w:tcPr>
          <w:p w:rsidR="00AC0832" w:rsidRDefault="00AC0832">
            <w:pPr>
              <w:pStyle w:val="CellColumnSmall"/>
            </w:pPr>
            <w:r>
              <w:t>99,8</w:t>
            </w:r>
          </w:p>
        </w:tc>
      </w:tr>
    </w:tbl>
    <w:p w:rsidR="00AC0832" w:rsidRDefault="00AC0832">
      <w:pPr>
        <w:jc w:val="left"/>
      </w:pPr>
    </w:p>
    <w:p w:rsidR="00AC0832" w:rsidRDefault="00AC0832">
      <w:pPr>
        <w:pStyle w:val="Heading4"/>
      </w:pPr>
      <w:r>
        <w:t>OBRAZLOŽENJE PROGRAMA</w:t>
      </w:r>
    </w:p>
    <w:p w:rsidR="00AC0832" w:rsidRDefault="00AC0832">
      <w:pPr>
        <w:pStyle w:val="Heading5"/>
      </w:pPr>
      <w:r>
        <w:t>2803 VOĐENJE SUDSKIH POSTUPAKA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2803-VOĐENJE SUDSKIH POSTUPAKA</w:t>
            </w:r>
          </w:p>
        </w:tc>
        <w:tc>
          <w:tcPr>
            <w:tcW w:w="2322" w:type="dxa"/>
          </w:tcPr>
          <w:p w:rsidR="00AC0832" w:rsidRDefault="00AC0832">
            <w:pPr>
              <w:pStyle w:val="CellColumn"/>
            </w:pPr>
            <w:r>
              <w:t>665.216.342</w:t>
            </w:r>
          </w:p>
        </w:tc>
        <w:tc>
          <w:tcPr>
            <w:tcW w:w="2322" w:type="dxa"/>
          </w:tcPr>
          <w:p w:rsidR="00AC0832" w:rsidRDefault="00AC0832">
            <w:pPr>
              <w:pStyle w:val="CellColumn"/>
            </w:pPr>
            <w:r>
              <w:t>663.928.769</w:t>
            </w:r>
          </w:p>
        </w:tc>
        <w:tc>
          <w:tcPr>
            <w:tcW w:w="2322" w:type="dxa"/>
          </w:tcPr>
          <w:p w:rsidR="00AC0832" w:rsidRDefault="00AC0832">
            <w:pPr>
              <w:pStyle w:val="CellColumn"/>
            </w:pPr>
            <w:r>
              <w:t>99,8</w:t>
            </w:r>
          </w:p>
        </w:tc>
      </w:tr>
    </w:tbl>
    <w:p w:rsidR="00AC0832" w:rsidRDefault="00AC0832">
      <w:pPr>
        <w:jc w:val="left"/>
      </w:pPr>
    </w:p>
    <w:p w:rsidR="00AC0832" w:rsidRDefault="00AC0832">
      <w:pPr>
        <w:pStyle w:val="Heading6"/>
      </w:pPr>
      <w:r>
        <w:t>Opis programa</w:t>
      </w:r>
    </w:p>
    <w:p w:rsidR="00AC0832" w:rsidRDefault="00AC0832">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prekršajni sud RH, Upravni sud RH, županijski sudovi, trgovački sudovi, općinski sudovi i prekršajni sudovi. U Državnom proračunu Republike Hrvatske „Program Vođenje sudskih postupaka“ obuhvaća vođenje sudskih postupaka iz nadležnosti Vrhovnog suda Republike Hrvatske, Visokog trgovačkog suda RH, Upravnog suda Republike Hrvatske, Visokog prekršajnog suda Republike Hrvatske, županijskih sudova, trgovačkih sudova, općinskih sudova i prekršajnih sudova.</w:t>
      </w:r>
    </w:p>
    <w:p w:rsidR="00AC0832" w:rsidRDefault="00AC0832">
      <w:pPr>
        <w:pStyle w:val="Heading6"/>
      </w:pPr>
      <w:r>
        <w:t>Zakonske i druge pravne osnove</w:t>
      </w:r>
    </w:p>
    <w:p w:rsidR="00AC0832" w:rsidRDefault="00AC0832">
      <w:pPr>
        <w:pStyle w:val="Normal5"/>
      </w:pPr>
      <w:r>
        <w:t>Zakon o sudovima („Narodne novine“, broj 150/05, 16/07, 113/08, 153/09 i 116/10, 27/11, 130/11 i 28/13), Zakon o područjima i sjedištima sudova („Narodne novine“, broj 85/08, 144/10 i 84/11) i Zakon o područjima i sjedištima prekršajnih sudova "Narodne novine" broj 137/09).</w:t>
      </w:r>
    </w:p>
    <w:p w:rsidR="00AC0832" w:rsidRDefault="00AC0832">
      <w:pPr>
        <w:pStyle w:val="Heading7"/>
      </w:pPr>
      <w:r>
        <w:t xml:space="preserve">Cilj 1. Jedinstvena primjena zakona i ravnopravnost građana te jednakost svih pred zakonom. </w:t>
      </w:r>
    </w:p>
    <w:p w:rsidR="00AC0832" w:rsidRDefault="00AC0832">
      <w:pPr>
        <w:pStyle w:val="Heading8"/>
        <w:jc w:val="left"/>
      </w:pPr>
      <w:r>
        <w:t>Opis provedbe cilja programa</w:t>
      </w:r>
    </w:p>
    <w:p w:rsidR="00AC0832" w:rsidRDefault="00AC0832">
      <w:pPr>
        <w:pStyle w:val="Heading6"/>
      </w:pPr>
      <w:r>
        <w:t>A641000 VOĐENJE SUDSKIH POSTUPAKA IZ NADLEŽNOSTI OPĆINSKIH SUDOVA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A641000-VOĐENJE SUDSKIH POSTUPAKA IZ NADLEŽNOSTI OPĆINSKIH SUDOVA</w:t>
            </w:r>
          </w:p>
        </w:tc>
        <w:tc>
          <w:tcPr>
            <w:tcW w:w="2322" w:type="dxa"/>
          </w:tcPr>
          <w:p w:rsidR="00AC0832" w:rsidRDefault="00AC0832">
            <w:pPr>
              <w:pStyle w:val="CellColumn"/>
            </w:pPr>
            <w:r>
              <w:t>665.216.342</w:t>
            </w:r>
          </w:p>
        </w:tc>
        <w:tc>
          <w:tcPr>
            <w:tcW w:w="2322" w:type="dxa"/>
          </w:tcPr>
          <w:p w:rsidR="00AC0832" w:rsidRDefault="00AC0832">
            <w:pPr>
              <w:pStyle w:val="CellColumn"/>
            </w:pPr>
            <w:r>
              <w:t>663.928.769</w:t>
            </w:r>
          </w:p>
        </w:tc>
        <w:tc>
          <w:tcPr>
            <w:tcW w:w="2322" w:type="dxa"/>
          </w:tcPr>
          <w:p w:rsidR="00AC0832" w:rsidRDefault="00AC0832">
            <w:pPr>
              <w:pStyle w:val="CellColumn"/>
            </w:pPr>
            <w:r>
              <w:t>99,8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Općinski sudovi su osnovani temeljem Zakona o sudovima i Zakona o područjima i </w:t>
      </w:r>
    </w:p>
    <w:p w:rsidR="00AC0832" w:rsidRDefault="00AC0832">
      <w:pPr>
        <w:pStyle w:val="Normal6"/>
      </w:pPr>
      <w:r>
        <w:t xml:space="preserve">sjedištima sudova. Pored nadležnosti propisane drugim zakonima, općinski sudovi </w:t>
      </w:r>
    </w:p>
    <w:p w:rsidR="00AC0832" w:rsidRDefault="00AC0832">
      <w:pPr>
        <w:pStyle w:val="Normal6"/>
      </w:pPr>
      <w:r>
        <w:t xml:space="preserve">rješavaju: izvanparnične i ovršne predmete ako rješavanje tih stvari nije povjereno drugom </w:t>
      </w:r>
    </w:p>
    <w:p w:rsidR="00AC0832" w:rsidRDefault="00AC0832">
      <w:pPr>
        <w:pStyle w:val="Normal6"/>
      </w:pPr>
      <w:r>
        <w:t xml:space="preserve">sudu; ostavinske predmete, zemljišnoknjižne predmete i vode zemljišne knjige; o </w:t>
      </w:r>
    </w:p>
    <w:p w:rsidR="00AC0832" w:rsidRDefault="00AC0832">
      <w:pPr>
        <w:pStyle w:val="Normal6"/>
      </w:pPr>
      <w:r>
        <w:t xml:space="preserve">priznanju i ovrsi odluka stranih sudova te obavljaju poslove meñunarodne pravne pomoći </w:t>
      </w:r>
    </w:p>
    <w:p w:rsidR="00AC0832" w:rsidRDefault="00AC0832">
      <w:pPr>
        <w:pStyle w:val="Normal6"/>
      </w:pPr>
      <w:r>
        <w:t xml:space="preserve">u postupcima iz svoje nadležnosti. </w:t>
      </w:r>
    </w:p>
    <w:p w:rsidR="00AC0832" w:rsidRDefault="00AC0832">
      <w:pPr>
        <w:pStyle w:val="Normal6"/>
      </w:pPr>
      <w:r>
        <w:t>Tijekom 2012. godine svi općinski   sudovi zaprimili su ukupno 972.672  predmeta, riješili 971.771   predmet, a ostalo je ukupno neriješeno 383.693 predmeta.</w:t>
      </w:r>
    </w:p>
    <w:p w:rsidR="00AC0832" w:rsidRDefault="00AC0832">
      <w:pPr>
        <w:pStyle w:val="Heading2"/>
      </w:pPr>
      <w:r>
        <w:t>11070 Općinska državna odvjetništva</w:t>
      </w:r>
    </w:p>
    <w:p w:rsidR="00AC0832" w:rsidRDefault="00AC0832">
      <w:pPr>
        <w:pStyle w:val="Heading4"/>
      </w:pPr>
      <w:r>
        <w:t>Uvod</w:t>
      </w:r>
    </w:p>
    <w:p w:rsidR="00AC0832" w:rsidRDefault="00AC0832">
      <w:pPr>
        <w:pStyle w:val="Normal3"/>
      </w:pPr>
      <w:r>
        <w:t>Glava 11070 – Općinska državna odvjetništva obuhvaća 33 općinska državna odvjetništva koja su osnovana temeljem Zakona o odvjetništvu. Općinska državna odvjetništva su samostalna i neovisna pravosudna tijela ovlaštena i dužna postupati protiv počinitelja kaznenih djela i drugih kažnjivih djela, poduzimati pravne radnje radi zaštite imovine Republike Hrvatske te podnositi pravna sredstva za zaštitu Ustava i Zakona.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11070-Općinska državna odvjetništva</w:t>
            </w:r>
          </w:p>
        </w:tc>
        <w:tc>
          <w:tcPr>
            <w:tcW w:w="2322" w:type="dxa"/>
          </w:tcPr>
          <w:p w:rsidR="00AC0832" w:rsidRDefault="00AC0832">
            <w:pPr>
              <w:pStyle w:val="CellColumn"/>
            </w:pPr>
            <w:r>
              <w:t>175.700.200</w:t>
            </w:r>
          </w:p>
        </w:tc>
        <w:tc>
          <w:tcPr>
            <w:tcW w:w="2322" w:type="dxa"/>
          </w:tcPr>
          <w:p w:rsidR="00AC0832" w:rsidRDefault="00AC0832">
            <w:pPr>
              <w:pStyle w:val="CellColumn"/>
            </w:pPr>
            <w:r>
              <w:t>175.662.241</w:t>
            </w:r>
          </w:p>
        </w:tc>
        <w:tc>
          <w:tcPr>
            <w:tcW w:w="2322" w:type="dxa"/>
          </w:tcPr>
          <w:p w:rsidR="00AC0832" w:rsidRDefault="00AC0832">
            <w:pPr>
              <w:pStyle w:val="CellColumn"/>
            </w:pPr>
            <w:r>
              <w:t>100,0</w:t>
            </w:r>
          </w:p>
        </w:tc>
      </w:tr>
      <w:tr w:rsidR="00AC0832" w:rsidTr="00BE20ED">
        <w:trPr>
          <w:jc w:val="center"/>
        </w:trPr>
        <w:tc>
          <w:tcPr>
            <w:tcW w:w="2322" w:type="dxa"/>
          </w:tcPr>
          <w:p w:rsidR="00AC0832" w:rsidRDefault="00AC0832">
            <w:pPr>
              <w:pStyle w:val="CellColumnSmall"/>
            </w:pPr>
            <w:r>
              <w:t>2812-DJELOVANJE DRŽAVNIH ODVJETNIŠTAVA</w:t>
            </w:r>
          </w:p>
        </w:tc>
        <w:tc>
          <w:tcPr>
            <w:tcW w:w="2322" w:type="dxa"/>
          </w:tcPr>
          <w:p w:rsidR="00AC0832" w:rsidRDefault="00AC0832">
            <w:pPr>
              <w:pStyle w:val="CellColumnSmall"/>
            </w:pPr>
            <w:r>
              <w:t>175.700.200</w:t>
            </w:r>
          </w:p>
        </w:tc>
        <w:tc>
          <w:tcPr>
            <w:tcW w:w="2322" w:type="dxa"/>
          </w:tcPr>
          <w:p w:rsidR="00AC0832" w:rsidRDefault="00AC0832">
            <w:pPr>
              <w:pStyle w:val="CellColumnSmall"/>
            </w:pPr>
            <w:r>
              <w:t>175.662.241</w:t>
            </w:r>
          </w:p>
        </w:tc>
        <w:tc>
          <w:tcPr>
            <w:tcW w:w="2322" w:type="dxa"/>
          </w:tcPr>
          <w:p w:rsidR="00AC0832" w:rsidRDefault="00AC0832">
            <w:pPr>
              <w:pStyle w:val="CellColumnSmall"/>
            </w:pPr>
            <w:r>
              <w:t>100,0</w:t>
            </w:r>
          </w:p>
        </w:tc>
      </w:tr>
    </w:tbl>
    <w:p w:rsidR="00AC0832" w:rsidRDefault="00AC0832">
      <w:pPr>
        <w:jc w:val="left"/>
      </w:pPr>
    </w:p>
    <w:p w:rsidR="00AC0832" w:rsidRDefault="00AC0832">
      <w:pPr>
        <w:pStyle w:val="Heading4"/>
      </w:pPr>
      <w:r>
        <w:t>OBRAZLOŽENJE PROGRAMA</w:t>
      </w:r>
    </w:p>
    <w:p w:rsidR="00AC0832" w:rsidRDefault="00AC0832">
      <w:pPr>
        <w:pStyle w:val="Heading5"/>
      </w:pPr>
      <w:r>
        <w:t>2812 DJELOVANJE DRŽAVNIH ODVJETNIŠTAVA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2812-DJELOVANJE DRŽAVNIH ODVJETNIŠTAVA</w:t>
            </w:r>
          </w:p>
        </w:tc>
        <w:tc>
          <w:tcPr>
            <w:tcW w:w="2322" w:type="dxa"/>
          </w:tcPr>
          <w:p w:rsidR="00AC0832" w:rsidRDefault="00AC0832">
            <w:pPr>
              <w:pStyle w:val="CellColumn"/>
            </w:pPr>
            <w:r>
              <w:t>175.700.200</w:t>
            </w:r>
          </w:p>
        </w:tc>
        <w:tc>
          <w:tcPr>
            <w:tcW w:w="2322" w:type="dxa"/>
          </w:tcPr>
          <w:p w:rsidR="00AC0832" w:rsidRDefault="00AC0832">
            <w:pPr>
              <w:pStyle w:val="CellColumn"/>
            </w:pPr>
            <w:r>
              <w:t>175.662.241</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6"/>
      </w:pPr>
      <w:r>
        <w:t>Opis programa</w:t>
      </w:r>
    </w:p>
    <w:p w:rsidR="00AC0832" w:rsidRDefault="00AC0832">
      <w:pPr>
        <w:pStyle w:val="Normal5"/>
      </w:pPr>
      <w:r>
        <w:t>Programom je obuhvaćen progon počinitelja kaznenih djela, zaštita imovine RH te podnošenje pravnih sredstava za zaštitu zakonitosti i to kako pred županijskim, općinskim sudovima i upravnim tijelima, tako i pred Vrhovnim sudom RH te drugim tijelima.</w:t>
      </w:r>
    </w:p>
    <w:p w:rsidR="00AC0832" w:rsidRDefault="00AC0832">
      <w:pPr>
        <w:pStyle w:val="Heading6"/>
      </w:pPr>
      <w:r>
        <w:t>Zakonske i druge pravne osnove</w:t>
      </w:r>
    </w:p>
    <w:p w:rsidR="00AC0832" w:rsidRDefault="00AC0832">
      <w:pPr>
        <w:pStyle w:val="Normal5"/>
      </w:pPr>
      <w:r>
        <w:t>Zakon o državnom odvjetništvu („Narodne novine“, broj 76/09, 153/09, 116/10, 145/10, 57/11, 130/11), Zakon o područjima i sjedištima državnih odvjetništava („Narodne novine“, broj 146/08), Zakon o kaznenom postupku (NN 152/08, 76/09, 80/11, 91/12 i 143/12).</w:t>
      </w:r>
    </w:p>
    <w:p w:rsidR="00AC0832" w:rsidRDefault="00AC0832">
      <w:pPr>
        <w:pStyle w:val="Heading7"/>
      </w:pPr>
      <w:r>
        <w:t xml:space="preserve">Cilj 1. Jedinstvena primjena zakona i ravnopravnost građana te jednakost svih pred zakonom. </w:t>
      </w:r>
    </w:p>
    <w:p w:rsidR="00AC0832" w:rsidRDefault="00AC0832">
      <w:pPr>
        <w:pStyle w:val="Heading8"/>
        <w:jc w:val="left"/>
      </w:pPr>
      <w:r>
        <w:t>Opis provedbe cilja programa</w:t>
      </w:r>
    </w:p>
    <w:p w:rsidR="00AC0832" w:rsidRDefault="00AC0832">
      <w:pPr>
        <w:pStyle w:val="Heading6"/>
      </w:pPr>
      <w:r>
        <w:t>A642000 PROGON POČINITELJA KAZNENIH I KAŽNJIVIH DJELA I ZAŠTITA IMOVINE RH PRED NADLEŽNIM SUDOVIMA I TIJELIMA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A642000-PROGON POČINITELJA KAZNENIH I KAŽNJIVIH DJELA I ZAŠTITA IMOVINE RH PRED NADLEŽNIM SUDOVIMA I TIJELIMA</w:t>
            </w:r>
          </w:p>
        </w:tc>
        <w:tc>
          <w:tcPr>
            <w:tcW w:w="2322" w:type="dxa"/>
          </w:tcPr>
          <w:p w:rsidR="00AC0832" w:rsidRDefault="00AC0832">
            <w:pPr>
              <w:pStyle w:val="CellColumn"/>
            </w:pPr>
            <w:r>
              <w:t>175.700.200</w:t>
            </w:r>
          </w:p>
        </w:tc>
        <w:tc>
          <w:tcPr>
            <w:tcW w:w="2322" w:type="dxa"/>
          </w:tcPr>
          <w:p w:rsidR="00AC0832" w:rsidRDefault="00AC0832">
            <w:pPr>
              <w:pStyle w:val="CellColumn"/>
            </w:pPr>
            <w:r>
              <w:t>175.662.241</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Rad općinskih državnih odvjetništava u 2012. godini bio je usmjeren na temeljne zadaće državnog odvjetništva iz njihove stvarne i mjesne nadležnosit, to jest na  progon počinitelja kaznenih djela, zaštitu imovinskih interesa RH. Općinska državna odvjetništva su ovu svoju ustavnu i zakonsku obvezi izvršavala kroz poduzimanje izvida i koordinaciju rada tijela otkrivanja, rad u prethodnom postupku, prvenstveno kroz provođenje istrage i dokaznih radnji i postupanje pred nadležnim županijskim, trgovačkim i upravnim  sudovima i upravnim tijelima </w:t>
      </w:r>
    </w:p>
    <w:p w:rsidR="00AC0832" w:rsidRDefault="00AC0832">
      <w:pPr>
        <w:pStyle w:val="Normal6"/>
      </w:pPr>
      <w:r>
        <w:t xml:space="preserve">U ostvarivanju navedenih zadaća posebna pažnja bila je kao i ranijih godina usmjerena na:  </w:t>
      </w:r>
    </w:p>
    <w:p w:rsidR="00AC0832" w:rsidRDefault="00AC0832">
      <w:pPr>
        <w:pStyle w:val="Normal6"/>
      </w:pPr>
      <w:r>
        <w:t xml:space="preserve">-suzbijanje gospodarskog kriminaliteta,  </w:t>
      </w:r>
    </w:p>
    <w:p w:rsidR="00AC0832" w:rsidRDefault="00AC0832">
      <w:pPr>
        <w:pStyle w:val="Normal6"/>
      </w:pPr>
      <w:r>
        <w:t xml:space="preserve">--rad na predmetima pretvorbenog kriminala i ratnog profiterstva, </w:t>
      </w:r>
    </w:p>
    <w:p w:rsidR="00AC0832" w:rsidRDefault="00AC0832">
      <w:pPr>
        <w:pStyle w:val="Normal6"/>
      </w:pPr>
      <w:r>
        <w:t xml:space="preserve">-zaštitu imovinskih interesa Republike Hrvatske u građanskim, i upravnim postupcima, tako i posebno kroz poslove uknjižbe imovine Republike Hrvatske. </w:t>
      </w:r>
    </w:p>
    <w:p w:rsidR="00AC0832" w:rsidRDefault="00AC0832">
      <w:pPr>
        <w:pStyle w:val="Normal6"/>
      </w:pPr>
      <w:r>
        <w:t xml:space="preserve">Kazneni odjeli općinskihdržavnih odvjetništava su u kaznenim predmetima imala su ukupno u radu 86480 kaznenih prijava, od čega 38300 protiv nepoznatih počinitelja, riješeno je 78811 predmeta dok je ostalo neriješeno 7633 predmeta u kojima traju izvidi li se čeka međunarodna pravna pomoći itd. Podaci pokazuju kako je na 31. prosinca 2012. u samim općinskimdržavnom odvjetništvima bilo 36 neriješena kaznena predmeta. Postotak neriješenih predmeta, kod kojih još uvijek traju izvidi i slično je 15,8% u odnosu na ukupan broj predmeta u radu. Podaci pokazuju da je na kraju godine samo 0,1% kaznenih predmeta čekalo odluku u državnom odvjetništvu. Imajući u vidu da je uspješnost u kaznenim predmetima protiv odraslih počinitelja dobra i iznosi 89%  smatramo da su općinska državna odvjetništva u prvostupanjskom postupku u cijelosti ostvarila one poslove koji su bili planirani prilikom dodjele sredstva za rad u 2012. godini. </w:t>
      </w:r>
    </w:p>
    <w:p w:rsidR="00AC0832" w:rsidRDefault="00AC0832">
      <w:pPr>
        <w:pStyle w:val="Normal6"/>
      </w:pPr>
      <w:r>
        <w:t xml:space="preserve">Uz navedeno općinska državna odvjetništva su imala u radu  46750 raznih kaznenih predmeta u kojima su vršena preliminarna istraživanja ili provjeravane pritužbe građana. </w:t>
      </w:r>
    </w:p>
    <w:p w:rsidR="00AC0832" w:rsidRDefault="00AC0832">
      <w:pPr>
        <w:pStyle w:val="Normal6"/>
      </w:pPr>
      <w:r>
        <w:t>Građanko-upravni odjeli općinskih državnih odvjetništava imali su u radu ukupno 64712 predmeta, bez raznih predmeta koji se posebno ne iskazuju. Riješeno je donošenjem odluke u državnom odvjetništvu, odnosno kroz očitovanja na podneske i tužbe drugih 58761 predmeta dok je ostalo neriješeno 1492 predmeta i to u velikoj većini kod drugih državnih tijela od kojih se čekaju podaci nužni za donošenje odluke. Postotak neriješenih predmeta iznosio je 11,2% i cijenimo kako je na ovom području državno odvjetništvo ostvarilo onaj posao koji je planiran prilikom zahtijevanja sredstava. Pored gore navedenih poslova općinska državna odvjetništva su ovlaštena na pokretanje prekršajnih postupaka u svim predmetima. U ostvarivanju svojih zadaća na tom području podneseno je 2193 optužnih akata, od toga 2129 optužnih prijedloga prekršajnim sudovima, 14 optužna prijedloga nadležnim državnim tijelima i  55 prekršajna naloga.</w:t>
      </w:r>
    </w:p>
    <w:p w:rsidR="00AC0832" w:rsidRDefault="00AC0832">
      <w:pPr>
        <w:pStyle w:val="Heading2"/>
      </w:pPr>
      <w:r>
        <w:t>11075 Prekršajni sudovi</w:t>
      </w:r>
    </w:p>
    <w:p w:rsidR="00AC0832" w:rsidRDefault="00AC0832">
      <w:pPr>
        <w:pStyle w:val="Heading4"/>
      </w:pPr>
      <w:r>
        <w:t>Uvod</w:t>
      </w:r>
    </w:p>
    <w:p w:rsidR="00AC0832" w:rsidRDefault="00AC0832">
      <w:pPr>
        <w:pStyle w:val="Normal3"/>
      </w:pPr>
      <w:r>
        <w:t xml:space="preserve">Glava 11075 – Prekršajni sudovi obuhvaća 61 prekršajni sud koji su osnovani temeljem Zakona o sudovima i Zakona o prekršajima. </w:t>
      </w:r>
    </w:p>
    <w:p w:rsidR="00AC0832" w:rsidRDefault="00AC0832">
      <w:pPr>
        <w:pStyle w:val="Normal3"/>
      </w:pPr>
      <w:r>
        <w:t>Prekršajni sudovi sude u prvom stupnju o prekršajima, osim ako za vođenje prekršajnog postupka zakonom nije propisana stvarna nadležnost drugog tijela. U drugom stupnju sudovi odlučuju o žalbama na odluke koje donose suci radi pripremanja i vođenja postupka, ako zakonom nije određena nadležnost Visokoga prekršajnog suda. Prekršajni sudovi obavljaju poslove međunarodne pravne pomoći u postupcima iz svoje nadležnosti, te druge poslove određene zakonom. Zakonom se može odrediti jedan prekršajni sud koji će odlučivati u određenoj vrsti predmeta iz djelokruga prekršajnog suda s područja više prekršajnih sudova.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11075-Prekršajni sudovi</w:t>
            </w:r>
          </w:p>
        </w:tc>
        <w:tc>
          <w:tcPr>
            <w:tcW w:w="2322" w:type="dxa"/>
          </w:tcPr>
          <w:p w:rsidR="00AC0832" w:rsidRDefault="00AC0832">
            <w:pPr>
              <w:pStyle w:val="CellColumn"/>
            </w:pPr>
            <w:r>
              <w:t>216.855.230</w:t>
            </w:r>
          </w:p>
        </w:tc>
        <w:tc>
          <w:tcPr>
            <w:tcW w:w="2322" w:type="dxa"/>
          </w:tcPr>
          <w:p w:rsidR="00AC0832" w:rsidRDefault="00AC0832">
            <w:pPr>
              <w:pStyle w:val="CellColumn"/>
            </w:pPr>
            <w:r>
              <w:t>216.592.320</w:t>
            </w:r>
          </w:p>
        </w:tc>
        <w:tc>
          <w:tcPr>
            <w:tcW w:w="2322" w:type="dxa"/>
          </w:tcPr>
          <w:p w:rsidR="00AC0832" w:rsidRDefault="00AC0832">
            <w:pPr>
              <w:pStyle w:val="CellColumn"/>
            </w:pPr>
            <w:r>
              <w:t>99,9</w:t>
            </w:r>
          </w:p>
        </w:tc>
      </w:tr>
      <w:tr w:rsidR="00AC0832" w:rsidTr="00BE20ED">
        <w:trPr>
          <w:jc w:val="center"/>
        </w:trPr>
        <w:tc>
          <w:tcPr>
            <w:tcW w:w="2322" w:type="dxa"/>
          </w:tcPr>
          <w:p w:rsidR="00AC0832" w:rsidRDefault="00AC0832">
            <w:pPr>
              <w:pStyle w:val="CellColumnSmall"/>
            </w:pPr>
            <w:r>
              <w:t>2803-VOĐENJE SUDSKIH POSTUPAKA</w:t>
            </w:r>
          </w:p>
        </w:tc>
        <w:tc>
          <w:tcPr>
            <w:tcW w:w="2322" w:type="dxa"/>
          </w:tcPr>
          <w:p w:rsidR="00AC0832" w:rsidRDefault="00AC0832">
            <w:pPr>
              <w:pStyle w:val="CellColumnSmall"/>
            </w:pPr>
            <w:r>
              <w:t>216.855.230</w:t>
            </w:r>
          </w:p>
        </w:tc>
        <w:tc>
          <w:tcPr>
            <w:tcW w:w="2322" w:type="dxa"/>
          </w:tcPr>
          <w:p w:rsidR="00AC0832" w:rsidRDefault="00AC0832">
            <w:pPr>
              <w:pStyle w:val="CellColumnSmall"/>
            </w:pPr>
            <w:r>
              <w:t>216.592.320</w:t>
            </w:r>
          </w:p>
        </w:tc>
        <w:tc>
          <w:tcPr>
            <w:tcW w:w="2322" w:type="dxa"/>
          </w:tcPr>
          <w:p w:rsidR="00AC0832" w:rsidRDefault="00AC0832">
            <w:pPr>
              <w:pStyle w:val="CellColumnSmall"/>
            </w:pPr>
            <w:r>
              <w:t>99,9</w:t>
            </w:r>
          </w:p>
        </w:tc>
      </w:tr>
    </w:tbl>
    <w:p w:rsidR="00AC0832" w:rsidRDefault="00AC0832">
      <w:pPr>
        <w:jc w:val="left"/>
      </w:pPr>
    </w:p>
    <w:p w:rsidR="00AC0832" w:rsidRDefault="00AC0832">
      <w:pPr>
        <w:pStyle w:val="Heading4"/>
      </w:pPr>
      <w:r>
        <w:t>OBRAZLOŽENJE PROGRAMA</w:t>
      </w:r>
    </w:p>
    <w:p w:rsidR="00AC0832" w:rsidRDefault="00AC0832">
      <w:pPr>
        <w:pStyle w:val="Heading5"/>
      </w:pPr>
      <w:r>
        <w:t>2803 VOĐENJE SUDSKIH POSTUPAKA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2803-VOĐENJE SUDSKIH POSTUPAKA</w:t>
            </w:r>
          </w:p>
        </w:tc>
        <w:tc>
          <w:tcPr>
            <w:tcW w:w="2322" w:type="dxa"/>
          </w:tcPr>
          <w:p w:rsidR="00AC0832" w:rsidRDefault="00AC0832">
            <w:pPr>
              <w:pStyle w:val="CellColumn"/>
            </w:pPr>
            <w:r>
              <w:t>216.855.230</w:t>
            </w:r>
          </w:p>
        </w:tc>
        <w:tc>
          <w:tcPr>
            <w:tcW w:w="2322" w:type="dxa"/>
          </w:tcPr>
          <w:p w:rsidR="00AC0832" w:rsidRDefault="00AC0832">
            <w:pPr>
              <w:pStyle w:val="CellColumn"/>
            </w:pPr>
            <w:r>
              <w:t>216.592.320</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6"/>
      </w:pPr>
      <w:r>
        <w:t>Opis programa</w:t>
      </w:r>
    </w:p>
    <w:p w:rsidR="00AC0832" w:rsidRDefault="00AC0832">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prekršajni sud RH, Upravni sud RH, županijski sudovi, trgovački sudovi, općinski sudovi i prekršajni sudovi. U Državnom proračunu Republike Hrvatske „Program Vođenje sudskih postupaka“ obuhvaća vođenje sudskih postupaka iz nadležnosti Vrhovnog suda Republike Hrvatske, Visokog trgovačkog suda RH, Upravnog suda Republike Hrvatske, Visokog prekršajnog suda Republike Hrvatske, županijskih sudova, trgovačkih sudova, općinskih sudova i prekršajnih sudova.</w:t>
      </w:r>
    </w:p>
    <w:p w:rsidR="00AC0832" w:rsidRDefault="00AC0832">
      <w:pPr>
        <w:pStyle w:val="Heading6"/>
      </w:pPr>
      <w:r>
        <w:t>Zakonske i druge pravne osnove</w:t>
      </w:r>
    </w:p>
    <w:p w:rsidR="00AC0832" w:rsidRDefault="00AC0832">
      <w:pPr>
        <w:pStyle w:val="Normal5"/>
      </w:pPr>
      <w:r>
        <w:t>Zakon o sudovima („Narodne novine“, broj 150/05, 16/07, 113/08, 153/09 i 116/10, 27/11, 130/11 i 28/13), Zakon o područjima i sjedištima sudova („Narodne novine“, broj 85/08, 144/10 i 84/11) i Zakon o područjima i sjedištima prekršajnih sudova "Narodne novine" broj 137/09).</w:t>
      </w:r>
    </w:p>
    <w:p w:rsidR="00AC0832" w:rsidRDefault="00AC0832">
      <w:pPr>
        <w:pStyle w:val="Heading7"/>
      </w:pPr>
      <w:r>
        <w:t xml:space="preserve">Cilj 1. Jedinstvena primjena zakona i ravnopravnost građana te jednakost svih pred zakonom. </w:t>
      </w:r>
    </w:p>
    <w:p w:rsidR="00AC0832" w:rsidRDefault="00AC0832">
      <w:pPr>
        <w:pStyle w:val="Heading6"/>
      </w:pPr>
      <w:r>
        <w:t>A643000 VOĐENJE SUDSKIH POSTUPAKA IZ NADLEŽNOSTI PREKRŠAJNIH SUDOVA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A643000-VOĐENJE SUDSKIH POSTUPAKA IZ NADLEŽNOSTI PREKRŠAJNIH SUDOVA</w:t>
            </w:r>
          </w:p>
        </w:tc>
        <w:tc>
          <w:tcPr>
            <w:tcW w:w="2322" w:type="dxa"/>
          </w:tcPr>
          <w:p w:rsidR="00AC0832" w:rsidRDefault="00AC0832">
            <w:pPr>
              <w:pStyle w:val="CellColumn"/>
            </w:pPr>
            <w:r>
              <w:t>216.855.230</w:t>
            </w:r>
          </w:p>
        </w:tc>
        <w:tc>
          <w:tcPr>
            <w:tcW w:w="2322" w:type="dxa"/>
          </w:tcPr>
          <w:p w:rsidR="00AC0832" w:rsidRDefault="00AC0832">
            <w:pPr>
              <w:pStyle w:val="CellColumn"/>
            </w:pPr>
            <w:r>
              <w:t>216.592.320</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Prekršajni sudovi osnovani su temeljem Zakona o sudovima i Zakona o prekršajima. </w:t>
      </w:r>
    </w:p>
    <w:p w:rsidR="00AC0832" w:rsidRDefault="00AC0832">
      <w:pPr>
        <w:pStyle w:val="Normal6"/>
      </w:pPr>
      <w:r>
        <w:t xml:space="preserve">Prekršajni sudovi sude u prvom stupnju o prekršajima, osim ako za voñenje prekršajnog </w:t>
      </w:r>
    </w:p>
    <w:p w:rsidR="00AC0832" w:rsidRDefault="00AC0832">
      <w:pPr>
        <w:pStyle w:val="Normal6"/>
      </w:pPr>
      <w:r>
        <w:t xml:space="preserve">postupka zakonom nije propisana stvarna nadležnost drugog tijela. U drugom stupnju </w:t>
      </w:r>
    </w:p>
    <w:p w:rsidR="00AC0832" w:rsidRDefault="00AC0832">
      <w:pPr>
        <w:pStyle w:val="Normal6"/>
      </w:pPr>
      <w:r>
        <w:t xml:space="preserve">sudovi odlučuju o žalbama na odluke koje donose suci radi pripremanja i voñenja </w:t>
      </w:r>
    </w:p>
    <w:p w:rsidR="00AC0832" w:rsidRDefault="00AC0832">
      <w:pPr>
        <w:pStyle w:val="Normal6"/>
      </w:pPr>
      <w:r>
        <w:t xml:space="preserve">postupka, ako zakonom nije odreñena nadležnost Visokoga prekršajnog suda. Prekršajni </w:t>
      </w:r>
    </w:p>
    <w:p w:rsidR="00AC0832" w:rsidRDefault="00AC0832">
      <w:pPr>
        <w:pStyle w:val="Normal6"/>
      </w:pPr>
      <w:r>
        <w:t xml:space="preserve">sudovi obavljaju poslove meñunarodne pravne pomoći u postupcima iz svoje nadležnosti, </w:t>
      </w:r>
    </w:p>
    <w:p w:rsidR="00AC0832" w:rsidRDefault="00AC0832">
      <w:pPr>
        <w:pStyle w:val="Normal6"/>
      </w:pPr>
      <w:r>
        <w:t xml:space="preserve">te druge poslove odreñene zakonom. </w:t>
      </w:r>
    </w:p>
    <w:p w:rsidR="00AC0832" w:rsidRDefault="00AC0832">
      <w:pPr>
        <w:pStyle w:val="Normal6"/>
      </w:pPr>
      <w:r>
        <w:t>Tijekom 2012. godine svi prekršajni  sudovi zaprimili su ukupno  309.984 predmeta, riješili 313.818 predmeta, a ostalo je ukupno neriješeno 176.408 predmeta.</w:t>
      </w:r>
    </w:p>
    <w:p w:rsidR="00AC0832" w:rsidRDefault="00AC0832">
      <w:pPr>
        <w:pStyle w:val="Heading2"/>
      </w:pPr>
      <w:r>
        <w:t>11091 Ured za suzbijanje korupcije i organiziranog kriminaliteta</w:t>
      </w:r>
    </w:p>
    <w:p w:rsidR="00AC0832" w:rsidRDefault="00AC0832">
      <w:pPr>
        <w:pStyle w:val="Heading4"/>
      </w:pPr>
      <w:r>
        <w:t>Uvod</w:t>
      </w:r>
    </w:p>
    <w:p w:rsidR="00AC0832" w:rsidRDefault="00AC0832">
      <w:pPr>
        <w:pStyle w:val="Normal3"/>
      </w:pPr>
      <w:r>
        <w:t xml:space="preserve">Nadležnost Ureda za suzbijanje korupcije i organiziranog kriminaliteta propisana je Zakonom o </w:t>
      </w:r>
    </w:p>
    <w:p w:rsidR="00AC0832" w:rsidRDefault="00AC0832">
      <w:pPr>
        <w:pStyle w:val="Normal3"/>
      </w:pPr>
      <w:r>
        <w:t xml:space="preserve">Uredu za suzbijanje korupcije organiziranog kriminaliteta. USKOK se bavi suzbijanjem korupcije </w:t>
      </w:r>
    </w:p>
    <w:p w:rsidR="00AC0832" w:rsidRDefault="00AC0832">
      <w:pPr>
        <w:pStyle w:val="Normal3"/>
      </w:pPr>
      <w:r>
        <w:t>i organiziranog kriminaliteta. U svim ostalim slučajevima nadležna su državna odvjetništva.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11091-Ured za suzbijanje korupcije i organiziranog kriminaliteta</w:t>
            </w:r>
          </w:p>
        </w:tc>
        <w:tc>
          <w:tcPr>
            <w:tcW w:w="2322" w:type="dxa"/>
          </w:tcPr>
          <w:p w:rsidR="00AC0832" w:rsidRDefault="00AC0832">
            <w:pPr>
              <w:pStyle w:val="CellColumn"/>
            </w:pPr>
            <w:r>
              <w:t>23.175.635</w:t>
            </w:r>
          </w:p>
        </w:tc>
        <w:tc>
          <w:tcPr>
            <w:tcW w:w="2322" w:type="dxa"/>
          </w:tcPr>
          <w:p w:rsidR="00AC0832" w:rsidRDefault="00AC0832">
            <w:pPr>
              <w:pStyle w:val="CellColumn"/>
            </w:pPr>
            <w:r>
              <w:t>22.953.912</w:t>
            </w:r>
          </w:p>
        </w:tc>
        <w:tc>
          <w:tcPr>
            <w:tcW w:w="2322" w:type="dxa"/>
          </w:tcPr>
          <w:p w:rsidR="00AC0832" w:rsidRDefault="00AC0832">
            <w:pPr>
              <w:pStyle w:val="CellColumn"/>
            </w:pPr>
            <w:r>
              <w:t>99,0</w:t>
            </w:r>
          </w:p>
        </w:tc>
      </w:tr>
      <w:tr w:rsidR="00AC0832" w:rsidTr="00BE20ED">
        <w:trPr>
          <w:jc w:val="center"/>
        </w:trPr>
        <w:tc>
          <w:tcPr>
            <w:tcW w:w="2322" w:type="dxa"/>
          </w:tcPr>
          <w:p w:rsidR="00AC0832" w:rsidRDefault="00AC0832">
            <w:pPr>
              <w:pStyle w:val="CellColumnSmall"/>
            </w:pPr>
            <w:r>
              <w:t>2810-SUZBIJANJE KORUPCIJE I ORGANIZIRANOG KRIMINALITETA</w:t>
            </w:r>
          </w:p>
        </w:tc>
        <w:tc>
          <w:tcPr>
            <w:tcW w:w="2322" w:type="dxa"/>
          </w:tcPr>
          <w:p w:rsidR="00AC0832" w:rsidRDefault="00AC0832">
            <w:pPr>
              <w:pStyle w:val="CellColumnSmall"/>
            </w:pPr>
            <w:r>
              <w:t>23.175.635</w:t>
            </w:r>
          </w:p>
        </w:tc>
        <w:tc>
          <w:tcPr>
            <w:tcW w:w="2322" w:type="dxa"/>
          </w:tcPr>
          <w:p w:rsidR="00AC0832" w:rsidRDefault="00AC0832">
            <w:pPr>
              <w:pStyle w:val="CellColumnSmall"/>
            </w:pPr>
            <w:r>
              <w:t>22.953.912</w:t>
            </w:r>
          </w:p>
        </w:tc>
        <w:tc>
          <w:tcPr>
            <w:tcW w:w="2322" w:type="dxa"/>
          </w:tcPr>
          <w:p w:rsidR="00AC0832" w:rsidRDefault="00AC0832">
            <w:pPr>
              <w:pStyle w:val="CellColumnSmall"/>
            </w:pPr>
            <w:r>
              <w:t>99,0</w:t>
            </w:r>
          </w:p>
        </w:tc>
      </w:tr>
    </w:tbl>
    <w:p w:rsidR="00AC0832" w:rsidRDefault="00AC0832">
      <w:pPr>
        <w:jc w:val="left"/>
      </w:pPr>
    </w:p>
    <w:p w:rsidR="00AC0832" w:rsidRDefault="00AC0832">
      <w:pPr>
        <w:pStyle w:val="Heading4"/>
      </w:pPr>
      <w:r>
        <w:t>OBRAZLOŽENJE PROGRAMA</w:t>
      </w:r>
    </w:p>
    <w:p w:rsidR="00AC0832" w:rsidRDefault="00AC0832">
      <w:pPr>
        <w:pStyle w:val="Heading5"/>
      </w:pPr>
      <w:r>
        <w:t>2810 SUZBIJANJE KORUPCIJE I ORGANIZIRANOG KRIMINALITETA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2810-SUZBIJANJE KORUPCIJE I ORGANIZIRANOG KRIMINALITETA</w:t>
            </w:r>
          </w:p>
        </w:tc>
        <w:tc>
          <w:tcPr>
            <w:tcW w:w="2322" w:type="dxa"/>
          </w:tcPr>
          <w:p w:rsidR="00AC0832" w:rsidRDefault="00AC0832">
            <w:pPr>
              <w:pStyle w:val="CellColumn"/>
            </w:pPr>
            <w:r>
              <w:t>23.175.635</w:t>
            </w:r>
          </w:p>
        </w:tc>
        <w:tc>
          <w:tcPr>
            <w:tcW w:w="2322" w:type="dxa"/>
          </w:tcPr>
          <w:p w:rsidR="00AC0832" w:rsidRDefault="00AC0832">
            <w:pPr>
              <w:pStyle w:val="CellColumn"/>
            </w:pPr>
            <w:r>
              <w:t>22.953.912</w:t>
            </w:r>
          </w:p>
        </w:tc>
        <w:tc>
          <w:tcPr>
            <w:tcW w:w="2322" w:type="dxa"/>
          </w:tcPr>
          <w:p w:rsidR="00AC0832" w:rsidRDefault="00AC0832">
            <w:pPr>
              <w:pStyle w:val="CellColumn"/>
            </w:pPr>
            <w:r>
              <w:t>99,0</w:t>
            </w:r>
          </w:p>
        </w:tc>
      </w:tr>
    </w:tbl>
    <w:p w:rsidR="00AC0832" w:rsidRDefault="00AC0832">
      <w:pPr>
        <w:jc w:val="left"/>
      </w:pPr>
    </w:p>
    <w:p w:rsidR="00AC0832" w:rsidRDefault="00AC0832">
      <w:pPr>
        <w:pStyle w:val="Heading6"/>
      </w:pPr>
      <w:r>
        <w:t>Opis programa</w:t>
      </w:r>
    </w:p>
    <w:p w:rsidR="00AC0832" w:rsidRDefault="00AC0832">
      <w:pPr>
        <w:pStyle w:val="Normal5"/>
      </w:pPr>
      <w:r>
        <w:t>Osnovna zadaća programa je progon počinitelja kaznenih djela organiziranog kriminaliteta i korupcije, a pored toga ona je i preventivna, te edukativna antikorupcijska aktivnost s ciljem suzbijanja kriminalnih pojava, podizanja javne svijesti o opasnostima korupcije, potrebi njenog suzbijanja,te provedba drugih aktivnosti predviđenih Nacionalnim programom za borbu protiv korupcije.</w:t>
      </w:r>
    </w:p>
    <w:p w:rsidR="00AC0832" w:rsidRDefault="00AC0832">
      <w:pPr>
        <w:pStyle w:val="Heading6"/>
      </w:pPr>
      <w:r>
        <w:t>Zakonske i druge pravne osnove</w:t>
      </w:r>
    </w:p>
    <w:p w:rsidR="00AC0832" w:rsidRDefault="00AC0832">
      <w:pPr>
        <w:pStyle w:val="Normal5"/>
      </w:pPr>
      <w:r>
        <w:t>Zakon o Uredu za suzbijanje korupcije i organiziranog kriminaliteta („Narodne novine" 76/09), Zakon o državnom odvjetništvu („Narodne novine" broj 76/09, 153/09 i 116/2010) i Zakon o kaznenom postupku („Narodne novine" broj 152/08 i 76/09).</w:t>
      </w:r>
    </w:p>
    <w:p w:rsidR="00AC0832" w:rsidRDefault="00AC0832">
      <w:pPr>
        <w:pStyle w:val="Heading7"/>
      </w:pPr>
      <w:r>
        <w:t xml:space="preserve">Cilj 1. Otkrivanje i suzbijanje pojavnih oblika organiziranog kriminaliteta i korupcije. </w:t>
      </w:r>
    </w:p>
    <w:p w:rsidR="00AC0832" w:rsidRDefault="00AC0832">
      <w:pPr>
        <w:pStyle w:val="Heading8"/>
        <w:jc w:val="left"/>
      </w:pPr>
      <w:r>
        <w:t>Opis provedbe cilja programa</w:t>
      </w:r>
    </w:p>
    <w:p w:rsidR="00AC0832" w:rsidRDefault="00AC0832">
      <w:pPr>
        <w:pStyle w:val="Heading6"/>
      </w:pPr>
      <w:r>
        <w:t>A678000 SUZBIJANJE KORUPCIJE I ORGANIZIRANOG KRIMINALITETA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A678000-SUZBIJANJE KORUPCIJE I ORGANIZIRANOG KRIMINALITETA</w:t>
            </w:r>
          </w:p>
        </w:tc>
        <w:tc>
          <w:tcPr>
            <w:tcW w:w="2322" w:type="dxa"/>
          </w:tcPr>
          <w:p w:rsidR="00AC0832" w:rsidRDefault="00AC0832">
            <w:pPr>
              <w:pStyle w:val="CellColumn"/>
            </w:pPr>
            <w:r>
              <w:t>22.969.535</w:t>
            </w:r>
          </w:p>
        </w:tc>
        <w:tc>
          <w:tcPr>
            <w:tcW w:w="2322" w:type="dxa"/>
          </w:tcPr>
          <w:p w:rsidR="00AC0832" w:rsidRDefault="00AC0832">
            <w:pPr>
              <w:pStyle w:val="CellColumn"/>
            </w:pPr>
            <w:r>
              <w:t>22.747.812</w:t>
            </w:r>
          </w:p>
        </w:tc>
        <w:tc>
          <w:tcPr>
            <w:tcW w:w="2322" w:type="dxa"/>
          </w:tcPr>
          <w:p w:rsidR="00AC0832" w:rsidRDefault="00AC0832">
            <w:pPr>
              <w:pStyle w:val="CellColumn"/>
            </w:pPr>
            <w:r>
              <w:t>99,0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Ured za suzbijanje korupcije i organiziranog kriminaliteta (USKOK) osnovan je 2001. </w:t>
      </w:r>
    </w:p>
    <w:p w:rsidR="00AC0832" w:rsidRDefault="00AC0832">
      <w:pPr>
        <w:pStyle w:val="Normal6"/>
      </w:pPr>
      <w:r>
        <w:t xml:space="preserve">godine kao specijalizirano tijelo u sastavu državnog odvjetništva s ciljem što učinkovitijeg </w:t>
      </w:r>
    </w:p>
    <w:p w:rsidR="00AC0832" w:rsidRDefault="00AC0832">
      <w:pPr>
        <w:pStyle w:val="Normal6"/>
      </w:pPr>
      <w:r>
        <w:t xml:space="preserve">i efikasnijeg suprotstavljanja korupciji i organiziranom kriminalu. </w:t>
      </w:r>
    </w:p>
    <w:p w:rsidR="00AC0832" w:rsidRDefault="00AC0832">
      <w:pPr>
        <w:pStyle w:val="Normal6"/>
      </w:pPr>
      <w:r>
        <w:t xml:space="preserve">Od osnivanja do danas USKOK je dobio veće zakonske ovlasti. Kadrovski se </w:t>
      </w:r>
    </w:p>
    <w:p w:rsidR="00AC0832" w:rsidRDefault="00AC0832">
      <w:pPr>
        <w:pStyle w:val="Normal6"/>
      </w:pPr>
      <w:r>
        <w:t xml:space="preserve">kontinuirano osnažuje, djelatnici prolaze različite edukativne programe u zemlji i </w:t>
      </w:r>
    </w:p>
    <w:p w:rsidR="00AC0832" w:rsidRDefault="00AC0832">
      <w:pPr>
        <w:pStyle w:val="Normal6"/>
      </w:pPr>
      <w:r>
        <w:t xml:space="preserve">inozemstvu. U tijeku je informatizacija koja će, uz ostalo, spajanjem s bazama podataka </w:t>
      </w:r>
    </w:p>
    <w:p w:rsidR="00AC0832" w:rsidRDefault="00AC0832">
      <w:pPr>
        <w:pStyle w:val="Normal6"/>
      </w:pPr>
      <w:r>
        <w:t xml:space="preserve">ostalih tijela u državnoj upravi Uredu uvelike olakšati rad. Nadležnost Ureda za suzbijanje </w:t>
      </w:r>
    </w:p>
    <w:p w:rsidR="00AC0832" w:rsidRDefault="00AC0832">
      <w:pPr>
        <w:pStyle w:val="Normal6"/>
      </w:pPr>
      <w:r>
        <w:t xml:space="preserve">korupcije i organiziranog kriminaliteta propisana je </w:t>
      </w:r>
    </w:p>
    <w:p w:rsidR="00AC0832" w:rsidRDefault="00AC0832">
      <w:pPr>
        <w:pStyle w:val="Normal6"/>
      </w:pPr>
      <w:r>
        <w:t xml:space="preserve">Zakonom o Uredu za suzbijanje korupcije i organiziranog kriminaliteta. USKOK se bavi </w:t>
      </w:r>
    </w:p>
    <w:p w:rsidR="00AC0832" w:rsidRDefault="00AC0832">
      <w:pPr>
        <w:pStyle w:val="Normal6"/>
      </w:pPr>
      <w:r>
        <w:t xml:space="preserve">suzbijanjem korupcije i organiziranog kriminaliteta. U svim ostalim slučajevima nadležna </w:t>
      </w:r>
    </w:p>
    <w:p w:rsidR="00AC0832" w:rsidRDefault="00AC0832">
      <w:pPr>
        <w:pStyle w:val="Normal6"/>
      </w:pPr>
      <w:r>
        <w:t xml:space="preserve">784 </w:t>
      </w:r>
    </w:p>
    <w:p w:rsidR="00AC0832" w:rsidRDefault="00AC0832">
      <w:pPr>
        <w:pStyle w:val="Normal6"/>
      </w:pPr>
      <w:r>
        <w:t xml:space="preserve">su državna odvjetništva. </w:t>
      </w:r>
    </w:p>
    <w:p w:rsidR="00AC0832" w:rsidRDefault="00AC0832">
      <w:pPr>
        <w:pStyle w:val="Normal6"/>
      </w:pPr>
      <w:r>
        <w:t xml:space="preserve">Tijekom 2012. godine Ured je primio 1226 prijava protiv poznatih odraslih osoba, uz to primio je 23 prijave protiv pravnih osoba te 37 prijava protiv nepoznatih osoba. Ured je također primio 985 raznih kaznenih predmeta. Kako je u radu iz 2011. godine i ranijih godina ostalo 105 prijava protiv odraslih osoba, to je ukupno u radu bilo 1331 prijava. </w:t>
      </w:r>
    </w:p>
    <w:p w:rsidR="00AC0832" w:rsidRDefault="00AC0832">
      <w:pPr>
        <w:pStyle w:val="Normal6"/>
      </w:pPr>
      <w:r>
        <w:t xml:space="preserve">Odbačajem je rješena 571 prijava ili 48%, neposrednim optuženjem 98 prijava ili 8%, dok je u odnosu na 531 osobu ili 44% naloženo provođenje istrage. </w:t>
      </w:r>
    </w:p>
    <w:p w:rsidR="00AC0832" w:rsidRDefault="00AC0832">
      <w:pPr>
        <w:pStyle w:val="Normal6"/>
      </w:pPr>
      <w:r>
        <w:t xml:space="preserve">Nakon istrage optuženo je 370 osoba i kada tome pribrojimo neposredna optuženja, proizilazi da je 2012. godine optuženo 468 osoba. Sudovi su donijeli presude u odnosu na 410 osoba, od kojih je 94% osuđujućih. Od 344 osuđenih osoba, njih 140 osuđeno je na kazne zatvora. Protiv donesenih presuda ured je podnio 62 žalbe.  </w:t>
      </w:r>
    </w:p>
    <w:p w:rsidR="00AC0832" w:rsidRDefault="00AC0832">
      <w:pPr>
        <w:pStyle w:val="Normal6"/>
      </w:pPr>
      <w:r>
        <w:t xml:space="preserve">U tijeku 2012. godine u Uredu je u upisniku kaznenih prijava upisano 228 osoba. Ured je po dovršenoj istrazi optužio 158 osoba dok je u odnosu na 9 osoba postupak obustavljen. U 2012. godini sudovi su za kaznena djela organiziranog kriminala donijeli 109 presuda i to sve osuđujeće.  </w:t>
      </w:r>
    </w:p>
    <w:p w:rsidR="00AC0832" w:rsidRDefault="00AC0832">
      <w:pPr>
        <w:pStyle w:val="Normal6"/>
      </w:pPr>
      <w:r>
        <w:t>Za korupcijska kaznena djela u 2012. godini prijavljeno je 911 osoba, optuženo je 286 osoba, od toga za korupciju u užem smislu 153 osobe, a za zlouporabe i ovlasti 133 osobe. Za  korupcijska kaznena djela sudovi su donijeli 272 presude od čega 2502 osuđujuće ili 93% i 17 osobađajućih te 3 odbijajuće.</w:t>
      </w:r>
    </w:p>
    <w:p w:rsidR="00AC0832" w:rsidRDefault="00AC0832">
      <w:pPr>
        <w:pStyle w:val="Heading6"/>
      </w:pPr>
      <w:r>
        <w:t>A678008 MEĐUNARODNA SURADNJA NA SUZBIJANJU ORGANIZIRANOG KRIMINALITETA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A678008-MEĐUNARODNA SURADNJA NA SUZBIJANJU ORGANIZIRANOG KRIMINALITETA</w:t>
            </w:r>
          </w:p>
        </w:tc>
        <w:tc>
          <w:tcPr>
            <w:tcW w:w="2322" w:type="dxa"/>
          </w:tcPr>
          <w:p w:rsidR="00AC0832" w:rsidRDefault="00AC0832">
            <w:pPr>
              <w:pStyle w:val="CellColumn"/>
            </w:pPr>
            <w:r>
              <w:t>150.000</w:t>
            </w:r>
          </w:p>
        </w:tc>
        <w:tc>
          <w:tcPr>
            <w:tcW w:w="2322" w:type="dxa"/>
          </w:tcPr>
          <w:p w:rsidR="00AC0832" w:rsidRDefault="00AC0832">
            <w:pPr>
              <w:pStyle w:val="CellColumn"/>
            </w:pPr>
            <w:r>
              <w:t>150.000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Razmjena podataka i dokaza, održavanje koordinativnih sastanaka, ispitivanje okrivljenika i svjedoka, izručenja, provođenje posebnih dokaznih radnji i dr. radi efikasnog suzbijanja organiziranog kriminaliteta s međunarodnim elementom kroz međunarodnu suradnju. </w:t>
      </w:r>
    </w:p>
    <w:p w:rsidR="00AC0832" w:rsidRDefault="00AC0832">
      <w:pPr>
        <w:pStyle w:val="Normal6"/>
      </w:pPr>
      <w:r>
        <w:t>U predmetima organiziranog kriminaliteta u 2012. godini obavljena je 41aktivnost međunarodne suradnje putem zamolbi za pružanje međunarodne pravne pomoći koje su upućivane nadležnim tijelima stranih država ili zamolbi koje su zaprimljene od nadležnih tijela stranih država.</w:t>
      </w:r>
    </w:p>
    <w:p w:rsidR="00AC0832" w:rsidRDefault="00AC0832">
      <w:pPr>
        <w:pStyle w:val="Heading6"/>
      </w:pPr>
      <w:r>
        <w:t>A678009 SUSTAV ANALITIČKOG PRAĆENJA ORGANIZIRANOG KRIMINALITETA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A678009-SUSTAV ANALITIČKOG PRAĆENJA ORGANIZIRANOG KRIMINALITETA</w:t>
            </w:r>
          </w:p>
        </w:tc>
        <w:tc>
          <w:tcPr>
            <w:tcW w:w="2322" w:type="dxa"/>
          </w:tcPr>
          <w:p w:rsidR="00AC0832" w:rsidRDefault="00AC0832">
            <w:pPr>
              <w:pStyle w:val="CellColumn"/>
            </w:pPr>
            <w:r>
              <w:t>56.100</w:t>
            </w:r>
          </w:p>
        </w:tc>
        <w:tc>
          <w:tcPr>
            <w:tcW w:w="2322" w:type="dxa"/>
          </w:tcPr>
          <w:p w:rsidR="00AC0832" w:rsidRDefault="00AC0832">
            <w:pPr>
              <w:pStyle w:val="CellColumn"/>
            </w:pPr>
            <w:r>
              <w:t>56.100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USKOK u aplikaciju unosi podatke o nalozima o provođenju istrage te podatke o podignutim optužnicama protiv okrivljenikazbog kaznenih djela organiziranog kriminaliteta. </w:t>
      </w:r>
    </w:p>
    <w:p w:rsidR="00AC0832" w:rsidRDefault="00AC0832">
      <w:pPr>
        <w:pStyle w:val="Normal6"/>
      </w:pPr>
      <w:r>
        <w:t xml:space="preserve">s ciljem sustavnog analitičkog praćenja rada na predmetima organiziranog kriminaliteta (broj predmeta, faza u kojoj se predmet nalazi, okrivljenici i kaznena djela  i dr.) </w:t>
      </w:r>
    </w:p>
    <w:p w:rsidR="00AC0832" w:rsidRDefault="00AC0832">
      <w:pPr>
        <w:pStyle w:val="Normal6"/>
      </w:pPr>
      <w:r>
        <w:t>Tijekom 2012. u Aplikaciju su uneseni podaci o predmetima organiziranog kriminaliteta koji su korišteni za sačinjavanje izvješća o kretanju organiziranog kriminaliteta kao i za potrebe sudjelovanja tužitelja USKOK-a na međunarodnim konferencijama i drugim skupovima.</w:t>
      </w:r>
    </w:p>
    <w:p w:rsidR="00AC0832" w:rsidRDefault="00AC0832">
      <w:pPr>
        <w:pStyle w:val="Heading1"/>
      </w:pPr>
      <w:r>
        <w:t>120 URED PUČKOG PRAVOBRANITELJA</w:t>
      </w:r>
    </w:p>
    <w:p w:rsidR="00AC0832" w:rsidRDefault="00AC0832">
      <w:pPr>
        <w:pStyle w:val="Heading4"/>
      </w:pPr>
      <w:r>
        <w:t>Uvod</w:t>
      </w:r>
    </w:p>
    <w:p w:rsidR="00AC0832" w:rsidRDefault="00AC0832">
      <w:pPr>
        <w:pStyle w:val="Normal3"/>
      </w:pPr>
      <w:r>
        <w:t xml:space="preserve">Izmjenama Ustava Republike Hrvatske iz 2010. godine znatno je ojačana uloga pučkog pravobranitelja. Najvažnije su promjene u proširenju nadležnosti postupanja prema svim državnim tijelima, jačanju samostalnosti, neovisnosti i njegove uloge u promicanju ljudskih prava, te uvođenje ovlasti i dužnosti praćenja usklađenosti zakona i drugih propisa s odredbama Ustava Republike Hrvatske i međunarodnim pravnim aktima koji su dio unutarnjeg pravnog poretka Republike Hrvatske. </w:t>
      </w:r>
    </w:p>
    <w:p w:rsidR="00AC0832" w:rsidRDefault="00AC0832">
      <w:pPr>
        <w:pStyle w:val="Normal3"/>
      </w:pPr>
      <w:r>
        <w:t xml:space="preserve"> </w:t>
      </w:r>
    </w:p>
    <w:p w:rsidR="00AC0832" w:rsidRDefault="00AC0832">
      <w:pPr>
        <w:pStyle w:val="Normal3"/>
      </w:pPr>
      <w:r>
        <w:t>Stupanjem na snagu novog Zakona o pučkom pravobranitelju (Nar, nov., br. 76/12), dana 9. srpnja 2012. godine, pučkom pravobranitelju pripojena je javna ustanova Centar za ljudska prava te su u skladu s odredbama istog Zakona, preuzeti u Ured pučkog pravobranitelja zaposlenici Centra za ljudska prava (6 zaposlenika). Od tog datuma troškove za plaće, režijske troškove i troškove vezane za poslove koje obavljaju novi službenici Ureda pučkog pravobranitelja snosi pučki pravobranitelj.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12005-Ured pučkog pravobranitelja</w:t>
            </w:r>
          </w:p>
        </w:tc>
        <w:tc>
          <w:tcPr>
            <w:tcW w:w="2322" w:type="dxa"/>
          </w:tcPr>
          <w:p w:rsidR="00AC0832" w:rsidRDefault="00AC0832">
            <w:pPr>
              <w:pStyle w:val="CellColumn"/>
            </w:pPr>
            <w:r>
              <w:t>10.466.450</w:t>
            </w:r>
          </w:p>
        </w:tc>
        <w:tc>
          <w:tcPr>
            <w:tcW w:w="2322" w:type="dxa"/>
          </w:tcPr>
          <w:p w:rsidR="00AC0832" w:rsidRDefault="00AC0832">
            <w:pPr>
              <w:pStyle w:val="CellColumn"/>
            </w:pPr>
            <w:r>
              <w:t>9.873.057</w:t>
            </w:r>
          </w:p>
        </w:tc>
        <w:tc>
          <w:tcPr>
            <w:tcW w:w="2322" w:type="dxa"/>
          </w:tcPr>
          <w:p w:rsidR="00AC0832" w:rsidRDefault="00AC0832">
            <w:pPr>
              <w:pStyle w:val="CellColumn"/>
            </w:pPr>
            <w:r>
              <w:t>94,3</w:t>
            </w:r>
          </w:p>
        </w:tc>
      </w:tr>
      <w:tr w:rsidR="00AC0832" w:rsidTr="00BE20ED">
        <w:trPr>
          <w:jc w:val="center"/>
        </w:trPr>
        <w:tc>
          <w:tcPr>
            <w:tcW w:w="2322" w:type="dxa"/>
            <w:shd w:val="clear" w:color="auto" w:fill="B5C0D8"/>
          </w:tcPr>
          <w:p w:rsidR="00AC0832" w:rsidRDefault="00AC0832">
            <w:pPr>
              <w:pStyle w:val="CellColumn"/>
            </w:pPr>
            <w:r>
              <w:t>Ukupno 120-URED PUČKOG PRAVOBRANITELJA</w:t>
            </w:r>
          </w:p>
        </w:tc>
        <w:tc>
          <w:tcPr>
            <w:tcW w:w="2322" w:type="dxa"/>
            <w:shd w:val="clear" w:color="auto" w:fill="B5C0D8"/>
          </w:tcPr>
          <w:p w:rsidR="00AC0832" w:rsidRDefault="00AC0832">
            <w:pPr>
              <w:pStyle w:val="CellColumn"/>
            </w:pPr>
            <w:r>
              <w:t>10.466.450</w:t>
            </w:r>
          </w:p>
        </w:tc>
        <w:tc>
          <w:tcPr>
            <w:tcW w:w="2322" w:type="dxa"/>
            <w:shd w:val="clear" w:color="auto" w:fill="B5C0D8"/>
          </w:tcPr>
          <w:p w:rsidR="00AC0832" w:rsidRDefault="00AC0832">
            <w:pPr>
              <w:pStyle w:val="CellColumn"/>
            </w:pPr>
            <w:r>
              <w:t>9.873.057</w:t>
            </w:r>
          </w:p>
        </w:tc>
        <w:tc>
          <w:tcPr>
            <w:tcW w:w="2322" w:type="dxa"/>
            <w:shd w:val="clear" w:color="auto" w:fill="B5C0D8"/>
          </w:tcPr>
          <w:p w:rsidR="00AC0832" w:rsidRDefault="00AC0832">
            <w:pPr>
              <w:pStyle w:val="CellColumn"/>
            </w:pPr>
            <w:r>
              <w:t>94,3</w:t>
            </w:r>
          </w:p>
        </w:tc>
      </w:tr>
    </w:tbl>
    <w:p w:rsidR="00AC0832" w:rsidRDefault="00AC0832">
      <w:pPr>
        <w:jc w:val="left"/>
      </w:pPr>
    </w:p>
    <w:p w:rsidR="00AC0832" w:rsidRDefault="00AC0832">
      <w:pPr>
        <w:pStyle w:val="Heading2"/>
      </w:pPr>
      <w:r>
        <w:t>12005 Ured pučkog pravobranitelja</w:t>
      </w:r>
    </w:p>
    <w:p w:rsidR="00AC0832" w:rsidRDefault="00AC0832">
      <w:pPr>
        <w:pStyle w:val="Heading4"/>
      </w:pPr>
      <w:r>
        <w:t>Uvod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12005-Ured pučkog pravobranitelja</w:t>
            </w:r>
          </w:p>
        </w:tc>
        <w:tc>
          <w:tcPr>
            <w:tcW w:w="2322" w:type="dxa"/>
          </w:tcPr>
          <w:p w:rsidR="00AC0832" w:rsidRDefault="00AC0832">
            <w:pPr>
              <w:pStyle w:val="CellColumn"/>
            </w:pPr>
            <w:r>
              <w:t>10.466.450</w:t>
            </w:r>
          </w:p>
        </w:tc>
        <w:tc>
          <w:tcPr>
            <w:tcW w:w="2322" w:type="dxa"/>
          </w:tcPr>
          <w:p w:rsidR="00AC0832" w:rsidRDefault="00AC0832">
            <w:pPr>
              <w:pStyle w:val="CellColumn"/>
            </w:pPr>
            <w:r>
              <w:t>9.873.057</w:t>
            </w:r>
          </w:p>
        </w:tc>
        <w:tc>
          <w:tcPr>
            <w:tcW w:w="2322" w:type="dxa"/>
          </w:tcPr>
          <w:p w:rsidR="00AC0832" w:rsidRDefault="00AC0832">
            <w:pPr>
              <w:pStyle w:val="CellColumn"/>
            </w:pPr>
            <w:r>
              <w:t>94,3</w:t>
            </w:r>
          </w:p>
        </w:tc>
      </w:tr>
      <w:tr w:rsidR="00AC0832" w:rsidTr="00BE20ED">
        <w:trPr>
          <w:jc w:val="center"/>
        </w:trPr>
        <w:tc>
          <w:tcPr>
            <w:tcW w:w="2322" w:type="dxa"/>
          </w:tcPr>
          <w:p w:rsidR="00AC0832" w:rsidRDefault="00AC0832">
            <w:pPr>
              <w:pStyle w:val="CellColumnSmall"/>
            </w:pPr>
            <w:r>
              <w:t>2115-ZAŠTITA I PROMICANJE LJUDSKIH PRAVA I SUZBIJANJE DISKRIMINACIJE</w:t>
            </w:r>
          </w:p>
        </w:tc>
        <w:tc>
          <w:tcPr>
            <w:tcW w:w="2322" w:type="dxa"/>
          </w:tcPr>
          <w:p w:rsidR="00AC0832" w:rsidRDefault="00AC0832">
            <w:pPr>
              <w:pStyle w:val="CellColumnSmall"/>
            </w:pPr>
            <w:r>
              <w:t>10.466.450</w:t>
            </w:r>
          </w:p>
        </w:tc>
        <w:tc>
          <w:tcPr>
            <w:tcW w:w="2322" w:type="dxa"/>
          </w:tcPr>
          <w:p w:rsidR="00AC0832" w:rsidRDefault="00AC0832">
            <w:pPr>
              <w:pStyle w:val="CellColumnSmall"/>
            </w:pPr>
            <w:r>
              <w:t>9.873.057</w:t>
            </w:r>
          </w:p>
        </w:tc>
        <w:tc>
          <w:tcPr>
            <w:tcW w:w="2322" w:type="dxa"/>
          </w:tcPr>
          <w:p w:rsidR="00AC0832" w:rsidRDefault="00AC0832">
            <w:pPr>
              <w:pStyle w:val="CellColumnSmall"/>
            </w:pPr>
            <w:r>
              <w:t>94,3</w:t>
            </w:r>
          </w:p>
        </w:tc>
      </w:tr>
    </w:tbl>
    <w:p w:rsidR="00AC0832" w:rsidRDefault="00AC0832">
      <w:pPr>
        <w:jc w:val="left"/>
      </w:pPr>
    </w:p>
    <w:p w:rsidR="00AC0832" w:rsidRDefault="00AC0832">
      <w:pPr>
        <w:pStyle w:val="Heading4"/>
      </w:pPr>
      <w:r>
        <w:t>OBRAZLOŽENJE PROGRAMA</w:t>
      </w:r>
    </w:p>
    <w:p w:rsidR="00AC0832" w:rsidRDefault="00AC0832">
      <w:pPr>
        <w:pStyle w:val="Heading5"/>
      </w:pPr>
      <w:r>
        <w:t>2115 ZAŠTITA I PROMICANJE LJUDSKIH PRAVA I SUZBIJANJE DISKRIMINACIJE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2115-ZAŠTITA I PROMICANJE LJUDSKIH PRAVA I SUZBIJANJE DISKRIMINACIJE</w:t>
            </w:r>
          </w:p>
        </w:tc>
        <w:tc>
          <w:tcPr>
            <w:tcW w:w="2322" w:type="dxa"/>
          </w:tcPr>
          <w:p w:rsidR="00AC0832" w:rsidRDefault="00AC0832">
            <w:pPr>
              <w:pStyle w:val="CellColumn"/>
            </w:pPr>
            <w:r>
              <w:t>10.466.450</w:t>
            </w:r>
          </w:p>
        </w:tc>
        <w:tc>
          <w:tcPr>
            <w:tcW w:w="2322" w:type="dxa"/>
          </w:tcPr>
          <w:p w:rsidR="00AC0832" w:rsidRDefault="00AC0832">
            <w:pPr>
              <w:pStyle w:val="CellColumn"/>
            </w:pPr>
            <w:r>
              <w:t>9.873.057</w:t>
            </w:r>
          </w:p>
        </w:tc>
        <w:tc>
          <w:tcPr>
            <w:tcW w:w="2322" w:type="dxa"/>
          </w:tcPr>
          <w:p w:rsidR="00AC0832" w:rsidRDefault="00AC0832">
            <w:pPr>
              <w:pStyle w:val="CellColumn"/>
            </w:pPr>
            <w:r>
              <w:t>94,3</w:t>
            </w:r>
          </w:p>
        </w:tc>
      </w:tr>
    </w:tbl>
    <w:p w:rsidR="00AC0832" w:rsidRDefault="00AC0832">
      <w:pPr>
        <w:jc w:val="left"/>
      </w:pPr>
    </w:p>
    <w:p w:rsidR="00AC0832" w:rsidRDefault="00AC0832">
      <w:pPr>
        <w:pStyle w:val="Heading6"/>
      </w:pPr>
      <w:r>
        <w:t>Opis programa</w:t>
      </w:r>
    </w:p>
    <w:p w:rsidR="00AC0832" w:rsidRDefault="00AC0832">
      <w:pPr>
        <w:pStyle w:val="Normal5"/>
      </w:pPr>
      <w:r>
        <w:t xml:space="preserve">Pučki pravobranitelj štiti ustavna i zakonska prava građana u postupcima pred državnom upravom i tijelima koja imaju javne ovlasti, u postupcima pred Ministarstvom obrane, oružanim snagama i službama sigurnosti, pred tijelima lokalne i područne (regionalne) samouprave te razmatra pojedinačne slučajeve ugroženosti prava građana te razmatra druga pitanja koja su od interesa za zaštitu ustavnih i zakonskih prava, a o kojima je informiran putem sredstava javnog priopćavanja i drugih izvora saznanja. </w:t>
      </w:r>
    </w:p>
    <w:p w:rsidR="00AC0832" w:rsidRDefault="00AC0832">
      <w:pPr>
        <w:pStyle w:val="Normal5"/>
      </w:pPr>
      <w:r>
        <w:t xml:space="preserve">Stupanjem na snagu Zakona o suzbijanju diskriminacije 1. siječnja 2009.  pučki pravobranitelj obavlja poslove središnjeg tijela za suzbijanje diskriminacije s ciljem zaštite ljudskih prava. </w:t>
      </w:r>
    </w:p>
    <w:p w:rsidR="00AC0832" w:rsidRDefault="00AC0832">
      <w:pPr>
        <w:pStyle w:val="Normal5"/>
      </w:pPr>
      <w:r>
        <w:t xml:space="preserve">Zakonom o nacionalnom mehanizmu za sprečavanje mučenja i drugih okrutnih, neljudskih ili ponižavajućih postupaka ili kažnjavanja koji je stupio na snagu 1. siječnja 2011. godine, pučki pravobranitelj osigurava djelovanje Nacionalnog mehanizma za sprečavanje mučenja. </w:t>
      </w:r>
    </w:p>
    <w:p w:rsidR="00AC0832" w:rsidRDefault="00AC0832">
      <w:pPr>
        <w:pStyle w:val="Normal5"/>
      </w:pPr>
      <w:r>
        <w:t xml:space="preserve">Pučki pravobranitelj ima tri zamjenika, a stručna služba se sastoji od Savjetničke službe, Službe za opće poslove i Službe za dokumentaciju i evidenciju.  </w:t>
      </w:r>
    </w:p>
    <w:p w:rsidR="00AC0832" w:rsidRDefault="00AC0832">
      <w:pPr>
        <w:pStyle w:val="Normal5"/>
      </w:pPr>
      <w:r>
        <w:t xml:space="preserve">Cilj pučkog pravobranitelja je  promicanje i zaštita ljudskih prava i sloboda utvrđenih Ustavom Republike Hrvatske, zakonima, napose Zakonom o pučkom pravobranitelju i međunarodnim pravnim aktima o ljudskim pravima koje je prihvatila Republika Hrvatska. </w:t>
      </w:r>
    </w:p>
    <w:p w:rsidR="00AC0832" w:rsidRDefault="00AC0832">
      <w:pPr>
        <w:pStyle w:val="Normal5"/>
      </w:pPr>
      <w:r>
        <w:t xml:space="preserve">Cilj proizlazi iz ustavnih i zakonskih normi koje određuju položaj i nadležnost, odnosno zadatke pučkog pravobranitelja u pravno-političkom sustavu Republike Hrvatske. </w:t>
      </w:r>
    </w:p>
    <w:p w:rsidR="00AC0832" w:rsidRDefault="00AC0832">
      <w:pPr>
        <w:pStyle w:val="Normal5"/>
      </w:pPr>
      <w:r>
        <w:t>Ostvarenje cilja provodi se kroz obradu predmeta, broj preporuka, stjecanje specifičnih znanja i vještina, održavanje okruglih stolova temu suzbijanja diskriminacije, broj obilazaka mjesta u kojim se nalaze osobe lišene slobode, objava Izvješća o radu NPM te preporuka, broj podnesaka i susreta s međunarodnim tijelima.</w:t>
      </w:r>
    </w:p>
    <w:p w:rsidR="00AC0832" w:rsidRDefault="00AC0832">
      <w:pPr>
        <w:pStyle w:val="Heading6"/>
      </w:pPr>
      <w:r>
        <w:t>Zakonske i druge pravne osnove</w:t>
      </w:r>
    </w:p>
    <w:p w:rsidR="00AC0832" w:rsidRDefault="00AC0832">
      <w:pPr>
        <w:pStyle w:val="Normal5"/>
      </w:pPr>
      <w:r>
        <w:t xml:space="preserve">Zakon o pučkom pravobranitelju (N.N. 76/12 ) </w:t>
      </w:r>
    </w:p>
    <w:p w:rsidR="00AC0832" w:rsidRDefault="00AC0832">
      <w:pPr>
        <w:pStyle w:val="Normal5"/>
      </w:pPr>
      <w:r>
        <w:t xml:space="preserve">Zakon o suzbijanju diskriminacije (N.N 85/0/8) </w:t>
      </w:r>
    </w:p>
    <w:p w:rsidR="00AC0832" w:rsidRDefault="00AC0832">
      <w:pPr>
        <w:pStyle w:val="Normal5"/>
      </w:pPr>
      <w:r>
        <w:t xml:space="preserve">Zakon o izmjenama i dopunama Zakona o suzbijanju diskriminacije (N.N. 112/12 ) </w:t>
      </w:r>
    </w:p>
    <w:p w:rsidR="00AC0832" w:rsidRDefault="00AC0832">
      <w:pPr>
        <w:pStyle w:val="Normal5"/>
      </w:pPr>
      <w:r>
        <w:t xml:space="preserve">Zakonom o nacionalnom preventivnom mehanizmu za sprečavanje mučenja i drugih okrutnih, neljudskih ili ponižavajućih postupaka ili kažnjavanja (N.N. 18/11) </w:t>
      </w:r>
    </w:p>
    <w:p w:rsidR="00AC0832" w:rsidRDefault="00AC0832">
      <w:pPr>
        <w:pStyle w:val="Normal5"/>
      </w:pPr>
      <w:r>
        <w:t>Pravilnik o postupku imenovanja i načinu rada predstavnika udruga i predstavnika akademske zajednice u Nacionalnom preventivnom mehanizmu za sprečavanje mučenja i drugih okrutnih, neljudskih ili ponižavajućih postupaka ili kažnjavanja (N.N. 22/12)</w:t>
      </w:r>
    </w:p>
    <w:p w:rsidR="00AC0832" w:rsidRDefault="00AC0832">
      <w:pPr>
        <w:pStyle w:val="Heading7"/>
      </w:pPr>
      <w:r>
        <w:t>Cilj 1. . Zaštita ljudskih prava i suzbijanje diskriminacije</w:t>
      </w:r>
    </w:p>
    <w:p w:rsidR="00AC0832" w:rsidRDefault="00AC0832">
      <w:pPr>
        <w:pStyle w:val="Heading8"/>
        <w:jc w:val="left"/>
      </w:pPr>
      <w:r>
        <w:t>Opis provedbe cilja programa</w:t>
      </w:r>
    </w:p>
    <w:p w:rsidR="00AC0832" w:rsidRDefault="00AC0832">
      <w:pPr>
        <w:pStyle w:val="Normal6"/>
      </w:pPr>
      <w:r>
        <w:t>Pučkom pravobranitelju mogu se obratiti građani koji smatraju da su im povrijeđena prava i slobode zajamčena Ustavom i zakonima Repubkike Hrvatske kao što su osobne i političke slobode i prava te gospodarska, socijalna i kulturna prava i slobode.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328"/>
        <w:gridCol w:w="1276"/>
        <w:gridCol w:w="1284"/>
        <w:gridCol w:w="1528"/>
        <w:gridCol w:w="1284"/>
        <w:gridCol w:w="128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zaprimljenih pritužbi</w:t>
            </w:r>
          </w:p>
        </w:tc>
        <w:tc>
          <w:tcPr>
            <w:tcW w:w="1300" w:type="dxa"/>
          </w:tcPr>
          <w:p w:rsidR="00AC0832" w:rsidRDefault="00AC0832">
            <w:pPr>
              <w:pStyle w:val="CellColumn"/>
            </w:pPr>
            <w:r>
              <w:t>Pritužbe građana koji smatraju da su nezakonitim ili nesavjesnim radom državnih tijela ugrožena ili povrijeđena njihova ustavna ili zakonska prava i slobode</w:t>
            </w:r>
          </w:p>
        </w:tc>
        <w:tc>
          <w:tcPr>
            <w:tcW w:w="1300" w:type="dxa"/>
          </w:tcPr>
          <w:p w:rsidR="00AC0832" w:rsidRDefault="00AC0832">
            <w:pPr>
              <w:pStyle w:val="CellColumn"/>
            </w:pPr>
            <w:r>
              <w:t>broj</w:t>
            </w:r>
          </w:p>
        </w:tc>
        <w:tc>
          <w:tcPr>
            <w:tcW w:w="1300" w:type="dxa"/>
          </w:tcPr>
          <w:p w:rsidR="00AC0832" w:rsidRDefault="00AC0832">
            <w:pPr>
              <w:pStyle w:val="CellColumn"/>
            </w:pPr>
            <w:r>
              <w:t>1698</w:t>
            </w:r>
          </w:p>
        </w:tc>
        <w:tc>
          <w:tcPr>
            <w:tcW w:w="1300" w:type="dxa"/>
          </w:tcPr>
          <w:p w:rsidR="00AC0832" w:rsidRDefault="00AC0832">
            <w:pPr>
              <w:pStyle w:val="CellColumn"/>
            </w:pPr>
            <w:r>
              <w:t>Izvješće o radu pučkog pravobranitelja</w:t>
            </w:r>
          </w:p>
        </w:tc>
        <w:tc>
          <w:tcPr>
            <w:tcW w:w="1300" w:type="dxa"/>
          </w:tcPr>
          <w:p w:rsidR="00AC0832" w:rsidRDefault="00AC0832">
            <w:pPr>
              <w:pStyle w:val="CellColumn"/>
            </w:pPr>
            <w:r>
              <w:t>1600</w:t>
            </w:r>
          </w:p>
        </w:tc>
        <w:tc>
          <w:tcPr>
            <w:tcW w:w="1300" w:type="dxa"/>
          </w:tcPr>
          <w:p w:rsidR="00AC0832" w:rsidRDefault="00AC0832">
            <w:pPr>
              <w:pStyle w:val="CellColumn"/>
            </w:pPr>
            <w:r>
              <w:t>1869</w:t>
            </w:r>
          </w:p>
        </w:tc>
      </w:tr>
    </w:tbl>
    <w:p w:rsidR="00AC0832" w:rsidRDefault="00AC0832">
      <w:pPr>
        <w:jc w:val="left"/>
      </w:pPr>
    </w:p>
    <w:p w:rsidR="00AC0832" w:rsidRDefault="00AC0832">
      <w:pPr>
        <w:pStyle w:val="Heading7"/>
      </w:pPr>
      <w:r>
        <w:t>Cilj 2. Sprečavanje mučenja i drugih okrutnih, neljudskih ili ponižavajućih postupaka ili kažnjavanja</w:t>
      </w:r>
    </w:p>
    <w:p w:rsidR="00AC0832" w:rsidRDefault="00AC0832">
      <w:pPr>
        <w:pStyle w:val="Heading8"/>
        <w:jc w:val="left"/>
      </w:pPr>
      <w:r>
        <w:t>Opis provedbe cilja programa</w:t>
      </w:r>
    </w:p>
    <w:p w:rsidR="00AC0832" w:rsidRDefault="00AC0832">
      <w:pPr>
        <w:pStyle w:val="Normal6"/>
      </w:pPr>
      <w:r>
        <w:t xml:space="preserve">Dana 28. siječnja 2011. godine Zakonom o nacionalnom preventivnom mehanizmu za sprečavanje mučenja i drugih okrutnih, neljudskih ili ponižavajućih postupaka ili kažnjavanja (u daljnjem tekstu NPM), uspostavljen je NPM u Republici Hrvatskoj. Zadaća NPM-a je sprečavanje mučenja i drugih okrutnih, neljudskih i ponižavajućih postupaka ili kažnjavanja i zaštita osoba lišenih slobode (u smislu ovog Zakona osobama lišenim slobode smatraju se osobe kojima je određeno bilo kakvo zadržavanje, zatvaranje ili smještaj u mjesto pod javnim nadzorom i koje to mjesto ne smiju napustiti po svojoj volji. </w:t>
      </w:r>
    </w:p>
    <w:p w:rsidR="00AC0832" w:rsidRDefault="00AC0832">
      <w:pPr>
        <w:pStyle w:val="Normal6"/>
      </w:pPr>
      <w:r>
        <w:t>Nakon izbora predstavnika akademske zajednice i udruga u NPM-u, prvi sastanak svih članova održan  u srpnju 2012. godine kada je utvrđen plan rada te ja stoga je broj posjeta mjestima gdje su osobe lišene slobode manji  od planiranih.</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7"/>
        <w:gridCol w:w="1294"/>
        <w:gridCol w:w="1293"/>
        <w:gridCol w:w="1295"/>
        <w:gridCol w:w="1517"/>
        <w:gridCol w:w="1295"/>
        <w:gridCol w:w="129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obavljenih posjeta</w:t>
            </w:r>
          </w:p>
        </w:tc>
        <w:tc>
          <w:tcPr>
            <w:tcW w:w="1300" w:type="dxa"/>
          </w:tcPr>
          <w:p w:rsidR="00AC0832" w:rsidRDefault="00AC0832">
            <w:pPr>
              <w:pStyle w:val="CellColumn"/>
            </w:pPr>
            <w:r>
              <w:t>Posjete mjestima gdje su osobe lišene slobode</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Strateški plan pučkog pravobtanitelja za razdoblje 2012.-2014.</w:t>
            </w:r>
          </w:p>
        </w:tc>
        <w:tc>
          <w:tcPr>
            <w:tcW w:w="1300" w:type="dxa"/>
          </w:tcPr>
          <w:p w:rsidR="00AC0832" w:rsidRDefault="00AC0832">
            <w:pPr>
              <w:pStyle w:val="CellColumn"/>
            </w:pPr>
            <w:r>
              <w:t>10</w:t>
            </w:r>
          </w:p>
        </w:tc>
        <w:tc>
          <w:tcPr>
            <w:tcW w:w="1300" w:type="dxa"/>
          </w:tcPr>
          <w:p w:rsidR="00AC0832" w:rsidRDefault="00AC0832">
            <w:pPr>
              <w:pStyle w:val="CellColumn"/>
            </w:pPr>
            <w:r>
              <w:t>8</w:t>
            </w:r>
          </w:p>
        </w:tc>
      </w:tr>
    </w:tbl>
    <w:p w:rsidR="00AC0832" w:rsidRDefault="00AC0832">
      <w:pPr>
        <w:jc w:val="left"/>
      </w:pPr>
    </w:p>
    <w:p w:rsidR="00AC0832" w:rsidRDefault="00AC0832">
      <w:pPr>
        <w:pStyle w:val="Heading6"/>
      </w:pPr>
      <w:r>
        <w:t>A649000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A649000-ADMINISTRACIJA I UPRAVLJANJE</w:t>
            </w:r>
          </w:p>
        </w:tc>
        <w:tc>
          <w:tcPr>
            <w:tcW w:w="2322" w:type="dxa"/>
          </w:tcPr>
          <w:p w:rsidR="00AC0832" w:rsidRDefault="00AC0832">
            <w:pPr>
              <w:pStyle w:val="CellColumn"/>
            </w:pPr>
            <w:r>
              <w:t>8.280.500</w:t>
            </w:r>
          </w:p>
        </w:tc>
        <w:tc>
          <w:tcPr>
            <w:tcW w:w="2322" w:type="dxa"/>
          </w:tcPr>
          <w:p w:rsidR="00AC0832" w:rsidRDefault="00AC0832">
            <w:pPr>
              <w:pStyle w:val="CellColumn"/>
            </w:pPr>
            <w:r>
              <w:t>8.058.826</w:t>
            </w:r>
          </w:p>
        </w:tc>
        <w:tc>
          <w:tcPr>
            <w:tcW w:w="2322" w:type="dxa"/>
          </w:tcPr>
          <w:p w:rsidR="00AC0832" w:rsidRDefault="00AC0832">
            <w:pPr>
              <w:pStyle w:val="CellColumn"/>
            </w:pPr>
            <w:r>
              <w:t>97,3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Tijekom 2012. godine zaprimljeno je 1849 pisanih pritužbi, a u Uredu je obavljen razgovor s 515 građana. Dodatno, velik broj upita svakodnevno primljeno je putem telefona, telefaksa i elektronske pošte. Od 1849 predmeta otvorenih 2012. godine, dovršeno je postupanje u 1321 predmeta. </w:t>
      </w:r>
    </w:p>
    <w:p w:rsidR="00AC0832" w:rsidRDefault="00AC0832">
      <w:pPr>
        <w:pStyle w:val="Normal6"/>
      </w:pPr>
      <w:r>
        <w:t xml:space="preserve">Pritužbe se odnose na područje mirovinskog osiguranja, osoba lišenih slobode, pravosuđa, obnove, graditeljstva, prostornog uređenja, okoliša, na područje stambenog zbrinjavanja, statusna prava, socijalnu skrb, zdravstvo, prava branitelja, denacionalizaciju i drugo iz djelokruga rada državne uprave i jedinica lokalne (regionalne) samouprave te na diskriminaciju. </w:t>
      </w:r>
    </w:p>
    <w:p w:rsidR="00AC0832" w:rsidRDefault="00AC0832">
      <w:pPr>
        <w:pStyle w:val="Normal6"/>
      </w:pPr>
      <w:r>
        <w:t>U studenome 2012. godine obilježen je Međunarodni dan tolerancije. U prosincu 2012. godine organizirana je prva zajednička tiskovna konferencija svih pravobranitelja/ica Republike Hrvatske pod zajedničkom temom "Socijalna prava i siromaštvo", a istovremeno je obilježen Međunarodni dan ljudskih prava.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7"/>
        <w:gridCol w:w="1584"/>
        <w:gridCol w:w="1140"/>
        <w:gridCol w:w="1196"/>
        <w:gridCol w:w="1528"/>
        <w:gridCol w:w="1196"/>
        <w:gridCol w:w="122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obrađenih predmeta</w:t>
            </w:r>
          </w:p>
        </w:tc>
        <w:tc>
          <w:tcPr>
            <w:tcW w:w="1300" w:type="dxa"/>
          </w:tcPr>
          <w:p w:rsidR="00AC0832" w:rsidRDefault="00AC0832">
            <w:pPr>
              <w:pStyle w:val="CellColumn"/>
            </w:pPr>
            <w:r>
              <w:t>Razmatrani slučajevi za koje je donesena ocjena o tome jesu li ugrožena ili povrijeđena ustavna ili zakonska prava podnositelja pritužbe i i kojoima je utvrđeno na koji način je ugrožavanje ili povreda učinjena</w:t>
            </w:r>
          </w:p>
        </w:tc>
        <w:tc>
          <w:tcPr>
            <w:tcW w:w="1300" w:type="dxa"/>
          </w:tcPr>
          <w:p w:rsidR="00AC0832" w:rsidRDefault="00AC0832">
            <w:pPr>
              <w:pStyle w:val="CellColumn"/>
            </w:pPr>
            <w:r>
              <w:t>broj</w:t>
            </w:r>
          </w:p>
        </w:tc>
        <w:tc>
          <w:tcPr>
            <w:tcW w:w="1300" w:type="dxa"/>
          </w:tcPr>
          <w:p w:rsidR="00AC0832" w:rsidRDefault="00AC0832">
            <w:pPr>
              <w:pStyle w:val="CellColumn"/>
            </w:pPr>
            <w:r>
              <w:t>1698</w:t>
            </w:r>
          </w:p>
        </w:tc>
        <w:tc>
          <w:tcPr>
            <w:tcW w:w="1300" w:type="dxa"/>
          </w:tcPr>
          <w:p w:rsidR="00AC0832" w:rsidRDefault="00AC0832">
            <w:pPr>
              <w:pStyle w:val="CellColumn"/>
            </w:pPr>
            <w:r>
              <w:t>Izvješće o radu pučkog pravobranitelja</w:t>
            </w:r>
          </w:p>
        </w:tc>
        <w:tc>
          <w:tcPr>
            <w:tcW w:w="1300" w:type="dxa"/>
          </w:tcPr>
          <w:p w:rsidR="00AC0832" w:rsidRDefault="00AC0832">
            <w:pPr>
              <w:pStyle w:val="CellColumn"/>
            </w:pPr>
            <w:r>
              <w:t>1600</w:t>
            </w:r>
          </w:p>
        </w:tc>
        <w:tc>
          <w:tcPr>
            <w:tcW w:w="1300" w:type="dxa"/>
          </w:tcPr>
          <w:p w:rsidR="00AC0832" w:rsidRDefault="00AC0832">
            <w:pPr>
              <w:pStyle w:val="CellColumn"/>
            </w:pPr>
            <w:r>
              <w:t>1849</w:t>
            </w:r>
          </w:p>
        </w:tc>
      </w:tr>
      <w:tr w:rsidR="00AC0832" w:rsidTr="00BE20ED">
        <w:trPr>
          <w:jc w:val="center"/>
        </w:trPr>
        <w:tc>
          <w:tcPr>
            <w:tcW w:w="1300" w:type="dxa"/>
          </w:tcPr>
          <w:p w:rsidR="00AC0832" w:rsidRDefault="00AC0832">
            <w:pPr>
              <w:pStyle w:val="CellColumn"/>
            </w:pPr>
            <w:r>
              <w:t>broj preporuka</w:t>
            </w:r>
          </w:p>
        </w:tc>
        <w:tc>
          <w:tcPr>
            <w:tcW w:w="1300" w:type="dxa"/>
          </w:tcPr>
          <w:p w:rsidR="00AC0832" w:rsidRDefault="00AC0832">
            <w:pPr>
              <w:pStyle w:val="CellColumn"/>
            </w:pPr>
            <w:r>
              <w:t>Predloženi način na koji državno tijelo možeotkloniti učinjeno ugrožavanje ili povredu prava</w:t>
            </w:r>
          </w:p>
        </w:tc>
        <w:tc>
          <w:tcPr>
            <w:tcW w:w="1300" w:type="dxa"/>
          </w:tcPr>
          <w:p w:rsidR="00AC0832" w:rsidRDefault="00AC0832">
            <w:pPr>
              <w:pStyle w:val="CellColumn"/>
            </w:pPr>
            <w:r>
              <w:t>broj</w:t>
            </w:r>
          </w:p>
        </w:tc>
        <w:tc>
          <w:tcPr>
            <w:tcW w:w="1300" w:type="dxa"/>
          </w:tcPr>
          <w:p w:rsidR="00AC0832" w:rsidRDefault="00AC0832">
            <w:pPr>
              <w:pStyle w:val="CellColumn"/>
            </w:pPr>
            <w:r>
              <w:t>410</w:t>
            </w:r>
          </w:p>
        </w:tc>
        <w:tc>
          <w:tcPr>
            <w:tcW w:w="1300" w:type="dxa"/>
          </w:tcPr>
          <w:p w:rsidR="00AC0832" w:rsidRDefault="00AC0832">
            <w:pPr>
              <w:pStyle w:val="CellColumn"/>
            </w:pPr>
            <w:r>
              <w:t>Izvješće o radu pučkog pravobranitelja</w:t>
            </w:r>
          </w:p>
        </w:tc>
        <w:tc>
          <w:tcPr>
            <w:tcW w:w="1300" w:type="dxa"/>
          </w:tcPr>
          <w:p w:rsidR="00AC0832" w:rsidRDefault="00AC0832">
            <w:pPr>
              <w:pStyle w:val="CellColumn"/>
            </w:pPr>
            <w:r>
              <w:t>430</w:t>
            </w:r>
          </w:p>
        </w:tc>
        <w:tc>
          <w:tcPr>
            <w:tcW w:w="1300" w:type="dxa"/>
          </w:tcPr>
          <w:p w:rsidR="00AC0832" w:rsidRDefault="00AC0832">
            <w:pPr>
              <w:pStyle w:val="CellColumn"/>
            </w:pPr>
            <w:r>
              <w:t>321</w:t>
            </w:r>
          </w:p>
        </w:tc>
      </w:tr>
      <w:tr w:rsidR="00AC0832" w:rsidTr="00BE20ED">
        <w:trPr>
          <w:jc w:val="center"/>
        </w:trPr>
        <w:tc>
          <w:tcPr>
            <w:tcW w:w="1300" w:type="dxa"/>
          </w:tcPr>
          <w:p w:rsidR="00AC0832" w:rsidRDefault="00AC0832">
            <w:pPr>
              <w:pStyle w:val="CellColumn"/>
            </w:pPr>
            <w:r>
              <w:t>stjecanje specifičnih znanja i vještina</w:t>
            </w:r>
          </w:p>
        </w:tc>
        <w:tc>
          <w:tcPr>
            <w:tcW w:w="1300" w:type="dxa"/>
          </w:tcPr>
          <w:p w:rsidR="00AC0832" w:rsidRDefault="00AC0832">
            <w:pPr>
              <w:pStyle w:val="CellColumn"/>
            </w:pPr>
            <w:r>
              <w:t>Aktivnosti koje se obavljaju s ciljem unapređenja stručnosti službenika u toku rada te jačanje sposobnosti u cilju djelotvornog i učinkovitog obavljanja poslova</w:t>
            </w:r>
          </w:p>
        </w:tc>
        <w:tc>
          <w:tcPr>
            <w:tcW w:w="1300" w:type="dxa"/>
          </w:tcPr>
          <w:p w:rsidR="00AC0832" w:rsidRDefault="00AC0832">
            <w:pPr>
              <w:pStyle w:val="CellColumn"/>
            </w:pPr>
            <w:r>
              <w:t>broj</w:t>
            </w:r>
          </w:p>
        </w:tc>
        <w:tc>
          <w:tcPr>
            <w:tcW w:w="1300" w:type="dxa"/>
          </w:tcPr>
          <w:p w:rsidR="00AC0832" w:rsidRDefault="00AC0832">
            <w:pPr>
              <w:pStyle w:val="CellColumn"/>
            </w:pPr>
            <w:r>
              <w:t>15</w:t>
            </w:r>
          </w:p>
        </w:tc>
        <w:tc>
          <w:tcPr>
            <w:tcW w:w="1300" w:type="dxa"/>
          </w:tcPr>
          <w:p w:rsidR="00AC0832" w:rsidRDefault="00AC0832">
            <w:pPr>
              <w:pStyle w:val="CellColumn"/>
            </w:pPr>
            <w:r>
              <w:t>plan izobrazbe</w:t>
            </w:r>
          </w:p>
        </w:tc>
        <w:tc>
          <w:tcPr>
            <w:tcW w:w="1300" w:type="dxa"/>
          </w:tcPr>
          <w:p w:rsidR="00AC0832" w:rsidRDefault="00AC0832">
            <w:pPr>
              <w:pStyle w:val="CellColumn"/>
            </w:pPr>
            <w:r>
              <w:t>18</w:t>
            </w:r>
          </w:p>
        </w:tc>
        <w:tc>
          <w:tcPr>
            <w:tcW w:w="1300" w:type="dxa"/>
          </w:tcPr>
          <w:p w:rsidR="00AC0832" w:rsidRDefault="00AC0832">
            <w:pPr>
              <w:pStyle w:val="CellColumn"/>
            </w:pPr>
            <w:r>
              <w:t>14</w:t>
            </w:r>
          </w:p>
        </w:tc>
      </w:tr>
      <w:tr w:rsidR="00AC0832" w:rsidTr="00BE20ED">
        <w:trPr>
          <w:jc w:val="center"/>
        </w:trPr>
        <w:tc>
          <w:tcPr>
            <w:tcW w:w="1300" w:type="dxa"/>
          </w:tcPr>
          <w:p w:rsidR="00AC0832" w:rsidRDefault="00AC0832">
            <w:pPr>
              <w:pStyle w:val="CellColumn"/>
            </w:pPr>
            <w:r>
              <w:t>broj obrađenih pritužbi pristiglih u vezi diskriminacije</w:t>
            </w:r>
          </w:p>
        </w:tc>
        <w:tc>
          <w:tcPr>
            <w:tcW w:w="1300" w:type="dxa"/>
          </w:tcPr>
          <w:p w:rsidR="00AC0832" w:rsidRDefault="00AC0832">
            <w:pPr>
              <w:pStyle w:val="CellColumn"/>
            </w:pPr>
            <w:r>
              <w:t>Pučki pravobranitelja, kao središnje tijelo nadležno za suzbijanje diskriminacije, između ostaloga, zaprima prijave u vezi diskriminacije</w:t>
            </w:r>
          </w:p>
        </w:tc>
        <w:tc>
          <w:tcPr>
            <w:tcW w:w="1300" w:type="dxa"/>
          </w:tcPr>
          <w:p w:rsidR="00AC0832" w:rsidRDefault="00AC0832">
            <w:pPr>
              <w:pStyle w:val="CellColumn"/>
            </w:pPr>
            <w:r>
              <w:t>broj</w:t>
            </w:r>
          </w:p>
        </w:tc>
        <w:tc>
          <w:tcPr>
            <w:tcW w:w="1300" w:type="dxa"/>
          </w:tcPr>
          <w:p w:rsidR="00AC0832" w:rsidRDefault="00AC0832">
            <w:pPr>
              <w:pStyle w:val="CellColumn"/>
            </w:pPr>
            <w:r>
              <w:t>150</w:t>
            </w:r>
          </w:p>
        </w:tc>
        <w:tc>
          <w:tcPr>
            <w:tcW w:w="1300" w:type="dxa"/>
          </w:tcPr>
          <w:p w:rsidR="00AC0832" w:rsidRDefault="00AC0832">
            <w:pPr>
              <w:pStyle w:val="CellColumn"/>
            </w:pPr>
            <w:r>
              <w:t>Izvješće o pojavama diskriminacije za 2011. godinu</w:t>
            </w:r>
          </w:p>
        </w:tc>
        <w:tc>
          <w:tcPr>
            <w:tcW w:w="1300" w:type="dxa"/>
          </w:tcPr>
          <w:p w:rsidR="00AC0832" w:rsidRDefault="00AC0832">
            <w:pPr>
              <w:pStyle w:val="CellColumn"/>
            </w:pPr>
            <w:r>
              <w:t>150</w:t>
            </w:r>
          </w:p>
        </w:tc>
        <w:tc>
          <w:tcPr>
            <w:tcW w:w="1300" w:type="dxa"/>
          </w:tcPr>
          <w:p w:rsidR="00AC0832" w:rsidRDefault="00AC0832">
            <w:pPr>
              <w:pStyle w:val="CellColumn"/>
            </w:pPr>
            <w:r>
              <w:t>202</w:t>
            </w:r>
          </w:p>
        </w:tc>
      </w:tr>
    </w:tbl>
    <w:p w:rsidR="00AC0832" w:rsidRDefault="00AC0832">
      <w:pPr>
        <w:jc w:val="left"/>
      </w:pPr>
    </w:p>
    <w:p w:rsidR="00AC0832" w:rsidRDefault="00AC0832">
      <w:pPr>
        <w:pStyle w:val="Heading6"/>
      </w:pPr>
      <w:r>
        <w:t>A649004 MEĐUNARODNA SURADNJA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A649004-MEĐUNARODNA SURADNJA</w:t>
            </w:r>
          </w:p>
        </w:tc>
        <w:tc>
          <w:tcPr>
            <w:tcW w:w="2322" w:type="dxa"/>
          </w:tcPr>
          <w:p w:rsidR="00AC0832" w:rsidRDefault="00AC0832">
            <w:pPr>
              <w:pStyle w:val="CellColumn"/>
            </w:pPr>
            <w:r>
              <w:t>51.000</w:t>
            </w:r>
          </w:p>
        </w:tc>
        <w:tc>
          <w:tcPr>
            <w:tcW w:w="2322" w:type="dxa"/>
          </w:tcPr>
          <w:p w:rsidR="00AC0832" w:rsidRDefault="00AC0832">
            <w:pPr>
              <w:pStyle w:val="CellColumn"/>
            </w:pPr>
            <w:r>
              <w:t>48.892</w:t>
            </w:r>
          </w:p>
        </w:tc>
        <w:tc>
          <w:tcPr>
            <w:tcW w:w="2322" w:type="dxa"/>
          </w:tcPr>
          <w:p w:rsidR="00AC0832" w:rsidRDefault="00AC0832">
            <w:pPr>
              <w:pStyle w:val="CellColumn"/>
            </w:pPr>
            <w:r>
              <w:t>95,9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Sukladno pravima i obvezama kao akreditirane nacionalne institucije za zaštitu i promicanje ljudskih prava sa statusom A institucija pučkog pravobranitelja tijekom 2012. godine nastavila je suradnju s Uredom Visoke povjerenice za ljudska prava (OHCHR). </w:t>
      </w:r>
    </w:p>
    <w:p w:rsidR="00AC0832" w:rsidRDefault="00AC0832">
      <w:pPr>
        <w:pStyle w:val="Normal6"/>
      </w:pPr>
      <w:r>
        <w:t>Pučki pravobranitelj i suradnici sudjelovali su na skupovima koje je organizirala Europska komisija, na Godišnjoj skupštini Udruženja mediteranskih ombudsmana te na sastanku koji je zajednički organizirala Europska grupa nacionalnih institucija za zaštitu ljudskih prava (u sastavu Međunarodnog koordinacijskog tijela za nacionalne institucije pri UN-u) i Agencija za temeljna prava Europske unije (FRA) na temu kako ostvariti veći utjecaj na institucije Europske unije.</w:t>
      </w:r>
    </w:p>
    <w:p w:rsidR="00AC0832" w:rsidRDefault="00AC0832">
      <w:pPr>
        <w:pStyle w:val="Heading6"/>
      </w:pPr>
      <w:r>
        <w:t>A649013 IPA 2009. I KOMPONENTA- USPOSTAVA CJELOVITOG SUSTAVA ZA ZAŠTITU OD DISKRIMINACIJE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A649013-IPA 2009. I KOMPONENTA- USPOSTAVA CJELOVITOG SUSTAVA ZA ZAŠTITU OD DISKRIMINACIJE</w:t>
            </w:r>
          </w:p>
        </w:tc>
        <w:tc>
          <w:tcPr>
            <w:tcW w:w="2322" w:type="dxa"/>
          </w:tcPr>
          <w:p w:rsidR="00AC0832" w:rsidRDefault="00AC0832">
            <w:pPr>
              <w:pStyle w:val="CellColumn"/>
            </w:pPr>
            <w:r>
              <w:t>1.341.100</w:t>
            </w:r>
          </w:p>
        </w:tc>
        <w:tc>
          <w:tcPr>
            <w:tcW w:w="2322" w:type="dxa"/>
          </w:tcPr>
          <w:p w:rsidR="00AC0832" w:rsidRDefault="00AC0832">
            <w:pPr>
              <w:pStyle w:val="CellColumn"/>
            </w:pPr>
            <w:r>
              <w:t>1.343.478</w:t>
            </w:r>
          </w:p>
        </w:tc>
        <w:tc>
          <w:tcPr>
            <w:tcW w:w="2322" w:type="dxa"/>
          </w:tcPr>
          <w:p w:rsidR="00AC0832" w:rsidRDefault="00AC0832">
            <w:pPr>
              <w:pStyle w:val="CellColumn"/>
            </w:pPr>
            <w:r>
              <w:t>100,2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Provedba twinning komponente projekta IPA 2009 „Uspostava cjelovitog sustava za zaštitu od diskriminacije“ započela je 10. studenog 2011. godine. Vrijednost ovog Ugovora je 690.000,00 eura, od kojih se 95% vrijednosti Ugovora plaća iz sredstava EU, a 5% iz sredstava nacionalnog sufinanciranja, također, plaćanje se vrši u 3 rate. Budući da projekt u partnerstvu provede Ured pučkog pravobranitelja i Ured za ljudska prava i prava nacionalnih manjina VRH plaćanje je podijeljeno između dviju institucija u skladu s omjerom broja aktivnosti koje provodi pojedina institucija te u skladu s tim Ured pučkog pravobranitelja plaća 70,64% iznosa nacionalnog sufinanciranja. </w:t>
      </w:r>
    </w:p>
    <w:p w:rsidR="00AC0832" w:rsidRDefault="00AC0832">
      <w:pPr>
        <w:pStyle w:val="Normal6"/>
      </w:pPr>
      <w:r>
        <w:t xml:space="preserve">Prva rata plaćena je 24. studenog 2011. godine, a učešće pučkog pravobranitelja bilo 12.997,76 eura, druga rata plaćena je 8. studenog 2012, a učešće pučkog pravobranitelja bilo je 8.935,96 eura, dok će se plaćanje treće rate izvršiti u 2013. </w:t>
      </w:r>
    </w:p>
    <w:p w:rsidR="00AC0832" w:rsidRDefault="00AC0832">
      <w:pPr>
        <w:pStyle w:val="Normal6"/>
      </w:pPr>
      <w:r>
        <w:t>Prema projektnom sažetaku "Uspostava cjelovitog sustava za zaštitu od diskriminacije" 4 okrugla stola na lokalnom nivou na temu suzbijanja diskriminacije održati će se u 2013. godini.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7"/>
        <w:gridCol w:w="1573"/>
        <w:gridCol w:w="1159"/>
        <w:gridCol w:w="1208"/>
        <w:gridCol w:w="1488"/>
        <w:gridCol w:w="1208"/>
        <w:gridCol w:w="123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Provedene edukacije djelatnika/ca o postupanju s pritužbama, mirenju, udruženoj tužbi i ulozi umješaća</w:t>
            </w:r>
          </w:p>
        </w:tc>
        <w:tc>
          <w:tcPr>
            <w:tcW w:w="1300" w:type="dxa"/>
          </w:tcPr>
          <w:p w:rsidR="00AC0832" w:rsidRDefault="00AC0832">
            <w:pPr>
              <w:pStyle w:val="CellColumn"/>
            </w:pPr>
            <w:r>
              <w:t>U sklopu IPA projekta usmjerenog jačanju uloge pučkog pavobranitelja kao središnjeg tijela za suzbijanje diskriminacije održati će se serije treninga za djelatnike/ce o postupanju s pritužbama, mirenju, udruženoj tužbi i ulozi umješača</w:t>
            </w:r>
          </w:p>
        </w:tc>
        <w:tc>
          <w:tcPr>
            <w:tcW w:w="1300" w:type="dxa"/>
          </w:tcPr>
          <w:p w:rsidR="00AC0832" w:rsidRDefault="00AC0832">
            <w:pPr>
              <w:pStyle w:val="CellColumn"/>
            </w:pPr>
            <w:r>
              <w:t>broj</w:t>
            </w:r>
          </w:p>
        </w:tc>
        <w:tc>
          <w:tcPr>
            <w:tcW w:w="1300" w:type="dxa"/>
          </w:tcPr>
          <w:p w:rsidR="00AC0832" w:rsidRDefault="00AC0832">
            <w:pPr>
              <w:pStyle w:val="CellColumn"/>
            </w:pPr>
            <w:r>
              <w:t>3</w:t>
            </w:r>
          </w:p>
        </w:tc>
        <w:tc>
          <w:tcPr>
            <w:tcW w:w="1300" w:type="dxa"/>
          </w:tcPr>
          <w:p w:rsidR="00AC0832" w:rsidRDefault="00AC0832">
            <w:pPr>
              <w:pStyle w:val="CellColumn"/>
            </w:pPr>
            <w:r>
              <w:t>Projektni sažetak "uspostava cjelovitog sustava za zaštitu od diskriminacije"</w:t>
            </w:r>
          </w:p>
        </w:tc>
        <w:tc>
          <w:tcPr>
            <w:tcW w:w="1300" w:type="dxa"/>
          </w:tcPr>
          <w:p w:rsidR="00AC0832" w:rsidRDefault="00AC0832">
            <w:pPr>
              <w:pStyle w:val="CellColumn"/>
            </w:pPr>
            <w:r>
              <w:t>3</w:t>
            </w:r>
          </w:p>
        </w:tc>
        <w:tc>
          <w:tcPr>
            <w:tcW w:w="1300" w:type="dxa"/>
          </w:tcPr>
          <w:p w:rsidR="00AC0832" w:rsidRDefault="00AC0832">
            <w:pPr>
              <w:pStyle w:val="CellColumn"/>
            </w:pPr>
            <w:r>
              <w:t>3</w:t>
            </w:r>
          </w:p>
        </w:tc>
      </w:tr>
      <w:tr w:rsidR="00AC0832" w:rsidTr="00BE20ED">
        <w:trPr>
          <w:jc w:val="center"/>
        </w:trPr>
        <w:tc>
          <w:tcPr>
            <w:tcW w:w="1300" w:type="dxa"/>
          </w:tcPr>
          <w:p w:rsidR="00AC0832" w:rsidRDefault="00AC0832">
            <w:pPr>
              <w:pStyle w:val="CellColumn"/>
            </w:pPr>
            <w:r>
              <w:t>Održana 4 okrugla stola na lokalnom nivou na temu suzbijanja diskriminacije</w:t>
            </w:r>
          </w:p>
        </w:tc>
        <w:tc>
          <w:tcPr>
            <w:tcW w:w="1300" w:type="dxa"/>
          </w:tcPr>
          <w:p w:rsidR="00AC0832" w:rsidRDefault="00AC0832">
            <w:pPr>
              <w:pStyle w:val="CellColumn"/>
            </w:pPr>
            <w:r>
              <w:t>U sklopu IPA projekta biti će organizirani regionalni posjeti pučkog pravobranitelja u formi okruglih stolova sa zainteresiranim dionicima te savjetovanja građana/ki u vezi diskriminacije</w:t>
            </w:r>
          </w:p>
        </w:tc>
        <w:tc>
          <w:tcPr>
            <w:tcW w:w="1300" w:type="dxa"/>
          </w:tcPr>
          <w:p w:rsidR="00AC0832" w:rsidRDefault="00AC0832">
            <w:pPr>
              <w:pStyle w:val="CellColumn"/>
            </w:pPr>
            <w:r>
              <w:t>broj</w:t>
            </w:r>
          </w:p>
        </w:tc>
        <w:tc>
          <w:tcPr>
            <w:tcW w:w="1300" w:type="dxa"/>
          </w:tcPr>
          <w:p w:rsidR="00AC0832" w:rsidRDefault="00AC0832">
            <w:pPr>
              <w:pStyle w:val="CellColumn"/>
            </w:pPr>
            <w:r>
              <w:t>4</w:t>
            </w:r>
          </w:p>
        </w:tc>
        <w:tc>
          <w:tcPr>
            <w:tcW w:w="1300" w:type="dxa"/>
          </w:tcPr>
          <w:p w:rsidR="00AC0832" w:rsidRDefault="00AC0832">
            <w:pPr>
              <w:pStyle w:val="CellColumn"/>
            </w:pPr>
            <w:r>
              <w:t>Projektni sažetak "Uspostava cjelovitog sustava za zaštitu od diskriminacije"</w:t>
            </w:r>
          </w:p>
        </w:tc>
        <w:tc>
          <w:tcPr>
            <w:tcW w:w="1300" w:type="dxa"/>
          </w:tcPr>
          <w:p w:rsidR="00AC0832" w:rsidRDefault="00AC0832">
            <w:pPr>
              <w:pStyle w:val="CellColumn"/>
            </w:pPr>
            <w:r>
              <w:t>0</w:t>
            </w:r>
          </w:p>
        </w:tc>
        <w:tc>
          <w:tcPr>
            <w:tcW w:w="1300" w:type="dxa"/>
          </w:tcPr>
          <w:p w:rsidR="00AC0832" w:rsidRDefault="00AC0832">
            <w:pPr>
              <w:pStyle w:val="CellColumn"/>
            </w:pPr>
            <w:r>
              <w:t>0</w:t>
            </w:r>
          </w:p>
        </w:tc>
      </w:tr>
    </w:tbl>
    <w:p w:rsidR="00AC0832" w:rsidRDefault="00AC0832">
      <w:pPr>
        <w:jc w:val="left"/>
      </w:pPr>
    </w:p>
    <w:p w:rsidR="00AC0832" w:rsidRDefault="00AC0832">
      <w:pPr>
        <w:pStyle w:val="Heading6"/>
      </w:pPr>
      <w:r>
        <w:t>A649014 NACIONALNI PREVENTIVNI MEHANIZAM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A649014-NACIONALNI PREVENTIVNI MEHANIZAM</w:t>
            </w:r>
          </w:p>
        </w:tc>
        <w:tc>
          <w:tcPr>
            <w:tcW w:w="2322" w:type="dxa"/>
          </w:tcPr>
          <w:p w:rsidR="00AC0832" w:rsidRDefault="00AC0832">
            <w:pPr>
              <w:pStyle w:val="CellColumn"/>
            </w:pPr>
            <w:r>
              <w:t>467.400</w:t>
            </w:r>
          </w:p>
        </w:tc>
        <w:tc>
          <w:tcPr>
            <w:tcW w:w="2322" w:type="dxa"/>
          </w:tcPr>
          <w:p w:rsidR="00AC0832" w:rsidRDefault="00AC0832">
            <w:pPr>
              <w:pStyle w:val="CellColumn"/>
            </w:pPr>
            <w:r>
              <w:t>296.531</w:t>
            </w:r>
          </w:p>
        </w:tc>
        <w:tc>
          <w:tcPr>
            <w:tcW w:w="2322" w:type="dxa"/>
          </w:tcPr>
          <w:p w:rsidR="00AC0832" w:rsidRDefault="00AC0832">
            <w:pPr>
              <w:pStyle w:val="CellColumn"/>
            </w:pPr>
            <w:r>
              <w:t>63,4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Nakon što su u Državnom proračunu za 2012. godinu osigurana sredstva za rad NPM-a te ista dostavljena pučkom pravobranitelju, pristupilo se izradi provedbenih propisa i izboru predstavnika akademske zajednice i udruga u NPM-u (putem javnog poziva). </w:t>
      </w:r>
    </w:p>
    <w:p w:rsidR="00AC0832" w:rsidRDefault="00AC0832">
      <w:pPr>
        <w:pStyle w:val="Normal6"/>
      </w:pPr>
      <w:r>
        <w:t xml:space="preserve">U srpnju 2012. godine održan je prvi sastanak članova NPM-a na kojem su dogovoreni način i plan rada za 2012. godinu. </w:t>
      </w:r>
    </w:p>
    <w:p w:rsidR="00AC0832" w:rsidRDefault="00AC0832">
      <w:pPr>
        <w:pStyle w:val="Normal6"/>
      </w:pPr>
      <w:r>
        <w:t xml:space="preserve">Tijekom 2012. godine članovi NPM-a obišli su: </w:t>
      </w:r>
    </w:p>
    <w:p w:rsidR="00AC0832" w:rsidRDefault="00AC0832">
      <w:pPr>
        <w:pStyle w:val="Normal6"/>
      </w:pPr>
      <w:r>
        <w:t>-</w:t>
      </w:r>
      <w:r>
        <w:tab/>
        <w:t xml:space="preserve">Zatvor u Zagrebu, Zatvor u Osijeku, pritvorske policijske jedinice u PU osječko baranjskoj (I PP Osijek), prostorije za zadržavanje II PP Osijek, Zatvorsku bolnicu (radi upućivanja preporuke u predmetu izručenja), Dom za psihički bolesne odrasle osobe Bidružica, Dom za psihički bolesne odrasle osobe Zagreb, Podružnica Mirkovec, pritvorsku policijsku jedinicu Jedinica za zadržavanje i prepratu Senjak. </w:t>
      </w:r>
    </w:p>
    <w:p w:rsidR="00AC0832" w:rsidRDefault="00AC0832">
      <w:pPr>
        <w:pStyle w:val="Normal6"/>
      </w:pPr>
      <w:r>
        <w:t xml:space="preserve">Ujedno, članovi NPM-a bili su u dvije studijske posjete: NPM-u Crne Gore (ombudsman Crne Gore i njegovi suradnici prethodno su bili u studijskoj posjeti NPM-u Republike Hrvatske) i NPM-u Slovenije. </w:t>
      </w:r>
    </w:p>
    <w:p w:rsidR="00AC0832" w:rsidRDefault="00AC0832">
      <w:pPr>
        <w:pStyle w:val="Normal6"/>
      </w:pPr>
      <w:r>
        <w:t xml:space="preserve">Nadalje, u Uredu pučkog pravobranitelja održan je sastanak s izaslanstvom Europskog odbora za sprječavanje mučenja i neljudskog ili ponižavajućeg postupanja ili kažnjavanja (CPT) tijekom njihovog redovitog posjeta Republici Hrvatskoj. </w:t>
      </w:r>
    </w:p>
    <w:p w:rsidR="00AC0832" w:rsidRDefault="00AC0832">
      <w:pPr>
        <w:pStyle w:val="Normal6"/>
      </w:pPr>
      <w:r>
        <w:t xml:space="preserve">Također, izrađeni su promotivni materijali (letci i plakat) o nadležnosti, ovlastima i poslovima NPM-a te je u okviru stranice ombudsmana pokrenuta web stranica NPM-a. S obzirom na brojne upite UN Pododbora protiv mučenja (SPT), Europskog Odbora protiv mučenja (CPT), međunarodne udruge protiv mučenja (APT) te NPM-ova drugih država potpisnica OPCAT-a, na engleski su jezik prevedeni relevantni propisi te su dostupni (kao i sve vijesti) na hrvatskom i engleskom jeziku. </w:t>
      </w:r>
    </w:p>
    <w:p w:rsidR="00AC0832" w:rsidRDefault="00AC0832">
      <w:pPr>
        <w:pStyle w:val="Normal6"/>
      </w:pPr>
      <w:r>
        <w:t xml:space="preserve">Sukladno članku 9. Zakona o nacionalnom preventivnom mehanizmu za sprečavanje mučenja i drugih okrutnih, neljudskih ili ponižavajućih postupaka ili kažnjavanja pučki pravobranitelj izrađuje i objavljuje godišnje izvješće o obavljanju poslova NPM-a te ga dostavlja Hrvatskom saboru do 1. srpnja tekuće godine za prethodnu godinu. </w:t>
      </w:r>
    </w:p>
    <w:p w:rsidR="00AC0832" w:rsidRDefault="00AC0832">
      <w:pPr>
        <w:pStyle w:val="Normal6"/>
      </w:pPr>
      <w:r>
        <w:t>S obzirom na navedeno, prvo godišnje izvješće o obavljanju poslova NPM-a bit će izrađeno i objavljeno do 1. srpnja 2013. godine.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1417"/>
        <w:gridCol w:w="1152"/>
        <w:gridCol w:w="1204"/>
        <w:gridCol w:w="1528"/>
        <w:gridCol w:w="1204"/>
        <w:gridCol w:w="123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posjeta</w:t>
            </w:r>
          </w:p>
        </w:tc>
        <w:tc>
          <w:tcPr>
            <w:tcW w:w="1300" w:type="dxa"/>
          </w:tcPr>
          <w:p w:rsidR="00AC0832" w:rsidRDefault="00AC0832">
            <w:pPr>
              <w:pStyle w:val="CellColumn"/>
            </w:pPr>
            <w:r>
              <w:t>Poslovi NPM-a su redoviti obilasci mjesta u kojim se nalaze osobe lišene slobode.</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Strateški plan pučkog pravobranitelja za razdoblje 2012.-2014.</w:t>
            </w:r>
          </w:p>
        </w:tc>
        <w:tc>
          <w:tcPr>
            <w:tcW w:w="1300" w:type="dxa"/>
          </w:tcPr>
          <w:p w:rsidR="00AC0832" w:rsidRDefault="00AC0832">
            <w:pPr>
              <w:pStyle w:val="CellColumn"/>
            </w:pPr>
            <w:r>
              <w:t>10</w:t>
            </w:r>
          </w:p>
        </w:tc>
        <w:tc>
          <w:tcPr>
            <w:tcW w:w="1300" w:type="dxa"/>
          </w:tcPr>
          <w:p w:rsidR="00AC0832" w:rsidRDefault="00AC0832">
            <w:pPr>
              <w:pStyle w:val="CellColumn"/>
            </w:pPr>
            <w:r>
              <w:t>9</w:t>
            </w:r>
          </w:p>
        </w:tc>
      </w:tr>
      <w:tr w:rsidR="00AC0832" w:rsidTr="00BE20ED">
        <w:trPr>
          <w:jc w:val="center"/>
        </w:trPr>
        <w:tc>
          <w:tcPr>
            <w:tcW w:w="1300" w:type="dxa"/>
          </w:tcPr>
          <w:p w:rsidR="00AC0832" w:rsidRDefault="00AC0832">
            <w:pPr>
              <w:pStyle w:val="CellColumn"/>
            </w:pPr>
            <w:r>
              <w:t>objava Izvješća o radu NPM te preporuka</w:t>
            </w:r>
          </w:p>
        </w:tc>
        <w:tc>
          <w:tcPr>
            <w:tcW w:w="1300" w:type="dxa"/>
          </w:tcPr>
          <w:p w:rsidR="00AC0832" w:rsidRDefault="00AC0832">
            <w:pPr>
              <w:pStyle w:val="CellColumn"/>
            </w:pPr>
            <w:r>
              <w:t>Pučki pravobranitelj izrađuje i objavljuje godišnje izvješće o obavljanju poslova</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Strateški plan pučkog</w:t>
            </w:r>
          </w:p>
        </w:tc>
        <w:tc>
          <w:tcPr>
            <w:tcW w:w="1300" w:type="dxa"/>
          </w:tcPr>
          <w:p w:rsidR="00AC0832" w:rsidRDefault="00AC0832">
            <w:pPr>
              <w:pStyle w:val="CellColumn"/>
            </w:pPr>
            <w:r>
              <w:t>1</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 broj podnesaka i susreta s međunarodnim tijelim</w:t>
            </w:r>
          </w:p>
        </w:tc>
        <w:tc>
          <w:tcPr>
            <w:tcW w:w="1300" w:type="dxa"/>
          </w:tcPr>
          <w:p w:rsidR="00AC0832" w:rsidRDefault="00AC0832">
            <w:pPr>
              <w:pStyle w:val="CellColumn"/>
            </w:pPr>
            <w:r>
              <w:t>NPM surađuje se Pododborom UN-a za sprečavanje mučenja</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Strateški plan pučkog</w:t>
            </w:r>
          </w:p>
        </w:tc>
        <w:tc>
          <w:tcPr>
            <w:tcW w:w="1300" w:type="dxa"/>
          </w:tcPr>
          <w:p w:rsidR="00AC0832" w:rsidRDefault="00AC0832">
            <w:pPr>
              <w:pStyle w:val="CellColumn"/>
            </w:pPr>
            <w:r>
              <w:t>3</w:t>
            </w:r>
          </w:p>
        </w:tc>
        <w:tc>
          <w:tcPr>
            <w:tcW w:w="1300" w:type="dxa"/>
          </w:tcPr>
          <w:p w:rsidR="00AC0832" w:rsidRDefault="00AC0832">
            <w:pPr>
              <w:pStyle w:val="CellColumn"/>
            </w:pPr>
            <w:r>
              <w:t>4</w:t>
            </w:r>
          </w:p>
        </w:tc>
      </w:tr>
    </w:tbl>
    <w:p w:rsidR="00AC0832" w:rsidRDefault="00AC0832">
      <w:pPr>
        <w:jc w:val="left"/>
      </w:pPr>
    </w:p>
    <w:p w:rsidR="00AC0832" w:rsidRDefault="00AC0832">
      <w:pPr>
        <w:pStyle w:val="Heading6"/>
      </w:pPr>
      <w:r>
        <w:t>K649008 OPREMANJE UREDA PUČKOG PRAVOBRANITELJA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K649008-OPREMANJE UREDA PUČKOG PRAVOBRANITELJA</w:t>
            </w:r>
          </w:p>
        </w:tc>
        <w:tc>
          <w:tcPr>
            <w:tcW w:w="2322" w:type="dxa"/>
          </w:tcPr>
          <w:p w:rsidR="00AC0832" w:rsidRDefault="00AC0832">
            <w:pPr>
              <w:pStyle w:val="CellColumn"/>
            </w:pPr>
            <w:r>
              <w:t>8.000</w:t>
            </w:r>
          </w:p>
        </w:tc>
        <w:tc>
          <w:tcPr>
            <w:tcW w:w="2322" w:type="dxa"/>
          </w:tcPr>
          <w:p w:rsidR="00AC0832" w:rsidRDefault="00AC0832">
            <w:pPr>
              <w:pStyle w:val="CellColumn"/>
            </w:pPr>
            <w:r>
              <w:t>4.840</w:t>
            </w:r>
          </w:p>
        </w:tc>
        <w:tc>
          <w:tcPr>
            <w:tcW w:w="2322" w:type="dxa"/>
          </w:tcPr>
          <w:p w:rsidR="00AC0832" w:rsidRDefault="00AC0832">
            <w:pPr>
              <w:pStyle w:val="CellColumn"/>
            </w:pPr>
            <w:r>
              <w:t>60,5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2012. godini Ured je nabavio jedan klima uređaj.</w:t>
      </w:r>
    </w:p>
    <w:p w:rsidR="00AC0832" w:rsidRDefault="00AC0832">
      <w:pPr>
        <w:pStyle w:val="Heading6"/>
      </w:pPr>
      <w:r>
        <w:t>K649011 IPA 2009. I KOMPONENTA - NABAVA UREDSKE OPREME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K649011-IPA 2009. I KOMPONENTA - NABAVA UREDSKE OPREME</w:t>
            </w:r>
          </w:p>
        </w:tc>
        <w:tc>
          <w:tcPr>
            <w:tcW w:w="2322" w:type="dxa"/>
          </w:tcPr>
          <w:p w:rsidR="00AC0832" w:rsidRDefault="00AC0832">
            <w:pPr>
              <w:pStyle w:val="CellColumn"/>
            </w:pPr>
            <w:r>
              <w:t>318.450</w:t>
            </w:r>
          </w:p>
        </w:tc>
        <w:tc>
          <w:tcPr>
            <w:tcW w:w="2322" w:type="dxa"/>
          </w:tcPr>
          <w:p w:rsidR="00AC0832" w:rsidRDefault="00AC0832">
            <w:pPr>
              <w:pStyle w:val="CellColumn"/>
            </w:pPr>
            <w:r>
              <w:t>120.490</w:t>
            </w:r>
          </w:p>
        </w:tc>
        <w:tc>
          <w:tcPr>
            <w:tcW w:w="2322" w:type="dxa"/>
          </w:tcPr>
          <w:p w:rsidR="00AC0832" w:rsidRDefault="00AC0832">
            <w:pPr>
              <w:pStyle w:val="CellColumn"/>
            </w:pPr>
            <w:r>
              <w:t>37,8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Provedba komponente Ugovora o uslugama izrade baze podataka započela je 26. studenog 2012. godine. Vrijednost Ugovora je 53.055,00 eura, od kojih se 75% vrijednosti Ugovora plaća iz sredstava EU, a 25% iz sredstava nacionalnog sufinanciranja, također plaćanje se vrši u 2 rate (60% avansno i 40% završno plaćanje). Budući da projekt u partnerstvu provode Ured pučkog pravobranitelja i Ured za ljudska prava i prava nacionalnih manjina VRH plaćanje je podijeljeno između dviju institucija u skladu s omjerom broja aktivnosti koje provodi pojedina institucija te u skladu s tim Ured pučkog pravobranitelja plaća 50% iznosa nacionalnog sufinanciranja. </w:t>
      </w:r>
    </w:p>
    <w:p w:rsidR="00AC0832" w:rsidRDefault="00AC0832">
      <w:pPr>
        <w:pStyle w:val="Normal6"/>
      </w:pPr>
      <w:r>
        <w:t>Prva rata plaćena je 28. prosinca 2012. godine, a učešće pučkog pravobranitelja bilo je 3.979,13 eura, dok će druga rata biti plaćena u 2013. godini.</w:t>
      </w:r>
    </w:p>
    <w:p w:rsidR="00AC0832" w:rsidRDefault="00AC0832">
      <w:pPr>
        <w:pStyle w:val="Heading1"/>
      </w:pPr>
      <w:r>
        <w:t>121 PRAVOBRANITELJ ZA DJECU</w:t>
      </w:r>
    </w:p>
    <w:p w:rsidR="00AC0832" w:rsidRDefault="00AC0832">
      <w:pPr>
        <w:pStyle w:val="Heading4"/>
      </w:pPr>
      <w:r>
        <w:t>Uvod</w:t>
      </w:r>
    </w:p>
    <w:p w:rsidR="00AC0832" w:rsidRDefault="00AC0832">
      <w:pPr>
        <w:pStyle w:val="Normal3"/>
      </w:pPr>
      <w:r>
        <w:t>Sukladno Strateškom planu za razdoblje 2011. do 2013., Planu i programu rada za 2012. i planiranom razvoju Ureda, s mjerama štednje i preraspodjelom tijekom proračunske godine,  proračun Ureda pravobraniteljice za djecu iznosio je 5.312.000 kuna. Proračunskim sredstvima raspolagalo se sukladno Zakonu o proračunu, Zakonu o javnoj nabavi i ostalim propisima o poslovanju proračunskih korisnika, kao i prema smjernicama Ministarstva financija i Državne riznice. Proračun je izvršen u 97,89% iznosu, odnosno s 5.199.834 kn. Izvršenje planiranih sredstava bilo je u većem postotnom iznosu u odnosu na 2011. Planirani prihodi za financiranje rashoda poslovanja u 2012. (5.275.000 kn) izvršeni su s 97,88%, a planirani prihodi za financiranje rashoda za nabavu nefinancijske imovine (37.000 kn) izvršeni su s 98,64%.  Od ukupno izvršenog proračuna za 2012. (5.199.834 kn), 67,24% sredstava (3.496.371 kn) izdvojeno je za rashode za zaposlene, a 31,48% sredstava (1.637.166 kn) za materijalne rashode. Materijalni rashodi obuhvaćaju skupine računa računskog plana 321 Naknade troškova zaposlenima (323.227 kn), 322 Rashodi za materijal i energiju (254.126 kn), 323 Rashodi za usluge (964.152 kn), 324 Naknade troškova osobama izvan radnog odnosa, a odnose se na rad MMS-a (43.632 kn), 329 Ostali nespomenuti rashodi poslovanja (52.029 kn). Financijski rashodi u iznosu od 3.200 kuna činili su 0,06% ukupnih sredstava. Za komunikacijsku opremu izdvojeno je 0,13% sredstava (6.552 kn), a za informatizaciju 0,70% sredstava (36.496 n). Usporedbom podataka plana i izvršenja Državnog proračuna u ovoj godini, u odnosu na prethodnu, vidljivo je da su sredstva za rad Ureda u 2012.  planirana za 416.930 kn manje u odnosu na 2011. Tijekom godine ostvarena je vrlo dobra suradnja s Ministarstvom financija i Državnom riznicom u pravovremenom i planskom korištenju sredstava državnog proračuna. Odobreni su nam rebalansi proračuna prema planiranoj dinamici i programskim aktivnostima Ureda te smo zahvaljujući tome uspjeli uspostaviti nove standarde na području zaštite i promicanja prava i interesa djece.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12105-Pravobranitelj za djecu</w:t>
            </w:r>
          </w:p>
        </w:tc>
        <w:tc>
          <w:tcPr>
            <w:tcW w:w="2322" w:type="dxa"/>
          </w:tcPr>
          <w:p w:rsidR="00AC0832" w:rsidRDefault="00AC0832">
            <w:pPr>
              <w:pStyle w:val="CellColumn"/>
            </w:pPr>
            <w:r>
              <w:t>5.312.000</w:t>
            </w:r>
          </w:p>
        </w:tc>
        <w:tc>
          <w:tcPr>
            <w:tcW w:w="2322" w:type="dxa"/>
          </w:tcPr>
          <w:p w:rsidR="00AC0832" w:rsidRDefault="00AC0832">
            <w:pPr>
              <w:pStyle w:val="CellColumn"/>
            </w:pPr>
            <w:r>
              <w:t>5.199.834</w:t>
            </w:r>
          </w:p>
        </w:tc>
        <w:tc>
          <w:tcPr>
            <w:tcW w:w="2322" w:type="dxa"/>
          </w:tcPr>
          <w:p w:rsidR="00AC0832" w:rsidRDefault="00AC0832">
            <w:pPr>
              <w:pStyle w:val="CellColumn"/>
            </w:pPr>
            <w:r>
              <w:t>97,9</w:t>
            </w:r>
          </w:p>
        </w:tc>
      </w:tr>
      <w:tr w:rsidR="00AC0832" w:rsidTr="00BE20ED">
        <w:trPr>
          <w:jc w:val="center"/>
        </w:trPr>
        <w:tc>
          <w:tcPr>
            <w:tcW w:w="2322" w:type="dxa"/>
            <w:shd w:val="clear" w:color="auto" w:fill="B5C0D8"/>
          </w:tcPr>
          <w:p w:rsidR="00AC0832" w:rsidRDefault="00AC0832">
            <w:pPr>
              <w:pStyle w:val="CellColumn"/>
            </w:pPr>
            <w:r>
              <w:t>Ukupno 121-PRAVOBRANITELJ ZA DJECU</w:t>
            </w:r>
          </w:p>
        </w:tc>
        <w:tc>
          <w:tcPr>
            <w:tcW w:w="2322" w:type="dxa"/>
            <w:shd w:val="clear" w:color="auto" w:fill="B5C0D8"/>
          </w:tcPr>
          <w:p w:rsidR="00AC0832" w:rsidRDefault="00AC0832">
            <w:pPr>
              <w:pStyle w:val="CellColumn"/>
            </w:pPr>
            <w:r>
              <w:t>5.312.000</w:t>
            </w:r>
          </w:p>
        </w:tc>
        <w:tc>
          <w:tcPr>
            <w:tcW w:w="2322" w:type="dxa"/>
            <w:shd w:val="clear" w:color="auto" w:fill="B5C0D8"/>
          </w:tcPr>
          <w:p w:rsidR="00AC0832" w:rsidRDefault="00AC0832">
            <w:pPr>
              <w:pStyle w:val="CellColumn"/>
            </w:pPr>
            <w:r>
              <w:t>5.199.834</w:t>
            </w:r>
          </w:p>
        </w:tc>
        <w:tc>
          <w:tcPr>
            <w:tcW w:w="2322" w:type="dxa"/>
            <w:shd w:val="clear" w:color="auto" w:fill="B5C0D8"/>
          </w:tcPr>
          <w:p w:rsidR="00AC0832" w:rsidRDefault="00AC0832">
            <w:pPr>
              <w:pStyle w:val="CellColumn"/>
            </w:pPr>
            <w:r>
              <w:t>97,9</w:t>
            </w:r>
          </w:p>
        </w:tc>
      </w:tr>
    </w:tbl>
    <w:p w:rsidR="00AC0832" w:rsidRDefault="00AC0832">
      <w:pPr>
        <w:jc w:val="left"/>
      </w:pPr>
    </w:p>
    <w:p w:rsidR="00AC0832" w:rsidRDefault="00AC0832">
      <w:pPr>
        <w:pStyle w:val="Heading2"/>
      </w:pPr>
      <w:r>
        <w:t>12105 Pravobranitelj za djecu</w:t>
      </w:r>
    </w:p>
    <w:p w:rsidR="00AC0832" w:rsidRDefault="00AC0832">
      <w:pPr>
        <w:pStyle w:val="Heading4"/>
      </w:pPr>
      <w:r>
        <w:t>Uvod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12105-Pravobranitelj za djecu</w:t>
            </w:r>
          </w:p>
        </w:tc>
        <w:tc>
          <w:tcPr>
            <w:tcW w:w="2322" w:type="dxa"/>
          </w:tcPr>
          <w:p w:rsidR="00AC0832" w:rsidRDefault="00AC0832">
            <w:pPr>
              <w:pStyle w:val="CellColumn"/>
            </w:pPr>
            <w:r>
              <w:t>5.312.000</w:t>
            </w:r>
          </w:p>
        </w:tc>
        <w:tc>
          <w:tcPr>
            <w:tcW w:w="2322" w:type="dxa"/>
          </w:tcPr>
          <w:p w:rsidR="00AC0832" w:rsidRDefault="00AC0832">
            <w:pPr>
              <w:pStyle w:val="CellColumn"/>
            </w:pPr>
            <w:r>
              <w:t>5.199.834</w:t>
            </w:r>
          </w:p>
        </w:tc>
        <w:tc>
          <w:tcPr>
            <w:tcW w:w="2322" w:type="dxa"/>
          </w:tcPr>
          <w:p w:rsidR="00AC0832" w:rsidRDefault="00AC0832">
            <w:pPr>
              <w:pStyle w:val="CellColumn"/>
            </w:pPr>
            <w:r>
              <w:t>97,9</w:t>
            </w:r>
          </w:p>
        </w:tc>
      </w:tr>
      <w:tr w:rsidR="00AC0832" w:rsidTr="00BE20ED">
        <w:trPr>
          <w:jc w:val="center"/>
        </w:trPr>
        <w:tc>
          <w:tcPr>
            <w:tcW w:w="2322" w:type="dxa"/>
          </w:tcPr>
          <w:p w:rsidR="00AC0832" w:rsidRDefault="00AC0832">
            <w:pPr>
              <w:pStyle w:val="CellColumnSmall"/>
            </w:pPr>
            <w:r>
              <w:t>2116-ZAŠTITA I PROMICANJE PRAVA DJECE</w:t>
            </w:r>
          </w:p>
        </w:tc>
        <w:tc>
          <w:tcPr>
            <w:tcW w:w="2322" w:type="dxa"/>
          </w:tcPr>
          <w:p w:rsidR="00AC0832" w:rsidRDefault="00AC0832">
            <w:pPr>
              <w:pStyle w:val="CellColumnSmall"/>
            </w:pPr>
            <w:r>
              <w:t>5.312.000</w:t>
            </w:r>
          </w:p>
        </w:tc>
        <w:tc>
          <w:tcPr>
            <w:tcW w:w="2322" w:type="dxa"/>
          </w:tcPr>
          <w:p w:rsidR="00AC0832" w:rsidRDefault="00AC0832">
            <w:pPr>
              <w:pStyle w:val="CellColumnSmall"/>
            </w:pPr>
            <w:r>
              <w:t>5.199.834</w:t>
            </w:r>
          </w:p>
        </w:tc>
        <w:tc>
          <w:tcPr>
            <w:tcW w:w="2322" w:type="dxa"/>
          </w:tcPr>
          <w:p w:rsidR="00AC0832" w:rsidRDefault="00AC0832">
            <w:pPr>
              <w:pStyle w:val="CellColumnSmall"/>
            </w:pPr>
            <w:r>
              <w:t>97,9</w:t>
            </w:r>
          </w:p>
        </w:tc>
      </w:tr>
    </w:tbl>
    <w:p w:rsidR="00AC0832" w:rsidRDefault="00AC0832">
      <w:pPr>
        <w:jc w:val="left"/>
      </w:pPr>
    </w:p>
    <w:p w:rsidR="00AC0832" w:rsidRDefault="00AC0832">
      <w:pPr>
        <w:pStyle w:val="Heading4"/>
      </w:pPr>
      <w:r>
        <w:t>OBRAZLOŽENJE PROGRAMA</w:t>
      </w:r>
    </w:p>
    <w:p w:rsidR="00AC0832" w:rsidRDefault="00AC0832">
      <w:pPr>
        <w:pStyle w:val="Heading5"/>
      </w:pPr>
      <w:r>
        <w:t>2116 ZAŠTITA I PROMICANJE PRAVA DJECE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2116-ZAŠTITA I PROMICANJE PRAVA DJECE</w:t>
            </w:r>
          </w:p>
        </w:tc>
        <w:tc>
          <w:tcPr>
            <w:tcW w:w="2322" w:type="dxa"/>
          </w:tcPr>
          <w:p w:rsidR="00AC0832" w:rsidRDefault="00AC0832">
            <w:pPr>
              <w:pStyle w:val="CellColumn"/>
            </w:pPr>
            <w:r>
              <w:t>5.312.000</w:t>
            </w:r>
          </w:p>
        </w:tc>
        <w:tc>
          <w:tcPr>
            <w:tcW w:w="2322" w:type="dxa"/>
          </w:tcPr>
          <w:p w:rsidR="00AC0832" w:rsidRDefault="00AC0832">
            <w:pPr>
              <w:pStyle w:val="CellColumn"/>
            </w:pPr>
            <w:r>
              <w:t>5.199.834</w:t>
            </w:r>
          </w:p>
        </w:tc>
        <w:tc>
          <w:tcPr>
            <w:tcW w:w="2322" w:type="dxa"/>
          </w:tcPr>
          <w:p w:rsidR="00AC0832" w:rsidRDefault="00AC0832">
            <w:pPr>
              <w:pStyle w:val="CellColumn"/>
            </w:pPr>
            <w:r>
              <w:t>97,9</w:t>
            </w:r>
          </w:p>
        </w:tc>
      </w:tr>
    </w:tbl>
    <w:p w:rsidR="00AC0832" w:rsidRDefault="00AC0832">
      <w:pPr>
        <w:jc w:val="left"/>
      </w:pPr>
    </w:p>
    <w:p w:rsidR="00AC0832" w:rsidRDefault="00AC0832">
      <w:pPr>
        <w:pStyle w:val="Heading6"/>
      </w:pPr>
      <w:r>
        <w:t>Opis programa</w:t>
      </w:r>
    </w:p>
    <w:p w:rsidR="00AC0832" w:rsidRDefault="00AC0832">
      <w:pPr>
        <w:pStyle w:val="Normal5"/>
      </w:pPr>
      <w:r>
        <w:t xml:space="preserve">Zaštita pojedinačnih prava i interesa djece kroz neposredne mjere u odnosu na dijete -Ured pravobraniteljice za djecu osobitu pažnju posvećivao je  zaštiti pojedinačnih prava i interesa djece kroz neposredne mjere u odnosu na dijete, i to kroz obavljanje stručnih poslova u vezi s podnescima i usmenim poticajima upućenim Uredu te kroz stjecanje uvida u način ostvarivanja brige o djeci smještenoj izvan obitelji (aktivnosti usmjerene na terenski rad u smislu obilazaka različitih odgojnih, obrazovnih, socijalnih, rehabilitacijskih i odgojnih institucija).  </w:t>
      </w:r>
    </w:p>
    <w:p w:rsidR="00AC0832" w:rsidRDefault="00AC0832">
      <w:pPr>
        <w:pStyle w:val="Normal5"/>
      </w:pPr>
      <w:r>
        <w:t>Unapređenje pravnog i društvenog položaja djece kroz sveobuhvatnu zaštitu - Pravobranitelj za djecu je  općim inicijativama i promicanjem prava djece kroz proaktivno, preventivno i dugoročno djelovanje koje obuhvaća veći broj djece i predstavlja važan dio sveobuhvatnog djelovanja i zaštite djece, poticao unapređenje pravnog i društvenog položaja djece te, sukladno Strateškom okviru za razvoj 2006.-2013. Vlade RH, radio na ojačanju uloge dječjeg pravobranitelja i povećanju ulaganja i izdvajanja za dio socijalnog sustava koji se bavi djecom i obiteljima. Izuzetno važnim smatramo ostvarivanje utjecaja kroz aktivnosti usmjerene promicanju prava djece, praćenje usklađenosti zakona i drugih propisa s odredbama Konvencije o pravima djeteta, i sudjelovanje na saborskim odborima u predlaganju izmjena i dopuna zakona; kroz praćenje primjene propisa i dokumenata te praćenje provedbe strategija i planova te s tim u vezi davanje preporuka i prijedloga mjerodavnim tijelima; kroz međuinstitucionalnu suradnju u ulozi medijatora i moderatora bolje zaštite prava djece, kroz međunarodnu i bilateralnu suradnju radi razmjene informacija i promocije prava djece.</w:t>
      </w:r>
    </w:p>
    <w:p w:rsidR="00AC0832" w:rsidRDefault="00AC0832">
      <w:pPr>
        <w:pStyle w:val="Heading6"/>
      </w:pPr>
      <w:r>
        <w:t>Zakonske i druge pravne osnove</w:t>
      </w:r>
    </w:p>
    <w:p w:rsidR="00AC0832" w:rsidRDefault="00AC0832">
      <w:pPr>
        <w:pStyle w:val="Normal5"/>
      </w:pPr>
      <w:r>
        <w:t>Pravna osnova za provođenje programa je Zakon o pravobranitelju za djecu te drugi propisi kojima se štite, prate i promiču prava i interesi djece, osobito Konvencija Ujedinjenih naroda o pravima djeteta, Strateški okvir za razvoj 2006. - 2013. Vlade Republike Hrvatske te Izvješća o radu Pravobranitelja za djecu.</w:t>
      </w:r>
    </w:p>
    <w:p w:rsidR="00AC0832" w:rsidRDefault="00AC0832">
      <w:pPr>
        <w:pStyle w:val="Heading7"/>
      </w:pPr>
      <w:r>
        <w:t>Cilj 1. Ostvarivanje najboljih interesa djece kroz povećanje njihove zaštite te unapređivanje njihovog pravnog i društvenog položaja u RH</w:t>
      </w:r>
    </w:p>
    <w:p w:rsidR="00AC0832" w:rsidRDefault="00AC0832">
      <w:pPr>
        <w:pStyle w:val="Heading8"/>
        <w:jc w:val="left"/>
      </w:pPr>
      <w:r>
        <w:t>Opis provedbe cilja programa</w:t>
      </w:r>
    </w:p>
    <w:p w:rsidR="00AC0832" w:rsidRDefault="00AC0832">
      <w:pPr>
        <w:pStyle w:val="Normal6"/>
      </w:pPr>
      <w:r>
        <w:t>Najbolji interes i unapređenje pravnog i društvenog položaja djece ostvarit će se afirmacijom djece kao subjekata i nositelja prava, djelotvornim javnim politikama, poboljšanjem zakonodavstva te učinkovitim funkcioniranjem svih društvenih sustava, uključujući obitelji. Djelotvorne javne politike usmjerene ostvarenju najboljeg interesa djece, usklađeno funkcioniranje sustava, unapređenje zakonodavstva donošenjem novih,  izmjenom postojećih propisa i njihovom dosljednom i djelotvornom primjenom, omogućit će bolju zaštitu djece, bolje uvjete njihova odrastanja i njihovo aktivnije i sadržajno sudjelovanje i utjecaj u društvu  u svim segmentima života – obitelji, obrazovanju, socijalnoj skrbi, zdravstvu i drugima. To određuje našu misiju, ciljeve i viziju, usmjerene prema povećanju razine zaštite djece u Republici Hrvatskoj, ostvarivanju njihovih prava u svim područjima života i unapređenju njihova položaja u društvu. Navedeno proizlazi iz Ustava Republike Hrvatske, Konvencije o pravima djeteta, Zakona o pravobranitelju za djecu, te Strateškog plana i Izvješća o radu Pravobranitelja za djecu.  Gotovo da i nema segmenta dječjeg života u 2012. godini koji nismo dotaknuli. Ili smo postupali u pojedinačnim prijavama, kojima uvijek dajemo prednost ili smo svojim inicijativama, najčešće potaknuti prijavama, davali prijedloge i poticaje za rješavanje različitih pitanja i teškoća u dječjoj svakodnevici. Promjene su se dogodile u različitim sferama života djece. Mnoge od njih su pozitivne, jer slijede interes djece, a prvenstveno je to današnja osviještenost društva o dječjim potrebama, o specifičnostima njihove zaštite i potrebi njihove uključenosti u razvoj društvenih procesa. No, moramo izdvojiti neka područja u kojima se kršenja prava djece osobito ističu svojom brojnošću, ponavljanjem, intenzitetom i aktualnošću. Prije svega mislimo na područje obiteljskih odnosa koje je i nadalje, prema prijavama koje nam pristižu, mjesto kršenja najvećeg broja dječjih prava. Drugo područje po brojnosti prijava o kršenju dječjih prava je nasilje nad djecom i među djecom. Moramo spomenuti i siromaštvo, tu neizbježnu temu koja nas zaokuplja i kao lokalni i kao globalni problem, a na svim je razinama neraskidivo povezana s uvjetima za ostvarivanje i unapređivanje prava djece. Teret krize prelama se preko njih i na štetu njihovih potreba i prava. U 2012. godini otvoren je 2481 novi predmet, od kojih su 1228 bile prijave povreda pojedinačnih prava djece, a 1253 opće inicijative Ureda. Pojedinačnim povredama prava djece u 2012. obuhvaćeno je 1825 djece. Pored 1228 novih prijava, postupali smo i u 705 prenesenih predmeta iz prethodnih godina, što znači da smo sveukupno postupali u 1933 pojedinačna predmeta. U ukupnom broju pojedinačnih predmeta nije iskazano davanje informacija, savjeta i uputa strankama u neposrednom kontaktu u prostorijama Ureda ili  telefonskim putem (1998). Broj novih predmeta u odnosu na prethodnu godinu veći je za 222 što predstavlja povećanje od skoro 10%, iako smo u prošloj godini, zbog gotovo cjelogodišnje odsutnosti jedne savjetnice (porodni dopust) te četveromjesečne odsutnosti druge, otežano radili i funkcionirali. Obišli smo čak 57 ustanova i drugih mjesta u kojima borave djeca smještena izvan obitelji u raznim krajevima Hrvatske. Premda smo u svome radu velikim dijelom posvećeni pojedinačnim povredama prava djece i intervencijama koje prema svojim ovlastima poduzimamo u vezi s time, proteklih godina imamo i sve veći broj općih inicijativa u zaštiti prava i interesa djece. Smatramo da to svjedoči o našoj opredijeljenosti za aktivnu ulogu u društvu, želji za sudjelovanjem u stvaranju boljih uvjeta za djecu u svim segmentima i traganju za sustavnim rješenjima koja će se odnositi na svu djecu. Posebice važnim smatramo naš rad na zakonodavnim inicijativama i sudjelovanju u izradi propisa te aktivno sudjelovanje u raspravama na saborskim odborima s primjedbama i prijedlozima na pojedinačne propise. Puno pažnje u 2012. posvetili smo radu s djecom i mladima te jačanju njihove uloge i povećanju vidljivosti u društvu općenito. Dječje sudjelovanje u svim temama koje ih se tiču mora biti još izraženije, djeca moraju biti prisutnija u društvu, koje mora širiti mogućnosti za izražavanje i uvažavanje njihova mišljenja. Kroz Mrežu mladih savjetnika - MMS, stalno dječje savjetničko tijelo pravobraniteljice, nastojimo tome pridonijeti pa kontinuirano  komuniciramo s djecom, slušamo njihova mišljenja i stavove te ih ugrađujemo u naša stajališta o važnim pitanjima za djecu.</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62"/>
        <w:gridCol w:w="1528"/>
        <w:gridCol w:w="1176"/>
        <w:gridCol w:w="1220"/>
        <w:gridCol w:w="1439"/>
        <w:gridCol w:w="1220"/>
        <w:gridCol w:w="124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1.1 Postotak prihvaćenih upozorenja, prijedloga i preporuka</w:t>
            </w:r>
          </w:p>
        </w:tc>
        <w:tc>
          <w:tcPr>
            <w:tcW w:w="1300" w:type="dxa"/>
          </w:tcPr>
          <w:p w:rsidR="00AC0832" w:rsidRDefault="00AC0832">
            <w:pPr>
              <w:pStyle w:val="CellColumn"/>
            </w:pPr>
            <w:r>
              <w:t>Sprječavanje štetnih djelovanja koja ugrožavaju prava i interese djece</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Pravobranitelj za djecu</w:t>
            </w:r>
          </w:p>
        </w:tc>
        <w:tc>
          <w:tcPr>
            <w:tcW w:w="1300" w:type="dxa"/>
          </w:tcPr>
          <w:p w:rsidR="00AC0832" w:rsidRDefault="00AC0832">
            <w:pPr>
              <w:pStyle w:val="CellColumn"/>
            </w:pPr>
            <w:r>
              <w:t>32</w:t>
            </w:r>
          </w:p>
        </w:tc>
        <w:tc>
          <w:tcPr>
            <w:tcW w:w="1300" w:type="dxa"/>
          </w:tcPr>
          <w:p w:rsidR="00AC0832" w:rsidRDefault="00AC0832">
            <w:pPr>
              <w:pStyle w:val="CellColumn"/>
            </w:pPr>
            <w:r>
              <w:t>32</w:t>
            </w:r>
          </w:p>
        </w:tc>
      </w:tr>
      <w:tr w:rsidR="00AC0832" w:rsidTr="00BE20ED">
        <w:trPr>
          <w:jc w:val="center"/>
        </w:trPr>
        <w:tc>
          <w:tcPr>
            <w:tcW w:w="1300" w:type="dxa"/>
          </w:tcPr>
          <w:p w:rsidR="00AC0832" w:rsidRDefault="00AC0832">
            <w:pPr>
              <w:pStyle w:val="CellColumn"/>
            </w:pPr>
            <w:r>
              <w:t>1.2 Postotak prihvaćenih upozorenja, prijedloga i preporuka sveobuhvatne zaštite</w:t>
            </w:r>
          </w:p>
        </w:tc>
        <w:tc>
          <w:tcPr>
            <w:tcW w:w="1300" w:type="dxa"/>
          </w:tcPr>
          <w:p w:rsidR="00AC0832" w:rsidRDefault="00AC0832">
            <w:pPr>
              <w:pStyle w:val="CellColumn"/>
            </w:pPr>
            <w:r>
              <w:t>Unapređenje pravnog i društvenog položaja djece, jačanje dječjeg pravobranitelja te povećanje ulaganja i izdvajanja za dio socijalnog sustava koji se bavi djecom i obiteljima</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Pravobranitelj za djecu</w:t>
            </w:r>
          </w:p>
        </w:tc>
        <w:tc>
          <w:tcPr>
            <w:tcW w:w="1300" w:type="dxa"/>
          </w:tcPr>
          <w:p w:rsidR="00AC0832" w:rsidRDefault="00AC0832">
            <w:pPr>
              <w:pStyle w:val="CellColumn"/>
            </w:pPr>
            <w:r>
              <w:t>32</w:t>
            </w:r>
          </w:p>
        </w:tc>
        <w:tc>
          <w:tcPr>
            <w:tcW w:w="1300" w:type="dxa"/>
          </w:tcPr>
          <w:p w:rsidR="00AC0832" w:rsidRDefault="00AC0832">
            <w:pPr>
              <w:pStyle w:val="CellColumn"/>
            </w:pPr>
            <w:r>
              <w:t>32</w:t>
            </w:r>
          </w:p>
        </w:tc>
      </w:tr>
    </w:tbl>
    <w:p w:rsidR="00AC0832" w:rsidRDefault="00AC0832">
      <w:pPr>
        <w:jc w:val="left"/>
      </w:pPr>
    </w:p>
    <w:p w:rsidR="00AC0832" w:rsidRDefault="00AC0832">
      <w:pPr>
        <w:pStyle w:val="Heading6"/>
      </w:pPr>
      <w:r>
        <w:t>A739000 ZAŠTITA, PRAĆENJE I PROMICANJE PRAVA DJECE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A739000-ZAŠTITA, PRAĆENJE I PROMICANJE PRAVA DJECE</w:t>
            </w:r>
          </w:p>
        </w:tc>
        <w:tc>
          <w:tcPr>
            <w:tcW w:w="2322" w:type="dxa"/>
          </w:tcPr>
          <w:p w:rsidR="00AC0832" w:rsidRDefault="00AC0832">
            <w:pPr>
              <w:pStyle w:val="CellColumn"/>
            </w:pPr>
            <w:r>
              <w:t>5.275.000</w:t>
            </w:r>
          </w:p>
        </w:tc>
        <w:tc>
          <w:tcPr>
            <w:tcW w:w="2322" w:type="dxa"/>
          </w:tcPr>
          <w:p w:rsidR="00AC0832" w:rsidRDefault="00AC0832">
            <w:pPr>
              <w:pStyle w:val="CellColumn"/>
            </w:pPr>
            <w:r>
              <w:t>5.163.339</w:t>
            </w:r>
          </w:p>
        </w:tc>
        <w:tc>
          <w:tcPr>
            <w:tcW w:w="2322" w:type="dxa"/>
          </w:tcPr>
          <w:p w:rsidR="00AC0832" w:rsidRDefault="00AC0832">
            <w:pPr>
              <w:pStyle w:val="CellColumn"/>
            </w:pPr>
            <w:r>
              <w:t>97,9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Od planiranih  prihoda za 2012. godinu  ( 5.312.000 kn) ostvareno je  5.199.834,10 kuna odnosno 97,89% Od toga: </w:t>
      </w:r>
    </w:p>
    <w:p w:rsidR="00AC0832" w:rsidRDefault="00AC0832">
      <w:pPr>
        <w:pStyle w:val="Normal6"/>
      </w:pPr>
      <w:r>
        <w:t xml:space="preserve">Planirani prihodi za financiranje rashoda poslovanja  5.275.000 kn. - Izvršeno 5.163.339 kn odnosno 97,88% </w:t>
      </w:r>
    </w:p>
    <w:p w:rsidR="00AC0832" w:rsidRDefault="00AC0832">
      <w:pPr>
        <w:pStyle w:val="Normal6"/>
      </w:pPr>
      <w:r>
        <w:t xml:space="preserve">Planirani prihodi za financiranje rashoda za nabavu nefinancijske imovine 37.000,00 kn - Izvršeno 36.495,50 kuna odnosno 98,64% Ukupni rashodi poslovanja  na razini su prošlogodišnjih s određenim odstupanjima na nekim stavkama, kao na primjer stavka rashoda za zaposlene  u ukupnom dijelu manje je ostvarena od prošle godine za 2,9% a razlog su dijelom porodiljski dopust, a dijelom neplaćeni dopust zaposlenika te s tim u vezi uštede zbog ne uzimanja zamjene, dok je stavka ostali rashodi za zaposlene   21,3% veća od iste u 2011.g. a razlog su, pored regresa i dara za djecu,  isplate dospjelih jubilarnih nagrada. Materijalni rashodi rasli su za 7,4 % u odnosu na prošlu godinu, s tim da je većih odstupanja bilo na stavkama : Stručno usavršavanje zaposlenika, razlika od 55,7% proizašla je iz potrebe stručnog usavršavanja putem seminara i savjetovanja  u zemlji i inozemstvu  te s tim u vezi usavršavanja poslovnog engleskog i francuskog jezika.   </w:t>
      </w:r>
    </w:p>
    <w:p w:rsidR="00AC0832" w:rsidRDefault="00AC0832">
      <w:pPr>
        <w:pStyle w:val="Normal6"/>
      </w:pPr>
      <w:r>
        <w:t>Slijedeće veće odstupanje je stavka Materijal i dijelovi za tekuće i investicijsko održavanje, odnosno  troškovi za materijal za popravak i održavanje u voznom stanju dotrajalih službenih vozila.Usluge tekućeg i investicijskog održavanja  veće su za 61,6% što je vezano za djelomično uređenje novo dodijeljenog poslovnog prostora u Zagrebu, Nikole Tesle 10 - u prizemlju (Male kuće dječjih prava), popravke ostale uredske opreme, inventara i službenih automobila. Komunalne usluge odstupaju u odnosu na prošlu godinu za 26,8%, povećanje proizlazi kao zavisan trošak zbog  povećanih kvadrata poslovnog prostora  u Zagrebu . Intelektualne usluge također su veće zbog podmirenja dijela troškova za izradu  idejnih i izvedbenih projekata za uređenje novog prostora. Povećani troškovi na stavci  Ostale usluge  povećani su zbog troškova  tiskanja stručne knjige „Dijete u pravosudnom postupku „.</w:t>
      </w:r>
    </w:p>
    <w:p w:rsidR="00AC0832" w:rsidRDefault="00AC0832">
      <w:pPr>
        <w:pStyle w:val="Heading6"/>
      </w:pPr>
      <w:r>
        <w:t>K739001 INFORMATIZACIJA UREDA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K739001-INFORMATIZACIJA UREDA</w:t>
            </w:r>
          </w:p>
        </w:tc>
        <w:tc>
          <w:tcPr>
            <w:tcW w:w="2322" w:type="dxa"/>
          </w:tcPr>
          <w:p w:rsidR="00AC0832" w:rsidRDefault="00AC0832">
            <w:pPr>
              <w:pStyle w:val="CellColumn"/>
            </w:pPr>
            <w:r>
              <w:t>37.000</w:t>
            </w:r>
          </w:p>
        </w:tc>
        <w:tc>
          <w:tcPr>
            <w:tcW w:w="2322" w:type="dxa"/>
          </w:tcPr>
          <w:p w:rsidR="00AC0832" w:rsidRDefault="00AC0832">
            <w:pPr>
              <w:pStyle w:val="CellColumn"/>
            </w:pPr>
            <w:r>
              <w:t>36.496</w:t>
            </w:r>
          </w:p>
        </w:tc>
        <w:tc>
          <w:tcPr>
            <w:tcW w:w="2322" w:type="dxa"/>
          </w:tcPr>
          <w:p w:rsidR="00AC0832" w:rsidRDefault="00AC0832">
            <w:pPr>
              <w:pStyle w:val="CellColumn"/>
            </w:pPr>
            <w:r>
              <w:t>98,6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Za informatizaciju ureda u 2012. godini utrošeno je 36.495,50 kuna odnosno 0,70% od ukupnog proračuna za 2012. godinu. Troškovi su vezani uz nabavu računala i računalne opreme.</w:t>
      </w:r>
    </w:p>
    <w:p w:rsidR="00AC0832" w:rsidRDefault="00AC0832">
      <w:pPr>
        <w:pStyle w:val="Heading1"/>
      </w:pPr>
      <w:r>
        <w:t>122 PRAVOBRANITELJ/ICA ZA RAVNOPRAVNOST SPOLOVA</w:t>
      </w:r>
    </w:p>
    <w:p w:rsidR="00AC0832" w:rsidRDefault="00AC0832">
      <w:pPr>
        <w:pStyle w:val="Heading4"/>
      </w:pPr>
      <w:r>
        <w:t>Uvod</w:t>
      </w:r>
    </w:p>
    <w:p w:rsidR="00AC0832" w:rsidRDefault="00AC0832">
      <w:pPr>
        <w:pStyle w:val="Normal3"/>
      </w:pPr>
      <w:r>
        <w:t xml:space="preserve">Pravobranitelj/ica za ravnopravnost spolova (u daljnjem tekstu: pravobraniteljica) planirala je ukupne rashode i izadatke u iznosu od 2.870.675 kuna od kojih je ostvareno 2.811.626 kn ili 98 %.  </w:t>
      </w:r>
    </w:p>
    <w:p w:rsidR="00AC0832" w:rsidRDefault="00AC0832">
      <w:pPr>
        <w:pStyle w:val="Normal3"/>
      </w:pPr>
      <w:r>
        <w:t xml:space="preserve"> </w:t>
      </w:r>
    </w:p>
    <w:p w:rsidR="00AC0832" w:rsidRDefault="00AC0832">
      <w:pPr>
        <w:pStyle w:val="Normal3"/>
      </w:pPr>
      <w:r>
        <w:t>Neutrošenih sredstava nije bilo.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5"/>
        <w:gridCol w:w="2299"/>
        <w:gridCol w:w="2299"/>
        <w:gridCol w:w="2305"/>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12205-Pravobranitelj/ica za ravnopravnost spolova</w:t>
            </w:r>
          </w:p>
        </w:tc>
        <w:tc>
          <w:tcPr>
            <w:tcW w:w="2322" w:type="dxa"/>
          </w:tcPr>
          <w:p w:rsidR="00AC0832" w:rsidRDefault="00AC0832">
            <w:pPr>
              <w:pStyle w:val="CellColumn"/>
            </w:pPr>
            <w:r>
              <w:t>2.870.675</w:t>
            </w:r>
          </w:p>
        </w:tc>
        <w:tc>
          <w:tcPr>
            <w:tcW w:w="2322" w:type="dxa"/>
          </w:tcPr>
          <w:p w:rsidR="00AC0832" w:rsidRDefault="00AC0832">
            <w:pPr>
              <w:pStyle w:val="CellColumn"/>
            </w:pPr>
            <w:r>
              <w:t>2.811.626</w:t>
            </w:r>
          </w:p>
        </w:tc>
        <w:tc>
          <w:tcPr>
            <w:tcW w:w="2322" w:type="dxa"/>
          </w:tcPr>
          <w:p w:rsidR="00AC0832" w:rsidRDefault="00AC0832">
            <w:pPr>
              <w:pStyle w:val="CellColumn"/>
            </w:pPr>
            <w:r>
              <w:t>97,9</w:t>
            </w:r>
          </w:p>
        </w:tc>
      </w:tr>
      <w:tr w:rsidR="00AC0832" w:rsidTr="00BE20ED">
        <w:trPr>
          <w:jc w:val="center"/>
        </w:trPr>
        <w:tc>
          <w:tcPr>
            <w:tcW w:w="2322" w:type="dxa"/>
            <w:shd w:val="clear" w:color="auto" w:fill="B5C0D8"/>
          </w:tcPr>
          <w:p w:rsidR="00AC0832" w:rsidRDefault="00AC0832">
            <w:pPr>
              <w:pStyle w:val="CellColumn"/>
            </w:pPr>
            <w:r>
              <w:t>Ukupno 122-PRAVOBRANITELJ/ICA ZA RAVNOPRAVNOST SPOLOVA</w:t>
            </w:r>
          </w:p>
        </w:tc>
        <w:tc>
          <w:tcPr>
            <w:tcW w:w="2322" w:type="dxa"/>
            <w:shd w:val="clear" w:color="auto" w:fill="B5C0D8"/>
          </w:tcPr>
          <w:p w:rsidR="00AC0832" w:rsidRDefault="00AC0832">
            <w:pPr>
              <w:pStyle w:val="CellColumn"/>
            </w:pPr>
            <w:r>
              <w:t>2.870.675</w:t>
            </w:r>
          </w:p>
        </w:tc>
        <w:tc>
          <w:tcPr>
            <w:tcW w:w="2322" w:type="dxa"/>
            <w:shd w:val="clear" w:color="auto" w:fill="B5C0D8"/>
          </w:tcPr>
          <w:p w:rsidR="00AC0832" w:rsidRDefault="00AC0832">
            <w:pPr>
              <w:pStyle w:val="CellColumn"/>
            </w:pPr>
            <w:r>
              <w:t>2.811.626</w:t>
            </w:r>
          </w:p>
        </w:tc>
        <w:tc>
          <w:tcPr>
            <w:tcW w:w="2322" w:type="dxa"/>
            <w:shd w:val="clear" w:color="auto" w:fill="B5C0D8"/>
          </w:tcPr>
          <w:p w:rsidR="00AC0832" w:rsidRDefault="00AC0832">
            <w:pPr>
              <w:pStyle w:val="CellColumn"/>
            </w:pPr>
            <w:r>
              <w:t>97,9</w:t>
            </w:r>
          </w:p>
        </w:tc>
      </w:tr>
    </w:tbl>
    <w:p w:rsidR="00AC0832" w:rsidRDefault="00AC0832">
      <w:pPr>
        <w:jc w:val="left"/>
      </w:pPr>
    </w:p>
    <w:p w:rsidR="00AC0832" w:rsidRDefault="00AC0832">
      <w:pPr>
        <w:pStyle w:val="Heading2"/>
      </w:pPr>
      <w:r>
        <w:t>12205 Pravobranitelj/ica za ravnopravnost spolova</w:t>
      </w:r>
    </w:p>
    <w:p w:rsidR="00AC0832" w:rsidRDefault="00AC0832">
      <w:pPr>
        <w:pStyle w:val="Heading4"/>
      </w:pPr>
      <w:r>
        <w:t>Uvod</w:t>
      </w:r>
    </w:p>
    <w:p w:rsidR="00AC0832" w:rsidRDefault="00AC0832">
      <w:pPr>
        <w:pStyle w:val="Normal3"/>
      </w:pPr>
      <w:r>
        <w:t xml:space="preserve">Rebalansom Proračuna Republike Hrvatske za 2012. godinu zbog nedostatka sredstava za plaće zaposlenika pravobraniteljici su povećani ukupni izdaci za 76.675,00 kn. Naime, prilikom donošenja  Proračuna RH za 2012. godinu, iako je pravobraniteljica to tražila, nisu se osigurala   sredstva za isplatu naknada plaća za 2 državna dužnosnika koja su bila razriješena zbog isteka osmogodišnjeg mandata krajem 2011. i početkom 2012. (pravobraniteljica i zamjenik pravobraniteljice) te su se njihove naknade za plaću isplaćivale na teret plaća osiguranih za 2 radna mjesta koja su zbog toga ostala nepopunjena. </w:t>
      </w:r>
    </w:p>
    <w:p w:rsidR="00AC0832" w:rsidRDefault="00AC0832">
      <w:pPr>
        <w:pStyle w:val="Normal3"/>
      </w:pPr>
      <w:r>
        <w:t xml:space="preserve"> </w:t>
      </w:r>
    </w:p>
    <w:p w:rsidR="00AC0832" w:rsidRDefault="00AC0832">
      <w:pPr>
        <w:pStyle w:val="Normal3"/>
      </w:pPr>
      <w:r>
        <w:t xml:space="preserve">Planirani izdaci za zakupnine  i najamnine realizirani su bitno manje od plana, izvršenje iznosi 33,1 %. Tome je razlog  </w:t>
      </w:r>
    </w:p>
    <w:p w:rsidR="00AC0832" w:rsidRDefault="00AC0832">
      <w:pPr>
        <w:pStyle w:val="Normal3"/>
      </w:pPr>
      <w:r>
        <w:t>istek Ugovora o operativnom leasingu u travnju 2012. godine, a novi nije sklopljen jer se Vlada Republikr Hrvatske nije nikada očitovala na upućeni prijedlog Ministarstva financija za donošenje Odluke o davanju suglasnosti Pravobraniteljici za ravnopravnost spolova za preuzimanje obveza na teret sredstava državnog proračuna za razdoblje od 2013.-2016. godine, za nabavu osobnog vozila na operativni leasing, sukladno članku 44. Stavku 2. Zakona o proračunu (Narodne novine, br. 87/80).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12205-Pravobranitelj/ica za ravnopravnost spolova</w:t>
            </w:r>
          </w:p>
        </w:tc>
        <w:tc>
          <w:tcPr>
            <w:tcW w:w="2322" w:type="dxa"/>
          </w:tcPr>
          <w:p w:rsidR="00AC0832" w:rsidRDefault="00AC0832">
            <w:pPr>
              <w:pStyle w:val="CellColumn"/>
            </w:pPr>
            <w:r>
              <w:t>2.870.675</w:t>
            </w:r>
          </w:p>
        </w:tc>
        <w:tc>
          <w:tcPr>
            <w:tcW w:w="2322" w:type="dxa"/>
          </w:tcPr>
          <w:p w:rsidR="00AC0832" w:rsidRDefault="00AC0832">
            <w:pPr>
              <w:pStyle w:val="CellColumn"/>
            </w:pPr>
            <w:r>
              <w:t>2.811.626</w:t>
            </w:r>
          </w:p>
        </w:tc>
        <w:tc>
          <w:tcPr>
            <w:tcW w:w="2322" w:type="dxa"/>
          </w:tcPr>
          <w:p w:rsidR="00AC0832" w:rsidRDefault="00AC0832">
            <w:pPr>
              <w:pStyle w:val="CellColumn"/>
            </w:pPr>
            <w:r>
              <w:t>97,9</w:t>
            </w:r>
          </w:p>
        </w:tc>
      </w:tr>
      <w:tr w:rsidR="00AC0832" w:rsidTr="00BE20ED">
        <w:trPr>
          <w:jc w:val="center"/>
        </w:trPr>
        <w:tc>
          <w:tcPr>
            <w:tcW w:w="2322" w:type="dxa"/>
          </w:tcPr>
          <w:p w:rsidR="00AC0832" w:rsidRDefault="00AC0832">
            <w:pPr>
              <w:pStyle w:val="CellColumnSmall"/>
            </w:pPr>
            <w:r>
              <w:t>2117-ZAŠTITA I PROMICANJE RAVNOPRAVNOSTI SPOLOVA</w:t>
            </w:r>
          </w:p>
        </w:tc>
        <w:tc>
          <w:tcPr>
            <w:tcW w:w="2322" w:type="dxa"/>
          </w:tcPr>
          <w:p w:rsidR="00AC0832" w:rsidRDefault="00AC0832">
            <w:pPr>
              <w:pStyle w:val="CellColumnSmall"/>
            </w:pPr>
            <w:r>
              <w:t>2.870.675</w:t>
            </w:r>
          </w:p>
        </w:tc>
        <w:tc>
          <w:tcPr>
            <w:tcW w:w="2322" w:type="dxa"/>
          </w:tcPr>
          <w:p w:rsidR="00AC0832" w:rsidRDefault="00AC0832">
            <w:pPr>
              <w:pStyle w:val="CellColumnSmall"/>
            </w:pPr>
            <w:r>
              <w:t>2.811.626</w:t>
            </w:r>
          </w:p>
        </w:tc>
        <w:tc>
          <w:tcPr>
            <w:tcW w:w="2322" w:type="dxa"/>
          </w:tcPr>
          <w:p w:rsidR="00AC0832" w:rsidRDefault="00AC0832">
            <w:pPr>
              <w:pStyle w:val="CellColumnSmall"/>
            </w:pPr>
            <w:r>
              <w:t>97,9</w:t>
            </w:r>
          </w:p>
        </w:tc>
      </w:tr>
    </w:tbl>
    <w:p w:rsidR="00AC0832" w:rsidRDefault="00AC0832">
      <w:pPr>
        <w:jc w:val="left"/>
      </w:pPr>
    </w:p>
    <w:p w:rsidR="00AC0832" w:rsidRDefault="00AC0832">
      <w:pPr>
        <w:pStyle w:val="Heading4"/>
      </w:pPr>
      <w:r>
        <w:t>OBRAZLOŽENJE PROGRAMA</w:t>
      </w:r>
    </w:p>
    <w:p w:rsidR="00AC0832" w:rsidRDefault="00AC0832">
      <w:pPr>
        <w:pStyle w:val="Heading5"/>
      </w:pPr>
      <w:r>
        <w:t>2117 ZAŠTITA I PROMICANJE RAVNOPRAVNOSTI SPOLOVA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2117-ZAŠTITA I PROMICANJE RAVNOPRAVNOSTI SPOLOVA</w:t>
            </w:r>
          </w:p>
        </w:tc>
        <w:tc>
          <w:tcPr>
            <w:tcW w:w="2322" w:type="dxa"/>
          </w:tcPr>
          <w:p w:rsidR="00AC0832" w:rsidRDefault="00AC0832">
            <w:pPr>
              <w:pStyle w:val="CellColumn"/>
            </w:pPr>
            <w:r>
              <w:t>2.870.675</w:t>
            </w:r>
          </w:p>
        </w:tc>
        <w:tc>
          <w:tcPr>
            <w:tcW w:w="2322" w:type="dxa"/>
          </w:tcPr>
          <w:p w:rsidR="00AC0832" w:rsidRDefault="00AC0832">
            <w:pPr>
              <w:pStyle w:val="CellColumn"/>
            </w:pPr>
            <w:r>
              <w:t>2.811.626</w:t>
            </w:r>
          </w:p>
        </w:tc>
        <w:tc>
          <w:tcPr>
            <w:tcW w:w="2322" w:type="dxa"/>
          </w:tcPr>
          <w:p w:rsidR="00AC0832" w:rsidRDefault="00AC0832">
            <w:pPr>
              <w:pStyle w:val="CellColumn"/>
            </w:pPr>
            <w:r>
              <w:t>97,9</w:t>
            </w:r>
          </w:p>
        </w:tc>
      </w:tr>
    </w:tbl>
    <w:p w:rsidR="00AC0832" w:rsidRDefault="00AC0832">
      <w:pPr>
        <w:jc w:val="left"/>
      </w:pPr>
    </w:p>
    <w:p w:rsidR="00AC0832" w:rsidRDefault="00AC0832">
      <w:pPr>
        <w:pStyle w:val="Heading6"/>
      </w:pPr>
      <w:r>
        <w:t>Opis programa</w:t>
      </w:r>
    </w:p>
    <w:p w:rsidR="00AC0832" w:rsidRDefault="00AC0832">
      <w:pPr>
        <w:pStyle w:val="Normal5"/>
      </w:pPr>
      <w:r>
        <w:t xml:space="preserve">Opća osnova za zaštitu i promicanje ravnopravnosti spolova ugrađena je u temeljne vrednote ustavnog poretka Republike Hrvatske, a pravobraniteljica za ravnopravnost spolova jedan je od mehanizama za osiguranje provedbe Zakona o ravnopravnosti spolova.  Pravobraniteljica promiče ravnopravnost spolova zalaganjem za stvaranje jednakih mogućnosti za žene i muškarce na svim područjima života i rada, da imaju jednak status, jednake mogućnosti za ostvarivanje svojih prava i jednaku korist od ostavrenih rezultata. Pored toga, pravobraniteljica razmatra slučajeve kršenja načela ravnopravnosti spolova i slučajeve diskriminacije prema pojedincima/kama ili grupama ljudi koje su počinila tijela državne uprave, jedinica lokalne i područne (regionalne) samouprave i druga tijela s javnim ovlastima, zaposleni u tim tijelima i druge pravne i fizičke osobe.  </w:t>
      </w:r>
    </w:p>
    <w:p w:rsidR="00AC0832" w:rsidRDefault="00AC0832">
      <w:pPr>
        <w:pStyle w:val="Normal5"/>
      </w:pPr>
      <w:r>
        <w:t xml:space="preserve">U 2012. godini najviše pritužbi došlo je u pogledu ostvarivanja socijalnih prava (32,1 %), radnih (26,4 %), pravosudnih (13,9 %), a građanke i građani u većem se broju pritužuju na postupanje državnih tijela, tijela jedinica lokalne i područne (regionalne) samouprave i drugih pravnih osoba za koja su ta tijela nadležna (59,8%) nego na privatne pravne osobe (16,3%) i druge  osobe. </w:t>
      </w:r>
    </w:p>
    <w:p w:rsidR="00AC0832" w:rsidRDefault="00AC0832">
      <w:pPr>
        <w:pStyle w:val="Normal5"/>
      </w:pPr>
      <w:r>
        <w:t xml:space="preserve">Pritužbe glede seksualne orijentacije nastavljaju trend blagog porasta, kao i u 2011. godini i ranijih godina  što upućuje kako ove osobe sve više koriste dostupne pravne instrumente zaštite i poznaju mogućnost obraćanja Pravobraniteljici za ravnopravnost spolova. </w:t>
      </w:r>
    </w:p>
    <w:p w:rsidR="00AC0832" w:rsidRDefault="00AC0832">
      <w:pPr>
        <w:pStyle w:val="Normal5"/>
      </w:pPr>
      <w:r>
        <w:t>Pravobraniteljica za ravnopravnost spolova, postupajući po pritužbama i osobnoj inicijativi, djelovala je na svim razinama državne uprave i na području svih jedinica lokalne i područne (regionalne) samouprave, uključujući i druge pravne i fizičke osobe te medije. Ukupno je uputila 133 pismenih upozorenja, 132 preporuke i 298 prijedloga, 1 inicijativu za izmjenu zakona, 1 za izmjenu podzakonskog akta, a umješačica je bila u ukupno 8 sudskih postupaka od kojih 6 su bili započeti u 2011. godini.</w:t>
      </w:r>
    </w:p>
    <w:p w:rsidR="00AC0832" w:rsidRDefault="00AC0832">
      <w:pPr>
        <w:pStyle w:val="Heading6"/>
      </w:pPr>
      <w:r>
        <w:t>Zakonske i druge pravne osnove</w:t>
      </w:r>
    </w:p>
    <w:p w:rsidR="00AC0832" w:rsidRDefault="00AC0832">
      <w:pPr>
        <w:pStyle w:val="Normal5"/>
      </w:pPr>
      <w:r>
        <w:t xml:space="preserve">Pravobraniteljica za ravnopravnost spolova obavlje poslove neovisnog tijela nadležnog za suzbijanje diskriminacije u području ravnopravnosti spolova koje, pored toga što prati provedbu Zakona o ravnopravnosti spolova (NN, broj 82/2008), prati i provedbu svih drugih propisa koji se tiču ravnopravnosti spolova (jamstva o ravnopravnosti spolova koja izviru iz općih pravila međunarodnog prava, pravne stečevine Europske zajednice, Konvencije Ujedinjenih naroda o uklanjanju svih oblika diskriminacije žena, Ugovorima Ujedinjenih naroda o građanskim i političkim pravima, odnosno ekonomskim, socijalnim i kulturnim pravima te Europsku konvenciju za zaštitu ljudskih prava i temeljnih sloboda).  </w:t>
      </w:r>
    </w:p>
    <w:p w:rsidR="00AC0832" w:rsidRDefault="00AC0832">
      <w:pPr>
        <w:pStyle w:val="Normal5"/>
      </w:pPr>
      <w:r>
        <w:t>Pored toga, pravobraniteljica ima određene ovlasti i obveze i temeljem Zakona o suzbijanju diskrimiancije (NN, broj 85/08 i 68/12).</w:t>
      </w:r>
    </w:p>
    <w:p w:rsidR="00AC0832" w:rsidRDefault="00AC0832">
      <w:pPr>
        <w:pStyle w:val="Heading6"/>
      </w:pPr>
      <w:r>
        <w:t>A735000 ZAŠTITA I PROMICANJE RAVNOPRAVNOSTI SPOLOVA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A735000-ZAŠTITA I PROMICANJE RAVNOPRAVNOSTI SPOLOVA</w:t>
            </w:r>
          </w:p>
        </w:tc>
        <w:tc>
          <w:tcPr>
            <w:tcW w:w="2322" w:type="dxa"/>
          </w:tcPr>
          <w:p w:rsidR="00AC0832" w:rsidRDefault="00AC0832">
            <w:pPr>
              <w:pStyle w:val="CellColumn"/>
            </w:pPr>
            <w:r>
              <w:t>2.833.175</w:t>
            </w:r>
          </w:p>
        </w:tc>
        <w:tc>
          <w:tcPr>
            <w:tcW w:w="2322" w:type="dxa"/>
          </w:tcPr>
          <w:p w:rsidR="00AC0832" w:rsidRDefault="00AC0832">
            <w:pPr>
              <w:pStyle w:val="CellColumn"/>
            </w:pPr>
            <w:r>
              <w:t>2.776.191</w:t>
            </w:r>
          </w:p>
        </w:tc>
        <w:tc>
          <w:tcPr>
            <w:tcW w:w="2322" w:type="dxa"/>
          </w:tcPr>
          <w:p w:rsidR="00AC0832" w:rsidRDefault="00AC0832">
            <w:pPr>
              <w:pStyle w:val="CellColumn"/>
            </w:pPr>
            <w:r>
              <w:t>98,0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Aktivnost na zaštiti i promicanju ravnopravnosti spolova je uspješno izvršena iako u Proračunu RH pravobraniteljici nisu bila osigurana sredstva za plaće za dva savjetnička radna mjesta (VSS) te je popunjenost radnih mjesta bila 82,0 %. </w:t>
      </w:r>
    </w:p>
    <w:p w:rsidR="00AC0832" w:rsidRDefault="00AC0832">
      <w:pPr>
        <w:pStyle w:val="Normal6"/>
      </w:pPr>
      <w:r>
        <w:t xml:space="preserve">Provedene su slijedeće aktivnosti pravobraniteljice: </w:t>
      </w:r>
    </w:p>
    <w:p w:rsidR="00AC0832" w:rsidRDefault="00AC0832">
      <w:pPr>
        <w:pStyle w:val="Normal6"/>
      </w:pPr>
      <w:r>
        <w:t xml:space="preserve">1. Štitila je građane/ke od diskriminacije na području ravnopravnosti spolova:  povećao se broj pritužbi u odnosu na 2011. godinu za 19,5 % kao i broj slučajeva u kojima je pravobraniteljica utvrdila diskriminaciju za 7,9 % (82 slučajeva u 2012. u odnosu na 76 u 2011.); pritužbe su se i dalje u pretežnom broju odnosile na spolnu diskriminaciju i u najvećem broju se radilo o ženama.  </w:t>
      </w:r>
    </w:p>
    <w:p w:rsidR="00AC0832" w:rsidRDefault="00AC0832">
      <w:pPr>
        <w:pStyle w:val="Normal6"/>
      </w:pPr>
      <w:r>
        <w:t xml:space="preserve">2. Promicala je ravnopravnost spolova:  provela je i objavila rezultate 7 neovisnih istraživanja iz različiitih područja života i rada muškaraca i žena (pravosuđa - 1, zapošljavnja i rada - 1, medija-2, nasilja u obitelji -1 i obrazovanja -2), koja su sva provedena od strane zaposlenika u Uredu, bez izdataka za vanjske suradnike/ce; redovno je analizirala prijedloge zakona i drugih propisa (36 puta); sudjelovala je u 2 projekta financiranim iz sredstava EU za koje su organizatori bile udurge civilnog društva. </w:t>
      </w:r>
    </w:p>
    <w:p w:rsidR="00AC0832" w:rsidRDefault="00AC0832">
      <w:pPr>
        <w:pStyle w:val="Normal6"/>
      </w:pPr>
      <w:r>
        <w:t>3. Zalagala se za učinkovitu provedbu zakona i drugih propisa vezanih uz ravnopravnost spolova: analizirala je provedbu mjera 5 javnih politika/protokola vezanih za područje ravnopravnosti spolova, obišla je 13 županija u kojima se susretala sa predstavnicima pojerenstava za ravnopravnos spolova, centara za socijalnu skrb i policijskih uprava, odazivala se pozivima radnih tijela Hrvatskog sabora, 28 puta je izlagala na okruglim stolovima, konferenciujama i javnim raspravama, govorila na 9 međunarodnih skupova, surađivala je sa svim  pravobraniteljskim uredima i državnim tijelima koja su joj se obraćala i sa 29 različitih organizacija civilnog društva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9"/>
        <w:gridCol w:w="2272"/>
        <w:gridCol w:w="891"/>
        <w:gridCol w:w="1004"/>
        <w:gridCol w:w="973"/>
        <w:gridCol w:w="1004"/>
        <w:gridCol w:w="106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Predmeti po pritužbama i samoinicijativnom postupanju pravobraniteljice analiziranih po sadržaju.</w:t>
            </w:r>
          </w:p>
        </w:tc>
        <w:tc>
          <w:tcPr>
            <w:tcW w:w="1300" w:type="dxa"/>
          </w:tcPr>
          <w:p w:rsidR="00AC0832" w:rsidRDefault="00AC0832">
            <w:pPr>
              <w:pStyle w:val="CellColumn"/>
            </w:pPr>
            <w:r>
              <w:t>Ispitivanje slučajeva izravne i neizravne diskriminacije na temelju spola, bračnog ili obiteljskog statusa, rodnog identiteta i spolne orijentacije pomoći će u zaštiti građana/ki i uspostavi ravnopravnosti spolova.</w:t>
            </w:r>
          </w:p>
        </w:tc>
        <w:tc>
          <w:tcPr>
            <w:tcW w:w="1300" w:type="dxa"/>
          </w:tcPr>
          <w:p w:rsidR="00AC0832" w:rsidRDefault="00AC0832">
            <w:pPr>
              <w:pStyle w:val="CellColumn"/>
            </w:pPr>
            <w:r>
              <w:t>Broj</w:t>
            </w:r>
          </w:p>
        </w:tc>
        <w:tc>
          <w:tcPr>
            <w:tcW w:w="1300" w:type="dxa"/>
          </w:tcPr>
          <w:p w:rsidR="00AC0832" w:rsidRDefault="00AC0832">
            <w:pPr>
              <w:pStyle w:val="CellColumn"/>
            </w:pPr>
            <w:r>
              <w:t>323</w:t>
            </w:r>
          </w:p>
        </w:tc>
        <w:tc>
          <w:tcPr>
            <w:tcW w:w="1300" w:type="dxa"/>
          </w:tcPr>
          <w:p w:rsidR="00AC0832" w:rsidRDefault="00AC0832">
            <w:pPr>
              <w:pStyle w:val="CellColumn"/>
            </w:pPr>
            <w:r>
              <w:t>Godišnje izvješće o radu za 2010. godinu.</w:t>
            </w:r>
          </w:p>
        </w:tc>
        <w:tc>
          <w:tcPr>
            <w:tcW w:w="1300" w:type="dxa"/>
          </w:tcPr>
          <w:p w:rsidR="00AC0832" w:rsidRDefault="00AC0832">
            <w:pPr>
              <w:pStyle w:val="CellColumn"/>
            </w:pPr>
            <w:r>
              <w:t>330</w:t>
            </w:r>
          </w:p>
        </w:tc>
        <w:tc>
          <w:tcPr>
            <w:tcW w:w="1300" w:type="dxa"/>
          </w:tcPr>
          <w:p w:rsidR="00AC0832" w:rsidRDefault="00AC0832">
            <w:pPr>
              <w:pStyle w:val="CellColumn"/>
            </w:pPr>
            <w:r>
              <w:t>368</w:t>
            </w:r>
          </w:p>
        </w:tc>
      </w:tr>
      <w:tr w:rsidR="00AC0832" w:rsidTr="00BE20ED">
        <w:trPr>
          <w:jc w:val="center"/>
        </w:trPr>
        <w:tc>
          <w:tcPr>
            <w:tcW w:w="1300" w:type="dxa"/>
          </w:tcPr>
          <w:p w:rsidR="00AC0832" w:rsidRDefault="00AC0832">
            <w:pPr>
              <w:pStyle w:val="CellColumn"/>
            </w:pPr>
            <w:r>
              <w:t>Oštećene osobe razvrstane po spolu</w:t>
            </w:r>
          </w:p>
        </w:tc>
        <w:tc>
          <w:tcPr>
            <w:tcW w:w="1300" w:type="dxa"/>
          </w:tcPr>
          <w:p w:rsidR="00AC0832" w:rsidRDefault="00AC0832">
            <w:pPr>
              <w:pStyle w:val="CellColumn"/>
            </w:pPr>
            <w:r>
              <w:t>Identificiranje oštećenih osoba po spolu u vezi diskriminacije po spolu, bračnom ili obiteljskom statusu, rodnom identitetu i spolnoj orijentaciji pomoći će u uspostavljanju ravnopravnosti spolova.</w:t>
            </w:r>
          </w:p>
        </w:tc>
        <w:tc>
          <w:tcPr>
            <w:tcW w:w="1300" w:type="dxa"/>
          </w:tcPr>
          <w:p w:rsidR="00AC0832" w:rsidRDefault="00AC0832">
            <w:pPr>
              <w:pStyle w:val="CellColumn"/>
            </w:pPr>
            <w:r>
              <w:t>%</w:t>
            </w:r>
          </w:p>
        </w:tc>
        <w:tc>
          <w:tcPr>
            <w:tcW w:w="1300" w:type="dxa"/>
          </w:tcPr>
          <w:p w:rsidR="00AC0832" w:rsidRDefault="00AC0832">
            <w:pPr>
              <w:pStyle w:val="CellColumn"/>
            </w:pPr>
            <w:r>
              <w:t xml:space="preserve">79,6  Ž, </w:t>
            </w:r>
          </w:p>
          <w:p w:rsidR="00AC0832" w:rsidRDefault="00AC0832">
            <w:pPr>
              <w:pStyle w:val="CellColumn"/>
            </w:pPr>
            <w:r>
              <w:t xml:space="preserve">12,7 M, </w:t>
            </w:r>
          </w:p>
          <w:p w:rsidR="00AC0832" w:rsidRDefault="00AC0832">
            <w:pPr>
              <w:pStyle w:val="CellColumn"/>
            </w:pPr>
            <w:r>
              <w:t>7,7  g M/Ž</w:t>
            </w:r>
          </w:p>
        </w:tc>
        <w:tc>
          <w:tcPr>
            <w:tcW w:w="1300" w:type="dxa"/>
          </w:tcPr>
          <w:p w:rsidR="00AC0832" w:rsidRDefault="00AC0832">
            <w:pPr>
              <w:pStyle w:val="CellColumn"/>
            </w:pPr>
            <w:r>
              <w:t>Godišnje izvješće o radu za 2010. godinu.</w:t>
            </w:r>
          </w:p>
        </w:tc>
        <w:tc>
          <w:tcPr>
            <w:tcW w:w="1300" w:type="dxa"/>
          </w:tcPr>
          <w:p w:rsidR="00AC0832" w:rsidRDefault="00AC0832">
            <w:pPr>
              <w:pStyle w:val="CellColumn"/>
            </w:pPr>
            <w:r>
              <w:t xml:space="preserve">80 Ž </w:t>
            </w:r>
          </w:p>
          <w:p w:rsidR="00AC0832" w:rsidRDefault="00AC0832">
            <w:pPr>
              <w:pStyle w:val="CellColumn"/>
            </w:pPr>
            <w:r>
              <w:t>20 M</w:t>
            </w:r>
          </w:p>
        </w:tc>
        <w:tc>
          <w:tcPr>
            <w:tcW w:w="1300" w:type="dxa"/>
          </w:tcPr>
          <w:p w:rsidR="00AC0832" w:rsidRDefault="00AC0832">
            <w:pPr>
              <w:pStyle w:val="CellColumn"/>
            </w:pPr>
            <w:r>
              <w:t xml:space="preserve">218 Ž, </w:t>
            </w:r>
          </w:p>
          <w:p w:rsidR="00AC0832" w:rsidRDefault="00AC0832">
            <w:pPr>
              <w:pStyle w:val="CellColumn"/>
            </w:pPr>
            <w:r>
              <w:t xml:space="preserve">70 M, </w:t>
            </w:r>
          </w:p>
          <w:p w:rsidR="00AC0832" w:rsidRDefault="00AC0832">
            <w:pPr>
              <w:pStyle w:val="CellColumn"/>
            </w:pPr>
            <w:r>
              <w:t>skupina 80</w:t>
            </w:r>
          </w:p>
        </w:tc>
      </w:tr>
      <w:tr w:rsidR="00AC0832" w:rsidTr="00BE20ED">
        <w:trPr>
          <w:jc w:val="center"/>
        </w:trPr>
        <w:tc>
          <w:tcPr>
            <w:tcW w:w="1300" w:type="dxa"/>
          </w:tcPr>
          <w:p w:rsidR="00AC0832" w:rsidRDefault="00AC0832">
            <w:pPr>
              <w:pStyle w:val="CellColumn"/>
            </w:pPr>
            <w:r>
              <w:t>Provedba postupka mirenja uz mogućnost sklapanja izvansudske nagodbe</w:t>
            </w:r>
          </w:p>
        </w:tc>
        <w:tc>
          <w:tcPr>
            <w:tcW w:w="1300" w:type="dxa"/>
          </w:tcPr>
          <w:p w:rsidR="00AC0832" w:rsidRDefault="00AC0832">
            <w:pPr>
              <w:pStyle w:val="CellColumn"/>
            </w:pPr>
            <w:r>
              <w:t>Provođenje mirenja uz mogućnost sklapanja izvansudske nagodbe smanjit će broj sudskih predmeta i doprinjeti zaštiti građana/ki.</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Godišnje izvješće o radu za 2010. goinu</w:t>
            </w:r>
          </w:p>
        </w:tc>
        <w:tc>
          <w:tcPr>
            <w:tcW w:w="1300" w:type="dxa"/>
          </w:tcPr>
          <w:p w:rsidR="00AC0832" w:rsidRDefault="00AC0832">
            <w:pPr>
              <w:pStyle w:val="CellColumn"/>
            </w:pPr>
            <w:r>
              <w:t>2</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Neovisna istraživanja koja su provedena</w:t>
            </w:r>
          </w:p>
        </w:tc>
        <w:tc>
          <w:tcPr>
            <w:tcW w:w="1300" w:type="dxa"/>
          </w:tcPr>
          <w:p w:rsidR="00AC0832" w:rsidRDefault="00AC0832">
            <w:pPr>
              <w:pStyle w:val="CellColumn"/>
            </w:pPr>
            <w:r>
              <w:t>Neovisna istraživanja i izvješća pravobraniteljice podižu svijest o potrebi za zaštitu od diskriminacije i stvaranje jednakih mogućnosti za žene i muškarce.</w:t>
            </w:r>
          </w:p>
        </w:tc>
        <w:tc>
          <w:tcPr>
            <w:tcW w:w="1300" w:type="dxa"/>
          </w:tcPr>
          <w:p w:rsidR="00AC0832" w:rsidRDefault="00AC0832">
            <w:pPr>
              <w:pStyle w:val="CellColumn"/>
            </w:pPr>
            <w:r>
              <w:t>Broj</w:t>
            </w:r>
          </w:p>
        </w:tc>
        <w:tc>
          <w:tcPr>
            <w:tcW w:w="1300" w:type="dxa"/>
          </w:tcPr>
          <w:p w:rsidR="00AC0832" w:rsidRDefault="00AC0832">
            <w:pPr>
              <w:pStyle w:val="CellColumn"/>
            </w:pPr>
            <w:r>
              <w:t>5</w:t>
            </w:r>
          </w:p>
        </w:tc>
        <w:tc>
          <w:tcPr>
            <w:tcW w:w="1300" w:type="dxa"/>
          </w:tcPr>
          <w:p w:rsidR="00AC0832" w:rsidRDefault="00AC0832">
            <w:pPr>
              <w:pStyle w:val="CellColumn"/>
            </w:pPr>
            <w:r>
              <w:t>Godišnje izvješće o radu za 2010. godinu</w:t>
            </w:r>
          </w:p>
        </w:tc>
        <w:tc>
          <w:tcPr>
            <w:tcW w:w="1300" w:type="dxa"/>
          </w:tcPr>
          <w:p w:rsidR="00AC0832" w:rsidRDefault="00AC0832">
            <w:pPr>
              <w:pStyle w:val="CellColumn"/>
            </w:pPr>
            <w:r>
              <w:t>3</w:t>
            </w:r>
          </w:p>
        </w:tc>
        <w:tc>
          <w:tcPr>
            <w:tcW w:w="1300" w:type="dxa"/>
          </w:tcPr>
          <w:p w:rsidR="00AC0832" w:rsidRDefault="00AC0832">
            <w:pPr>
              <w:pStyle w:val="CellColumn"/>
            </w:pPr>
            <w:r>
              <w:t>7</w:t>
            </w:r>
          </w:p>
        </w:tc>
      </w:tr>
      <w:tr w:rsidR="00AC0832" w:rsidTr="00BE20ED">
        <w:trPr>
          <w:jc w:val="center"/>
        </w:trPr>
        <w:tc>
          <w:tcPr>
            <w:tcW w:w="1300" w:type="dxa"/>
          </w:tcPr>
          <w:p w:rsidR="00AC0832" w:rsidRDefault="00AC0832">
            <w:pPr>
              <w:pStyle w:val="CellColumn"/>
            </w:pPr>
            <w:r>
              <w:t>Analize zakonskih prijedloga i drugih propisa</w:t>
            </w:r>
          </w:p>
        </w:tc>
        <w:tc>
          <w:tcPr>
            <w:tcW w:w="1300" w:type="dxa"/>
          </w:tcPr>
          <w:p w:rsidR="00AC0832" w:rsidRDefault="00AC0832">
            <w:pPr>
              <w:pStyle w:val="CellColumn"/>
            </w:pPr>
            <w:r>
              <w:t>Sudjelovanje u izradi novih propisa, kao i izmjena i dopuna postojećih, unapređuje regulativu na području ravnopravnosti spolova.</w:t>
            </w:r>
          </w:p>
        </w:tc>
        <w:tc>
          <w:tcPr>
            <w:tcW w:w="1300" w:type="dxa"/>
          </w:tcPr>
          <w:p w:rsidR="00AC0832" w:rsidRDefault="00AC0832">
            <w:pPr>
              <w:pStyle w:val="CellColumn"/>
            </w:pPr>
            <w:r>
              <w:t>Broj</w:t>
            </w:r>
          </w:p>
        </w:tc>
        <w:tc>
          <w:tcPr>
            <w:tcW w:w="1300" w:type="dxa"/>
          </w:tcPr>
          <w:p w:rsidR="00AC0832" w:rsidRDefault="00AC0832">
            <w:pPr>
              <w:pStyle w:val="CellColumn"/>
            </w:pPr>
            <w:r>
              <w:t>15</w:t>
            </w:r>
          </w:p>
        </w:tc>
        <w:tc>
          <w:tcPr>
            <w:tcW w:w="1300" w:type="dxa"/>
          </w:tcPr>
          <w:p w:rsidR="00AC0832" w:rsidRDefault="00AC0832">
            <w:pPr>
              <w:pStyle w:val="CellColumn"/>
            </w:pPr>
            <w:r>
              <w:t>Godišnje izvješće o radu za 2010. godinu</w:t>
            </w:r>
          </w:p>
        </w:tc>
        <w:tc>
          <w:tcPr>
            <w:tcW w:w="1300" w:type="dxa"/>
          </w:tcPr>
          <w:p w:rsidR="00AC0832" w:rsidRDefault="00AC0832">
            <w:pPr>
              <w:pStyle w:val="CellColumn"/>
            </w:pPr>
            <w:r>
              <w:t>15</w:t>
            </w:r>
          </w:p>
        </w:tc>
        <w:tc>
          <w:tcPr>
            <w:tcW w:w="1300" w:type="dxa"/>
          </w:tcPr>
          <w:p w:rsidR="00AC0832" w:rsidRDefault="00AC0832">
            <w:pPr>
              <w:pStyle w:val="CellColumn"/>
            </w:pPr>
            <w:r>
              <w:t>36</w:t>
            </w:r>
          </w:p>
        </w:tc>
      </w:tr>
      <w:tr w:rsidR="00AC0832" w:rsidTr="00BE20ED">
        <w:trPr>
          <w:jc w:val="center"/>
        </w:trPr>
        <w:tc>
          <w:tcPr>
            <w:tcW w:w="1300" w:type="dxa"/>
          </w:tcPr>
          <w:p w:rsidR="00AC0832" w:rsidRDefault="00AC0832">
            <w:pPr>
              <w:pStyle w:val="CellColumn"/>
            </w:pPr>
            <w:r>
              <w:t>Analize o provedbi Zakona o ravnopravnosti spolova</w:t>
            </w:r>
          </w:p>
        </w:tc>
        <w:tc>
          <w:tcPr>
            <w:tcW w:w="1300" w:type="dxa"/>
          </w:tcPr>
          <w:p w:rsidR="00AC0832" w:rsidRDefault="00AC0832">
            <w:pPr>
              <w:pStyle w:val="CellColumn"/>
            </w:pPr>
            <w:r>
              <w:t>Samostalnim analizama pravobraniteljica dolazi do podataka o stvarnoj (ne)ravnopravnosti spolova u društvu.</w:t>
            </w:r>
          </w:p>
        </w:tc>
        <w:tc>
          <w:tcPr>
            <w:tcW w:w="1300" w:type="dxa"/>
          </w:tcPr>
          <w:p w:rsidR="00AC0832" w:rsidRDefault="00AC0832">
            <w:pPr>
              <w:pStyle w:val="CellColumn"/>
            </w:pPr>
            <w:r>
              <w:t>Broj</w:t>
            </w:r>
          </w:p>
        </w:tc>
        <w:tc>
          <w:tcPr>
            <w:tcW w:w="1300" w:type="dxa"/>
          </w:tcPr>
          <w:p w:rsidR="00AC0832" w:rsidRDefault="00AC0832">
            <w:pPr>
              <w:pStyle w:val="CellColumn"/>
            </w:pPr>
            <w:r>
              <w:t>10</w:t>
            </w:r>
          </w:p>
        </w:tc>
        <w:tc>
          <w:tcPr>
            <w:tcW w:w="1300" w:type="dxa"/>
          </w:tcPr>
          <w:p w:rsidR="00AC0832" w:rsidRDefault="00AC0832">
            <w:pPr>
              <w:pStyle w:val="CellColumn"/>
            </w:pPr>
            <w:r>
              <w:t>Godišnje izvješće o radu za 2010. godinu</w:t>
            </w:r>
          </w:p>
        </w:tc>
        <w:tc>
          <w:tcPr>
            <w:tcW w:w="1300" w:type="dxa"/>
          </w:tcPr>
          <w:p w:rsidR="00AC0832" w:rsidRDefault="00AC0832">
            <w:pPr>
              <w:pStyle w:val="CellColumn"/>
            </w:pPr>
            <w:r>
              <w:t>10</w:t>
            </w:r>
          </w:p>
        </w:tc>
        <w:tc>
          <w:tcPr>
            <w:tcW w:w="1300" w:type="dxa"/>
          </w:tcPr>
          <w:p w:rsidR="00AC0832" w:rsidRDefault="00AC0832">
            <w:pPr>
              <w:pStyle w:val="CellColumn"/>
            </w:pPr>
            <w:r>
              <w:t>15</w:t>
            </w:r>
          </w:p>
        </w:tc>
      </w:tr>
      <w:tr w:rsidR="00AC0832" w:rsidTr="00BE20ED">
        <w:trPr>
          <w:jc w:val="center"/>
        </w:trPr>
        <w:tc>
          <w:tcPr>
            <w:tcW w:w="1300" w:type="dxa"/>
          </w:tcPr>
          <w:p w:rsidR="00AC0832" w:rsidRDefault="00AC0832">
            <w:pPr>
              <w:pStyle w:val="CellColumn"/>
            </w:pPr>
            <w:r>
              <w:t>Programi/projekati financirani sredstvima  u kojima je pravobraniteljica sunositeljica/nositeljica</w:t>
            </w:r>
          </w:p>
        </w:tc>
        <w:tc>
          <w:tcPr>
            <w:tcW w:w="1300" w:type="dxa"/>
          </w:tcPr>
          <w:p w:rsidR="00AC0832" w:rsidRDefault="00AC0832">
            <w:pPr>
              <w:pStyle w:val="CellColumn"/>
            </w:pPr>
            <w:r>
              <w:t>Neovisnim djelovanjem, a korisreći sredstva Europske unije, promiče zaštitu od diskriminacije na području ravnopravnosti spolova.</w:t>
            </w:r>
          </w:p>
        </w:tc>
        <w:tc>
          <w:tcPr>
            <w:tcW w:w="1300" w:type="dxa"/>
          </w:tcPr>
          <w:p w:rsidR="00AC0832" w:rsidRDefault="00AC0832">
            <w:pPr>
              <w:pStyle w:val="CellColumn"/>
            </w:pPr>
            <w:r>
              <w:t>Broj</w:t>
            </w:r>
          </w:p>
        </w:tc>
        <w:tc>
          <w:tcPr>
            <w:tcW w:w="1300" w:type="dxa"/>
          </w:tcPr>
          <w:p w:rsidR="00AC0832" w:rsidRDefault="00AC0832">
            <w:pPr>
              <w:pStyle w:val="CellColumn"/>
            </w:pPr>
            <w:r>
              <w:t>0</w:t>
            </w:r>
          </w:p>
        </w:tc>
        <w:tc>
          <w:tcPr>
            <w:tcW w:w="1300" w:type="dxa"/>
          </w:tcPr>
          <w:p w:rsidR="00AC0832" w:rsidRDefault="00AC0832">
            <w:pPr>
              <w:pStyle w:val="CellColumn"/>
            </w:pPr>
            <w:r>
              <w:t>Godišnje izvješće o radu za 2010. godinu</w:t>
            </w:r>
          </w:p>
        </w:tc>
        <w:tc>
          <w:tcPr>
            <w:tcW w:w="1300" w:type="dxa"/>
          </w:tcPr>
          <w:p w:rsidR="00AC0832" w:rsidRDefault="00AC0832">
            <w:pPr>
              <w:pStyle w:val="CellColumn"/>
            </w:pPr>
            <w:r>
              <w:t>1</w:t>
            </w:r>
          </w:p>
        </w:tc>
        <w:tc>
          <w:tcPr>
            <w:tcW w:w="1300" w:type="dxa"/>
          </w:tcPr>
          <w:p w:rsidR="00AC0832" w:rsidRDefault="00AC0832">
            <w:pPr>
              <w:pStyle w:val="CellColumn"/>
            </w:pPr>
            <w:r>
              <w:t>2</w:t>
            </w:r>
          </w:p>
        </w:tc>
      </w:tr>
      <w:tr w:rsidR="00AC0832" w:rsidTr="00BE20ED">
        <w:trPr>
          <w:jc w:val="center"/>
        </w:trPr>
        <w:tc>
          <w:tcPr>
            <w:tcW w:w="1300" w:type="dxa"/>
          </w:tcPr>
          <w:p w:rsidR="00AC0832" w:rsidRDefault="00AC0832">
            <w:pPr>
              <w:pStyle w:val="CellColumn"/>
            </w:pPr>
            <w:r>
              <w:t>Rezultati temeljem analiza o provedbi javnih politika/strategija i drugih programa</w:t>
            </w:r>
          </w:p>
        </w:tc>
        <w:tc>
          <w:tcPr>
            <w:tcW w:w="1300" w:type="dxa"/>
          </w:tcPr>
          <w:p w:rsidR="00AC0832" w:rsidRDefault="00AC0832">
            <w:pPr>
              <w:pStyle w:val="CellColumn"/>
            </w:pPr>
            <w:r>
              <w:t>Praćenjem provedbe mjera u javnim politikama pravobraniteljica doprinosi kvalitetnijoj provedbi Zakona o ravnopravnosti spolova i drugih propisa.</w:t>
            </w:r>
          </w:p>
        </w:tc>
        <w:tc>
          <w:tcPr>
            <w:tcW w:w="1300" w:type="dxa"/>
          </w:tcPr>
          <w:p w:rsidR="00AC0832" w:rsidRDefault="00AC0832">
            <w:pPr>
              <w:pStyle w:val="CellColumn"/>
            </w:pPr>
            <w:r>
              <w:t>Broj</w:t>
            </w:r>
          </w:p>
        </w:tc>
        <w:tc>
          <w:tcPr>
            <w:tcW w:w="1300" w:type="dxa"/>
          </w:tcPr>
          <w:p w:rsidR="00AC0832" w:rsidRDefault="00AC0832">
            <w:pPr>
              <w:pStyle w:val="CellColumn"/>
            </w:pPr>
            <w:r>
              <w:t>6</w:t>
            </w:r>
          </w:p>
        </w:tc>
        <w:tc>
          <w:tcPr>
            <w:tcW w:w="1300" w:type="dxa"/>
          </w:tcPr>
          <w:p w:rsidR="00AC0832" w:rsidRDefault="00AC0832">
            <w:pPr>
              <w:pStyle w:val="CellColumn"/>
            </w:pPr>
            <w:r>
              <w:t>Godišnje izvješće o radu za 2010. godinu</w:t>
            </w:r>
          </w:p>
        </w:tc>
        <w:tc>
          <w:tcPr>
            <w:tcW w:w="1300" w:type="dxa"/>
          </w:tcPr>
          <w:p w:rsidR="00AC0832" w:rsidRDefault="00AC0832">
            <w:pPr>
              <w:pStyle w:val="CellColumn"/>
            </w:pPr>
            <w:r>
              <w:t>6</w:t>
            </w:r>
          </w:p>
        </w:tc>
        <w:tc>
          <w:tcPr>
            <w:tcW w:w="1300" w:type="dxa"/>
          </w:tcPr>
          <w:p w:rsidR="00AC0832" w:rsidRDefault="00AC0832">
            <w:pPr>
              <w:pStyle w:val="CellColumn"/>
            </w:pPr>
            <w:r>
              <w:t>5</w:t>
            </w:r>
          </w:p>
        </w:tc>
      </w:tr>
      <w:tr w:rsidR="00AC0832" w:rsidTr="00BE20ED">
        <w:trPr>
          <w:jc w:val="center"/>
        </w:trPr>
        <w:tc>
          <w:tcPr>
            <w:tcW w:w="1300" w:type="dxa"/>
          </w:tcPr>
          <w:p w:rsidR="00AC0832" w:rsidRDefault="00AC0832">
            <w:pPr>
              <w:pStyle w:val="CellColumn"/>
            </w:pPr>
            <w:r>
              <w:t>Suradnja s institucionalnim mehanizmima koji osiguravaju provedbu Zakona o ravnopravnosti spolova</w:t>
            </w:r>
          </w:p>
        </w:tc>
        <w:tc>
          <w:tcPr>
            <w:tcW w:w="1300" w:type="dxa"/>
          </w:tcPr>
          <w:p w:rsidR="00AC0832" w:rsidRDefault="00AC0832">
            <w:pPr>
              <w:pStyle w:val="CellColumn"/>
            </w:pPr>
            <w:r>
              <w:t>Suradnjom i savjetodavnim radom sa povjerenstvima/odborima za ravnopravnost spolova po županijama pravobraniteljica doprinosi kvaliteti provedeb Zakona o ravnoparvnosti spolova.</w:t>
            </w:r>
          </w:p>
        </w:tc>
        <w:tc>
          <w:tcPr>
            <w:tcW w:w="1300" w:type="dxa"/>
          </w:tcPr>
          <w:p w:rsidR="00AC0832" w:rsidRDefault="00AC0832">
            <w:pPr>
              <w:pStyle w:val="CellColumn"/>
            </w:pPr>
            <w:r>
              <w:t>Broj</w:t>
            </w:r>
          </w:p>
        </w:tc>
        <w:tc>
          <w:tcPr>
            <w:tcW w:w="1300" w:type="dxa"/>
          </w:tcPr>
          <w:p w:rsidR="00AC0832" w:rsidRDefault="00AC0832">
            <w:pPr>
              <w:pStyle w:val="CellColumn"/>
            </w:pPr>
            <w:r>
              <w:t>6</w:t>
            </w:r>
          </w:p>
        </w:tc>
        <w:tc>
          <w:tcPr>
            <w:tcW w:w="1300" w:type="dxa"/>
          </w:tcPr>
          <w:p w:rsidR="00AC0832" w:rsidRDefault="00AC0832">
            <w:pPr>
              <w:pStyle w:val="CellColumn"/>
            </w:pPr>
            <w:r>
              <w:t>Godišnje izvješće o radu za 2010. godinu</w:t>
            </w:r>
          </w:p>
        </w:tc>
        <w:tc>
          <w:tcPr>
            <w:tcW w:w="1300" w:type="dxa"/>
          </w:tcPr>
          <w:p w:rsidR="00AC0832" w:rsidRDefault="00AC0832">
            <w:pPr>
              <w:pStyle w:val="CellColumn"/>
            </w:pPr>
            <w:r>
              <w:t>10</w:t>
            </w:r>
          </w:p>
        </w:tc>
        <w:tc>
          <w:tcPr>
            <w:tcW w:w="1300" w:type="dxa"/>
          </w:tcPr>
          <w:p w:rsidR="00AC0832" w:rsidRDefault="00AC0832">
            <w:pPr>
              <w:pStyle w:val="CellColumn"/>
            </w:pPr>
            <w:r>
              <w:t>13</w:t>
            </w:r>
          </w:p>
        </w:tc>
      </w:tr>
    </w:tbl>
    <w:p w:rsidR="00AC0832" w:rsidRDefault="00AC0832">
      <w:pPr>
        <w:jc w:val="left"/>
      </w:pPr>
    </w:p>
    <w:p w:rsidR="00AC0832" w:rsidRDefault="00AC0832">
      <w:pPr>
        <w:pStyle w:val="Heading6"/>
      </w:pPr>
      <w:r>
        <w:t>K735001 OPREMANJE UREDSKOG PROSTORA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K735001-OPREMANJE UREDSKOG PROSTORA</w:t>
            </w:r>
          </w:p>
        </w:tc>
        <w:tc>
          <w:tcPr>
            <w:tcW w:w="2322" w:type="dxa"/>
          </w:tcPr>
          <w:p w:rsidR="00AC0832" w:rsidRDefault="00AC0832">
            <w:pPr>
              <w:pStyle w:val="CellColumn"/>
            </w:pPr>
            <w:r>
              <w:t>7.500</w:t>
            </w:r>
          </w:p>
        </w:tc>
        <w:tc>
          <w:tcPr>
            <w:tcW w:w="2322" w:type="dxa"/>
          </w:tcPr>
          <w:p w:rsidR="00AC0832" w:rsidRDefault="00AC0832">
            <w:pPr>
              <w:pStyle w:val="CellColumn"/>
            </w:pPr>
            <w:r>
              <w:t>7.322</w:t>
            </w:r>
          </w:p>
        </w:tc>
        <w:tc>
          <w:tcPr>
            <w:tcW w:w="2322" w:type="dxa"/>
          </w:tcPr>
          <w:p w:rsidR="00AC0832" w:rsidRDefault="00AC0832">
            <w:pPr>
              <w:pStyle w:val="CellColumn"/>
            </w:pPr>
            <w:r>
              <w:t>97,6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Aktivnost je izvršena prema planu u visini  planiranih izdataka, a odnosila se na nabavu uredske i komunikacijske opreme koja je bila potrebna novoizabranim dužnosnicima, za pravobraniteljicu i za zamjenika pravobraniteljice.</w:t>
      </w:r>
    </w:p>
    <w:p w:rsidR="00AC0832" w:rsidRDefault="00AC0832">
      <w:pPr>
        <w:pStyle w:val="Heading6"/>
      </w:pPr>
      <w:r>
        <w:t>K735002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K735002-INFORMATIZACIJA</w:t>
            </w:r>
          </w:p>
        </w:tc>
        <w:tc>
          <w:tcPr>
            <w:tcW w:w="2322" w:type="dxa"/>
          </w:tcPr>
          <w:p w:rsidR="00AC0832" w:rsidRDefault="00AC0832">
            <w:pPr>
              <w:pStyle w:val="CellColumn"/>
            </w:pPr>
            <w:r>
              <w:t>30.000</w:t>
            </w:r>
          </w:p>
        </w:tc>
        <w:tc>
          <w:tcPr>
            <w:tcW w:w="2322" w:type="dxa"/>
          </w:tcPr>
          <w:p w:rsidR="00AC0832" w:rsidRDefault="00AC0832">
            <w:pPr>
              <w:pStyle w:val="CellColumn"/>
            </w:pPr>
            <w:r>
              <w:t>28.112</w:t>
            </w:r>
          </w:p>
        </w:tc>
        <w:tc>
          <w:tcPr>
            <w:tcW w:w="2322" w:type="dxa"/>
          </w:tcPr>
          <w:p w:rsidR="00AC0832" w:rsidRDefault="00AC0832">
            <w:pPr>
              <w:pStyle w:val="CellColumn"/>
            </w:pPr>
            <w:r>
              <w:t>93,7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Aktivnost je izvršena prema planu, a odnosila su se na nabavu novog centralnog servera za redovan rad Ureda pravobraniteljice nakon što je IBM-ov server doživio havariju u kojoj su nepovratno izgubljeni određeni podaci te su se ponovo unosili u sustav  (podaci iz pisarnice za period od I-VI mjeseca 2012. godien).</w:t>
      </w:r>
    </w:p>
    <w:p w:rsidR="00AC0832" w:rsidRDefault="00AC0832">
      <w:pPr>
        <w:pStyle w:val="Heading1"/>
      </w:pPr>
      <w:r>
        <w:t>123 PRAVOBRANITELJ ZA OSOBE S INVALIDITETOM</w:t>
      </w:r>
    </w:p>
    <w:p w:rsidR="00AC0832" w:rsidRDefault="00AC0832">
      <w:pPr>
        <w:pStyle w:val="Heading4"/>
      </w:pPr>
      <w:r>
        <w:t>Uvod</w:t>
      </w:r>
    </w:p>
    <w:p w:rsidR="00AC0832" w:rsidRDefault="00AC0832">
      <w:pPr>
        <w:pStyle w:val="Normal3"/>
      </w:pPr>
      <w:r>
        <w:t>Djelokrug rada Ureda uređen je člancima 6. – 15. Zakona o pravobranitelju za osobe s invaliditetom (Narodne novine br. 107/07). Proračunska sredstva Ureda pravobraniteljice za osobe s invaliditetom u 2012. godini trošena su u skladu s limitima i rebalansima. Nije bilo odstupanja u odnosu na predhodnu godinu. Proračunska sredstva koja su bila na raspolaganju u iskorištena su u potpunosti zbog realne procjene rashoda po stavkama, izvršavanja obveza na vrijeme i u što kraćem roku, te korištenja mogućnosti rebalansa.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12305-Pravobranitelj za osobe s invaliditetom</w:t>
            </w:r>
          </w:p>
        </w:tc>
        <w:tc>
          <w:tcPr>
            <w:tcW w:w="2322" w:type="dxa"/>
          </w:tcPr>
          <w:p w:rsidR="00AC0832" w:rsidRDefault="00AC0832">
            <w:pPr>
              <w:pStyle w:val="CellColumn"/>
            </w:pPr>
            <w:r>
              <w:t>3.125.000</w:t>
            </w:r>
          </w:p>
        </w:tc>
        <w:tc>
          <w:tcPr>
            <w:tcW w:w="2322" w:type="dxa"/>
          </w:tcPr>
          <w:p w:rsidR="00AC0832" w:rsidRDefault="00AC0832">
            <w:pPr>
              <w:pStyle w:val="CellColumn"/>
            </w:pPr>
            <w:r>
              <w:t>3.075.631</w:t>
            </w:r>
          </w:p>
        </w:tc>
        <w:tc>
          <w:tcPr>
            <w:tcW w:w="2322" w:type="dxa"/>
          </w:tcPr>
          <w:p w:rsidR="00AC0832" w:rsidRDefault="00AC0832">
            <w:pPr>
              <w:pStyle w:val="CellColumn"/>
            </w:pPr>
            <w:r>
              <w:t>98,4</w:t>
            </w:r>
          </w:p>
        </w:tc>
      </w:tr>
      <w:tr w:rsidR="00AC0832" w:rsidTr="00BE20ED">
        <w:trPr>
          <w:jc w:val="center"/>
        </w:trPr>
        <w:tc>
          <w:tcPr>
            <w:tcW w:w="2322" w:type="dxa"/>
            <w:shd w:val="clear" w:color="auto" w:fill="B5C0D8"/>
          </w:tcPr>
          <w:p w:rsidR="00AC0832" w:rsidRDefault="00AC0832">
            <w:pPr>
              <w:pStyle w:val="CellColumn"/>
            </w:pPr>
            <w:r>
              <w:t>Ukupno 123-PRAVOBRANITELJ ZA OSOBE S INVALIDITETOM</w:t>
            </w:r>
          </w:p>
        </w:tc>
        <w:tc>
          <w:tcPr>
            <w:tcW w:w="2322" w:type="dxa"/>
            <w:shd w:val="clear" w:color="auto" w:fill="B5C0D8"/>
          </w:tcPr>
          <w:p w:rsidR="00AC0832" w:rsidRDefault="00AC0832">
            <w:pPr>
              <w:pStyle w:val="CellColumn"/>
            </w:pPr>
            <w:r>
              <w:t>3.125.000</w:t>
            </w:r>
          </w:p>
        </w:tc>
        <w:tc>
          <w:tcPr>
            <w:tcW w:w="2322" w:type="dxa"/>
            <w:shd w:val="clear" w:color="auto" w:fill="B5C0D8"/>
          </w:tcPr>
          <w:p w:rsidR="00AC0832" w:rsidRDefault="00AC0832">
            <w:pPr>
              <w:pStyle w:val="CellColumn"/>
            </w:pPr>
            <w:r>
              <w:t>3.075.631</w:t>
            </w:r>
          </w:p>
        </w:tc>
        <w:tc>
          <w:tcPr>
            <w:tcW w:w="2322" w:type="dxa"/>
            <w:shd w:val="clear" w:color="auto" w:fill="B5C0D8"/>
          </w:tcPr>
          <w:p w:rsidR="00AC0832" w:rsidRDefault="00AC0832">
            <w:pPr>
              <w:pStyle w:val="CellColumn"/>
            </w:pPr>
            <w:r>
              <w:t>98,4</w:t>
            </w:r>
          </w:p>
        </w:tc>
      </w:tr>
    </w:tbl>
    <w:p w:rsidR="00AC0832" w:rsidRDefault="00AC0832">
      <w:pPr>
        <w:jc w:val="left"/>
      </w:pPr>
    </w:p>
    <w:p w:rsidR="00AC0832" w:rsidRDefault="00AC0832">
      <w:pPr>
        <w:pStyle w:val="Heading2"/>
      </w:pPr>
      <w:r>
        <w:t>12305 Pravobranitelj za osobe s invaliditetom</w:t>
      </w:r>
    </w:p>
    <w:p w:rsidR="00AC0832" w:rsidRDefault="00AC0832">
      <w:pPr>
        <w:pStyle w:val="Heading4"/>
      </w:pPr>
      <w:r>
        <w:t>Uvod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12305-Pravobranitelj za osobe s invaliditetom</w:t>
            </w:r>
          </w:p>
        </w:tc>
        <w:tc>
          <w:tcPr>
            <w:tcW w:w="2322" w:type="dxa"/>
          </w:tcPr>
          <w:p w:rsidR="00AC0832" w:rsidRDefault="00AC0832">
            <w:pPr>
              <w:pStyle w:val="CellColumn"/>
            </w:pPr>
            <w:r>
              <w:t>3.125.000</w:t>
            </w:r>
          </w:p>
        </w:tc>
        <w:tc>
          <w:tcPr>
            <w:tcW w:w="2322" w:type="dxa"/>
          </w:tcPr>
          <w:p w:rsidR="00AC0832" w:rsidRDefault="00AC0832">
            <w:pPr>
              <w:pStyle w:val="CellColumn"/>
            </w:pPr>
            <w:r>
              <w:t>3.075.631</w:t>
            </w:r>
          </w:p>
        </w:tc>
        <w:tc>
          <w:tcPr>
            <w:tcW w:w="2322" w:type="dxa"/>
          </w:tcPr>
          <w:p w:rsidR="00AC0832" w:rsidRDefault="00AC0832">
            <w:pPr>
              <w:pStyle w:val="CellColumn"/>
            </w:pPr>
            <w:r>
              <w:t>98,4</w:t>
            </w:r>
          </w:p>
        </w:tc>
      </w:tr>
      <w:tr w:rsidR="00AC0832" w:rsidTr="00BE20ED">
        <w:trPr>
          <w:jc w:val="center"/>
        </w:trPr>
        <w:tc>
          <w:tcPr>
            <w:tcW w:w="2322" w:type="dxa"/>
          </w:tcPr>
          <w:p w:rsidR="00AC0832" w:rsidRDefault="00AC0832">
            <w:pPr>
              <w:pStyle w:val="CellColumnSmall"/>
            </w:pPr>
            <w:r>
              <w:t>2118-ZAŠTITA I PROMICANJE PRAVA I INTERESA OSOBA S INVALIDITETOM</w:t>
            </w:r>
          </w:p>
        </w:tc>
        <w:tc>
          <w:tcPr>
            <w:tcW w:w="2322" w:type="dxa"/>
          </w:tcPr>
          <w:p w:rsidR="00AC0832" w:rsidRDefault="00AC0832">
            <w:pPr>
              <w:pStyle w:val="CellColumnSmall"/>
            </w:pPr>
            <w:r>
              <w:t>3.125.000</w:t>
            </w:r>
          </w:p>
        </w:tc>
        <w:tc>
          <w:tcPr>
            <w:tcW w:w="2322" w:type="dxa"/>
          </w:tcPr>
          <w:p w:rsidR="00AC0832" w:rsidRDefault="00AC0832">
            <w:pPr>
              <w:pStyle w:val="CellColumnSmall"/>
            </w:pPr>
            <w:r>
              <w:t>3.075.631</w:t>
            </w:r>
          </w:p>
        </w:tc>
        <w:tc>
          <w:tcPr>
            <w:tcW w:w="2322" w:type="dxa"/>
          </w:tcPr>
          <w:p w:rsidR="00AC0832" w:rsidRDefault="00AC0832">
            <w:pPr>
              <w:pStyle w:val="CellColumnSmall"/>
            </w:pPr>
            <w:r>
              <w:t>98,4</w:t>
            </w:r>
          </w:p>
        </w:tc>
      </w:tr>
    </w:tbl>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jc w:val="left"/>
      </w:pPr>
    </w:p>
    <w:p w:rsidR="00AC0832" w:rsidRDefault="00AC0832">
      <w:pPr>
        <w:pStyle w:val="Heading4"/>
      </w:pPr>
      <w:r>
        <w:t>OBRAZLOŽENJE PROGRAMA</w:t>
      </w:r>
    </w:p>
    <w:p w:rsidR="00AC0832" w:rsidRDefault="00AC0832">
      <w:pPr>
        <w:pStyle w:val="Heading5"/>
      </w:pPr>
      <w:r>
        <w:t>2118 ZAŠTITA I PROMICANJE PRAVA I INTERESA OSOBA S INVALIDITETOM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2118-ZAŠTITA I PROMICANJE PRAVA I INTERESA OSOBA S INVALIDITETOM</w:t>
            </w:r>
          </w:p>
        </w:tc>
        <w:tc>
          <w:tcPr>
            <w:tcW w:w="2322" w:type="dxa"/>
          </w:tcPr>
          <w:p w:rsidR="00AC0832" w:rsidRDefault="00AC0832">
            <w:pPr>
              <w:pStyle w:val="CellColumn"/>
            </w:pPr>
            <w:r>
              <w:t>3.125.000</w:t>
            </w:r>
          </w:p>
        </w:tc>
        <w:tc>
          <w:tcPr>
            <w:tcW w:w="2322" w:type="dxa"/>
          </w:tcPr>
          <w:p w:rsidR="00AC0832" w:rsidRDefault="00AC0832">
            <w:pPr>
              <w:pStyle w:val="CellColumn"/>
            </w:pPr>
            <w:r>
              <w:t>3.075.631</w:t>
            </w:r>
          </w:p>
        </w:tc>
        <w:tc>
          <w:tcPr>
            <w:tcW w:w="2322" w:type="dxa"/>
          </w:tcPr>
          <w:p w:rsidR="00AC0832" w:rsidRDefault="00AC0832">
            <w:pPr>
              <w:pStyle w:val="CellColumn"/>
            </w:pPr>
            <w:r>
              <w:t>98,4</w:t>
            </w:r>
          </w:p>
        </w:tc>
      </w:tr>
    </w:tbl>
    <w:p w:rsidR="00AC0832" w:rsidRDefault="00AC0832">
      <w:pPr>
        <w:jc w:val="left"/>
      </w:pPr>
    </w:p>
    <w:p w:rsidR="00AC0832" w:rsidRDefault="00AC0832">
      <w:pPr>
        <w:pStyle w:val="Heading6"/>
      </w:pPr>
      <w:r>
        <w:t>Opis programa</w:t>
      </w:r>
    </w:p>
    <w:p w:rsidR="00AC0832" w:rsidRDefault="00AC0832">
      <w:pPr>
        <w:pStyle w:val="Normal5"/>
      </w:pPr>
      <w:r>
        <w:t>Zaštita i promicanje prava i interesa osoba s invaliditetom je program Ureda pravobraniteljice za osobe s invaliditetom koji  će se ostvarivati se kroz posebne ciljeve: doprinos ostvarenju zakonskih prava osoba s invaliditetom, unapređenje informiranosti osoba s invaliditetom o njihovim pravima i načinima njihova ostvarivanja, te doprinos većoj informiranosti institucija i društva u cjelini o pitanjima osoba s invaliditetom.</w:t>
      </w:r>
    </w:p>
    <w:p w:rsidR="00AC0832" w:rsidRDefault="00AC0832">
      <w:pPr>
        <w:pStyle w:val="Heading6"/>
      </w:pPr>
      <w:r>
        <w:t>Zakonske i druge pravne osnove</w:t>
      </w:r>
    </w:p>
    <w:p w:rsidR="00AC0832" w:rsidRDefault="00AC0832">
      <w:pPr>
        <w:pStyle w:val="Normal5"/>
      </w:pPr>
      <w:r>
        <w:t>Djelokrug rada Ureda pravobraniteljice za osobe s invaliditetom je propisan Zakonom o pravobranitelju za osobe s invaliditetom (Narodne novine, br.107/07.) U skladu s Nacionalnom strategijom izjednačavanja mogućnosti za osobe s invaliditetom od 2007. godine do 2015. godine, koju je donio Sabor Republike Hrvatske (Narodne novine, br.63/07.), te Konvencijom o pravima osoba s invaliditetom koja je stupila na snagu 03. svibnja 2008. Sukladno Zakonu o suzbijanju diskriminacije (Narodne novine, br. 85/2008, 112/12 ) Ured je također nadležan kao poseban pravobranitelj djelovati na suzbijanju diskriminacije po osnovi invaliditeta.</w:t>
      </w:r>
    </w:p>
    <w:p w:rsidR="00AC0832" w:rsidRDefault="00AC0832">
      <w:pPr>
        <w:pStyle w:val="Heading7"/>
      </w:pPr>
      <w:r>
        <w:t>Cilj 1. Doprinos ostvarenju zakonskih prava osoba s invaliditetom</w:t>
      </w:r>
    </w:p>
    <w:p w:rsidR="00AC0832" w:rsidRDefault="00AC0832">
      <w:pPr>
        <w:pStyle w:val="Heading8"/>
        <w:jc w:val="left"/>
      </w:pPr>
      <w:r>
        <w:t>Opis provedbe cilja programa</w:t>
      </w:r>
    </w:p>
    <w:p w:rsidR="00AC0832" w:rsidRDefault="00AC0832">
      <w:pPr>
        <w:pStyle w:val="Normal6"/>
      </w:pPr>
      <w:r>
        <w:t>Provedba cilja Doprinos ostvarenju zakonskih prava osoba s invaliditetom ostvarivat će se putem praćenja, predlaganja  i poticanja izmjena  i donošenja  propisa kojima se štite prava i interesi  osoba s invaliditetom te   utjecanjem na  njihovo potpuno usklađivanje s Ustavom RH, međunarodnim i nacionalnim  dokumentima, te upozoravanjem  nadležnih ministarstva na uočene neželjene utjecaje kao i kroz sudjelovanje u radu odbora Hrvatskog Sabora. Zaprimanjem  pritužbi  građana  telefonom,  pisanim  putem i osobno  u Uredu, napravit će se statistička  obrada  prikupljenih  podataka kako bi se stekao uvid u stanje ljudskih  prava  osoba  s  invaliditetom. Ured će postupati po tim pritužbama i kroz predlaganje  poduzimanja  mjera,  davanja  preporuka  nadležnim  tijelima državne  uprave, tijelima lokalne i područne (regionalne)  samouprave te pravnim  i fizičkim  osobama, pokušat će se ostvariti u  cilj  poboljšanja  kvalitete  življenja  osoba  s invaliditetom i njihovih obitelji. Upoznavanje sa  stanjem   zašite prava osoba s invaliditetom u drugim europskim  zemljama  i Europskoj  Uniji, te kroz stručno  usavršavanje  zaposlenika Ureda doprinosit će se razmjeni i primjeni pozitivnih praksi.</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0"/>
        <w:gridCol w:w="1528"/>
        <w:gridCol w:w="1184"/>
        <w:gridCol w:w="1225"/>
        <w:gridCol w:w="1439"/>
        <w:gridCol w:w="1225"/>
        <w:gridCol w:w="1247"/>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sudjelovanja u radu odbora</w:t>
            </w:r>
          </w:p>
        </w:tc>
        <w:tc>
          <w:tcPr>
            <w:tcW w:w="1300" w:type="dxa"/>
          </w:tcPr>
          <w:p w:rsidR="00AC0832" w:rsidRDefault="00AC0832">
            <w:pPr>
              <w:pStyle w:val="CellColumn"/>
            </w:pPr>
            <w:r>
              <w:t>Sudjelovanjem u radu odbora unaprijedit će se propisi i njihova učinkovitija primjena u praksi</w:t>
            </w:r>
          </w:p>
        </w:tc>
        <w:tc>
          <w:tcPr>
            <w:tcW w:w="1300" w:type="dxa"/>
          </w:tcPr>
          <w:p w:rsidR="00AC0832" w:rsidRDefault="00AC0832">
            <w:pPr>
              <w:pStyle w:val="CellColumn"/>
            </w:pPr>
            <w:r>
              <w:t>Broj</w:t>
            </w:r>
          </w:p>
        </w:tc>
        <w:tc>
          <w:tcPr>
            <w:tcW w:w="1300" w:type="dxa"/>
          </w:tcPr>
          <w:p w:rsidR="00AC0832" w:rsidRDefault="00AC0832">
            <w:pPr>
              <w:pStyle w:val="CellColumn"/>
            </w:pPr>
            <w:r>
              <w:t>10</w:t>
            </w:r>
          </w:p>
        </w:tc>
        <w:tc>
          <w:tcPr>
            <w:tcW w:w="1300" w:type="dxa"/>
          </w:tcPr>
          <w:p w:rsidR="00AC0832" w:rsidRDefault="00AC0832">
            <w:pPr>
              <w:pStyle w:val="CellColumn"/>
            </w:pPr>
            <w:r>
              <w:t>POSI</w:t>
            </w:r>
          </w:p>
        </w:tc>
        <w:tc>
          <w:tcPr>
            <w:tcW w:w="1300" w:type="dxa"/>
          </w:tcPr>
          <w:p w:rsidR="00AC0832" w:rsidRDefault="00AC0832">
            <w:pPr>
              <w:pStyle w:val="CellColumn"/>
            </w:pPr>
            <w:r>
              <w:t>15</w:t>
            </w:r>
          </w:p>
        </w:tc>
        <w:tc>
          <w:tcPr>
            <w:tcW w:w="1300" w:type="dxa"/>
          </w:tcPr>
          <w:p w:rsidR="00AC0832" w:rsidRDefault="00AC0832">
            <w:pPr>
              <w:pStyle w:val="CellColumn"/>
            </w:pPr>
            <w:r>
              <w:t>20</w:t>
            </w:r>
          </w:p>
        </w:tc>
      </w:tr>
      <w:tr w:rsidR="00AC0832" w:rsidTr="00BE20ED">
        <w:trPr>
          <w:jc w:val="center"/>
        </w:trPr>
        <w:tc>
          <w:tcPr>
            <w:tcW w:w="1300" w:type="dxa"/>
          </w:tcPr>
          <w:p w:rsidR="00AC0832" w:rsidRDefault="00AC0832">
            <w:pPr>
              <w:pStyle w:val="CellColumn"/>
            </w:pPr>
            <w:r>
              <w:t>Broj danih očitovanja – mišljenja Ureda na prijedloge nacrta propisa nadležnih institucija</w:t>
            </w:r>
          </w:p>
        </w:tc>
        <w:tc>
          <w:tcPr>
            <w:tcW w:w="1300" w:type="dxa"/>
          </w:tcPr>
          <w:p w:rsidR="00AC0832" w:rsidRDefault="00AC0832">
            <w:pPr>
              <w:pStyle w:val="CellColumn"/>
            </w:pPr>
            <w:r>
              <w:t>Davanjem očitovanja i mišljenja na prijedloge nacrta propisa unaprijedit će se propisi i primjena u praksi</w:t>
            </w:r>
          </w:p>
        </w:tc>
        <w:tc>
          <w:tcPr>
            <w:tcW w:w="1300" w:type="dxa"/>
          </w:tcPr>
          <w:p w:rsidR="00AC0832" w:rsidRDefault="00AC0832">
            <w:pPr>
              <w:pStyle w:val="CellColumn"/>
            </w:pPr>
            <w:r>
              <w:t>Broj</w:t>
            </w:r>
          </w:p>
        </w:tc>
        <w:tc>
          <w:tcPr>
            <w:tcW w:w="1300" w:type="dxa"/>
          </w:tcPr>
          <w:p w:rsidR="00AC0832" w:rsidRDefault="00AC0832">
            <w:pPr>
              <w:pStyle w:val="CellColumn"/>
            </w:pPr>
            <w:r>
              <w:t>12</w:t>
            </w:r>
          </w:p>
        </w:tc>
        <w:tc>
          <w:tcPr>
            <w:tcW w:w="1300" w:type="dxa"/>
          </w:tcPr>
          <w:p w:rsidR="00AC0832" w:rsidRDefault="00AC0832">
            <w:pPr>
              <w:pStyle w:val="CellColumn"/>
            </w:pPr>
            <w:r>
              <w:t>POSI</w:t>
            </w:r>
          </w:p>
        </w:tc>
        <w:tc>
          <w:tcPr>
            <w:tcW w:w="1300" w:type="dxa"/>
          </w:tcPr>
          <w:p w:rsidR="00AC0832" w:rsidRDefault="00AC0832">
            <w:pPr>
              <w:pStyle w:val="CellColumn"/>
            </w:pPr>
            <w:r>
              <w:t>20</w:t>
            </w:r>
          </w:p>
        </w:tc>
        <w:tc>
          <w:tcPr>
            <w:tcW w:w="1300" w:type="dxa"/>
          </w:tcPr>
          <w:p w:rsidR="00AC0832" w:rsidRDefault="00AC0832">
            <w:pPr>
              <w:pStyle w:val="CellColumn"/>
            </w:pPr>
            <w:r>
              <w:t>34</w:t>
            </w:r>
          </w:p>
        </w:tc>
      </w:tr>
      <w:tr w:rsidR="00AC0832" w:rsidTr="00BE20ED">
        <w:trPr>
          <w:jc w:val="center"/>
        </w:trPr>
        <w:tc>
          <w:tcPr>
            <w:tcW w:w="1300" w:type="dxa"/>
          </w:tcPr>
          <w:p w:rsidR="00AC0832" w:rsidRDefault="00AC0832">
            <w:pPr>
              <w:pStyle w:val="CellColumn"/>
            </w:pPr>
            <w:r>
              <w:t>Broj zaprimljenih pritužbi građana</w:t>
            </w:r>
          </w:p>
        </w:tc>
        <w:tc>
          <w:tcPr>
            <w:tcW w:w="1300" w:type="dxa"/>
          </w:tcPr>
          <w:p w:rsidR="00AC0832" w:rsidRDefault="00AC0832">
            <w:pPr>
              <w:pStyle w:val="CellColumn"/>
            </w:pPr>
            <w:r>
              <w:t>Zaprimanjem i obradom pritužbi OSI Ured će steći bolji uvid u stanje ljudskih prava OSI i povećati njihovu djelotvorniju zaštitu</w:t>
            </w:r>
          </w:p>
        </w:tc>
        <w:tc>
          <w:tcPr>
            <w:tcW w:w="1300" w:type="dxa"/>
          </w:tcPr>
          <w:p w:rsidR="00AC0832" w:rsidRDefault="00AC0832">
            <w:pPr>
              <w:pStyle w:val="CellColumn"/>
            </w:pPr>
            <w:r>
              <w:t>Broj</w:t>
            </w:r>
          </w:p>
        </w:tc>
        <w:tc>
          <w:tcPr>
            <w:tcW w:w="1300" w:type="dxa"/>
          </w:tcPr>
          <w:p w:rsidR="00AC0832" w:rsidRDefault="00AC0832">
            <w:pPr>
              <w:pStyle w:val="CellColumn"/>
            </w:pPr>
            <w:r>
              <w:t>842</w:t>
            </w:r>
          </w:p>
        </w:tc>
        <w:tc>
          <w:tcPr>
            <w:tcW w:w="1300" w:type="dxa"/>
          </w:tcPr>
          <w:p w:rsidR="00AC0832" w:rsidRDefault="00AC0832">
            <w:pPr>
              <w:pStyle w:val="CellColumn"/>
            </w:pPr>
            <w:r>
              <w:t>Pravobranitelj za OSI</w:t>
            </w:r>
          </w:p>
        </w:tc>
        <w:tc>
          <w:tcPr>
            <w:tcW w:w="1300" w:type="dxa"/>
          </w:tcPr>
          <w:p w:rsidR="00AC0832" w:rsidRDefault="00AC0832">
            <w:pPr>
              <w:pStyle w:val="CellColumn"/>
            </w:pPr>
            <w:r>
              <w:t>920</w:t>
            </w:r>
          </w:p>
        </w:tc>
        <w:tc>
          <w:tcPr>
            <w:tcW w:w="1300" w:type="dxa"/>
          </w:tcPr>
          <w:p w:rsidR="00AC0832" w:rsidRDefault="00AC0832">
            <w:pPr>
              <w:pStyle w:val="CellColumn"/>
            </w:pPr>
            <w:r>
              <w:t>1479</w:t>
            </w:r>
          </w:p>
        </w:tc>
      </w:tr>
      <w:tr w:rsidR="00AC0832" w:rsidTr="00BE20ED">
        <w:trPr>
          <w:jc w:val="center"/>
        </w:trPr>
        <w:tc>
          <w:tcPr>
            <w:tcW w:w="1300" w:type="dxa"/>
          </w:tcPr>
          <w:p w:rsidR="00AC0832" w:rsidRDefault="00AC0832">
            <w:pPr>
              <w:pStyle w:val="CellColumn"/>
            </w:pPr>
            <w:r>
              <w:t>Broj poslanih preporuka nadležnim tijelima i institucijama</w:t>
            </w:r>
          </w:p>
        </w:tc>
        <w:tc>
          <w:tcPr>
            <w:tcW w:w="1300" w:type="dxa"/>
          </w:tcPr>
          <w:p w:rsidR="00AC0832" w:rsidRDefault="00AC0832">
            <w:pPr>
              <w:pStyle w:val="CellColumn"/>
            </w:pPr>
            <w:r>
              <w:t>Davanje preporuka poboljšat će kvalitetu življenja OSI i njihovih obitelji i provođenje propisa u praksi u korist OSI</w:t>
            </w:r>
          </w:p>
        </w:tc>
        <w:tc>
          <w:tcPr>
            <w:tcW w:w="1300" w:type="dxa"/>
          </w:tcPr>
          <w:p w:rsidR="00AC0832" w:rsidRDefault="00AC0832">
            <w:pPr>
              <w:pStyle w:val="CellColumn"/>
            </w:pPr>
            <w:r>
              <w:t>Broj</w:t>
            </w:r>
          </w:p>
        </w:tc>
        <w:tc>
          <w:tcPr>
            <w:tcW w:w="1300" w:type="dxa"/>
          </w:tcPr>
          <w:p w:rsidR="00AC0832" w:rsidRDefault="00AC0832">
            <w:pPr>
              <w:pStyle w:val="CellColumn"/>
            </w:pPr>
            <w:r>
              <w:t>200</w:t>
            </w:r>
          </w:p>
        </w:tc>
        <w:tc>
          <w:tcPr>
            <w:tcW w:w="1300" w:type="dxa"/>
          </w:tcPr>
          <w:p w:rsidR="00AC0832" w:rsidRDefault="00AC0832">
            <w:pPr>
              <w:pStyle w:val="CellColumn"/>
            </w:pPr>
            <w:r>
              <w:t>POSI</w:t>
            </w:r>
          </w:p>
        </w:tc>
        <w:tc>
          <w:tcPr>
            <w:tcW w:w="1300" w:type="dxa"/>
          </w:tcPr>
          <w:p w:rsidR="00AC0832" w:rsidRDefault="00AC0832">
            <w:pPr>
              <w:pStyle w:val="CellColumn"/>
            </w:pPr>
            <w:r>
              <w:t>250</w:t>
            </w:r>
          </w:p>
        </w:tc>
        <w:tc>
          <w:tcPr>
            <w:tcW w:w="1300" w:type="dxa"/>
          </w:tcPr>
          <w:p w:rsidR="00AC0832" w:rsidRDefault="00AC0832">
            <w:pPr>
              <w:pStyle w:val="CellColumn"/>
            </w:pPr>
            <w:r>
              <w:t>285</w:t>
            </w:r>
          </w:p>
        </w:tc>
      </w:tr>
      <w:tr w:rsidR="00AC0832" w:rsidTr="00BE20ED">
        <w:trPr>
          <w:jc w:val="center"/>
        </w:trPr>
        <w:tc>
          <w:tcPr>
            <w:tcW w:w="1300" w:type="dxa"/>
          </w:tcPr>
          <w:p w:rsidR="00AC0832" w:rsidRDefault="00AC0832">
            <w:pPr>
              <w:pStyle w:val="CellColumn"/>
            </w:pPr>
            <w:r>
              <w:t>Broj predloženih izmjena zakonskih i podzakonskih akata</w:t>
            </w:r>
          </w:p>
        </w:tc>
        <w:tc>
          <w:tcPr>
            <w:tcW w:w="1300" w:type="dxa"/>
          </w:tcPr>
          <w:p w:rsidR="00AC0832" w:rsidRDefault="00AC0832">
            <w:pPr>
              <w:pStyle w:val="CellColumn"/>
            </w:pPr>
            <w:r>
              <w:t>Predlaganjem izmjena zakonskih i podzakonskih akata povećat će se kvaliteta zakonskih rješenja i koordinacija između resora</w:t>
            </w:r>
          </w:p>
        </w:tc>
        <w:tc>
          <w:tcPr>
            <w:tcW w:w="1300" w:type="dxa"/>
          </w:tcPr>
          <w:p w:rsidR="00AC0832" w:rsidRDefault="00AC0832">
            <w:pPr>
              <w:pStyle w:val="CellColumn"/>
            </w:pPr>
            <w:r>
              <w:t>Broj</w:t>
            </w:r>
          </w:p>
        </w:tc>
        <w:tc>
          <w:tcPr>
            <w:tcW w:w="1300" w:type="dxa"/>
          </w:tcPr>
          <w:p w:rsidR="00AC0832" w:rsidRDefault="00AC0832">
            <w:pPr>
              <w:pStyle w:val="CellColumn"/>
            </w:pPr>
            <w:r>
              <w:t>12</w:t>
            </w:r>
          </w:p>
        </w:tc>
        <w:tc>
          <w:tcPr>
            <w:tcW w:w="1300" w:type="dxa"/>
          </w:tcPr>
          <w:p w:rsidR="00AC0832" w:rsidRDefault="00AC0832">
            <w:pPr>
              <w:pStyle w:val="CellColumn"/>
            </w:pPr>
            <w:r>
              <w:t>POSI</w:t>
            </w:r>
          </w:p>
        </w:tc>
        <w:tc>
          <w:tcPr>
            <w:tcW w:w="1300" w:type="dxa"/>
          </w:tcPr>
          <w:p w:rsidR="00AC0832" w:rsidRDefault="00AC0832">
            <w:pPr>
              <w:pStyle w:val="CellColumn"/>
            </w:pPr>
            <w:r>
              <w:t>18</w:t>
            </w:r>
          </w:p>
        </w:tc>
        <w:tc>
          <w:tcPr>
            <w:tcW w:w="1300" w:type="dxa"/>
          </w:tcPr>
          <w:p w:rsidR="00AC0832" w:rsidRDefault="00AC0832">
            <w:pPr>
              <w:pStyle w:val="CellColumn"/>
            </w:pPr>
            <w:r>
              <w:t>21</w:t>
            </w:r>
          </w:p>
        </w:tc>
      </w:tr>
      <w:tr w:rsidR="00AC0832" w:rsidTr="00BE20ED">
        <w:trPr>
          <w:jc w:val="center"/>
        </w:trPr>
        <w:tc>
          <w:tcPr>
            <w:tcW w:w="1300" w:type="dxa"/>
          </w:tcPr>
          <w:p w:rsidR="00AC0832" w:rsidRDefault="00AC0832">
            <w:pPr>
              <w:pStyle w:val="CellColumn"/>
            </w:pPr>
            <w:r>
              <w:t>Broj pritužbi na diskriminaciju</w:t>
            </w:r>
          </w:p>
        </w:tc>
        <w:tc>
          <w:tcPr>
            <w:tcW w:w="1300" w:type="dxa"/>
          </w:tcPr>
          <w:p w:rsidR="00AC0832" w:rsidRDefault="00AC0832">
            <w:pPr>
              <w:pStyle w:val="CellColumn"/>
            </w:pPr>
            <w:r>
              <w:t>Zaprimanjem i obradom pritužbi na diskriminaciju povećat će se zaštita OSI od diskriminacije i razina svijesti o potrebi prijavljivanja i suzbijanja diskriminacije</w:t>
            </w:r>
          </w:p>
        </w:tc>
        <w:tc>
          <w:tcPr>
            <w:tcW w:w="1300" w:type="dxa"/>
          </w:tcPr>
          <w:p w:rsidR="00AC0832" w:rsidRDefault="00AC0832">
            <w:pPr>
              <w:pStyle w:val="CellColumn"/>
            </w:pPr>
            <w:r>
              <w:t>%</w:t>
            </w:r>
          </w:p>
        </w:tc>
        <w:tc>
          <w:tcPr>
            <w:tcW w:w="1300" w:type="dxa"/>
          </w:tcPr>
          <w:p w:rsidR="00AC0832" w:rsidRDefault="00AC0832">
            <w:pPr>
              <w:pStyle w:val="CellColumn"/>
            </w:pPr>
            <w:r>
              <w:t>28</w:t>
            </w:r>
          </w:p>
        </w:tc>
        <w:tc>
          <w:tcPr>
            <w:tcW w:w="1300" w:type="dxa"/>
          </w:tcPr>
          <w:p w:rsidR="00AC0832" w:rsidRDefault="00AC0832">
            <w:pPr>
              <w:pStyle w:val="CellColumn"/>
            </w:pPr>
            <w:r>
              <w:t>Pravobranitelj za OSI</w:t>
            </w:r>
          </w:p>
        </w:tc>
        <w:tc>
          <w:tcPr>
            <w:tcW w:w="1300" w:type="dxa"/>
          </w:tcPr>
          <w:p w:rsidR="00AC0832" w:rsidRDefault="00AC0832">
            <w:pPr>
              <w:pStyle w:val="CellColumn"/>
            </w:pPr>
            <w:r>
              <w:t>25</w:t>
            </w:r>
          </w:p>
        </w:tc>
        <w:tc>
          <w:tcPr>
            <w:tcW w:w="1300" w:type="dxa"/>
          </w:tcPr>
          <w:p w:rsidR="00AC0832" w:rsidRDefault="00AC0832">
            <w:pPr>
              <w:pStyle w:val="CellColumn"/>
            </w:pPr>
            <w:r>
              <w:t>45</w:t>
            </w:r>
          </w:p>
        </w:tc>
      </w:tr>
    </w:tbl>
    <w:p w:rsidR="00AC0832" w:rsidRDefault="00AC0832">
      <w:pPr>
        <w:jc w:val="left"/>
      </w:pPr>
    </w:p>
    <w:p w:rsidR="00AC0832" w:rsidRDefault="00AC0832">
      <w:pPr>
        <w:pStyle w:val="Heading7"/>
      </w:pPr>
      <w:r>
        <w:t>Cilj 2. Unapređenje informiranosti osoba s invaliditetom o njihovim pravima i načinima njihova ostvarivanja</w:t>
      </w:r>
    </w:p>
    <w:p w:rsidR="00AC0832" w:rsidRDefault="00AC0832">
      <w:pPr>
        <w:pStyle w:val="Heading8"/>
        <w:jc w:val="left"/>
      </w:pPr>
      <w:r>
        <w:t>Opis provedbe cilja programa</w:t>
      </w:r>
    </w:p>
    <w:p w:rsidR="00AC0832" w:rsidRDefault="00AC0832">
      <w:pPr>
        <w:pStyle w:val="Normal6"/>
      </w:pPr>
      <w:r>
        <w:t>Cilj Unapređenje informiranosti osoba s invaliditetom o njihovim pravima i načinima njihova ostvarivanja provodit će se kroz povezivanje  s  nadležnim  tijelima  državne vlasti,  lokalnim  i područnim (regionalnim) upravama  i samoupravama  te ustanovama  i suradnjom s Pučkim pravobraniteljem i Pravobraniteljicama za djecu i ravnopravnost  spolova. Pružanjem savjetodavne pomoći osobama s invaliditetom koje su prosle sve nadležne službe i institucije, ali i dalje smatraju da su njihova prava prekršena. Nadogradnjom  postojeće  internetske  stranice  s  najćešćim pitanjima  osoba  s invaliditetom i odgovorima na  njih, izradom  adresara-  linkova  nadležnih institucija, saveza i udruga važnih za osobe s invaliditetom  i njihovim obiteljime te iniciranje tiskanja brošura s osnovnim informacijama u slučajevima kada se dogodi invaliditet. Posjete  institucijama  u kojima  rade,  borave  ili se  obrazuju  osobe  s invaliditetom u svrhu davanja konkretnih prijedloga kako bi se poboljšala kvaliteta življenja osoba s invaliditetom, te informiranje osoba s invaliditetom o pravima kroz regionalna okupljanja i stručne skupove.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2"/>
        <w:gridCol w:w="1417"/>
        <w:gridCol w:w="1254"/>
        <w:gridCol w:w="1269"/>
        <w:gridCol w:w="1439"/>
        <w:gridCol w:w="1269"/>
        <w:gridCol w:w="1278"/>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sudjelovanja na događanjima i skupovima u organizaciji osoba s invaliditetom</w:t>
            </w:r>
          </w:p>
        </w:tc>
        <w:tc>
          <w:tcPr>
            <w:tcW w:w="1300" w:type="dxa"/>
          </w:tcPr>
          <w:p w:rsidR="00AC0832" w:rsidRDefault="00AC0832">
            <w:pPr>
              <w:pStyle w:val="CellColumn"/>
            </w:pPr>
            <w:r>
              <w:t>Suradnja sa savezima i udrugama OSI povećat će informiranost i zaštitu prava i interesa OSI</w:t>
            </w:r>
          </w:p>
        </w:tc>
        <w:tc>
          <w:tcPr>
            <w:tcW w:w="1300" w:type="dxa"/>
          </w:tcPr>
          <w:p w:rsidR="00AC0832" w:rsidRDefault="00AC0832">
            <w:pPr>
              <w:pStyle w:val="CellColumn"/>
            </w:pPr>
            <w:r>
              <w:t>Broj</w:t>
            </w:r>
          </w:p>
        </w:tc>
        <w:tc>
          <w:tcPr>
            <w:tcW w:w="1300" w:type="dxa"/>
          </w:tcPr>
          <w:p w:rsidR="00AC0832" w:rsidRDefault="00AC0832">
            <w:pPr>
              <w:pStyle w:val="CellColumn"/>
            </w:pPr>
            <w:r>
              <w:t>70</w:t>
            </w:r>
          </w:p>
        </w:tc>
        <w:tc>
          <w:tcPr>
            <w:tcW w:w="1300" w:type="dxa"/>
          </w:tcPr>
          <w:p w:rsidR="00AC0832" w:rsidRDefault="00AC0832">
            <w:pPr>
              <w:pStyle w:val="CellColumn"/>
            </w:pPr>
            <w:r>
              <w:t>Pravobranitelj za OSI</w:t>
            </w:r>
          </w:p>
        </w:tc>
        <w:tc>
          <w:tcPr>
            <w:tcW w:w="1300" w:type="dxa"/>
          </w:tcPr>
          <w:p w:rsidR="00AC0832" w:rsidRDefault="00AC0832">
            <w:pPr>
              <w:pStyle w:val="CellColumn"/>
            </w:pPr>
            <w:r>
              <w:t>85</w:t>
            </w:r>
          </w:p>
        </w:tc>
        <w:tc>
          <w:tcPr>
            <w:tcW w:w="1300" w:type="dxa"/>
          </w:tcPr>
          <w:p w:rsidR="00AC0832" w:rsidRDefault="00AC0832">
            <w:pPr>
              <w:pStyle w:val="CellColumn"/>
            </w:pPr>
            <w:r>
              <w:t>87</w:t>
            </w:r>
          </w:p>
        </w:tc>
      </w:tr>
      <w:tr w:rsidR="00AC0832" w:rsidTr="00BE20ED">
        <w:trPr>
          <w:jc w:val="center"/>
        </w:trPr>
        <w:tc>
          <w:tcPr>
            <w:tcW w:w="1300" w:type="dxa"/>
          </w:tcPr>
          <w:p w:rsidR="00AC0832" w:rsidRDefault="00AC0832">
            <w:pPr>
              <w:pStyle w:val="CellColumn"/>
            </w:pPr>
            <w:r>
              <w:t>Broj posjeta web stranici Ureda</w:t>
            </w:r>
          </w:p>
        </w:tc>
        <w:tc>
          <w:tcPr>
            <w:tcW w:w="1300" w:type="dxa"/>
          </w:tcPr>
          <w:p w:rsidR="00AC0832" w:rsidRDefault="00AC0832">
            <w:pPr>
              <w:pStyle w:val="CellColumn"/>
            </w:pPr>
            <w:r>
              <w:t>Posjete web stranici Ureda podići će razinu svijesti o pravima OSI i doprinijeti većoj informiranosti</w:t>
            </w:r>
          </w:p>
        </w:tc>
        <w:tc>
          <w:tcPr>
            <w:tcW w:w="1300" w:type="dxa"/>
          </w:tcPr>
          <w:p w:rsidR="00AC0832" w:rsidRDefault="00AC0832">
            <w:pPr>
              <w:pStyle w:val="CellColumn"/>
            </w:pPr>
            <w:r>
              <w:t>Broj/dan</w:t>
            </w:r>
          </w:p>
        </w:tc>
        <w:tc>
          <w:tcPr>
            <w:tcW w:w="1300" w:type="dxa"/>
          </w:tcPr>
          <w:p w:rsidR="00AC0832" w:rsidRDefault="00AC0832">
            <w:pPr>
              <w:pStyle w:val="CellColumn"/>
            </w:pPr>
            <w:r>
              <w:t>100</w:t>
            </w:r>
          </w:p>
        </w:tc>
        <w:tc>
          <w:tcPr>
            <w:tcW w:w="1300" w:type="dxa"/>
          </w:tcPr>
          <w:p w:rsidR="00AC0832" w:rsidRDefault="00AC0832">
            <w:pPr>
              <w:pStyle w:val="CellColumn"/>
            </w:pPr>
            <w:r>
              <w:t>Pravobranitelj za OSI</w:t>
            </w:r>
          </w:p>
        </w:tc>
        <w:tc>
          <w:tcPr>
            <w:tcW w:w="1300" w:type="dxa"/>
          </w:tcPr>
          <w:p w:rsidR="00AC0832" w:rsidRDefault="00AC0832">
            <w:pPr>
              <w:pStyle w:val="CellColumn"/>
            </w:pPr>
            <w:r>
              <w:t>250</w:t>
            </w:r>
          </w:p>
        </w:tc>
        <w:tc>
          <w:tcPr>
            <w:tcW w:w="1300" w:type="dxa"/>
          </w:tcPr>
          <w:p w:rsidR="00AC0832" w:rsidRDefault="00AC0832">
            <w:pPr>
              <w:pStyle w:val="CellColumn"/>
            </w:pPr>
            <w:r>
              <w:t>979</w:t>
            </w:r>
          </w:p>
        </w:tc>
      </w:tr>
      <w:tr w:rsidR="00AC0832" w:rsidTr="00BE20ED">
        <w:trPr>
          <w:jc w:val="center"/>
        </w:trPr>
        <w:tc>
          <w:tcPr>
            <w:tcW w:w="1300" w:type="dxa"/>
          </w:tcPr>
          <w:p w:rsidR="00AC0832" w:rsidRDefault="00AC0832">
            <w:pPr>
              <w:pStyle w:val="CellColumn"/>
            </w:pPr>
            <w:r>
              <w:t>Broj tiskanih brošura</w:t>
            </w:r>
          </w:p>
        </w:tc>
        <w:tc>
          <w:tcPr>
            <w:tcW w:w="1300" w:type="dxa"/>
          </w:tcPr>
          <w:p w:rsidR="00AC0832" w:rsidRDefault="00AC0832">
            <w:pPr>
              <w:pStyle w:val="CellColumn"/>
            </w:pPr>
            <w:r>
              <w:t>Tiskanje brošura povećat će informiranost</w:t>
            </w:r>
          </w:p>
        </w:tc>
        <w:tc>
          <w:tcPr>
            <w:tcW w:w="1300" w:type="dxa"/>
          </w:tcPr>
          <w:p w:rsidR="00AC0832" w:rsidRDefault="00AC0832">
            <w:pPr>
              <w:pStyle w:val="CellColumn"/>
            </w:pPr>
            <w:r>
              <w:t>Broj</w:t>
            </w:r>
          </w:p>
        </w:tc>
        <w:tc>
          <w:tcPr>
            <w:tcW w:w="1300" w:type="dxa"/>
          </w:tcPr>
          <w:p w:rsidR="00AC0832" w:rsidRDefault="00AC0832">
            <w:pPr>
              <w:pStyle w:val="CellColumn"/>
            </w:pPr>
            <w:r>
              <w:t>1</w:t>
            </w:r>
          </w:p>
        </w:tc>
        <w:tc>
          <w:tcPr>
            <w:tcW w:w="1300" w:type="dxa"/>
          </w:tcPr>
          <w:p w:rsidR="00AC0832" w:rsidRDefault="00AC0832">
            <w:pPr>
              <w:pStyle w:val="CellColumn"/>
            </w:pPr>
            <w:r>
              <w:t>Pravobranitelj za OSI</w:t>
            </w:r>
          </w:p>
        </w:tc>
        <w:tc>
          <w:tcPr>
            <w:tcW w:w="1300" w:type="dxa"/>
          </w:tcPr>
          <w:p w:rsidR="00AC0832" w:rsidRDefault="00AC0832">
            <w:pPr>
              <w:pStyle w:val="CellColumn"/>
            </w:pPr>
            <w:r>
              <w:t>2</w:t>
            </w:r>
          </w:p>
        </w:tc>
        <w:tc>
          <w:tcPr>
            <w:tcW w:w="1300" w:type="dxa"/>
          </w:tcPr>
          <w:p w:rsidR="00AC0832" w:rsidRDefault="00AC0832">
            <w:pPr>
              <w:pStyle w:val="CellColumn"/>
            </w:pPr>
            <w:r>
              <w:t>3</w:t>
            </w:r>
          </w:p>
        </w:tc>
      </w:tr>
      <w:tr w:rsidR="00AC0832" w:rsidTr="00BE20ED">
        <w:trPr>
          <w:jc w:val="center"/>
        </w:trPr>
        <w:tc>
          <w:tcPr>
            <w:tcW w:w="1300" w:type="dxa"/>
          </w:tcPr>
          <w:p w:rsidR="00AC0832" w:rsidRDefault="00AC0832">
            <w:pPr>
              <w:pStyle w:val="CellColumn"/>
            </w:pPr>
            <w:r>
              <w:t>Broj ostvarenih uvida u ustanovama i institucijama</w:t>
            </w:r>
          </w:p>
        </w:tc>
        <w:tc>
          <w:tcPr>
            <w:tcW w:w="1300" w:type="dxa"/>
          </w:tcPr>
          <w:p w:rsidR="00AC0832" w:rsidRDefault="00AC0832">
            <w:pPr>
              <w:pStyle w:val="CellColumn"/>
            </w:pPr>
            <w:r>
              <w:t>Ostvareni uvidi poboljšat će prava i kvalitetu življenja OSI u institucijama</w:t>
            </w:r>
          </w:p>
        </w:tc>
        <w:tc>
          <w:tcPr>
            <w:tcW w:w="1300" w:type="dxa"/>
          </w:tcPr>
          <w:p w:rsidR="00AC0832" w:rsidRDefault="00AC0832">
            <w:pPr>
              <w:pStyle w:val="CellColumn"/>
            </w:pPr>
            <w:r>
              <w:t>Broj</w:t>
            </w:r>
          </w:p>
        </w:tc>
        <w:tc>
          <w:tcPr>
            <w:tcW w:w="1300" w:type="dxa"/>
          </w:tcPr>
          <w:p w:rsidR="00AC0832" w:rsidRDefault="00AC0832">
            <w:pPr>
              <w:pStyle w:val="CellColumn"/>
            </w:pPr>
            <w:r>
              <w:t>30</w:t>
            </w:r>
          </w:p>
        </w:tc>
        <w:tc>
          <w:tcPr>
            <w:tcW w:w="1300" w:type="dxa"/>
          </w:tcPr>
          <w:p w:rsidR="00AC0832" w:rsidRDefault="00AC0832">
            <w:pPr>
              <w:pStyle w:val="CellColumn"/>
            </w:pPr>
            <w:r>
              <w:t>Pravobranitelj za OSI</w:t>
            </w:r>
          </w:p>
        </w:tc>
        <w:tc>
          <w:tcPr>
            <w:tcW w:w="1300" w:type="dxa"/>
          </w:tcPr>
          <w:p w:rsidR="00AC0832" w:rsidRDefault="00AC0832">
            <w:pPr>
              <w:pStyle w:val="CellColumn"/>
            </w:pPr>
            <w:r>
              <w:t>35</w:t>
            </w:r>
          </w:p>
        </w:tc>
        <w:tc>
          <w:tcPr>
            <w:tcW w:w="1300" w:type="dxa"/>
          </w:tcPr>
          <w:p w:rsidR="00AC0832" w:rsidRDefault="00AC0832">
            <w:pPr>
              <w:pStyle w:val="CellColumn"/>
            </w:pPr>
            <w:r>
              <w:t>35</w:t>
            </w:r>
          </w:p>
        </w:tc>
      </w:tr>
    </w:tbl>
    <w:p w:rsidR="00AC0832" w:rsidRDefault="00AC0832">
      <w:pPr>
        <w:jc w:val="left"/>
      </w:pPr>
    </w:p>
    <w:p w:rsidR="00AC0832" w:rsidRDefault="00AC0832">
      <w:pPr>
        <w:pStyle w:val="Heading7"/>
      </w:pPr>
      <w:r>
        <w:t>Cilj 3. Doprinos većoj informiranosti institucija i društva u cjelini o pitanjima osoba s invaliditetom</w:t>
      </w:r>
    </w:p>
    <w:p w:rsidR="00AC0832" w:rsidRDefault="00AC0832">
      <w:pPr>
        <w:pStyle w:val="Heading8"/>
        <w:jc w:val="left"/>
      </w:pPr>
      <w:r>
        <w:t>Opis provedbe cilja programa</w:t>
      </w:r>
    </w:p>
    <w:p w:rsidR="00AC0832" w:rsidRDefault="00AC0832">
      <w:pPr>
        <w:pStyle w:val="Normal6"/>
      </w:pPr>
      <w:r>
        <w:t xml:space="preserve">Ukoliko su nadležne institucije informirane za pitanja osoba s invaliditetom (kao i društvo u cjelini), o potrebama osoba s invaliditetom i načinima njihova rješavanja, stvoren je preduvjet da se prava osoba s invaliditetom izjednače na području cijele Hrvatske.  Ured  će  u  sljedećem  trogodišnjem razdoblju  poticati  sve  dionike  na ujednačavanje  prakse,  educiranje  djelatnika  koji rade s osobama s invaliditetom i širenje pozitivnih praksi kako iz stranih zemalja, tako i izmedu različitih regija u Hrvatskoj. Cilj programa će se provoditi kroz suradnju s međunarodnim institucijama istog ili sličnog djelokruga rada u svrhu upoznavanja  s  pozitivnom  praksom  i njezinog  prenošenja  domaćim stručnjacima, zatim kroz posjete  različitim  manjim  i većim  gradskim  središtima  po županijama  i u medijima, te organiziranjem skupova u cilju promicanja kvalitetnije suradnje  s tijelima državne i javne vlasti i poticanje istih na osiguranje uvjeta za obrazovanje  i zapošljavanje  osoba s invaliditetom i razvijanje onih usluga koje osiguravaju njihov kvalitetan zivot.  </w:t>
      </w:r>
    </w:p>
    <w:p w:rsidR="00AC0832" w:rsidRDefault="00AC0832">
      <w:pPr>
        <w:pStyle w:val="Normal6"/>
      </w:pPr>
      <w:r>
        <w:t>Sudjelovanjem  u  radijskim  i televizijskim  emisijama, suradnjom  s  novinarima elektroničkih  i tiskanih medija, praćenjem informacija  u medijima te reagiranjem na  medijske  napise ostavrivat će se cilj obavještavanja  i usmjeravanja javnosti na potrebu osiguranja jednakih mogućnosti za osobe s invaliditetom i na postupanja u slučajevima kršenja prava na koje su mediji ukazali.</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4"/>
        <w:gridCol w:w="1651"/>
        <w:gridCol w:w="1147"/>
        <w:gridCol w:w="1200"/>
        <w:gridCol w:w="1186"/>
        <w:gridCol w:w="1200"/>
        <w:gridCol w:w="123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Broj uspostavljenih međunarodnih kontakata</w:t>
            </w:r>
          </w:p>
        </w:tc>
        <w:tc>
          <w:tcPr>
            <w:tcW w:w="1300" w:type="dxa"/>
          </w:tcPr>
          <w:p w:rsidR="00AC0832" w:rsidRDefault="00AC0832">
            <w:pPr>
              <w:pStyle w:val="CellColumn"/>
            </w:pPr>
            <w:r>
              <w:t>Uspostavom kontakata s predstavnicima međ. institucija povećat će se razmjena iskustava i informiranje o primjerima dobre prakse</w:t>
            </w:r>
          </w:p>
        </w:tc>
        <w:tc>
          <w:tcPr>
            <w:tcW w:w="1300" w:type="dxa"/>
          </w:tcPr>
          <w:p w:rsidR="00AC0832" w:rsidRDefault="00AC0832">
            <w:pPr>
              <w:pStyle w:val="CellColumn"/>
            </w:pPr>
            <w:r>
              <w:t>Broj</w:t>
            </w:r>
          </w:p>
        </w:tc>
        <w:tc>
          <w:tcPr>
            <w:tcW w:w="1300" w:type="dxa"/>
          </w:tcPr>
          <w:p w:rsidR="00AC0832" w:rsidRDefault="00AC0832">
            <w:pPr>
              <w:pStyle w:val="CellColumn"/>
            </w:pPr>
            <w:r>
              <w:t>17</w:t>
            </w:r>
          </w:p>
        </w:tc>
        <w:tc>
          <w:tcPr>
            <w:tcW w:w="1300" w:type="dxa"/>
          </w:tcPr>
          <w:p w:rsidR="00AC0832" w:rsidRDefault="00AC0832">
            <w:pPr>
              <w:pStyle w:val="CellColumn"/>
            </w:pPr>
            <w:r>
              <w:t>POSI</w:t>
            </w:r>
          </w:p>
        </w:tc>
        <w:tc>
          <w:tcPr>
            <w:tcW w:w="1300" w:type="dxa"/>
          </w:tcPr>
          <w:p w:rsidR="00AC0832" w:rsidRDefault="00AC0832">
            <w:pPr>
              <w:pStyle w:val="CellColumn"/>
            </w:pPr>
            <w:r>
              <w:t>26</w:t>
            </w:r>
          </w:p>
        </w:tc>
        <w:tc>
          <w:tcPr>
            <w:tcW w:w="1300" w:type="dxa"/>
          </w:tcPr>
          <w:p w:rsidR="00AC0832" w:rsidRDefault="00AC0832">
            <w:pPr>
              <w:pStyle w:val="CellColumn"/>
            </w:pPr>
            <w:r>
              <w:t>30</w:t>
            </w:r>
          </w:p>
        </w:tc>
      </w:tr>
      <w:tr w:rsidR="00AC0832" w:rsidTr="00BE20ED">
        <w:trPr>
          <w:jc w:val="center"/>
        </w:trPr>
        <w:tc>
          <w:tcPr>
            <w:tcW w:w="1300" w:type="dxa"/>
          </w:tcPr>
          <w:p w:rsidR="00AC0832" w:rsidRDefault="00AC0832">
            <w:pPr>
              <w:pStyle w:val="CellColumn"/>
            </w:pPr>
            <w:r>
              <w:t>Broj predstavki OSI upućenih Uredu</w:t>
            </w:r>
          </w:p>
        </w:tc>
        <w:tc>
          <w:tcPr>
            <w:tcW w:w="1300" w:type="dxa"/>
          </w:tcPr>
          <w:p w:rsidR="00AC0832" w:rsidRDefault="00AC0832">
            <w:pPr>
              <w:pStyle w:val="CellColumn"/>
            </w:pPr>
            <w:r>
              <w:t>Postupanje po predstavkama doprinijet će većoj prepoznatljivosti Ureda</w:t>
            </w:r>
          </w:p>
        </w:tc>
        <w:tc>
          <w:tcPr>
            <w:tcW w:w="1300" w:type="dxa"/>
          </w:tcPr>
          <w:p w:rsidR="00AC0832" w:rsidRDefault="00AC0832">
            <w:pPr>
              <w:pStyle w:val="CellColumn"/>
            </w:pPr>
            <w:r>
              <w:t>Broj</w:t>
            </w:r>
          </w:p>
        </w:tc>
        <w:tc>
          <w:tcPr>
            <w:tcW w:w="1300" w:type="dxa"/>
          </w:tcPr>
          <w:p w:rsidR="00AC0832" w:rsidRDefault="00AC0832">
            <w:pPr>
              <w:pStyle w:val="CellColumn"/>
            </w:pPr>
            <w:r>
              <w:t>850</w:t>
            </w:r>
          </w:p>
        </w:tc>
        <w:tc>
          <w:tcPr>
            <w:tcW w:w="1300" w:type="dxa"/>
          </w:tcPr>
          <w:p w:rsidR="00AC0832" w:rsidRDefault="00AC0832">
            <w:pPr>
              <w:pStyle w:val="CellColumn"/>
            </w:pPr>
            <w:r>
              <w:t>POSI</w:t>
            </w:r>
          </w:p>
        </w:tc>
        <w:tc>
          <w:tcPr>
            <w:tcW w:w="1300" w:type="dxa"/>
          </w:tcPr>
          <w:p w:rsidR="00AC0832" w:rsidRDefault="00AC0832">
            <w:pPr>
              <w:pStyle w:val="CellColumn"/>
            </w:pPr>
            <w:r>
              <w:t>925</w:t>
            </w:r>
          </w:p>
        </w:tc>
        <w:tc>
          <w:tcPr>
            <w:tcW w:w="1300" w:type="dxa"/>
          </w:tcPr>
          <w:p w:rsidR="00AC0832" w:rsidRDefault="00AC0832">
            <w:pPr>
              <w:pStyle w:val="CellColumn"/>
            </w:pPr>
            <w:r>
              <w:t>1145</w:t>
            </w:r>
          </w:p>
        </w:tc>
      </w:tr>
      <w:tr w:rsidR="00AC0832" w:rsidTr="00BE20ED">
        <w:trPr>
          <w:jc w:val="center"/>
        </w:trPr>
        <w:tc>
          <w:tcPr>
            <w:tcW w:w="1300" w:type="dxa"/>
          </w:tcPr>
          <w:p w:rsidR="00AC0832" w:rsidRDefault="00AC0832">
            <w:pPr>
              <w:pStyle w:val="CellColumn"/>
            </w:pPr>
            <w:r>
              <w:t>Broj skupova organiziranih s TDU, TJLP(R)S i pravnih i fizičkih osoba</w:t>
            </w:r>
          </w:p>
        </w:tc>
        <w:tc>
          <w:tcPr>
            <w:tcW w:w="1300" w:type="dxa"/>
          </w:tcPr>
          <w:p w:rsidR="00AC0832" w:rsidRDefault="00AC0832">
            <w:pPr>
              <w:pStyle w:val="CellColumn"/>
            </w:pPr>
            <w:r>
              <w:t>Održavanjem skupova povećava se informiranosti o specifičnosti OSI</w:t>
            </w:r>
          </w:p>
        </w:tc>
        <w:tc>
          <w:tcPr>
            <w:tcW w:w="1300" w:type="dxa"/>
          </w:tcPr>
          <w:p w:rsidR="00AC0832" w:rsidRDefault="00AC0832">
            <w:pPr>
              <w:pStyle w:val="CellColumn"/>
            </w:pPr>
            <w:r>
              <w:t>Broj</w:t>
            </w:r>
          </w:p>
        </w:tc>
        <w:tc>
          <w:tcPr>
            <w:tcW w:w="1300" w:type="dxa"/>
          </w:tcPr>
          <w:p w:rsidR="00AC0832" w:rsidRDefault="00AC0832">
            <w:pPr>
              <w:pStyle w:val="CellColumn"/>
            </w:pPr>
            <w:r>
              <w:t>27</w:t>
            </w:r>
          </w:p>
        </w:tc>
        <w:tc>
          <w:tcPr>
            <w:tcW w:w="1300" w:type="dxa"/>
          </w:tcPr>
          <w:p w:rsidR="00AC0832" w:rsidRDefault="00AC0832">
            <w:pPr>
              <w:pStyle w:val="CellColumn"/>
            </w:pPr>
            <w:r>
              <w:t>POSI</w:t>
            </w:r>
          </w:p>
        </w:tc>
        <w:tc>
          <w:tcPr>
            <w:tcW w:w="1300" w:type="dxa"/>
          </w:tcPr>
          <w:p w:rsidR="00AC0832" w:rsidRDefault="00AC0832">
            <w:pPr>
              <w:pStyle w:val="CellColumn"/>
            </w:pPr>
            <w:r>
              <w:t>29</w:t>
            </w:r>
          </w:p>
        </w:tc>
        <w:tc>
          <w:tcPr>
            <w:tcW w:w="1300" w:type="dxa"/>
          </w:tcPr>
          <w:p w:rsidR="00AC0832" w:rsidRDefault="00AC0832">
            <w:pPr>
              <w:pStyle w:val="CellColumn"/>
            </w:pPr>
            <w:r>
              <w:t>53</w:t>
            </w:r>
          </w:p>
        </w:tc>
      </w:tr>
      <w:tr w:rsidR="00AC0832" w:rsidTr="00BE20ED">
        <w:trPr>
          <w:jc w:val="center"/>
        </w:trPr>
        <w:tc>
          <w:tcPr>
            <w:tcW w:w="1300" w:type="dxa"/>
          </w:tcPr>
          <w:p w:rsidR="00AC0832" w:rsidRDefault="00AC0832">
            <w:pPr>
              <w:pStyle w:val="CellColumn"/>
            </w:pPr>
            <w:r>
              <w:t>Broj medijskih napisa o OSI i njihovim pitanjima</w:t>
            </w:r>
          </w:p>
        </w:tc>
        <w:tc>
          <w:tcPr>
            <w:tcW w:w="1300" w:type="dxa"/>
          </w:tcPr>
          <w:p w:rsidR="00AC0832" w:rsidRDefault="00AC0832">
            <w:pPr>
              <w:pStyle w:val="CellColumn"/>
            </w:pPr>
            <w:r>
              <w:t>Većim brojem medijskih napisa povećat će se svijest društva o sposobnostima i mogućnostima OSI</w:t>
            </w:r>
          </w:p>
        </w:tc>
        <w:tc>
          <w:tcPr>
            <w:tcW w:w="1300" w:type="dxa"/>
          </w:tcPr>
          <w:p w:rsidR="00AC0832" w:rsidRDefault="00AC0832">
            <w:pPr>
              <w:pStyle w:val="CellColumn"/>
            </w:pPr>
            <w:r>
              <w:t>Broj /dan</w:t>
            </w:r>
          </w:p>
        </w:tc>
        <w:tc>
          <w:tcPr>
            <w:tcW w:w="1300" w:type="dxa"/>
          </w:tcPr>
          <w:p w:rsidR="00AC0832" w:rsidRDefault="00AC0832">
            <w:pPr>
              <w:pStyle w:val="CellColumn"/>
            </w:pPr>
            <w:r>
              <w:t>12</w:t>
            </w:r>
          </w:p>
        </w:tc>
        <w:tc>
          <w:tcPr>
            <w:tcW w:w="1300" w:type="dxa"/>
          </w:tcPr>
          <w:p w:rsidR="00AC0832" w:rsidRDefault="00AC0832">
            <w:pPr>
              <w:pStyle w:val="CellColumn"/>
            </w:pPr>
            <w:r>
              <w:t>POSI</w:t>
            </w:r>
          </w:p>
        </w:tc>
        <w:tc>
          <w:tcPr>
            <w:tcW w:w="1300" w:type="dxa"/>
          </w:tcPr>
          <w:p w:rsidR="00AC0832" w:rsidRDefault="00AC0832">
            <w:pPr>
              <w:pStyle w:val="CellColumn"/>
            </w:pPr>
            <w:r>
              <w:t>18</w:t>
            </w:r>
          </w:p>
        </w:tc>
        <w:tc>
          <w:tcPr>
            <w:tcW w:w="1300" w:type="dxa"/>
          </w:tcPr>
          <w:p w:rsidR="00AC0832" w:rsidRDefault="00AC0832">
            <w:pPr>
              <w:pStyle w:val="CellColumn"/>
            </w:pPr>
            <w:r>
              <w:t>16</w:t>
            </w:r>
          </w:p>
        </w:tc>
      </w:tr>
      <w:tr w:rsidR="00AC0832" w:rsidTr="00BE20ED">
        <w:trPr>
          <w:jc w:val="center"/>
        </w:trPr>
        <w:tc>
          <w:tcPr>
            <w:tcW w:w="1300" w:type="dxa"/>
          </w:tcPr>
          <w:p w:rsidR="00AC0832" w:rsidRDefault="00AC0832">
            <w:pPr>
              <w:pStyle w:val="CellColumn"/>
            </w:pPr>
            <w:r>
              <w:t>Broj sudjelovanja pravobraniteljice i djelatnika Ureda u medijima</w:t>
            </w:r>
          </w:p>
        </w:tc>
        <w:tc>
          <w:tcPr>
            <w:tcW w:w="1300" w:type="dxa"/>
          </w:tcPr>
          <w:p w:rsidR="00AC0832" w:rsidRDefault="00AC0832">
            <w:pPr>
              <w:pStyle w:val="CellColumn"/>
            </w:pPr>
            <w:r>
              <w:t>Sudjelovanjem u medijima povećat će razina svijesti o OSI u društvu i prepoznatljivost Ureda</w:t>
            </w:r>
          </w:p>
        </w:tc>
        <w:tc>
          <w:tcPr>
            <w:tcW w:w="1300" w:type="dxa"/>
          </w:tcPr>
          <w:p w:rsidR="00AC0832" w:rsidRDefault="00AC0832">
            <w:pPr>
              <w:pStyle w:val="CellColumn"/>
            </w:pPr>
            <w:r>
              <w:t>Broj</w:t>
            </w:r>
          </w:p>
        </w:tc>
        <w:tc>
          <w:tcPr>
            <w:tcW w:w="1300" w:type="dxa"/>
          </w:tcPr>
          <w:p w:rsidR="00AC0832" w:rsidRDefault="00AC0832">
            <w:pPr>
              <w:pStyle w:val="CellColumn"/>
            </w:pPr>
            <w:r>
              <w:t>50</w:t>
            </w:r>
          </w:p>
        </w:tc>
        <w:tc>
          <w:tcPr>
            <w:tcW w:w="1300" w:type="dxa"/>
          </w:tcPr>
          <w:p w:rsidR="00AC0832" w:rsidRDefault="00AC0832">
            <w:pPr>
              <w:pStyle w:val="CellColumn"/>
            </w:pPr>
            <w:r>
              <w:t>POSI</w:t>
            </w:r>
          </w:p>
        </w:tc>
        <w:tc>
          <w:tcPr>
            <w:tcW w:w="1300" w:type="dxa"/>
          </w:tcPr>
          <w:p w:rsidR="00AC0832" w:rsidRDefault="00AC0832">
            <w:pPr>
              <w:pStyle w:val="CellColumn"/>
            </w:pPr>
            <w:r>
              <w:t>70</w:t>
            </w:r>
          </w:p>
        </w:tc>
        <w:tc>
          <w:tcPr>
            <w:tcW w:w="1300" w:type="dxa"/>
          </w:tcPr>
          <w:p w:rsidR="00AC0832" w:rsidRDefault="00AC0832">
            <w:pPr>
              <w:pStyle w:val="CellColumn"/>
            </w:pPr>
            <w:r>
              <w:t>75</w:t>
            </w:r>
          </w:p>
        </w:tc>
      </w:tr>
      <w:tr w:rsidR="00AC0832" w:rsidTr="00BE20ED">
        <w:trPr>
          <w:jc w:val="center"/>
        </w:trPr>
        <w:tc>
          <w:tcPr>
            <w:tcW w:w="1300" w:type="dxa"/>
          </w:tcPr>
          <w:p w:rsidR="00AC0832" w:rsidRDefault="00AC0832">
            <w:pPr>
              <w:pStyle w:val="CellColumn"/>
            </w:pPr>
            <w:r>
              <w:t>Broj reakcija na medijske napise</w:t>
            </w:r>
          </w:p>
        </w:tc>
        <w:tc>
          <w:tcPr>
            <w:tcW w:w="1300" w:type="dxa"/>
          </w:tcPr>
          <w:p w:rsidR="00AC0832" w:rsidRDefault="00AC0832">
            <w:pPr>
              <w:pStyle w:val="CellColumn"/>
            </w:pPr>
            <w:r>
              <w:t>Reagiranjem na medijske napise utjecat će se na smanjenje kršenja prava OSI kao i na mogućnosti rješavanja njihovih problema</w:t>
            </w:r>
          </w:p>
        </w:tc>
        <w:tc>
          <w:tcPr>
            <w:tcW w:w="1300" w:type="dxa"/>
          </w:tcPr>
          <w:p w:rsidR="00AC0832" w:rsidRDefault="00AC0832">
            <w:pPr>
              <w:pStyle w:val="CellColumn"/>
            </w:pPr>
            <w:r>
              <w:t>Broj</w:t>
            </w:r>
          </w:p>
        </w:tc>
        <w:tc>
          <w:tcPr>
            <w:tcW w:w="1300" w:type="dxa"/>
          </w:tcPr>
          <w:p w:rsidR="00AC0832" w:rsidRDefault="00AC0832">
            <w:pPr>
              <w:pStyle w:val="CellColumn"/>
            </w:pPr>
            <w:r>
              <w:t>45</w:t>
            </w:r>
          </w:p>
        </w:tc>
        <w:tc>
          <w:tcPr>
            <w:tcW w:w="1300" w:type="dxa"/>
          </w:tcPr>
          <w:p w:rsidR="00AC0832" w:rsidRDefault="00AC0832">
            <w:pPr>
              <w:pStyle w:val="CellColumn"/>
            </w:pPr>
            <w:r>
              <w:t>POSI</w:t>
            </w:r>
          </w:p>
        </w:tc>
        <w:tc>
          <w:tcPr>
            <w:tcW w:w="1300" w:type="dxa"/>
          </w:tcPr>
          <w:p w:rsidR="00AC0832" w:rsidRDefault="00AC0832">
            <w:pPr>
              <w:pStyle w:val="CellColumn"/>
            </w:pPr>
            <w:r>
              <w:t>52</w:t>
            </w:r>
          </w:p>
        </w:tc>
        <w:tc>
          <w:tcPr>
            <w:tcW w:w="1300" w:type="dxa"/>
          </w:tcPr>
          <w:p w:rsidR="00AC0832" w:rsidRDefault="00AC0832">
            <w:pPr>
              <w:pStyle w:val="CellColumn"/>
            </w:pPr>
            <w:r>
              <w:t>57</w:t>
            </w:r>
          </w:p>
        </w:tc>
      </w:tr>
    </w:tbl>
    <w:p w:rsidR="00AC0832" w:rsidRDefault="00AC0832">
      <w:pPr>
        <w:jc w:val="left"/>
      </w:pPr>
    </w:p>
    <w:p w:rsidR="00AC0832" w:rsidRDefault="00AC0832">
      <w:pPr>
        <w:pStyle w:val="Heading6"/>
      </w:pPr>
      <w:r>
        <w:t>A826001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A826001-ADMINISTRACIJA I UPRAVLJANJE</w:t>
            </w:r>
          </w:p>
        </w:tc>
        <w:tc>
          <w:tcPr>
            <w:tcW w:w="2322" w:type="dxa"/>
          </w:tcPr>
          <w:p w:rsidR="00AC0832" w:rsidRDefault="00AC0832">
            <w:pPr>
              <w:pStyle w:val="CellColumn"/>
            </w:pPr>
            <w:r>
              <w:t>3.053.000</w:t>
            </w:r>
          </w:p>
        </w:tc>
        <w:tc>
          <w:tcPr>
            <w:tcW w:w="2322" w:type="dxa"/>
          </w:tcPr>
          <w:p w:rsidR="00AC0832" w:rsidRDefault="00AC0832">
            <w:pPr>
              <w:pStyle w:val="CellColumn"/>
            </w:pPr>
            <w:r>
              <w:t>3.005.950</w:t>
            </w:r>
          </w:p>
        </w:tc>
        <w:tc>
          <w:tcPr>
            <w:tcW w:w="2322" w:type="dxa"/>
          </w:tcPr>
          <w:p w:rsidR="00AC0832" w:rsidRDefault="00AC0832">
            <w:pPr>
              <w:pStyle w:val="CellColumn"/>
            </w:pPr>
            <w:r>
              <w:t>98,5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Materijalni rashodi planirani su u iznosu od 868.575 kn. Najveće stavke rashoda su Intelektualne i osobne usluge te Usluge tekućeg  i investicijskog održavanja.Ukupna potrošnja sredstava namijenjenih za materijalne rashode iznosi 847.662 kn ili 97,60%. Rashodi za zaposlene planirani su u iznosu od 2.184.425 kn, a potrošeno je 2.158.288 kn ili 98,81 %.</w:t>
      </w:r>
    </w:p>
    <w:p w:rsidR="00AC0832" w:rsidRDefault="00AC0832">
      <w:pPr>
        <w:pStyle w:val="Heading6"/>
      </w:pPr>
      <w:r>
        <w:t>K826002 OPREMANJE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K826002-OPREMANJE</w:t>
            </w:r>
          </w:p>
        </w:tc>
        <w:tc>
          <w:tcPr>
            <w:tcW w:w="2322" w:type="dxa"/>
          </w:tcPr>
          <w:p w:rsidR="00AC0832" w:rsidRDefault="00AC0832">
            <w:pPr>
              <w:pStyle w:val="CellColumn"/>
            </w:pPr>
            <w:r>
              <w:t>72.000</w:t>
            </w:r>
          </w:p>
        </w:tc>
        <w:tc>
          <w:tcPr>
            <w:tcW w:w="2322" w:type="dxa"/>
          </w:tcPr>
          <w:p w:rsidR="00AC0832" w:rsidRDefault="00AC0832">
            <w:pPr>
              <w:pStyle w:val="CellColumn"/>
            </w:pPr>
            <w:r>
              <w:t>69.681</w:t>
            </w:r>
          </w:p>
        </w:tc>
        <w:tc>
          <w:tcPr>
            <w:tcW w:w="2322" w:type="dxa"/>
          </w:tcPr>
          <w:p w:rsidR="00AC0832" w:rsidRDefault="00AC0832">
            <w:pPr>
              <w:pStyle w:val="CellColumn"/>
            </w:pPr>
            <w:r>
              <w:t>96,8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Planirana sredstva za opremanje iznose za 72.000  kn. Za planiranu kupovinu dijela uredskog programa za sistematizaciju podataka potrošeno je 60.625 kn i za licence 9.056 kn.</w:t>
      </w:r>
    </w:p>
    <w:p w:rsidR="00AC0832" w:rsidRDefault="00AC0832">
      <w:pPr>
        <w:pStyle w:val="Heading1"/>
      </w:pPr>
      <w:r>
        <w:t>160 DRŽAVNI ZAVOD ZA STATISTIKU</w:t>
      </w:r>
    </w:p>
    <w:p w:rsidR="00AC0832" w:rsidRDefault="00AC0832">
      <w:pPr>
        <w:pStyle w:val="Heading4"/>
      </w:pPr>
      <w:r>
        <w:t>Uvod</w:t>
      </w:r>
    </w:p>
    <w:p w:rsidR="00AC0832" w:rsidRDefault="00AC0832">
      <w:pPr>
        <w:pStyle w:val="Normal3"/>
      </w:pPr>
      <w:r>
        <w:t xml:space="preserve">Državni zavod za statistiku (u daljnjem tekstu: Zavod) je državna upravna organizacija, središnje tijelo, glavni nositelj, diseminator i koordinator sustava službene statistike Republike Hrvatske.  </w:t>
      </w:r>
    </w:p>
    <w:p w:rsidR="00AC0832" w:rsidRDefault="00AC0832">
      <w:pPr>
        <w:pStyle w:val="Normal3"/>
      </w:pPr>
      <w:r>
        <w:t xml:space="preserve">Službena statistika je neophodan element javnog informacijskog sustava društva potreban za funkcioniranje demokratskog društva kao i temelj za donošenje odluka od strane mjerodavnih tijela. Službena statistika pruža, na nepristranoj osnovi, državi, gospodarstvu i javnosti podatke o gospodarskom, demografskom, socijalnom i ekološkom stanju, djelatnostima ili događajima koji se mogu mjeriti statističkim metodama, te osigurava ispunjavanje međunarodnih obveza Republike Hrvatske koje se odnose na razmjenu statističkih podataka s drugim državama i međunarodnim organizacijama. Svrha službene statistike je proizvodnja i diseminacija reprezentativnih i mjerodavnih statističkih podataka u skladu s temeljnim načelima službene statistike. Pri Zavodu je ustrojen Statistički savjet kao savjetodavno i stručno tijelo za strategijska pitanja službene statistike, te osiguranja utjecaja korisnika, znanosti i šire javnosti na Program statističkih aktivnosti Republike Hrvatske. </w:t>
      </w:r>
    </w:p>
    <w:p w:rsidR="00AC0832" w:rsidRDefault="00AC0832">
      <w:pPr>
        <w:pStyle w:val="Normal3"/>
      </w:pPr>
      <w:r>
        <w:t xml:space="preserve">Zavod ulaže velike napore radi unapređenja uspješnosti poslovanja i nastoji stvoriti što je moguće svestraniji program kako bi zadovoljio potrebe usporedivosti s europskim standardima i zahtjeve korisnika.  </w:t>
      </w:r>
    </w:p>
    <w:p w:rsidR="00AC0832" w:rsidRDefault="00AC0832">
      <w:pPr>
        <w:pStyle w:val="Normal3"/>
      </w:pPr>
      <w:r>
        <w:t xml:space="preserve">Zavod obavlja poslove službene statistike na temelju Zakona o službenoj statistici (NN br. 103/03 i 75/09, 59/12), Strategije razvitka službene statistike Republike Hrvatske 2004.-2012. (NN br. 28/05), Programa statističkih aktivnosti Republike Hrvatske 2008.-2012. (NN, br. 65/08) i godišnjih provedbenih planova statističkih aktivnosti. Stručni nositelj predlaganja svih navedenih akata je Zavod, predlaže ih Vlada Republike Hrvatske i donosi Hrvatski sabor. Svake godine do 31. svibnja Zavod podnosi Hrvatskom saboru Izvješće o izvršenju Godišnjeg provedbenog plana za prethodnu godinu.  </w:t>
      </w:r>
    </w:p>
    <w:p w:rsidR="00AC0832" w:rsidRDefault="00AC0832">
      <w:pPr>
        <w:pStyle w:val="Normal3"/>
      </w:pPr>
      <w:r>
        <w:t xml:space="preserve">Ukupni planirani rashodi financijskog plana u 2012. godini iznosili su 99.758.931 kuna što je 52,98% manje od sredstava planiranih u 2011. godini. Smanjenje financijskih sredstava u odnosu na 2011. proizlazi jer je u 2011. godini provedeno najveće statističko istraživanje „Popis stanovništva, kućanstava i stanova RH u 2011“. </w:t>
      </w:r>
    </w:p>
    <w:p w:rsidR="00AC0832" w:rsidRDefault="00AC0832">
      <w:pPr>
        <w:pStyle w:val="Normal3"/>
      </w:pPr>
      <w:r>
        <w:t xml:space="preserve">Ukupni rashodi financijskog plana u 2012. godini iznosili su 103.108.572 kuna što je 3,36 % više od planiranog. Izvršenje veće od planiranog, sukladno članku 50. Zakona o proračunu (NN, br. 87/08, 136/12), ostvareno je zbog rashoda na Izvoru financiranja 43- Ostali prihodi za posebne namjene, koji su se odnosili na isplatu rashoda za zaposlene i materijalnih prava osobama zaposlenim za obavljanje  pripremnih poslova unosa podataka Popisa putem mjere Javni radovi, prema utvrđenom programu javnog rada. Financijska sredstva za navedene rashode doznačena su od Hrvatskog zavoda za zapošljavanje. </w:t>
      </w:r>
    </w:p>
    <w:p w:rsidR="00AC0832" w:rsidRDefault="00AC0832">
      <w:pPr>
        <w:pStyle w:val="Normal3"/>
      </w:pPr>
      <w:r>
        <w:t xml:space="preserve">Planirani rashodi financirani iz izvora Opći prihodi i primici nakon Izmjena i dopuna Državnog proračuna RH za 2012. godinu i projekcija za 2013. i 2014. godinu iznosili su 88.288.000 kuna, od toga je udio sredstava učešća za pomoći (izvor 12) 513.213 kuna, pri čemu rashodi poslovanja iznose 88.154.400 kuna, a rashodi za nabavu nefinancijske imovine 133.600 kuna. U odnosu na 2011. planirani rashodi financirani iz izvora Opći prihodi i primici smanjili su se za 55,08%. Smanjenje najvećim dijelom proizlazi radi provedbe Popisa u 2011.  </w:t>
      </w:r>
    </w:p>
    <w:p w:rsidR="00AC0832" w:rsidRDefault="00AC0832">
      <w:pPr>
        <w:pStyle w:val="Normal3"/>
      </w:pPr>
      <w:r>
        <w:t xml:space="preserve">Planirani rashodi financirani iz izvora Vlastiti prihodi iznose 180.000 kuna, iz izvora Pomoći EU (IPA 2008, IPA 2009) 7.290.931 kuna te iz inozemnih darovnica 4.000.000 kuna. </w:t>
      </w:r>
    </w:p>
    <w:p w:rsidR="00AC0832" w:rsidRDefault="00AC0832">
      <w:pPr>
        <w:pStyle w:val="Normal3"/>
      </w:pPr>
      <w:r>
        <w:t xml:space="preserve">Indeks ostvarenja rashoda iz svih izvora iznosi 103,36%, financiranih iz izvora Opći prihodi i primici iznosi 98,27%, iz Vlastitih prihoda 54,69%, EU pomoći 54,65% te Darovnica EU 115,07% (uplaćena, a manje planirana sredstva sukladno članku 50. Zakona o proračunu). </w:t>
      </w:r>
    </w:p>
    <w:p w:rsidR="00AC0832" w:rsidRDefault="00AC0832">
      <w:pPr>
        <w:pStyle w:val="Normal3"/>
      </w:pPr>
      <w:r>
        <w:t>Odstupanja u izvršenju financijskog plana uglavnom se odnose na materijalne rashode, što se najvećim dijelom odnosi na 3237- Intelektualne i osobne usluge, koje su financirane iz Pomoći EU zbog specifičnog načina izvršavanja pri ugovaranju i implementaciji projekata.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16005-Državni zavod za statistiku</w:t>
            </w:r>
          </w:p>
        </w:tc>
        <w:tc>
          <w:tcPr>
            <w:tcW w:w="2322" w:type="dxa"/>
          </w:tcPr>
          <w:p w:rsidR="00AC0832" w:rsidRDefault="00AC0832">
            <w:pPr>
              <w:pStyle w:val="CellColumn"/>
            </w:pPr>
            <w:r>
              <w:t>99.758.931</w:t>
            </w:r>
          </w:p>
        </w:tc>
        <w:tc>
          <w:tcPr>
            <w:tcW w:w="2322" w:type="dxa"/>
          </w:tcPr>
          <w:p w:rsidR="00AC0832" w:rsidRDefault="00AC0832">
            <w:pPr>
              <w:pStyle w:val="CellColumn"/>
            </w:pPr>
            <w:r>
              <w:t>103.108.572</w:t>
            </w:r>
          </w:p>
        </w:tc>
        <w:tc>
          <w:tcPr>
            <w:tcW w:w="2322" w:type="dxa"/>
          </w:tcPr>
          <w:p w:rsidR="00AC0832" w:rsidRDefault="00AC0832">
            <w:pPr>
              <w:pStyle w:val="CellColumn"/>
            </w:pPr>
            <w:r>
              <w:t>103,4</w:t>
            </w:r>
          </w:p>
        </w:tc>
      </w:tr>
      <w:tr w:rsidR="00AC0832" w:rsidTr="00BE20ED">
        <w:trPr>
          <w:jc w:val="center"/>
        </w:trPr>
        <w:tc>
          <w:tcPr>
            <w:tcW w:w="2322" w:type="dxa"/>
            <w:shd w:val="clear" w:color="auto" w:fill="B5C0D8"/>
          </w:tcPr>
          <w:p w:rsidR="00AC0832" w:rsidRDefault="00AC0832">
            <w:pPr>
              <w:pStyle w:val="CellColumn"/>
            </w:pPr>
            <w:r>
              <w:t>Ukupno 160-DRŽAVNI ZAVOD ZA STATISTIKU</w:t>
            </w:r>
          </w:p>
        </w:tc>
        <w:tc>
          <w:tcPr>
            <w:tcW w:w="2322" w:type="dxa"/>
            <w:shd w:val="clear" w:color="auto" w:fill="B5C0D8"/>
          </w:tcPr>
          <w:p w:rsidR="00AC0832" w:rsidRDefault="00AC0832">
            <w:pPr>
              <w:pStyle w:val="CellColumn"/>
            </w:pPr>
            <w:r>
              <w:t>99.758.931</w:t>
            </w:r>
          </w:p>
        </w:tc>
        <w:tc>
          <w:tcPr>
            <w:tcW w:w="2322" w:type="dxa"/>
            <w:shd w:val="clear" w:color="auto" w:fill="B5C0D8"/>
          </w:tcPr>
          <w:p w:rsidR="00AC0832" w:rsidRDefault="00AC0832">
            <w:pPr>
              <w:pStyle w:val="CellColumn"/>
            </w:pPr>
            <w:r>
              <w:t>103.108.572</w:t>
            </w:r>
          </w:p>
        </w:tc>
        <w:tc>
          <w:tcPr>
            <w:tcW w:w="2322" w:type="dxa"/>
            <w:shd w:val="clear" w:color="auto" w:fill="B5C0D8"/>
          </w:tcPr>
          <w:p w:rsidR="00AC0832" w:rsidRDefault="00AC0832">
            <w:pPr>
              <w:pStyle w:val="CellColumn"/>
            </w:pPr>
            <w:r>
              <w:t>103,4</w:t>
            </w:r>
          </w:p>
        </w:tc>
      </w:tr>
    </w:tbl>
    <w:p w:rsidR="00AC0832" w:rsidRDefault="00AC0832">
      <w:pPr>
        <w:jc w:val="left"/>
      </w:pPr>
    </w:p>
    <w:p w:rsidR="00AC0832" w:rsidRDefault="00AC0832">
      <w:pPr>
        <w:pStyle w:val="Heading5"/>
      </w:pPr>
      <w:r>
        <w:t>2405 STATISTIČKE USLUGE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2405-STATISTIČKE USLUGE</w:t>
            </w:r>
          </w:p>
        </w:tc>
        <w:tc>
          <w:tcPr>
            <w:tcW w:w="2322" w:type="dxa"/>
          </w:tcPr>
          <w:p w:rsidR="00AC0832" w:rsidRDefault="00AC0832">
            <w:pPr>
              <w:pStyle w:val="CellColumn"/>
            </w:pPr>
            <w:r>
              <w:t>99.758.931</w:t>
            </w:r>
          </w:p>
        </w:tc>
        <w:tc>
          <w:tcPr>
            <w:tcW w:w="2322" w:type="dxa"/>
          </w:tcPr>
          <w:p w:rsidR="00AC0832" w:rsidRDefault="00AC0832">
            <w:pPr>
              <w:pStyle w:val="CellColumn"/>
            </w:pPr>
            <w:r>
              <w:t>103.108.572</w:t>
            </w:r>
          </w:p>
        </w:tc>
        <w:tc>
          <w:tcPr>
            <w:tcW w:w="2322" w:type="dxa"/>
          </w:tcPr>
          <w:p w:rsidR="00AC0832" w:rsidRDefault="00AC0832">
            <w:pPr>
              <w:pStyle w:val="CellColumn"/>
            </w:pPr>
            <w:r>
              <w:t>103,4</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 2405-Statističke usluge obuhvaćao je u 2012. godini 19 Aktivnosti/Kapitalnih projekata i 9 projekata financiranih iz pretpristupnih pomoći – EU i inozemne darovnice. </w:t>
      </w:r>
    </w:p>
    <w:p w:rsidR="00AC0832" w:rsidRDefault="00AC0832">
      <w:pPr>
        <w:pStyle w:val="Normal5"/>
      </w:pPr>
      <w:r>
        <w:t xml:space="preserve">Službena statistika temelji se na načelima UN-a: relevantnosti, nepristranosti, pouzdanosti, transparentnosti, pravodobnosti, stručne neovisnosti, racionalnosti, dosljednosti, javnosti, statističke povjerljivosti, korištenja individualnih podataka u isključivo statističke svrhe i javne odgovornosti. </w:t>
      </w:r>
    </w:p>
    <w:p w:rsidR="00AC0832" w:rsidRDefault="00AC0832">
      <w:pPr>
        <w:pStyle w:val="Normal5"/>
      </w:pPr>
      <w:r>
        <w:t xml:space="preserve">Glavne zadaće, određene pravnim okvirom hrvatskoga statističkog sustava, jesu: </w:t>
      </w:r>
    </w:p>
    <w:p w:rsidR="00AC0832" w:rsidRDefault="00AC0832">
      <w:pPr>
        <w:pStyle w:val="Normal5"/>
      </w:pPr>
      <w:r>
        <w:t xml:space="preserve">- Prikupljanje, obrada i diseminacija statističkih podataka </w:t>
      </w:r>
    </w:p>
    <w:p w:rsidR="00AC0832" w:rsidRDefault="00AC0832">
      <w:pPr>
        <w:pStyle w:val="Normal5"/>
      </w:pPr>
      <w:r>
        <w:t xml:space="preserve">Primarna zadaća je prikupljanje i obrada statističkih podataka te izrada i diseminacija statističkih pokazatelja o društvenom i gospodarskom stanju i kretanjima u Republici Hrvatskoj, uključujući pripreme za početak izrade analitičkih komentara i projekcija za javnu uporabu. </w:t>
      </w:r>
    </w:p>
    <w:p w:rsidR="00AC0832" w:rsidRDefault="00AC0832">
      <w:pPr>
        <w:pStyle w:val="Normal5"/>
      </w:pPr>
      <w:r>
        <w:t xml:space="preserve">- Čuvanje stručne neovisnosti  hrvatskoga statističkog sustava </w:t>
      </w:r>
    </w:p>
    <w:p w:rsidR="00AC0832" w:rsidRDefault="00AC0832">
      <w:pPr>
        <w:pStyle w:val="Normal5"/>
      </w:pPr>
      <w:r>
        <w:t xml:space="preserve">Pojam stručne neovisnosti podrazumijeva potpunu samostalnost u stručnim pitanjima kako bi se osigurao potpuno ravnopravan položaj svih sudionika u hrvatskome statističkom sustavu. To se odnosi i na nositelje statističkih aktivnosti i na davatelje podataka i na korisnike. </w:t>
      </w:r>
    </w:p>
    <w:p w:rsidR="00AC0832" w:rsidRDefault="00AC0832">
      <w:pPr>
        <w:pStyle w:val="Normal5"/>
      </w:pPr>
      <w:r>
        <w:t xml:space="preserve">- Povećanje povjerenja javnosti u službenu statistiku </w:t>
      </w:r>
    </w:p>
    <w:p w:rsidR="00AC0832" w:rsidRDefault="00AC0832">
      <w:pPr>
        <w:pStyle w:val="Normal5"/>
      </w:pPr>
      <w:r>
        <w:t xml:space="preserve">Za relevantnost podataka statističkog sustava bitno je da javnost percipira, razumije i ima pozitivno iskustvo s načinom na koji nositelji službene statistike štite povjerljivost prikupljenih podataka, s brigom o kvaliteti i pravovremenosti objavljivanja statističkih podataka te o razumljivosti i dostupnosti metodoloških obrazloženja. Iz povećanog povjerenja u službenu statistiku povećava se i spremnost izvještajnih jedinica da točnije opišu mjerene pojave, na osnovi čega raste i kvaliteta tih podataka. </w:t>
      </w:r>
    </w:p>
    <w:p w:rsidR="00AC0832" w:rsidRDefault="00AC0832">
      <w:pPr>
        <w:pStyle w:val="Normal5"/>
      </w:pPr>
      <w:r>
        <w:t xml:space="preserve">- Međunarodna suradnja </w:t>
      </w:r>
    </w:p>
    <w:p w:rsidR="00AC0832" w:rsidRDefault="00AC0832">
      <w:pPr>
        <w:pStyle w:val="Normal5"/>
      </w:pPr>
      <w:r>
        <w:t>Poseban naglasak je na suradnji s Europskom unijom, u okvirima procesa europskih integracija, te na suradnji s međunarodnim organizacijama poput UN-a, Svjetske banke, Međunarodnoga monetarnog fonda i Svjetske zdravstvene organizacije. Svrha suradnje s međunarodnim organizacijama odnosno bilateralne suradnje s pojedinim zemljama jest udovoljavanje međunarodnim obvezama Republike Hrvatske, ali i komplementarno podupiranje razvoja hrvatskoga statističkog sustava, koji takvom harmonizacijom osigurava međunarodnu usporedivost statističkih podataka.</w:t>
      </w:r>
    </w:p>
    <w:p w:rsidR="00AC0832" w:rsidRDefault="00AC0832">
      <w:pPr>
        <w:pStyle w:val="Heading6"/>
      </w:pPr>
      <w:r>
        <w:t>Zakonske i druge pravne osnove</w:t>
      </w:r>
    </w:p>
    <w:p w:rsidR="00AC0832" w:rsidRDefault="00AC0832">
      <w:pPr>
        <w:pStyle w:val="Normal5"/>
      </w:pPr>
      <w:r>
        <w:t xml:space="preserve">- Zakon o službenoj statistici (NN, br.103/03, 75/09 i 59/12) </w:t>
      </w:r>
    </w:p>
    <w:p w:rsidR="00AC0832" w:rsidRDefault="00AC0832">
      <w:pPr>
        <w:pStyle w:val="Normal5"/>
      </w:pPr>
      <w:r>
        <w:t xml:space="preserve">- Zakon o popisu stanovništva, kućanstava i stanova u Republici Hrvatskoj 2011. (NN,  br.92/10)  </w:t>
      </w:r>
    </w:p>
    <w:p w:rsidR="00AC0832" w:rsidRDefault="00AC0832">
      <w:pPr>
        <w:pStyle w:val="Normal5"/>
      </w:pPr>
      <w:r>
        <w:t xml:space="preserve">- Strategija razvitka službene statistike Republike Hrvatske 2004.-2012.  (NN, br.  28/05)     </w:t>
      </w:r>
    </w:p>
    <w:p w:rsidR="00AC0832" w:rsidRDefault="00AC0832">
      <w:pPr>
        <w:pStyle w:val="Normal5"/>
      </w:pPr>
      <w:r>
        <w:t xml:space="preserve">- Godišnji provedbeni plan statističkih aktivnosti Republike Hrvatske  </w:t>
      </w:r>
    </w:p>
    <w:p w:rsidR="00AC0832" w:rsidRDefault="00AC0832">
      <w:pPr>
        <w:pStyle w:val="Normal5"/>
      </w:pPr>
      <w:r>
        <w:t>- Operativni plan provedbe Programa e-Hrvatska za odgovarajuće godine.</w:t>
      </w:r>
    </w:p>
    <w:p w:rsidR="00AC0832" w:rsidRDefault="00AC0832">
      <w:pPr>
        <w:pStyle w:val="Heading7"/>
      </w:pPr>
      <w:r>
        <w:t>Cilj 1. Učinkovita organizacija hrvatskog sustava službene statistike</w:t>
      </w:r>
    </w:p>
    <w:p w:rsidR="00AC0832" w:rsidRDefault="00AC0832">
      <w:pPr>
        <w:pStyle w:val="Heading8"/>
        <w:jc w:val="left"/>
      </w:pPr>
      <w:r>
        <w:t>Opis provedbe cilja programa</w:t>
      </w:r>
    </w:p>
    <w:p w:rsidR="00AC0832" w:rsidRDefault="00AC0832">
      <w:pPr>
        <w:pStyle w:val="Normal6"/>
      </w:pPr>
      <w:r>
        <w:t xml:space="preserve">Razvoj sustava službene statistike složen je proces koji zahtijeva stalan dijalog s korisnicima, davateljima podataka i drugim nositeljima službene statistike, uz sustavno praćenje i primjenjivanje međunarodnih standarda te formiranje i održavanje odgovarajućih pravnih i organizacijskih okvira i materijalnih resursa. </w:t>
      </w:r>
    </w:p>
    <w:p w:rsidR="00AC0832" w:rsidRDefault="00AC0832">
      <w:pPr>
        <w:pStyle w:val="Normal6"/>
      </w:pPr>
      <w:r>
        <w:t xml:space="preserve">Zavod je glavni nositelj i diseminator sustava službene statistike, a ujedno koordinator tog sustava u RH. </w:t>
      </w:r>
    </w:p>
    <w:p w:rsidR="00AC0832" w:rsidRDefault="00AC0832">
      <w:pPr>
        <w:pStyle w:val="Normal6"/>
      </w:pPr>
      <w:r>
        <w:t xml:space="preserve">Koordinacijska uloga Zavoda pravno je regulirana Zakonom o službenoj statistici, a ostvaruje se izradom strateških dokumenata službene statistike u suradnji s drugim nositeljima službene statistike, radom Statističkog savjeta RH te suradnjom i razmjenom podataka s posjednicima administrativnih izvora podataka. </w:t>
      </w:r>
    </w:p>
    <w:p w:rsidR="00AC0832" w:rsidRDefault="00AC0832">
      <w:pPr>
        <w:pStyle w:val="Normal6"/>
      </w:pPr>
      <w:r>
        <w:t xml:space="preserve">Za daljnji razvoj službene statistike važna je kvaliteta i ažurnost postojećih administrativnih baza podataka te ustrojavanje novih. Stoga će Zavod, u sklopu jačanja svoje koordinacijske uloge, a radi dobivanja što točnijih, potpunijih i ažurnijih podataka potrebnih za statistička istraživanja, inicirati ustroj novih administrativnih registara i daljnji razvoj postojećih. </w:t>
      </w:r>
    </w:p>
    <w:p w:rsidR="00AC0832" w:rsidRDefault="00AC0832">
      <w:pPr>
        <w:pStyle w:val="Normal6"/>
      </w:pPr>
      <w:r>
        <w:t xml:space="preserve">U 2012. završen je rad na projektu Ekonomski računi za poljoprivredu uključujući statistiku cijena – MB IPA 2009. Cilj projekta je bio određivanje budućeg načina prikupljanja podataka o cijenama i rentama određenih kategorija poljoprivrednog zemljišta te daljnja harmonizacija prikupljanja podataka u skladu sa zahtjevima EU. Tijekom projekta dogovorena je suradnja s Ministarstvom poljoprivrede – Agencijom za plaćanja u poljoprivredi, ribarstvu i ruralnom razvoju (APPRRR) s ciljem izbjegavanja uvođenja novog  istraživanja i dodatnih troškova, te će se potrebni podaci ubuduće prikupljati u suradnji s APPRRR. </w:t>
      </w:r>
    </w:p>
    <w:p w:rsidR="00AC0832" w:rsidRDefault="00AC0832">
      <w:pPr>
        <w:pStyle w:val="Normal6"/>
      </w:pPr>
      <w:r>
        <w:t>U sklopu projekta izraditi će se web aplikacija koja će uključivati web obrazac i aplikaciju za obradu podataka o otkupu i prodaji proizvoda poljoprivrede sa potrebnom softverskom podrškom. Projekt završava u veljači 2014.</w:t>
      </w:r>
    </w:p>
    <w:p w:rsidR="00AC0832" w:rsidRDefault="00AC0832">
      <w:pPr>
        <w:pStyle w:val="Heading8"/>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8"/>
        <w:gridCol w:w="1250"/>
        <w:gridCol w:w="1193"/>
        <w:gridCol w:w="1230"/>
        <w:gridCol w:w="1606"/>
        <w:gridCol w:w="1230"/>
        <w:gridCol w:w="1251"/>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Povećana koordiniranost,  integriranost i učinkovitost statističkog sustava RH</w:t>
            </w:r>
          </w:p>
        </w:tc>
        <w:tc>
          <w:tcPr>
            <w:tcW w:w="1300" w:type="dxa"/>
          </w:tcPr>
          <w:p w:rsidR="00AC0832" w:rsidRDefault="00AC0832">
            <w:pPr>
              <w:pStyle w:val="CellColumn"/>
            </w:pPr>
            <w:r>
              <w:t>Pružanje kvalitetnih statističkih proizvoda uz manje resursa</w:t>
            </w:r>
          </w:p>
        </w:tc>
        <w:tc>
          <w:tcPr>
            <w:tcW w:w="1300" w:type="dxa"/>
          </w:tcPr>
          <w:p w:rsidR="00AC0832" w:rsidRDefault="00AC0832">
            <w:pPr>
              <w:pStyle w:val="CellColumn"/>
            </w:pPr>
            <w:r>
              <w:t>broj</w:t>
            </w:r>
          </w:p>
        </w:tc>
        <w:tc>
          <w:tcPr>
            <w:tcW w:w="1300" w:type="dxa"/>
          </w:tcPr>
          <w:p w:rsidR="00AC0832" w:rsidRDefault="00AC0832">
            <w:pPr>
              <w:pStyle w:val="CellColumn"/>
            </w:pPr>
            <w:r>
              <w:t>8</w:t>
            </w:r>
          </w:p>
        </w:tc>
        <w:tc>
          <w:tcPr>
            <w:tcW w:w="1300" w:type="dxa"/>
          </w:tcPr>
          <w:p w:rsidR="00AC0832" w:rsidRDefault="00AC0832">
            <w:pPr>
              <w:pStyle w:val="CellColumn"/>
            </w:pPr>
            <w:r>
              <w:t>DZS i nositelji administrativnih podataka</w:t>
            </w:r>
          </w:p>
        </w:tc>
        <w:tc>
          <w:tcPr>
            <w:tcW w:w="1300" w:type="dxa"/>
          </w:tcPr>
          <w:p w:rsidR="00AC0832" w:rsidRDefault="00AC0832">
            <w:pPr>
              <w:pStyle w:val="CellColumn"/>
            </w:pPr>
            <w:r>
              <w:t>10</w:t>
            </w:r>
          </w:p>
        </w:tc>
        <w:tc>
          <w:tcPr>
            <w:tcW w:w="1300" w:type="dxa"/>
          </w:tcPr>
          <w:p w:rsidR="00AC0832" w:rsidRDefault="00AC0832">
            <w:pPr>
              <w:pStyle w:val="CellColumn"/>
            </w:pPr>
            <w:r>
              <w:t>10</w:t>
            </w:r>
          </w:p>
        </w:tc>
      </w:tr>
    </w:tbl>
    <w:p w:rsidR="00AC0832" w:rsidRDefault="00AC0832">
      <w:pPr>
        <w:jc w:val="left"/>
      </w:pPr>
    </w:p>
    <w:p w:rsidR="00AC0832" w:rsidRDefault="00AC0832">
      <w:pPr>
        <w:pStyle w:val="Heading7"/>
      </w:pPr>
      <w:r>
        <w:t>Cilj 2. Povećati učinkovitost i pouzdanost statističkih istraživanja</w:t>
      </w:r>
    </w:p>
    <w:p w:rsidR="00AC0832" w:rsidRDefault="00AC0832">
      <w:pPr>
        <w:pStyle w:val="Heading8"/>
        <w:jc w:val="left"/>
      </w:pPr>
      <w:r>
        <w:t>Opis provedbe cilja programa</w:t>
      </w:r>
    </w:p>
    <w:p w:rsidR="00AC0832" w:rsidRDefault="00AC0832">
      <w:pPr>
        <w:pStyle w:val="Normal6"/>
      </w:pPr>
      <w:r>
        <w:t xml:space="preserve">Povećati učinkovitost provedbe statističkih istraživanja, i to ponajprije ustrojavanjem i uporabom statističkih i administrativnih registara te unapređenjem svih faza provedbe: prikupljanja, obrade i diseminacije podataka službene statistike. Unapređenjem prikupljanja, obrade i diseminacije statističkih podataka pružaju se kvalitetniji rezultati smanjenjem tereta izvještavanja svih sudionika u proizvodnji službene statistike uz racionalnije korištenje proračunskih resursa te se istodobno podržava ostvarenje općeg cilja Zavoda, koji proizlazi iz Zakona o službenoj statistici (NN, br. 103/03. i 75/09.) i Strategije razvitka službene statistike Republike Hrvatske 2004. – 2012. (NN, br. 28/05.). </w:t>
      </w:r>
    </w:p>
    <w:p w:rsidR="00AC0832" w:rsidRDefault="00AC0832">
      <w:pPr>
        <w:pStyle w:val="Normal6"/>
      </w:pPr>
      <w:r>
        <w:t xml:space="preserve">U području poljoprivrednih statistika nastavljen je daljnji rad na poboljšanju učinkovitosti u prikupljanju podataka. Uvedeno je dodatno korištenje administrativnih izvora pa tako nije provedeno  petogodišnje istraživanje o voćnjacima (anketa temeljem uzorka  kako je planirano nego su  korišteni administrativni izvori). U 2012. godini nastavljen je rad na ažuriranju Statističkog registra poljoprivrednih  gospodarstava koji se koristi kao podloga za postojeća istraživanja poljoprivrednih statistika i za uvođenje novih. Također su na rok dostavljeni u Eurostat podaci Istraživanja o strukturi poljoprivrednih gospodarstava u 2010. i započete su pripreme za provođenje navedenog   istraživanja  u 2013. godini. U statistici biljne proizvodnje započet je rad na definiranju i priremi tabela za objavu podataka o površinama i prirodima  na internetskim stranicama Zavoda. Obuhvaćen je desetododišnji period; objava se planira u 2013. godini. U 2012., u sklopu ostalih statističkih aktivnosti, završen je i rad na projektu MB IPA 2009, Agromonetarne statistike – Ekonomski računi poljoprivrede po prostornim jedinicama za statistiku 2. razine za 2010. godinu. Dodatno je izračunat niz setova podataka za 2005.-2009. godinu, što je povećalo stupanj harmonizacije prikupljanja statističkih podatka u skladu sa zahtjevima EU. Također je u 2012 započeo rad na projektu MB IPA 2011 (grant), DCP-08 Agromonetarne statistike čiji je cilj modernizacija prikupljanja i obrade podatka statistike cijena u poljoprivredi (dio za output). </w:t>
      </w:r>
    </w:p>
    <w:p w:rsidR="00AC0832" w:rsidRDefault="00AC0832">
      <w:pPr>
        <w:pStyle w:val="Normal6"/>
      </w:pPr>
      <w:r>
        <w:t xml:space="preserve">Tijekom procesa harmoniziranja poslovnih statistika sa statističkim standardima EU u 2012. uvođenjem novih pokazatelja i/ili metodološkim usklađivanjem u područjima poslovnih statistika kao i kontinuiranim usklađivanjem postojećih pokazatelja radi izmjena i dopuna EU propisa povećan je stupanj harmoniziranosti poslovnih statistika. U okviru programa MB IPA 2011 (Multi-beneficiary statistical cooperation programme) započeo je i rad na projektu DCP 21 – Structural Business Statistics, s ciljem daljnjeg usklađivanja i unapređenja kvalitete proizvodnje strukturno-poslovnih statistika u skladu s propisima iz Uredbe EU-a br.295/08., dok je  rad na daljnjoj harmonizaciji kratkoročno-poslovnih statistika i statistika energije započeo u okviru nacionalnih programa IPA 2009 Technical assistance in business statistics i IPA 2009 FPPRAC Technical assistance in business statistics and quality documentation. Uporabom novih tehnoloških rješenja i/ili korištenjem administrativnih izvora podataka planirana je racionalizacija postupka prikupljanja podataka i smanjenje opterećenosti izvještajnih jedinica u statističkim istraživanjima poslovnih statistika. U okviru nacionalnih programa IPA 2009 Technical assistance in business statistics izrađena je tehnička specifikacija za modernizaciju prikupljanja poslovnih istraživanja uvođenjem internetskih aplikacija (CAWI metoda) za 6 statističkih kratkoročnih - poslovnih istraživanja umjesto klasičnih papirnatih upitnika i prikupljanja poštom. Također je započeo rad na proučavanju administrativnih izvora (PDV-a) za statističke svrhe tj. izradu mjesečnih i tromjesečna kratkoročnih pokazatelja čime bi se napustilo prikupljanje podataka neposredno od izvještajnih jedinica. U okviru razvoja kratkoročnih poslovnih statistika industrije krajem 2012. operacionalizirane su četiri standardne internetske aplikacije za prikupljanje podataka (CAWI metoda) kojima je u potpunosti zamijenjen klasičan način prikupljanja poštom te su postignuti ciljevi  racionalizacije resursa i smanjenje opterećenja izvještajnih jedinica.  </w:t>
      </w:r>
    </w:p>
    <w:p w:rsidR="00AC0832" w:rsidRDefault="00AC0832">
      <w:pPr>
        <w:pStyle w:val="Normal6"/>
      </w:pPr>
      <w:r>
        <w:t xml:space="preserve">U području društvenih statistika u 2012. godini napravljeni su završni dogovori s Ministarstvom uprave i Ministarstvom obrazovanja vezano za preuzimanje podataka iz administrativnih izvora. </w:t>
      </w:r>
    </w:p>
    <w:p w:rsidR="00AC0832" w:rsidRDefault="00AC0832">
      <w:pPr>
        <w:pStyle w:val="Normal6"/>
      </w:pPr>
      <w:r>
        <w:t xml:space="preserve">U skladu s Programom publiciranja i Kalendarom objavljivanja statističkih podataka za 2012. godinu, Zavod objavio je u prosincu 2012. rezultate Popisa stanovništva 2011. koji se odnose na broj stanovnika prema spolu, starosti, državljanstvu, narodnosti, vjeri i materinskom jeziku. Tijekom 2012. godine podaci statistike vanjske migracije za 2011. obrađeni su prema novoj metodologiji koja se temelji na Preporukama UN-a za statistiku međunarodne migracije i na Uredbi (EZ) br. 862/2007 Europskog parlamenta i Vijeća od 11. srpnja 2007. o statistikama Zajednice o migraciji i međunarodnoj zaštiti. U 2012. po prvi puta provedeno je istraživanje o strukturi zarada prema Uredbama EU (Uredba vijeća Europe 530/1999; Uredbe europske komisije 1916/2000 i 1738/2005). Podaci su prikupljeni, obrađeni i poslani u Eurostat. U 2012. objavljeni su rezultati ad hoc modula za 2011. o zaposlenosti osoba s invaliditetom. Tijekom 2012., radilo se na razvoju i provedbi ad-hoc modula za 2012. o prijelazu iz zaposlenja u mirovinu. Također je započela priprema ad-hoc modula za 2013. </w:t>
      </w:r>
    </w:p>
    <w:p w:rsidR="00AC0832" w:rsidRDefault="00AC0832">
      <w:pPr>
        <w:pStyle w:val="Normal6"/>
      </w:pPr>
      <w:r>
        <w:t xml:space="preserve">U okviru ekonomskih statistika na području tromjesečnog obračuna BDP-a u 2012. napravljena je uskladba tromjesečnih BDP podataka u tekućim cijenama i cijenama prethodne godine prema revidiranim godišnjim BDP podacima obračunatim po NKD 2007 klasifikaciji za razdoblje 1Q  2000 – IVQ 2011. Napravljena je detaljna analiza poreza i subvencija tromjesečnog obračuna BDP-a po proizvodnoj metodi u tekućim cijenama radi promjene stope PDV-a sa 23% na 25% te detaljna analiza indikatora potrebnih za obračun poreza i subvencija tromjesečnog BDP-a prema proizvodnoj metodi u volumnim terminima (stalnim cijenama). Na području obračuna regionalnog BDP-a napravljena je metodološka revizija obračuna Bruto domaćeg proizvoda za Republiku Hrvatsku, prostorne jedinice za statistiku druge razine i županije prema konačnom godišnjem obračunu BDP-a po klasifikaciji djelatnosti NKD 2007 za razdoblje od 2000 – 2008. Na području sektorskih računa napravljena je metodološka analiza obračuna godišnjih sektorskih računa za razdoblje 2002 – 2010 te poboljšanje godišnjih sektorskih računa u skladu s novim izvorima podataka s naglaskom na reviziji godišnjih podataka bruto investicija u fiksni kapital po institucionalnim sektorima. Tijekom 2012. nastavljen je proces usklađivanja osnovnih makroekonomskih agregata prema standardima EU–ESA 1995 u smislu usklađivanja nacionalnih računa RH i temeljnih makroekonomskih agregata  s međunarodnim i europskim statističkim sustavom u području nacionalnih računa. </w:t>
      </w:r>
    </w:p>
    <w:p w:rsidR="00AC0832" w:rsidRDefault="00AC0832">
      <w:pPr>
        <w:pStyle w:val="Normal6"/>
      </w:pPr>
      <w:r>
        <w:t>Sva statistička istraživanja iz područja ekonomskih i poslovnih statistika koriste Nacionalnu klasifikaciju djelatnosti prilikom prikupljanja, obrade, diseminacije i objavljivanja statističkih podataka o djelatnostima i omogućuju usporedivost tih podataka sa ostalim državama Europe i Svijeta. Tijekom 2012. nastavljena je primjena Nacionalne klasifikacije djelatnosti 2007. – NKD-a 2007. u poslovnim registrima i statističkim istraživanjima kod prikupljanja, obrade i objavljivanja statističkih podataka o djelatnostima. U području društvenih statistika nastavljena je primjena Nacionalne klasifikacije zanimanja 2010. – NKZ-a 10 u statističkim istraživanjima kod prikupljanja, obrade i objavljivanja statističkih podataka o zanimanjima čime je također osigurana međunarodna usporedivost tih podataka. Budući da su registri temelj za provođenje višegodišnjeg Programa i Godišnjeg provedbenog plana statističkih aktivnosti Republike Hrvatske tijekom 2012. nastavljen je proces usklađivanja statističkih registara sa zahtjevima EU.</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7"/>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Smanjenjem opterećenosti davatelja podataka i statistike povećat će se zadovoljstvo svih sudionika u provedbi istraživanja</w:t>
            </w:r>
          </w:p>
        </w:tc>
        <w:tc>
          <w:tcPr>
            <w:tcW w:w="1300" w:type="dxa"/>
          </w:tcPr>
          <w:p w:rsidR="00AC0832" w:rsidRDefault="00AC0832">
            <w:pPr>
              <w:pStyle w:val="CellColumn"/>
            </w:pPr>
            <w:r>
              <w:t>Dobivanje statističkih proizvoda na brži, učinkovitiji i usklađeniji način uz manje resursa</w:t>
            </w:r>
          </w:p>
        </w:tc>
        <w:tc>
          <w:tcPr>
            <w:tcW w:w="1300" w:type="dxa"/>
          </w:tcPr>
          <w:p w:rsidR="00AC0832" w:rsidRDefault="00AC0832">
            <w:pPr>
              <w:pStyle w:val="CellColumn"/>
            </w:pPr>
            <w:r>
              <w:t>%</w:t>
            </w:r>
          </w:p>
        </w:tc>
        <w:tc>
          <w:tcPr>
            <w:tcW w:w="1300" w:type="dxa"/>
          </w:tcPr>
          <w:p w:rsidR="00AC0832" w:rsidRDefault="00AC0832">
            <w:pPr>
              <w:pStyle w:val="CellColumn"/>
            </w:pPr>
            <w:r>
              <w:t>15</w:t>
            </w:r>
          </w:p>
        </w:tc>
        <w:tc>
          <w:tcPr>
            <w:tcW w:w="1300" w:type="dxa"/>
          </w:tcPr>
          <w:p w:rsidR="00AC0832" w:rsidRDefault="00AC0832">
            <w:pPr>
              <w:pStyle w:val="CellColumn"/>
            </w:pPr>
            <w:r>
              <w:t>DZS</w:t>
            </w:r>
          </w:p>
        </w:tc>
        <w:tc>
          <w:tcPr>
            <w:tcW w:w="1300" w:type="dxa"/>
          </w:tcPr>
          <w:p w:rsidR="00AC0832" w:rsidRDefault="00AC0832">
            <w:pPr>
              <w:pStyle w:val="CellColumn"/>
            </w:pPr>
            <w:r>
              <w:t>25</w:t>
            </w:r>
          </w:p>
        </w:tc>
        <w:tc>
          <w:tcPr>
            <w:tcW w:w="1300" w:type="dxa"/>
          </w:tcPr>
          <w:p w:rsidR="00AC0832" w:rsidRDefault="00AC0832">
            <w:pPr>
              <w:pStyle w:val="CellColumn"/>
            </w:pPr>
            <w:r>
              <w:t>25</w:t>
            </w:r>
          </w:p>
        </w:tc>
      </w:tr>
    </w:tbl>
    <w:p w:rsidR="00AC0832" w:rsidRDefault="00AC0832">
      <w:pPr>
        <w:jc w:val="left"/>
      </w:pPr>
    </w:p>
    <w:p w:rsidR="00AC0832" w:rsidRDefault="00AC0832">
      <w:pPr>
        <w:pStyle w:val="Heading7"/>
      </w:pPr>
      <w:r>
        <w:t>Cilj 3. Unaprijediti diseminaciju i kvalitetu odnosa s korisnicima</w:t>
      </w:r>
    </w:p>
    <w:p w:rsidR="00AC0832" w:rsidRDefault="00AC0832">
      <w:pPr>
        <w:pStyle w:val="Heading8"/>
        <w:jc w:val="left"/>
      </w:pPr>
      <w:r>
        <w:t>Opis provedbe cilja programa</w:t>
      </w:r>
    </w:p>
    <w:p w:rsidR="00AC0832" w:rsidRDefault="00AC0832">
      <w:pPr>
        <w:pStyle w:val="Normal6"/>
      </w:pPr>
      <w:r>
        <w:t xml:space="preserve">Jedna od dužnosti Zavoda jest učinkovita i pravodobna priprema i diseminacija kvalitetnih statističkih pokazatelja koji korisnicima osiguravaju pouzdan izvor za donošenje odluka i usklađivanje svojih stavova na temelju činjenica. Dosad je naglasak bio na harmonizaciji proizvodnje službene statistike sa standardima EU-a, koja je u velikoj mjeri ispunjena te su se time stvorili preduvjeti za stavljanje fokusa na unapređenje diseminacije i kvalitete odnosa s korisnicima. </w:t>
      </w:r>
    </w:p>
    <w:p w:rsidR="00AC0832" w:rsidRDefault="00AC0832">
      <w:pPr>
        <w:pStyle w:val="Normal6"/>
      </w:pPr>
      <w:r>
        <w:t xml:space="preserve">Budući da su potrebe korisnika najvažnije za daljnji razvoj sustava, rad mora biti usmjeren na zadovoljavanje tih potreba, što se ostvaruje zajedničkim dogovorom korisnika i nositelja službene statistike te izgradnjom odnosa s korisnicima. </w:t>
      </w:r>
    </w:p>
    <w:p w:rsidR="00AC0832" w:rsidRDefault="00AC0832">
      <w:pPr>
        <w:pStyle w:val="Normal6"/>
      </w:pPr>
      <w:r>
        <w:t>Unapređenje diseminacije i kvalitete odnosa s korisnicima obuhvaća široki spektar mogućnosti koje se koriste u zemljama EU-a. Kako bi se u doglednoj budućnosti približili dobroj praksi zemalja EU-a, potrebno je stvoriti dobre temelje s mogućnošću sustavne nadogradnje. Načini ostvarenja ovoga cilja za navedeno razdoblje obuhvaćaju razvoj sustava praćenja upotrebe službene statistike provedbom istraživanja i praćenjem dobivenih rezultata. Tako će se osigurati podaci o obilježjima korisnika, intenzitetu/učestalosti korištenja pojedinih statistika, kvaliteti usluga koje se pružaju korisnicima te njihovu zadovoljstvu tim uslugama. Kvalitetan odnos s korisnicima pokušali smo unaprijediti njihovom edukacijom i sustavnim radom na stvaranju dobrog odnosa i pozitivnog imidža Zavoda u javnosti. Tijekom 2012. učinjene su organizacijske promjene na internetskim stranicama, uvedena je mogućnost RSS usluge (protokol za automatsko preuzimanje informacija- priopćenja i statističkih izvješća sa internetskih stranica), postavljen je hrvatsko-engleski i englesko-hrvatski rječnik statističkog nazivlja na internetske stranice, kreirale su se interaktivne aplikacije (ključni pokazatelji, piramida stanovništva, kalkulator inflacije) itd. Budućim unapređivanjem diseminacije i kvalitetnog odnosa s korisnicima stvorit će se preduvjeti za kapitalne projekte u budućnosti, poput provedbe Sustava za upravljanje odnosima s korisnicima (CRM) i digitalizacije raritetne statističke građe, a radi zadržavanja kvalitetnih odnosa s korisnicima.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2373"/>
        <w:gridCol w:w="1042"/>
        <w:gridCol w:w="1133"/>
        <w:gridCol w:w="1108"/>
        <w:gridCol w:w="1133"/>
        <w:gridCol w:w="118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Porast indeksa zadovoljstva korisnika</w:t>
            </w:r>
          </w:p>
        </w:tc>
        <w:tc>
          <w:tcPr>
            <w:tcW w:w="1300" w:type="dxa"/>
          </w:tcPr>
          <w:p w:rsidR="00AC0832" w:rsidRDefault="00AC0832">
            <w:pPr>
              <w:pStyle w:val="CellColumn"/>
            </w:pPr>
            <w:r>
              <w:t>Provedenim istraživanjem/mjerenjem zadovoljstva korisnika  DZS-a pratiti tendenciju porasta indeksa zadovoljstva korisnika</w:t>
            </w:r>
          </w:p>
        </w:tc>
        <w:tc>
          <w:tcPr>
            <w:tcW w:w="1300" w:type="dxa"/>
          </w:tcPr>
          <w:p w:rsidR="00AC0832" w:rsidRDefault="00AC0832">
            <w:pPr>
              <w:pStyle w:val="CellColumn"/>
            </w:pPr>
            <w:r>
              <w:t>%</w:t>
            </w:r>
          </w:p>
        </w:tc>
        <w:tc>
          <w:tcPr>
            <w:tcW w:w="1300" w:type="dxa"/>
          </w:tcPr>
          <w:p w:rsidR="00AC0832" w:rsidRDefault="00AC0832">
            <w:pPr>
              <w:pStyle w:val="CellColumn"/>
            </w:pPr>
            <w:r>
              <w:t>5</w:t>
            </w:r>
          </w:p>
        </w:tc>
        <w:tc>
          <w:tcPr>
            <w:tcW w:w="1300" w:type="dxa"/>
          </w:tcPr>
          <w:p w:rsidR="00AC0832" w:rsidRDefault="00AC0832">
            <w:pPr>
              <w:pStyle w:val="CellColumn"/>
            </w:pPr>
            <w:r>
              <w:t>DZS</w:t>
            </w:r>
          </w:p>
        </w:tc>
        <w:tc>
          <w:tcPr>
            <w:tcW w:w="1300" w:type="dxa"/>
          </w:tcPr>
          <w:p w:rsidR="00AC0832" w:rsidRDefault="00AC0832">
            <w:pPr>
              <w:pStyle w:val="CellColumn"/>
            </w:pPr>
            <w:r>
              <w:t>10</w:t>
            </w:r>
          </w:p>
        </w:tc>
        <w:tc>
          <w:tcPr>
            <w:tcW w:w="1300" w:type="dxa"/>
          </w:tcPr>
          <w:p w:rsidR="00AC0832" w:rsidRDefault="00AC0832">
            <w:pPr>
              <w:pStyle w:val="CellColumn"/>
            </w:pPr>
            <w:r>
              <w:t>10</w:t>
            </w:r>
          </w:p>
        </w:tc>
      </w:tr>
    </w:tbl>
    <w:p w:rsidR="00AC0832" w:rsidRDefault="00AC0832">
      <w:pPr>
        <w:jc w:val="left"/>
      </w:pPr>
    </w:p>
    <w:p w:rsidR="00AC0832" w:rsidRDefault="00AC0832">
      <w:pPr>
        <w:pStyle w:val="Heading6"/>
      </w:pPr>
      <w:r>
        <w:t>A658038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A658038-ADMINISTRACIJA I UPRAVLJANJE</w:t>
            </w:r>
          </w:p>
        </w:tc>
        <w:tc>
          <w:tcPr>
            <w:tcW w:w="2322" w:type="dxa"/>
          </w:tcPr>
          <w:p w:rsidR="00AC0832" w:rsidRDefault="00AC0832">
            <w:pPr>
              <w:pStyle w:val="CellColumn"/>
            </w:pPr>
            <w:r>
              <w:t>69.132.368</w:t>
            </w:r>
          </w:p>
        </w:tc>
        <w:tc>
          <w:tcPr>
            <w:tcW w:w="2322" w:type="dxa"/>
          </w:tcPr>
          <w:p w:rsidR="00AC0832" w:rsidRDefault="00AC0832">
            <w:pPr>
              <w:pStyle w:val="CellColumn"/>
            </w:pPr>
            <w:r>
              <w:t>68.689.276</w:t>
            </w:r>
          </w:p>
        </w:tc>
        <w:tc>
          <w:tcPr>
            <w:tcW w:w="2322" w:type="dxa"/>
          </w:tcPr>
          <w:p w:rsidR="00AC0832" w:rsidRDefault="00AC0832">
            <w:pPr>
              <w:pStyle w:val="CellColumn"/>
            </w:pPr>
            <w:r>
              <w:t>99,4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Administracija i upravljanje osigurava obavljanje funkcionalne djelatnosti Zavoda u cilju harmonizacije statističkog sustava RH s pravnom stečevinom EU, obavljanje poslovanja na pravilan, ekonomičan, učinkovit i djelotvoran način, usklađenost poslovanja sa zakonima, propisima i planovima, zaštita imovine i drugih resursa, pravodobno financijsko izvješćivanje i praćenje rezultata poslovanja.  </w:t>
      </w:r>
    </w:p>
    <w:p w:rsidR="00AC0832" w:rsidRDefault="00AC0832">
      <w:pPr>
        <w:pStyle w:val="Normal6"/>
      </w:pPr>
      <w:r>
        <w:t>Sredstvima planiranima na ovoj aktivnosti financirani su troškovi obavljanja redovite djelatnosti Zavoda. Najveći dio rashoda odnosi se na rashode za zaposlene, koji u ukupno izvršenim sredstvima aktivnosti iznose 84,35% tj. 57.936.735,73 kuna. Preostala izvršena sredstva odnose se na materijalne rashode potrebne za uredno i redovno obavljanje poslova i zadataka prema programu statističkih istraživanja RH- naknade troškova zaposlenima, rashode za materijal i energiju, uredski materijal, rashode za tekuće i investicijsko održavanje, rashode za usluge, financijske rashode te opremanje uredskom i komunikacijskom opremom.</w:t>
      </w:r>
    </w:p>
    <w:p w:rsidR="00AC0832" w:rsidRDefault="00AC0832">
      <w:pPr>
        <w:pStyle w:val="Heading6"/>
      </w:pPr>
      <w:r>
        <w:t>A658063 PROCJENA BILJNE PROIZVODNJE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A658063-PROCJENA BILJNE PROIZVODNJE</w:t>
            </w:r>
          </w:p>
        </w:tc>
        <w:tc>
          <w:tcPr>
            <w:tcW w:w="2322" w:type="dxa"/>
          </w:tcPr>
          <w:p w:rsidR="00AC0832" w:rsidRDefault="00AC0832">
            <w:pPr>
              <w:pStyle w:val="CellColumn"/>
            </w:pPr>
            <w:r>
              <w:t>1.012.098</w:t>
            </w:r>
          </w:p>
        </w:tc>
        <w:tc>
          <w:tcPr>
            <w:tcW w:w="2322" w:type="dxa"/>
          </w:tcPr>
          <w:p w:rsidR="00AC0832" w:rsidRDefault="00AC0832">
            <w:pPr>
              <w:pStyle w:val="CellColumn"/>
            </w:pPr>
            <w:r>
              <w:t>1.012.097</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Anketom se prikupljaju podaci o površinama i prirodima na obiteljskim poljoprivrednim gospodarstvima, a rashodi se odnose na intelektualne i osobne usluge (vanjski suradnici - anketari).  </w:t>
      </w:r>
    </w:p>
    <w:p w:rsidR="00AC0832" w:rsidRDefault="00AC0832">
      <w:pPr>
        <w:pStyle w:val="Normal6"/>
      </w:pPr>
      <w:r>
        <w:t>U 2012. godini  provedene su  4 sljedeće ankete: istraživanje o površinama i nasadima na kraju proljetne sjetve, prirodima ranih usjeva i voća, prirodima kasnih usjeva i voća, te alternativno istraživanje o jesenskoj sjetvi za kontinentalnu Hrvatsku i prirodi južnog voća i maslina za Jadransku regiju. Uzorak je Iznosio 7.000 poljoprivrednih gospodarstava osim za južno voće i masline; obuhvaćeno je oko 1.000 poljoprivrednih gospodarstava.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6"/>
        <w:gridCol w:w="1628"/>
        <w:gridCol w:w="1261"/>
        <w:gridCol w:w="1275"/>
        <w:gridCol w:w="1271"/>
        <w:gridCol w:w="1275"/>
        <w:gridCol w:w="128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uspješno anketiranih kućanstava</w:t>
            </w:r>
          </w:p>
        </w:tc>
        <w:tc>
          <w:tcPr>
            <w:tcW w:w="1300" w:type="dxa"/>
          </w:tcPr>
          <w:p w:rsidR="00AC0832" w:rsidRDefault="00AC0832">
            <w:pPr>
              <w:pStyle w:val="CellColumn"/>
            </w:pPr>
            <w:r>
              <w:t>Pouzdani podaci o površinama i prirodima na obiteljskim poljoprivrednim gospodarstvima</w:t>
            </w:r>
          </w:p>
        </w:tc>
        <w:tc>
          <w:tcPr>
            <w:tcW w:w="1300" w:type="dxa"/>
          </w:tcPr>
          <w:p w:rsidR="00AC0832" w:rsidRDefault="00AC0832">
            <w:pPr>
              <w:pStyle w:val="CellColumn"/>
            </w:pPr>
            <w:r>
              <w:t>%</w:t>
            </w:r>
          </w:p>
        </w:tc>
        <w:tc>
          <w:tcPr>
            <w:tcW w:w="1300" w:type="dxa"/>
          </w:tcPr>
          <w:p w:rsidR="00AC0832" w:rsidRDefault="00AC0832">
            <w:pPr>
              <w:pStyle w:val="CellColumn"/>
            </w:pPr>
            <w:r>
              <w:t>75</w:t>
            </w:r>
          </w:p>
        </w:tc>
        <w:tc>
          <w:tcPr>
            <w:tcW w:w="1300" w:type="dxa"/>
          </w:tcPr>
          <w:p w:rsidR="00AC0832" w:rsidRDefault="00AC0832">
            <w:pPr>
              <w:pStyle w:val="CellColumn"/>
            </w:pPr>
            <w:r>
              <w:t>DZS</w:t>
            </w:r>
          </w:p>
        </w:tc>
        <w:tc>
          <w:tcPr>
            <w:tcW w:w="1300" w:type="dxa"/>
          </w:tcPr>
          <w:p w:rsidR="00AC0832" w:rsidRDefault="00AC0832">
            <w:pPr>
              <w:pStyle w:val="CellColumn"/>
            </w:pPr>
            <w:r>
              <w:t>78</w:t>
            </w:r>
          </w:p>
        </w:tc>
        <w:tc>
          <w:tcPr>
            <w:tcW w:w="1300" w:type="dxa"/>
          </w:tcPr>
          <w:p w:rsidR="00AC0832" w:rsidRDefault="00AC0832">
            <w:pPr>
              <w:pStyle w:val="CellColumn"/>
            </w:pPr>
            <w:r>
              <w:t>85</w:t>
            </w:r>
          </w:p>
        </w:tc>
      </w:tr>
      <w:tr w:rsidR="00AC0832" w:rsidTr="00BE20ED">
        <w:trPr>
          <w:jc w:val="center"/>
        </w:trPr>
        <w:tc>
          <w:tcPr>
            <w:tcW w:w="1300" w:type="dxa"/>
          </w:tcPr>
          <w:p w:rsidR="00AC0832" w:rsidRDefault="00AC0832">
            <w:pPr>
              <w:pStyle w:val="CellColumn"/>
            </w:pPr>
            <w:r>
              <w:t>Smanjena stopa neodgovora</w:t>
            </w:r>
          </w:p>
        </w:tc>
        <w:tc>
          <w:tcPr>
            <w:tcW w:w="1300" w:type="dxa"/>
          </w:tcPr>
          <w:p w:rsidR="00AC0832" w:rsidRDefault="00AC0832">
            <w:pPr>
              <w:pStyle w:val="CellColumn"/>
            </w:pPr>
            <w:r>
              <w:t>Radi pouzdanijih podataka smanjiti stopu neodgovora</w:t>
            </w:r>
          </w:p>
        </w:tc>
        <w:tc>
          <w:tcPr>
            <w:tcW w:w="1300" w:type="dxa"/>
          </w:tcPr>
          <w:p w:rsidR="00AC0832" w:rsidRDefault="00AC0832">
            <w:pPr>
              <w:pStyle w:val="CellColumn"/>
            </w:pPr>
            <w:r>
              <w:t>%</w:t>
            </w:r>
          </w:p>
        </w:tc>
        <w:tc>
          <w:tcPr>
            <w:tcW w:w="1300" w:type="dxa"/>
          </w:tcPr>
          <w:p w:rsidR="00AC0832" w:rsidRDefault="00AC0832">
            <w:pPr>
              <w:pStyle w:val="CellColumn"/>
            </w:pPr>
            <w:r>
              <w:t>25</w:t>
            </w:r>
          </w:p>
        </w:tc>
        <w:tc>
          <w:tcPr>
            <w:tcW w:w="1300" w:type="dxa"/>
          </w:tcPr>
          <w:p w:rsidR="00AC0832" w:rsidRDefault="00AC0832">
            <w:pPr>
              <w:pStyle w:val="CellColumn"/>
            </w:pPr>
            <w:r>
              <w:t>DZS</w:t>
            </w:r>
          </w:p>
        </w:tc>
        <w:tc>
          <w:tcPr>
            <w:tcW w:w="1300" w:type="dxa"/>
          </w:tcPr>
          <w:p w:rsidR="00AC0832" w:rsidRDefault="00AC0832">
            <w:pPr>
              <w:pStyle w:val="CellColumn"/>
            </w:pPr>
            <w:r>
              <w:t>22</w:t>
            </w:r>
          </w:p>
        </w:tc>
        <w:tc>
          <w:tcPr>
            <w:tcW w:w="1300" w:type="dxa"/>
          </w:tcPr>
          <w:p w:rsidR="00AC0832" w:rsidRDefault="00AC0832">
            <w:pPr>
              <w:pStyle w:val="CellColumn"/>
            </w:pPr>
            <w:r>
              <w:t>15</w:t>
            </w:r>
          </w:p>
        </w:tc>
      </w:tr>
    </w:tbl>
    <w:p w:rsidR="00AC0832" w:rsidRDefault="00AC0832">
      <w:pPr>
        <w:jc w:val="left"/>
      </w:pPr>
    </w:p>
    <w:p w:rsidR="00AC0832" w:rsidRDefault="00AC0832">
      <w:pPr>
        <w:pStyle w:val="Heading6"/>
      </w:pPr>
      <w:r>
        <w:t>A658069 STATISTIKA GRAĐEVINARSTVA I STANOVANJA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A658069-STATISTIKA GRAĐEVINARSTVA I STANOVANJA</w:t>
            </w:r>
          </w:p>
        </w:tc>
        <w:tc>
          <w:tcPr>
            <w:tcW w:w="2322" w:type="dxa"/>
          </w:tcPr>
          <w:p w:rsidR="00AC0832" w:rsidRDefault="00AC0832">
            <w:pPr>
              <w:pStyle w:val="CellColumn"/>
            </w:pPr>
            <w:r>
              <w:t>579.219</w:t>
            </w:r>
          </w:p>
        </w:tc>
        <w:tc>
          <w:tcPr>
            <w:tcW w:w="2322" w:type="dxa"/>
          </w:tcPr>
          <w:p w:rsidR="00AC0832" w:rsidRDefault="00AC0832">
            <w:pPr>
              <w:pStyle w:val="CellColumn"/>
            </w:pPr>
            <w:r>
              <w:t>579.219</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Anketom se prikupljaju podaci o površinama i prirodima na obiteljskim poljoprivrednim gospodarstvima, a rashodi se odnose na intelektualne i osobne usluge (vanjski suradnici - anketari).  </w:t>
      </w:r>
    </w:p>
    <w:p w:rsidR="00AC0832" w:rsidRDefault="00AC0832">
      <w:pPr>
        <w:pStyle w:val="Normal6"/>
      </w:pPr>
      <w:r>
        <w:t>U 2012. godini  provedene su 4 sljedeće ankete: istraživanje o površinama i nasadima na kraju proljetne sjetve, prirodima ranih usjeva i voća, prirodima kasnih usjeva i voća, te alternativno istraživanje o jesenskoj sjetvi za kontinentalnu Hrvatsku i prirodi južnog voća i maslina za Jadransku regiju. Uzorak je Iznosio 7 000 poljoprivrednih gospodarstava osim za južno voće i masline; obuhvaćeno je oko 1 000 poljoprivrednih gospodarstava.</w:t>
      </w:r>
    </w:p>
    <w:p w:rsidR="00AC0832" w:rsidRDefault="00AC0832">
      <w:pPr>
        <w:pStyle w:val="Heading6"/>
      </w:pPr>
      <w:r>
        <w:t>A658075 STATISTIKA STANOVNIŠTVA-POPIS 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A658075-STATISTIKA STANOVNIŠTVA-POPIS 2011.</w:t>
            </w:r>
          </w:p>
        </w:tc>
        <w:tc>
          <w:tcPr>
            <w:tcW w:w="2322" w:type="dxa"/>
          </w:tcPr>
          <w:p w:rsidR="00AC0832" w:rsidRDefault="00AC0832">
            <w:pPr>
              <w:pStyle w:val="CellColumn"/>
            </w:pPr>
            <w:r>
              <w:t>5.987.819</w:t>
            </w:r>
          </w:p>
        </w:tc>
        <w:tc>
          <w:tcPr>
            <w:tcW w:w="2322" w:type="dxa"/>
          </w:tcPr>
          <w:p w:rsidR="00AC0832" w:rsidRDefault="00AC0832">
            <w:pPr>
              <w:pStyle w:val="CellColumn"/>
            </w:pPr>
            <w:r>
              <w:t>13.122.773</w:t>
            </w:r>
          </w:p>
        </w:tc>
        <w:tc>
          <w:tcPr>
            <w:tcW w:w="2322" w:type="dxa"/>
          </w:tcPr>
          <w:p w:rsidR="00AC0832" w:rsidRDefault="00AC0832">
            <w:pPr>
              <w:pStyle w:val="CellColumn"/>
            </w:pPr>
            <w:r>
              <w:t>219,2</w:t>
            </w:r>
          </w:p>
        </w:tc>
      </w:tr>
    </w:tbl>
    <w:p w:rsidR="00AC0832" w:rsidRDefault="00AC0832">
      <w:pPr>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 xml:space="preserve">Aktivnost obuhvaća prikupljanje, obradu i diseminaciju statističkih podataka u području statistike stanovništva:  statistika rođenih, umrlih, zaključenih i rastavljenih  brakova, statistika unutarnje i vanjske migracije te Popis 2011.  </w:t>
      </w:r>
    </w:p>
    <w:p w:rsidR="00AC0832" w:rsidRDefault="00AC0832">
      <w:pPr>
        <w:pStyle w:val="Normal6"/>
      </w:pPr>
      <w:r>
        <w:t xml:space="preserve">U 2011. godini provedeno je najopsežnije i najsloženije statističko istraživanje Popis 2011. Nakon završetka popisivanja na terenu u 2011. godini, Zavod je u 2012. godini proveo aktivnosti obrade Popisa na lokaciji vojarna dr. Ante Starčević u Jastrebarskom. Na temelju nacionalnog plana za poticanje zapošljavanja za 2011. i 2012. sklopljeni su ugovori između Zavoda i Hrvatskog zavoda za zapošljavanje o financiranju zapošljavanja nezaposlenih osoba u javnom radu- 100% za pripremne poslove unosa podataka Popisa 2011. te je Zavod je zaposlio 396 osoba na razdoblje od 6 mjeseci putem mjere javni rad. </w:t>
      </w:r>
    </w:p>
    <w:p w:rsidR="00AC0832" w:rsidRDefault="00AC0832">
      <w:pPr>
        <w:pStyle w:val="Normal6"/>
      </w:pPr>
      <w:r>
        <w:t>Izvršenje veće od planiranog, sukladno članku 50. Zakona o proračunu (NN, br. 87/08, 136/12), ostvareno je zbog rashoda na Izvoru financiranja 43- Ostali prihodi za posebne namjene, koji su se odnosili na isplatu rashoda za zaposlene i materijalnih prava osobama zaposlenim za obavljanje  pripremnih poslova unosa podataka Popisa putem mjere Javni radovi, prema utvrđenom programu javnog rada.</w:t>
      </w:r>
    </w:p>
    <w:p w:rsidR="00AC0832" w:rsidRDefault="00AC0832">
      <w:pPr>
        <w:pStyle w:val="Heading6"/>
      </w:pPr>
      <w:r>
        <w:t>A658105 INFORMACIJSKO DRUŠTVO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A658105-INFORMACIJSKO DRUŠTVO</w:t>
            </w:r>
          </w:p>
        </w:tc>
        <w:tc>
          <w:tcPr>
            <w:tcW w:w="2322" w:type="dxa"/>
          </w:tcPr>
          <w:p w:rsidR="00AC0832" w:rsidRDefault="00AC0832">
            <w:pPr>
              <w:pStyle w:val="CellColumn"/>
            </w:pPr>
            <w:r>
              <w:t>388.833</w:t>
            </w:r>
          </w:p>
        </w:tc>
        <w:tc>
          <w:tcPr>
            <w:tcW w:w="2322" w:type="dxa"/>
          </w:tcPr>
          <w:p w:rsidR="00AC0832" w:rsidRDefault="00AC0832">
            <w:pPr>
              <w:pStyle w:val="CellColumn"/>
            </w:pPr>
            <w:r>
              <w:t>388.833</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statistici informatičkog društva nastavljen je rad na harmoniziranju Statistike informacijskog društva RH. Istraživanja o uporabi informacijskih i komunikacijskih tehnologija (IKT-POD) u poduzećima i Istraživanja o uporabi informacijskih i komunikacijskih tehnologija (IKT-DOM) u kućanstvima i od pojedinaca za 2012. su provedena u skladu s Uredbom Vijeća EU-a br. 808/2004 (Council Regulation (EC) No 808/2004 concerning Community statistics on the information society) i implementacijskim mjerama  za 2012. iz Uredbe Komisije br. 937/2011. Commission Regulation (EU) No 937/2011)  te ažuriranoj i harmoniziranoj metodologiji Eurostata za statistiku informacijskog društva za 2012. podaci su obrađeni u predviđenom roku, a prvi rezultati za 2012. su diseminirani u EU-u studenom 2013. u skladu s propisima EU-a kao i objavljeni u prosincu 2012. u skladu s kalendarom objavljivanja DZS-a. </w:t>
      </w:r>
    </w:p>
    <w:p w:rsidR="00AC0832" w:rsidRDefault="00AC0832">
      <w:pPr>
        <w:pStyle w:val="Normal6"/>
      </w:pPr>
      <w:r>
        <w:t>Svi poslovi na projektu su izvršeni u cijelosti i u planiranim rokovima.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9"/>
        <w:gridCol w:w="1517"/>
        <w:gridCol w:w="1227"/>
        <w:gridCol w:w="1252"/>
        <w:gridCol w:w="1245"/>
        <w:gridCol w:w="1252"/>
        <w:gridCol w:w="126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Povećanje broja pokazatelja informacijskog društva harmoniziranih s EU-om</w:t>
            </w:r>
          </w:p>
        </w:tc>
        <w:tc>
          <w:tcPr>
            <w:tcW w:w="1300" w:type="dxa"/>
          </w:tcPr>
          <w:p w:rsidR="00AC0832" w:rsidRDefault="00AC0832">
            <w:pPr>
              <w:pStyle w:val="CellColumn"/>
            </w:pPr>
            <w:r>
              <w:t>Usklađivanjem broja obilježja ICT istraživanja povećati će se stupanj usklađenosti s EU-om</w:t>
            </w:r>
          </w:p>
        </w:tc>
        <w:tc>
          <w:tcPr>
            <w:tcW w:w="1300" w:type="dxa"/>
          </w:tcPr>
          <w:p w:rsidR="00AC0832" w:rsidRDefault="00AC0832">
            <w:pPr>
              <w:pStyle w:val="CellColumn"/>
            </w:pPr>
            <w:r>
              <w:t>%</w:t>
            </w:r>
          </w:p>
        </w:tc>
        <w:tc>
          <w:tcPr>
            <w:tcW w:w="1300" w:type="dxa"/>
          </w:tcPr>
          <w:p w:rsidR="00AC0832" w:rsidRDefault="00AC0832">
            <w:pPr>
              <w:pStyle w:val="CellColumn"/>
            </w:pPr>
            <w:r>
              <w:t>75</w:t>
            </w:r>
          </w:p>
        </w:tc>
        <w:tc>
          <w:tcPr>
            <w:tcW w:w="1300" w:type="dxa"/>
          </w:tcPr>
          <w:p w:rsidR="00AC0832" w:rsidRDefault="00AC0832">
            <w:pPr>
              <w:pStyle w:val="CellColumn"/>
            </w:pPr>
            <w:r>
              <w:t>DZS</w:t>
            </w:r>
          </w:p>
        </w:tc>
        <w:tc>
          <w:tcPr>
            <w:tcW w:w="1300" w:type="dxa"/>
          </w:tcPr>
          <w:p w:rsidR="00AC0832" w:rsidRDefault="00AC0832">
            <w:pPr>
              <w:pStyle w:val="CellColumn"/>
            </w:pPr>
            <w:r>
              <w:t>80</w:t>
            </w:r>
          </w:p>
        </w:tc>
        <w:tc>
          <w:tcPr>
            <w:tcW w:w="1300" w:type="dxa"/>
          </w:tcPr>
          <w:p w:rsidR="00AC0832" w:rsidRDefault="00AC0832">
            <w:pPr>
              <w:pStyle w:val="CellColumn"/>
            </w:pPr>
            <w:r>
              <w:t>80</w:t>
            </w:r>
          </w:p>
        </w:tc>
      </w:tr>
    </w:tbl>
    <w:p w:rsidR="00AC0832" w:rsidRDefault="00AC0832">
      <w:pPr>
        <w:jc w:val="left"/>
      </w:pPr>
    </w:p>
    <w:p w:rsidR="00AC0832" w:rsidRDefault="00AC0832">
      <w:pPr>
        <w:pStyle w:val="Heading6"/>
      </w:pPr>
      <w:r>
        <w:t>A658117 ANKETA O DOHOTKU STANOVNIŠTVA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A658117-ANKETA O DOHOTKU STANOVNIŠTVA</w:t>
            </w:r>
          </w:p>
        </w:tc>
        <w:tc>
          <w:tcPr>
            <w:tcW w:w="2322" w:type="dxa"/>
          </w:tcPr>
          <w:p w:rsidR="00AC0832" w:rsidRDefault="00AC0832">
            <w:pPr>
              <w:pStyle w:val="CellColumn"/>
            </w:pPr>
            <w:r>
              <w:t>541.500</w:t>
            </w:r>
          </w:p>
        </w:tc>
        <w:tc>
          <w:tcPr>
            <w:tcW w:w="2322" w:type="dxa"/>
          </w:tcPr>
          <w:p w:rsidR="00AC0832" w:rsidRDefault="00AC0832">
            <w:pPr>
              <w:pStyle w:val="CellColumn"/>
            </w:pPr>
            <w:r>
              <w:t>541.500</w:t>
            </w:r>
          </w:p>
        </w:tc>
        <w:tc>
          <w:tcPr>
            <w:tcW w:w="2322" w:type="dxa"/>
          </w:tcPr>
          <w:p w:rsidR="00AC0832" w:rsidRDefault="00AC0832">
            <w:pPr>
              <w:pStyle w:val="CellColumn"/>
            </w:pPr>
            <w:r>
              <w:t>100,0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Anketa o dohotku stanovništva provodi se u skladu s regulacijama Europske komisije, metodološkim pravilima Europskoga statističkog ureda (Eurostata) i međunarodnim klasifikacijama. Istraživanjem se prikupljaju podaci o sastavu kućanstava, podaci o bruto i neto dohotku te različitim monetarnim i nemonetarnim primanjima članova kućanstava, </w:t>
      </w:r>
    </w:p>
    <w:p w:rsidR="00AC0832" w:rsidRDefault="00AC0832">
      <w:pPr>
        <w:pStyle w:val="Normal6"/>
      </w:pPr>
      <w:r>
        <w:t xml:space="preserve"> podaci o financijskoj situaciji kućanstava, ekonomskoj aktivnosti i obrazovnom statusu članova kućanstava, brizi o vlastitom zdravlju, brizi o djeci te podaci o drugim aspektima životnog standarda.  </w:t>
      </w:r>
    </w:p>
    <w:p w:rsidR="00AC0832" w:rsidRDefault="00AC0832">
      <w:pPr>
        <w:pStyle w:val="Normal6"/>
      </w:pPr>
      <w:r>
        <w:t xml:space="preserve">Radi se o godišnjem istraživanju, koje se provodi na uzorku slučajno izabranih privatnih kućanstava. Veličina uzorka u 2012. iznosila je 8.532 stambenih jedinica. Podaci se prikupljaju putem elektroničkog upitnika odnosno anketiranje kućanstava se obavlja uz pomoć prijenosnih računala.  </w:t>
      </w:r>
    </w:p>
    <w:p w:rsidR="00AC0832" w:rsidRDefault="00AC0832">
      <w:pPr>
        <w:pStyle w:val="Normal6"/>
      </w:pPr>
      <w:r>
        <w:t>Prikupljeni podaci su u obradi. Rezultati istraživanja objavljuju se prema rokovima planiranim Programom publiciranja.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4"/>
        <w:gridCol w:w="1806"/>
        <w:gridCol w:w="1211"/>
        <w:gridCol w:w="1242"/>
        <w:gridCol w:w="1234"/>
        <w:gridCol w:w="1242"/>
        <w:gridCol w:w="125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uspješno anketiranih kućanstava</w:t>
            </w:r>
          </w:p>
        </w:tc>
        <w:tc>
          <w:tcPr>
            <w:tcW w:w="1300" w:type="dxa"/>
          </w:tcPr>
          <w:p w:rsidR="00AC0832" w:rsidRDefault="00AC0832">
            <w:pPr>
              <w:pStyle w:val="CellColumn"/>
            </w:pPr>
            <w:r>
              <w:t>Prikupljanje podataka o bruto i neto dohotku te monetarnim i nemonetarnim primanjima kućanstva te socioekonomskim obilježjima članova kućanstva</w:t>
            </w:r>
          </w:p>
        </w:tc>
        <w:tc>
          <w:tcPr>
            <w:tcW w:w="1300" w:type="dxa"/>
          </w:tcPr>
          <w:p w:rsidR="00AC0832" w:rsidRDefault="00AC0832">
            <w:pPr>
              <w:pStyle w:val="CellColumn"/>
            </w:pPr>
            <w:r>
              <w:t>%</w:t>
            </w:r>
          </w:p>
        </w:tc>
        <w:tc>
          <w:tcPr>
            <w:tcW w:w="1300" w:type="dxa"/>
          </w:tcPr>
          <w:p w:rsidR="00AC0832" w:rsidRDefault="00AC0832">
            <w:pPr>
              <w:pStyle w:val="CellColumn"/>
            </w:pPr>
            <w:r>
              <w:t>50</w:t>
            </w:r>
          </w:p>
        </w:tc>
        <w:tc>
          <w:tcPr>
            <w:tcW w:w="1300" w:type="dxa"/>
          </w:tcPr>
          <w:p w:rsidR="00AC0832" w:rsidRDefault="00AC0832">
            <w:pPr>
              <w:pStyle w:val="CellColumn"/>
            </w:pPr>
            <w:r>
              <w:t>DZS</w:t>
            </w:r>
          </w:p>
        </w:tc>
        <w:tc>
          <w:tcPr>
            <w:tcW w:w="1300" w:type="dxa"/>
          </w:tcPr>
          <w:p w:rsidR="00AC0832" w:rsidRDefault="00AC0832">
            <w:pPr>
              <w:pStyle w:val="CellColumn"/>
            </w:pPr>
            <w:r>
              <w:t>65</w:t>
            </w:r>
          </w:p>
        </w:tc>
        <w:tc>
          <w:tcPr>
            <w:tcW w:w="1300" w:type="dxa"/>
          </w:tcPr>
          <w:p w:rsidR="00AC0832" w:rsidRDefault="00AC0832">
            <w:pPr>
              <w:pStyle w:val="CellColumn"/>
            </w:pPr>
            <w:r>
              <w:t>70</w:t>
            </w:r>
          </w:p>
        </w:tc>
      </w:tr>
      <w:tr w:rsidR="00AC0832" w:rsidTr="00BE20ED">
        <w:trPr>
          <w:jc w:val="center"/>
        </w:trPr>
        <w:tc>
          <w:tcPr>
            <w:tcW w:w="1300" w:type="dxa"/>
          </w:tcPr>
          <w:p w:rsidR="00AC0832" w:rsidRDefault="00AC0832">
            <w:pPr>
              <w:pStyle w:val="CellColumn"/>
            </w:pPr>
            <w:r>
              <w:t>Smanjena stopa neodgovora</w:t>
            </w:r>
          </w:p>
        </w:tc>
        <w:tc>
          <w:tcPr>
            <w:tcW w:w="1300" w:type="dxa"/>
          </w:tcPr>
          <w:p w:rsidR="00AC0832" w:rsidRDefault="00AC0832">
            <w:pPr>
              <w:pStyle w:val="CellColumn"/>
            </w:pPr>
            <w:r>
              <w:t>Radi pouzdanijih podataka smanjiti stopu neodgovora</w:t>
            </w:r>
          </w:p>
        </w:tc>
        <w:tc>
          <w:tcPr>
            <w:tcW w:w="1300" w:type="dxa"/>
          </w:tcPr>
          <w:p w:rsidR="00AC0832" w:rsidRDefault="00AC0832">
            <w:pPr>
              <w:pStyle w:val="CellColumn"/>
            </w:pPr>
            <w:r>
              <w:t>%</w:t>
            </w:r>
          </w:p>
        </w:tc>
        <w:tc>
          <w:tcPr>
            <w:tcW w:w="1300" w:type="dxa"/>
          </w:tcPr>
          <w:p w:rsidR="00AC0832" w:rsidRDefault="00AC0832">
            <w:pPr>
              <w:pStyle w:val="CellColumn"/>
            </w:pPr>
            <w:r>
              <w:t>50</w:t>
            </w:r>
          </w:p>
        </w:tc>
        <w:tc>
          <w:tcPr>
            <w:tcW w:w="1300" w:type="dxa"/>
          </w:tcPr>
          <w:p w:rsidR="00AC0832" w:rsidRDefault="00AC0832">
            <w:pPr>
              <w:pStyle w:val="CellColumn"/>
            </w:pPr>
            <w:r>
              <w:t>DZS</w:t>
            </w:r>
          </w:p>
        </w:tc>
        <w:tc>
          <w:tcPr>
            <w:tcW w:w="1300" w:type="dxa"/>
          </w:tcPr>
          <w:p w:rsidR="00AC0832" w:rsidRDefault="00AC0832">
            <w:pPr>
              <w:pStyle w:val="CellColumn"/>
            </w:pPr>
            <w:r>
              <w:t>40</w:t>
            </w:r>
          </w:p>
        </w:tc>
        <w:tc>
          <w:tcPr>
            <w:tcW w:w="1300" w:type="dxa"/>
          </w:tcPr>
          <w:p w:rsidR="00AC0832" w:rsidRDefault="00AC0832">
            <w:pPr>
              <w:pStyle w:val="CellColumn"/>
            </w:pPr>
            <w:r>
              <w:t>30</w:t>
            </w:r>
          </w:p>
        </w:tc>
      </w:tr>
    </w:tbl>
    <w:p w:rsidR="00AC0832" w:rsidRDefault="00AC0832">
      <w:pPr>
        <w:jc w:val="left"/>
      </w:pPr>
    </w:p>
    <w:p w:rsidR="00AC0832" w:rsidRDefault="00AC0832">
      <w:pPr>
        <w:pStyle w:val="Heading6"/>
      </w:pPr>
      <w:r>
        <w:t>A658121 OBRADA PODATAKA IZ FINANCIJSKIH I STATISTIČKIH IZVJEŠTAJA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A658121-OBRADA PODATAKA IZ FINANCIJSKIH I STATISTIČKIH IZVJEŠTAJA</w:t>
            </w:r>
          </w:p>
        </w:tc>
        <w:tc>
          <w:tcPr>
            <w:tcW w:w="2322" w:type="dxa"/>
          </w:tcPr>
          <w:p w:rsidR="00AC0832" w:rsidRDefault="00AC0832">
            <w:pPr>
              <w:pStyle w:val="CellColumn"/>
            </w:pPr>
            <w:r>
              <w:t>2.162.000</w:t>
            </w:r>
          </w:p>
        </w:tc>
        <w:tc>
          <w:tcPr>
            <w:tcW w:w="2322" w:type="dxa"/>
          </w:tcPr>
          <w:p w:rsidR="00AC0832" w:rsidRDefault="00AC0832">
            <w:pPr>
              <w:pStyle w:val="CellColumn"/>
            </w:pPr>
            <w:r>
              <w:t>2.155.461</w:t>
            </w:r>
          </w:p>
        </w:tc>
        <w:tc>
          <w:tcPr>
            <w:tcW w:w="2322" w:type="dxa"/>
          </w:tcPr>
          <w:p w:rsidR="00AC0832" w:rsidRDefault="00AC0832">
            <w:pPr>
              <w:pStyle w:val="CellColumn"/>
            </w:pPr>
            <w:r>
              <w:t>99,7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okviru navedene aktivnosti planirana su sredstva za obavljanje statističkih aktivnosti iz Programa statističkih aktivnosti Republike Hrvatske 2008.-2012. čiji je nositelj FINA, a odnose se na: </w:t>
      </w:r>
    </w:p>
    <w:p w:rsidR="00AC0832" w:rsidRDefault="00AC0832">
      <w:pPr>
        <w:pStyle w:val="Normal6"/>
      </w:pPr>
      <w:r>
        <w:t xml:space="preserve">Redovni obračun brze (prve) procjene tromjesečnog BDP-a u rokovima 56-58 dana nakon završetka predmetnog tromjesečja te obračun redovne procjene tromjesečnog BDP-a prema djelatnostima NKD-a te kategorijama potrošnje u zadanim rokovima (90 dana nakon završetka predmetnog tromjesečja) i objava Priopćenja. Rezultati se iskazuju u obliku Priopćenja za javnost (kada se radi o brzoj procjeni realne stope rasta tromjesečnog BDP-a) te redovnom Priopćenju, u tekućim cijenama, stalnim cijenama prethodne godine te u stalnim cijenama referentne godine (2005=100). Rezultati se </w:t>
      </w:r>
    </w:p>
    <w:p w:rsidR="00AC0832" w:rsidRDefault="00AC0832">
      <w:pPr>
        <w:pStyle w:val="Normal6"/>
      </w:pPr>
      <w:r>
        <w:t xml:space="preserve">usklađuju i revidiraju s finalnim godišnjim obračunima Bruto domaćeg proizvoda. Obračun se radi prema domaćim standardima (usklađeni s međunarodnim standardima SNA 1993 i ESA 1995) koji se odnose na sustav nacionalnih računa, ali i prema domaćim standardima koji se odnose na kratkoročne pokazatelje strukturnih poslovnih statistika. Obavljanjem statističkih aktivnosti obuhvaćeno je zaprimanje, kontrola, unos, obrada i dostava podataka sukladno Programu i Godišnjem provedbenom planu. </w:t>
      </w:r>
    </w:p>
    <w:p w:rsidR="00AC0832" w:rsidRDefault="00AC0832">
      <w:pPr>
        <w:pStyle w:val="Normal6"/>
      </w:pPr>
      <w:r>
        <w:t>Realizacijom ove aktivnosti, na statističkoj razini, osigurava se kvaliteta makroekonomskih statistika usporediva sa svim drugim članicama Europske unije.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6"/>
        <w:gridCol w:w="1429"/>
        <w:gridCol w:w="889"/>
        <w:gridCol w:w="1001"/>
        <w:gridCol w:w="2590"/>
        <w:gridCol w:w="1001"/>
        <w:gridCol w:w="106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Redovna proizvodnja u programu publiciranja te usklada rokova objave svih istraživanja u DZS-u potrebnih za brzu procjenu tromjesečnog BDP-a</w:t>
            </w:r>
          </w:p>
        </w:tc>
        <w:tc>
          <w:tcPr>
            <w:tcW w:w="1300" w:type="dxa"/>
          </w:tcPr>
          <w:p w:rsidR="00AC0832" w:rsidRDefault="00AC0832">
            <w:pPr>
              <w:pStyle w:val="CellColumn"/>
            </w:pPr>
            <w:r>
              <w:t>Brza procjena tromjesečnog BDP-a  u tekućim cijenama i volumnim terminima i redovni obračun tromjesečnog BDP-a u tekućim cijenama i volumnim terminima usklađen s ESA 95 standardom i rokovima dostave pream EUROSTAT-u (prema transmisijskom programu)</w:t>
            </w:r>
          </w:p>
        </w:tc>
        <w:tc>
          <w:tcPr>
            <w:tcW w:w="1300" w:type="dxa"/>
          </w:tcPr>
          <w:p w:rsidR="00AC0832" w:rsidRDefault="00AC0832">
            <w:pPr>
              <w:pStyle w:val="CellColumn"/>
            </w:pPr>
            <w:r>
              <w:t>%</w:t>
            </w:r>
          </w:p>
        </w:tc>
        <w:tc>
          <w:tcPr>
            <w:tcW w:w="1300" w:type="dxa"/>
          </w:tcPr>
          <w:p w:rsidR="00AC0832" w:rsidRDefault="00AC0832">
            <w:pPr>
              <w:pStyle w:val="CellColumn"/>
            </w:pPr>
            <w:r>
              <w:t>60</w:t>
            </w:r>
          </w:p>
        </w:tc>
        <w:tc>
          <w:tcPr>
            <w:tcW w:w="1300" w:type="dxa"/>
          </w:tcPr>
          <w:p w:rsidR="00AC0832" w:rsidRDefault="00AC0832">
            <w:pPr>
              <w:pStyle w:val="CellColumn"/>
            </w:pPr>
            <w:r>
              <w:t>DZS i administrativni izvori podataka (FINA; MINISTARSTVO FINANCIJA; POREZNA UPRAVA,HNB,HZMO,AZTN)</w:t>
            </w:r>
          </w:p>
        </w:tc>
        <w:tc>
          <w:tcPr>
            <w:tcW w:w="1300" w:type="dxa"/>
          </w:tcPr>
          <w:p w:rsidR="00AC0832" w:rsidRDefault="00AC0832">
            <w:pPr>
              <w:pStyle w:val="CellColumn"/>
            </w:pPr>
            <w:r>
              <w:t>70</w:t>
            </w:r>
          </w:p>
        </w:tc>
        <w:tc>
          <w:tcPr>
            <w:tcW w:w="1300" w:type="dxa"/>
          </w:tcPr>
          <w:p w:rsidR="00AC0832" w:rsidRDefault="00AC0832">
            <w:pPr>
              <w:pStyle w:val="CellColumn"/>
            </w:pPr>
            <w:r>
              <w:t>70</w:t>
            </w:r>
          </w:p>
        </w:tc>
      </w:tr>
    </w:tbl>
    <w:p w:rsidR="00AC0832" w:rsidRDefault="00AC0832">
      <w:pPr>
        <w:jc w:val="left"/>
      </w:pPr>
    </w:p>
    <w:p w:rsidR="00AC0832" w:rsidRDefault="00AC0832">
      <w:pPr>
        <w:pStyle w:val="Heading6"/>
      </w:pPr>
      <w:r>
        <w:t>K658035 INFORMATIZACIJA ZAVODA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K658035-INFORMATIZACIJA ZAVODA</w:t>
            </w:r>
          </w:p>
        </w:tc>
        <w:tc>
          <w:tcPr>
            <w:tcW w:w="2322" w:type="dxa"/>
          </w:tcPr>
          <w:p w:rsidR="00AC0832" w:rsidRDefault="00AC0832">
            <w:pPr>
              <w:pStyle w:val="CellColumn"/>
            </w:pPr>
            <w:r>
              <w:t>4.925.650</w:t>
            </w:r>
          </w:p>
        </w:tc>
        <w:tc>
          <w:tcPr>
            <w:tcW w:w="2322" w:type="dxa"/>
          </w:tcPr>
          <w:p w:rsidR="00AC0832" w:rsidRDefault="00AC0832">
            <w:pPr>
              <w:pStyle w:val="CellColumn"/>
            </w:pPr>
            <w:r>
              <w:t>4.703.762</w:t>
            </w:r>
          </w:p>
        </w:tc>
        <w:tc>
          <w:tcPr>
            <w:tcW w:w="2322" w:type="dxa"/>
          </w:tcPr>
          <w:p w:rsidR="00AC0832" w:rsidRDefault="00AC0832">
            <w:pPr>
              <w:pStyle w:val="CellColumn"/>
            </w:pPr>
            <w:r>
              <w:t>95,5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 okviru kapitalnog projekta plaćene su usluge tekućeg i investicijskog održavanja aplikacija, sklopovske i programske opreme te informatičke i komunikacijske opreme, zatim usluge najma licenci, intelektualne i osobne usluge te su izvršeni rashodi za nabavu informatičke opreme.</w:t>
      </w:r>
    </w:p>
    <w:p w:rsidR="00AC0832" w:rsidRDefault="00AC0832">
      <w:pPr>
        <w:pStyle w:val="Heading1"/>
      </w:pPr>
      <w:r>
        <w:t>185 DRŽAVNI URED ZA REVIZIJU</w:t>
      </w:r>
    </w:p>
    <w:p w:rsidR="00AC0832" w:rsidRDefault="00AC0832">
      <w:pPr>
        <w:pStyle w:val="Heading4"/>
      </w:pPr>
      <w:r>
        <w:t>Uvod</w:t>
      </w:r>
    </w:p>
    <w:p w:rsidR="00AC0832" w:rsidRDefault="00AC0832">
      <w:pPr>
        <w:pStyle w:val="Normal3"/>
      </w:pPr>
      <w:r>
        <w:t xml:space="preserve">Državni ured za reviziju osnovan je 1994. temeljem Zakona o državnoj reviziji kao samostalno i neovisno državno tijelo. Uz odredbe o osnivanju i statusu Ureda, zakonom su uređena i pitanja nadležnosti u pogledu subjekata i sredstava koja podliježu reviziji, izrada financijskih izvješća i izvješćivanje, odnos prema drugim državnim tijelima i revidiranim subjektima. </w:t>
      </w:r>
    </w:p>
    <w:p w:rsidR="00AC0832" w:rsidRDefault="00AC0832">
      <w:pPr>
        <w:pStyle w:val="Normal3"/>
      </w:pPr>
      <w:r>
        <w:t xml:space="preserve">Nadležnost Ureda obuhvaća reviziju: </w:t>
      </w:r>
    </w:p>
    <w:p w:rsidR="00AC0832" w:rsidRDefault="00AC0832">
      <w:pPr>
        <w:pStyle w:val="Normal3"/>
      </w:pPr>
      <w:r>
        <w:t xml:space="preserve">-državnih prihoda i rashoda </w:t>
      </w:r>
    </w:p>
    <w:p w:rsidR="00AC0832" w:rsidRDefault="00AC0832">
      <w:pPr>
        <w:pStyle w:val="Normal3"/>
      </w:pPr>
      <w:r>
        <w:t xml:space="preserve">-financijskih izvještaja i financijskih transakcija: </w:t>
      </w:r>
    </w:p>
    <w:p w:rsidR="00AC0832" w:rsidRDefault="00AC0832">
      <w:pPr>
        <w:pStyle w:val="Normal3"/>
      </w:pPr>
      <w:r>
        <w:t xml:space="preserve">     -jedinica državnog sektora, </w:t>
      </w:r>
    </w:p>
    <w:p w:rsidR="00AC0832" w:rsidRDefault="00AC0832">
      <w:pPr>
        <w:pStyle w:val="Normal3"/>
      </w:pPr>
      <w:r>
        <w:t xml:space="preserve">     -jedinica lokalne i područne (regionalne) samouprave (dalje u tekstu: lokalne jedinice), </w:t>
      </w:r>
    </w:p>
    <w:p w:rsidR="00AC0832" w:rsidRDefault="00AC0832">
      <w:pPr>
        <w:pStyle w:val="Normal3"/>
      </w:pPr>
      <w:r>
        <w:t xml:space="preserve">     -pravnih osoba koje se financiraju iz proračuna, </w:t>
      </w:r>
    </w:p>
    <w:p w:rsidR="00AC0832" w:rsidRDefault="00AC0832">
      <w:pPr>
        <w:pStyle w:val="Normal3"/>
      </w:pPr>
      <w:r>
        <w:t xml:space="preserve">     -pravnih osoba kojima je osnivač Republika Hrvatska ili jedinice lokalne i područne (regionalne) samouprave, društava i drugih pravnih osoba u kojima Republika Hrvatska odnosno jedinice lokalne i područne (regionalne) samouprave imaju većinsko vlasništvo nad dionicama, odnosno udjelima, te </w:t>
      </w:r>
    </w:p>
    <w:p w:rsidR="00AC0832" w:rsidRDefault="00AC0832">
      <w:pPr>
        <w:pStyle w:val="Normal3"/>
      </w:pPr>
      <w:r>
        <w:t xml:space="preserve">-korištenje sredstava Europske unije i drugih međunarodnih organizacija ili institucija za financiranje javnih potreba. </w:t>
      </w:r>
    </w:p>
    <w:p w:rsidR="00AC0832" w:rsidRDefault="00AC0832">
      <w:pPr>
        <w:pStyle w:val="Normal3"/>
      </w:pPr>
      <w:r>
        <w:t xml:space="preserve">Prema odredbama Zakona revizija izvještaja o izvršenju državnog proračuna se obavlja svake godine, a revizija drugih subjekata se obavlja prema godišnjem programu i planu rada, kojeg donosi glavni državni revizor. </w:t>
      </w:r>
    </w:p>
    <w:p w:rsidR="00AC0832" w:rsidRDefault="00AC0832">
      <w:pPr>
        <w:pStyle w:val="Normal3"/>
      </w:pPr>
      <w:r>
        <w:t xml:space="preserve">     Prema odredbama Zakona o financiranju političkih aktivnosti i izborne promidžbe, Ured je nadležan za obavljanje revizije političkih stranaka, nezavisnih zastupnika, zastupnika nacionalnih manjina i nezavisnih članova predstavničkih tijela lokalnih jedinica. </w:t>
      </w:r>
    </w:p>
    <w:p w:rsidR="00AC0832" w:rsidRDefault="00AC0832">
      <w:pPr>
        <w:pStyle w:val="Normal3"/>
      </w:pPr>
      <w:r>
        <w:t xml:space="preserve">Postupci i način obavljanja revizije odvijaju se u skladu sa Zakonom o državnom uredu za reviziju, a prema načelima i pravilima utvrđenim INTOSAI revizijskim standardima, koji su kao dio međunarodnog prava preuzeti u unutarnje pravo s obveznom primjenom, unutarnjim normativnim aktima i procedurama, te pravilima struke uz poštivanje Kodeksa profesionalne etike državnih revizora. </w:t>
      </w:r>
    </w:p>
    <w:p w:rsidR="00AC0832" w:rsidRDefault="00AC0832">
      <w:pPr>
        <w:pStyle w:val="Normal3"/>
      </w:pPr>
      <w:r>
        <w:t>U skladu sa zakonskim ovlastima Ured je donio strateški plan za razdoblje 2012.-2014. godine, koji je temelj i smjerokaz rada i daljnjeg razvoja Ureda kao državnog tijela i institucije, s osnovnom misijom da svojim radom usmjerenim na reviziju financijskih izvještaja i poslovanja, te na poboljšanje zakonitosti, učinkovitosti i djelotvornosti subjekata koji upravljaju javnom imovinom i drugih pravnih osoba određenih Zakonom o državnom uredu za reviziju, pridonese jačanju zakonitosti, učinkovitosti i djelotvornosti u oblasti javnih financija i upravljanja javnom imovinom.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18505-Državni ured za reviziju</w:t>
            </w:r>
          </w:p>
        </w:tc>
        <w:tc>
          <w:tcPr>
            <w:tcW w:w="2322" w:type="dxa"/>
          </w:tcPr>
          <w:p w:rsidR="00AC0832" w:rsidRDefault="00AC0832">
            <w:pPr>
              <w:pStyle w:val="CellColumn"/>
            </w:pPr>
            <w:r>
              <w:t>53.195.668</w:t>
            </w:r>
          </w:p>
        </w:tc>
        <w:tc>
          <w:tcPr>
            <w:tcW w:w="2322" w:type="dxa"/>
          </w:tcPr>
          <w:p w:rsidR="00AC0832" w:rsidRDefault="00AC0832">
            <w:pPr>
              <w:pStyle w:val="CellColumn"/>
            </w:pPr>
            <w:r>
              <w:t>52.147.727</w:t>
            </w:r>
          </w:p>
        </w:tc>
        <w:tc>
          <w:tcPr>
            <w:tcW w:w="2322" w:type="dxa"/>
          </w:tcPr>
          <w:p w:rsidR="00AC0832" w:rsidRDefault="00AC0832">
            <w:pPr>
              <w:pStyle w:val="CellColumn"/>
            </w:pPr>
            <w:r>
              <w:t>98,0</w:t>
            </w:r>
          </w:p>
        </w:tc>
      </w:tr>
      <w:tr w:rsidR="00AC0832" w:rsidTr="00BE20ED">
        <w:trPr>
          <w:jc w:val="center"/>
        </w:trPr>
        <w:tc>
          <w:tcPr>
            <w:tcW w:w="2322" w:type="dxa"/>
            <w:shd w:val="clear" w:color="auto" w:fill="B5C0D8"/>
          </w:tcPr>
          <w:p w:rsidR="00AC0832" w:rsidRDefault="00AC0832">
            <w:pPr>
              <w:pStyle w:val="CellColumn"/>
            </w:pPr>
            <w:r>
              <w:t>Ukupno 185-DRŽAVNI URED ZA REVIZIJU</w:t>
            </w:r>
          </w:p>
        </w:tc>
        <w:tc>
          <w:tcPr>
            <w:tcW w:w="2322" w:type="dxa"/>
            <w:shd w:val="clear" w:color="auto" w:fill="B5C0D8"/>
          </w:tcPr>
          <w:p w:rsidR="00AC0832" w:rsidRDefault="00AC0832">
            <w:pPr>
              <w:pStyle w:val="CellColumn"/>
            </w:pPr>
            <w:r>
              <w:t>53.195.668</w:t>
            </w:r>
          </w:p>
        </w:tc>
        <w:tc>
          <w:tcPr>
            <w:tcW w:w="2322" w:type="dxa"/>
            <w:shd w:val="clear" w:color="auto" w:fill="B5C0D8"/>
          </w:tcPr>
          <w:p w:rsidR="00AC0832" w:rsidRDefault="00AC0832">
            <w:pPr>
              <w:pStyle w:val="CellColumn"/>
            </w:pPr>
            <w:r>
              <w:t>52.147.727</w:t>
            </w:r>
          </w:p>
        </w:tc>
        <w:tc>
          <w:tcPr>
            <w:tcW w:w="2322" w:type="dxa"/>
            <w:shd w:val="clear" w:color="auto" w:fill="B5C0D8"/>
          </w:tcPr>
          <w:p w:rsidR="00AC0832" w:rsidRDefault="00AC0832">
            <w:pPr>
              <w:pStyle w:val="CellColumn"/>
            </w:pPr>
            <w:r>
              <w:t>98,0</w:t>
            </w:r>
          </w:p>
        </w:tc>
      </w:tr>
    </w:tbl>
    <w:p w:rsidR="00AC0832" w:rsidRDefault="00AC0832">
      <w:pPr>
        <w:jc w:val="left"/>
      </w:pPr>
    </w:p>
    <w:p w:rsidR="00AC0832" w:rsidRDefault="00AC0832">
      <w:pPr>
        <w:pStyle w:val="Heading5"/>
      </w:pPr>
      <w:r>
        <w:t>2208 DJELOVANJE DRŽAVNOG UREDA ZA REVIZIJU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2208-DJELOVANJE DRŽAVNOG UREDA ZA REVIZIJU</w:t>
            </w:r>
          </w:p>
        </w:tc>
        <w:tc>
          <w:tcPr>
            <w:tcW w:w="2322" w:type="dxa"/>
          </w:tcPr>
          <w:p w:rsidR="00AC0832" w:rsidRDefault="00AC0832">
            <w:pPr>
              <w:pStyle w:val="CellColumn"/>
            </w:pPr>
            <w:r>
              <w:t>53.195.668</w:t>
            </w:r>
          </w:p>
        </w:tc>
        <w:tc>
          <w:tcPr>
            <w:tcW w:w="2322" w:type="dxa"/>
          </w:tcPr>
          <w:p w:rsidR="00AC0832" w:rsidRDefault="00AC0832">
            <w:pPr>
              <w:pStyle w:val="CellColumn"/>
            </w:pPr>
            <w:r>
              <w:t>52.147.727</w:t>
            </w:r>
          </w:p>
        </w:tc>
        <w:tc>
          <w:tcPr>
            <w:tcW w:w="2322" w:type="dxa"/>
          </w:tcPr>
          <w:p w:rsidR="00AC0832" w:rsidRDefault="00AC0832">
            <w:pPr>
              <w:pStyle w:val="CellColumn"/>
            </w:pPr>
            <w:r>
              <w:t>98,0</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Prema odredbama članka 54. Ustava Republike Hrvatske Državni ured za reviziju je  najviša revizijska institucija Republike Hrvatske, koja je samostalna i neovisna u svome radu. Državni ured za reviziju osnovan je kao vrhovno, samostalno i neovisno tijelo državne vlasti za reviziju državnih prihoda i rashoda, primitaka i izdataka, reviziju financijskih izvještaja i financijskih transakcija jedinica državnog sektora, jedinice lokalne i područne (regionalne) samouprave, pravnih osoba koje se djelomice ili u cijelosti financiraju iz proračuna, javnih poduzeća, društva i drugih pravnih osoba u  kojima Republika Hrvatska, odnosno jedinice lokalne i područne (regionalne) samouprave imaju većinsko vlasništvo nad dionicama, odnosno udjelima, te korištenje sredstava Europske unije i drugih međunarodnih organizacija ili institucija za financiranje javnih potreba. </w:t>
      </w:r>
    </w:p>
    <w:p w:rsidR="00AC0832" w:rsidRDefault="00AC0832">
      <w:pPr>
        <w:pStyle w:val="Normal5"/>
      </w:pPr>
      <w:r>
        <w:t xml:space="preserve">Donošenjem Zakona o financiranju političkih aktivnosti i izborne promidžbe Državni ured za reviziju je u svoju nadležnost dobio i poslove revizije godišnjeg financijskog poslovanja i godišnjih financijskih izvještaja političkih stranaka, nezavisnih zastupnika, zastupnika nacionalnih manjina i nezavisnih članova predstavničkih tijela jedinica lokalne i područne (regionalne) samouprave. Za obavljanje navedenih revizija, s obzirom na veliki broj  političkih stranaka, nezavisnih zastupnika i nezavisnih članova predstavničkih tijela jedinica lokalne i područne (regionalne) samouprave, a uzimajući u obzir potrebu potpune provjere svih navedenih subjekata i najvišu razinu stručnosti, osnovan je poseban odjel u koji su raspoređeni najstručniji državni revizori, čime je dovedena u pitanje mogućnost pravodobnog i kvalitetnog obavljanja redovnih financijskih revizija drugih proračunskih korisnika, a posebno revizija učinkovitosti na kojima ubuduće treba biti težište rada Državnog ureda za reviziju. </w:t>
      </w:r>
    </w:p>
    <w:p w:rsidR="00AC0832" w:rsidRDefault="00AC0832">
      <w:pPr>
        <w:pStyle w:val="Normal5"/>
      </w:pPr>
      <w:r>
        <w:t xml:space="preserve">Prema načinu provođenja postupaka revizije Državni ured za reviziju u okviru svojih ovlaštenja vrši: </w:t>
      </w:r>
    </w:p>
    <w:p w:rsidR="00AC0832" w:rsidRDefault="00AC0832">
      <w:pPr>
        <w:pStyle w:val="Normal5"/>
      </w:pPr>
      <w:r>
        <w:t xml:space="preserve">     -ispitivanje dokumenata, isprava, izvješća, sustava unutarnje kontrole unutarnje revizije, računovodstvenih i financijskih postupaka te drugih evidencija radi utvrđivanja objektivnosti i istinitosti financijskih aktivnosti, </w:t>
      </w:r>
    </w:p>
    <w:p w:rsidR="00AC0832" w:rsidRDefault="00AC0832">
      <w:pPr>
        <w:pStyle w:val="Normal5"/>
      </w:pPr>
      <w:r>
        <w:t xml:space="preserve">     -ispitivanje financijskih transakcija koje predstavljaju državne prihode i rashode u smislu zakonskog korištenja sredstava, </w:t>
      </w:r>
    </w:p>
    <w:p w:rsidR="00AC0832" w:rsidRDefault="00AC0832">
      <w:pPr>
        <w:pStyle w:val="Normal5"/>
      </w:pPr>
      <w:r>
        <w:t xml:space="preserve">     -davanje ocjene o djelotvornosti i ekonomičnosti obavljanja djelatnosti, te ocjene o učinkovitosti ostvarenja  ciljeva  poslovanja ili ciljeva pojedinih financijskih transakcija, programa i projekata. </w:t>
      </w:r>
    </w:p>
    <w:p w:rsidR="00AC0832" w:rsidRDefault="00AC0832">
      <w:pPr>
        <w:pStyle w:val="Normal5"/>
      </w:pPr>
      <w:r>
        <w:t xml:space="preserve">Svoju djelatnost Državni ured za reviziju ostvaruje u okviru jednog programa - 2208 Djelovanje državnog ureda za reviziju. Glavni program realizira se kroz tri podprograma: </w:t>
      </w:r>
    </w:p>
    <w:p w:rsidR="00AC0832" w:rsidRDefault="00AC0832">
      <w:pPr>
        <w:pStyle w:val="Normal5"/>
      </w:pPr>
      <w:r>
        <w:t xml:space="preserve">     A665000-Administracija i upravljanje </w:t>
      </w:r>
    </w:p>
    <w:p w:rsidR="00AC0832" w:rsidRDefault="00AC0832">
      <w:pPr>
        <w:pStyle w:val="Normal5"/>
      </w:pPr>
      <w:r>
        <w:t xml:space="preserve">     K665001-Informatizacija </w:t>
      </w:r>
    </w:p>
    <w:p w:rsidR="00AC0832" w:rsidRDefault="00AC0832">
      <w:pPr>
        <w:pStyle w:val="Normal5"/>
      </w:pPr>
      <w:r>
        <w:t xml:space="preserve">     K665002-Obnova voznog parka</w:t>
      </w:r>
    </w:p>
    <w:p w:rsidR="00AC0832" w:rsidRDefault="00AC0832">
      <w:pPr>
        <w:pStyle w:val="Heading6"/>
      </w:pPr>
      <w:r>
        <w:t>Zakonske i druge pravne osnove</w:t>
      </w:r>
    </w:p>
    <w:p w:rsidR="00AC0832" w:rsidRDefault="00AC0832">
      <w:pPr>
        <w:pStyle w:val="Normal5"/>
      </w:pPr>
      <w:r>
        <w:t xml:space="preserve">-Zakon o državnom uredu za reviziju (NN 80/11) </w:t>
      </w:r>
    </w:p>
    <w:p w:rsidR="00AC0832" w:rsidRDefault="00AC0832">
      <w:pPr>
        <w:pStyle w:val="Normal5"/>
      </w:pPr>
      <w:r>
        <w:t xml:space="preserve">     -Zakon o financiranju političkih aktivnosti i izborne promidžbe (NN 24/11, 61/11) </w:t>
      </w:r>
    </w:p>
    <w:p w:rsidR="00AC0832" w:rsidRDefault="00AC0832">
      <w:pPr>
        <w:pStyle w:val="Normal5"/>
      </w:pPr>
      <w:r>
        <w:t xml:space="preserve">     -Zakon o izborima općinskih načelnika, gradonačelnika, župana i gradonačelnika Grada Zagreba (NN 109/07, 125/08) </w:t>
      </w:r>
    </w:p>
    <w:p w:rsidR="00AC0832" w:rsidRDefault="00AC0832">
      <w:pPr>
        <w:pStyle w:val="Normal5"/>
      </w:pPr>
      <w:r>
        <w:t xml:space="preserve">     -Okviri revizijskih standarda međunarodne organizacija vrhovnih revizijskih institucija (NN 146/11)</w:t>
      </w:r>
    </w:p>
    <w:p w:rsidR="00AC0832" w:rsidRDefault="00AC0832">
      <w:pPr>
        <w:pStyle w:val="Heading7"/>
      </w:pPr>
      <w:r>
        <w:t>Cilj 1. Jačanje sustava financijskih kontrola u Republici Hrvatskoj</w:t>
      </w:r>
    </w:p>
    <w:p w:rsidR="00AC0832" w:rsidRDefault="00AC0832">
      <w:pPr>
        <w:pStyle w:val="Heading8"/>
        <w:jc w:val="left"/>
      </w:pPr>
      <w:r>
        <w:t>Opis provedbe cilja programa</w:t>
      </w:r>
    </w:p>
    <w:p w:rsidR="00AC0832" w:rsidRDefault="00AC0832">
      <w:pPr>
        <w:pStyle w:val="Normal6"/>
      </w:pPr>
      <w:r>
        <w:t xml:space="preserve">Sustav financijskih kontrola u Republici Hrvatskoj sastoji se od više normativnih i institucionalnih komponenti od kojih su najznačajnije: </w:t>
      </w:r>
    </w:p>
    <w:p w:rsidR="00AC0832" w:rsidRDefault="00AC0832">
      <w:pPr>
        <w:pStyle w:val="Normal6"/>
      </w:pPr>
      <w:r>
        <w:t xml:space="preserve">-proračunski nadzor utvrđen Zakonom o proračunu kao sustav kontrole materijalno-financijskog poslovanja proračunskih i izvanproračunskih korisnika državnog proračuna, jedinice lokalne i područne (regionalne) samouprave i njihovih proračunskih i izvanproračunskih korisnika te pravnih i fizičkih osoba kojima se sredstva osiguravaju u proračunu, </w:t>
      </w:r>
    </w:p>
    <w:p w:rsidR="00AC0832" w:rsidRDefault="00AC0832">
      <w:pPr>
        <w:pStyle w:val="Normal6"/>
      </w:pPr>
      <w:r>
        <w:t xml:space="preserve">-sustav unutarnjih financijskih kontrola u javnom sektoru sa svoje dvije komponente-sustavom unutarnjih kontrola i unutarnjim revizijama, uređen Zakonom o sustavu unutarnjih financijskih kontrola u javnom sektoru, i </w:t>
      </w:r>
    </w:p>
    <w:p w:rsidR="00AC0832" w:rsidRDefault="00AC0832">
      <w:pPr>
        <w:pStyle w:val="Normal6"/>
      </w:pPr>
      <w:r>
        <w:t>-državna revizija sa svojim sveobuhvatnim mehanizmom preventivnog djelovanja i naknadnih kontrola naprijed navedenih sustava u području javnih financija-planiranja, utvrđivanja, ubiranja i trošenja javnih sredstava.</w:t>
      </w:r>
    </w:p>
    <w:p w:rsidR="00AC0832" w:rsidRDefault="00AC0832">
      <w:pPr>
        <w:pStyle w:val="Heading7"/>
      </w:pPr>
      <w:r>
        <w:t>Cilj 2. Povećanje odgovornosti svih sudionika u procesu upravljanja i korištenja javnih sredstava</w:t>
      </w:r>
    </w:p>
    <w:p w:rsidR="00AC0832" w:rsidRDefault="00AC0832">
      <w:pPr>
        <w:pStyle w:val="Heading8"/>
        <w:jc w:val="left"/>
      </w:pPr>
      <w:r>
        <w:t>Opis provedbe cilja programa</w:t>
      </w:r>
    </w:p>
    <w:p w:rsidR="00AC0832" w:rsidRDefault="00AC0832">
      <w:pPr>
        <w:pStyle w:val="Normal6"/>
      </w:pPr>
      <w:r>
        <w:t>Državni ured za reviziju kao najviša revizijska institucija, samostalna i neovisna u svome radu, ima posebnu ulogu u oblasti povećanja odgovornosti svih sudionika u procesu upravljanja i korištenja javnih sredstava iz domaćih izvora i sredstava ostvarenih iz međunarodnih izvora putem kredita, dotacija, darovnica i drugih oblika i izvora sredstava koja se troše kao javna sredstva kroz državni proračun, fondove i proračune lokalnih i regionalnih jedinica. U ostvarivanju tog cilja Državni ured za reviziju djeluje kroz mehanizme generalne prevencije samim svojim postojanjem, kontinuiranim i svakogodišnjim revizijama te savjetodavnom funkcijom prema korisnicima javnih sredstava na svim razinama kao najjači mehanizam sprečavanja nezakonitog trošenja javnih sredstava na svim razinama i od svih krajnjih korisnika javnih sredstava.</w:t>
      </w:r>
    </w:p>
    <w:p w:rsidR="00AC0832" w:rsidRDefault="00AC0832">
      <w:pPr>
        <w:pStyle w:val="Heading7"/>
      </w:pPr>
      <w:r>
        <w:t>Cilj 3. Suzbijanje korupcija, prijevara i drugih nezakonitih radnji u oblasti javnih financija</w:t>
      </w:r>
    </w:p>
    <w:p w:rsidR="00AC0832" w:rsidRDefault="00AC0832">
      <w:pPr>
        <w:pStyle w:val="Heading8"/>
        <w:jc w:val="left"/>
      </w:pPr>
      <w:r>
        <w:t>Opis provedbe cilja programa</w:t>
      </w:r>
    </w:p>
    <w:p w:rsidR="00AC0832" w:rsidRDefault="00AC0832">
      <w:pPr>
        <w:pStyle w:val="Normal6"/>
      </w:pPr>
      <w:r>
        <w:t>Državni ured za reviziju,  uz druga tijela zakonodavne, izvršne i sudbene vlasti, ima posebno mjesto u suzbijanju korupcija, prijavara i drugih nezakonitih radnji u oblasti javnih financija, jer je kroz obavljanje revizija svih državnih tijela, lokalnih jedinica i krajnjih korisnika javnih sredstava u mogućnosti uočiti protuzakonita djelovanja i druge nepravilnosti u poslovanju koje imaju elemente i obilježje korupcije, prijevare i drugih nezakonitih radnji. U ostvarivanju zadataka iz ovog cilja Državni ured za reviziju kontinuirano surađuje i razmjenjuje podatke sa svim nadležnim tijelima izvršne i sudbene vlasti, a posebno s Državnim odvjetništvom i USKOK-om.</w:t>
      </w:r>
    </w:p>
    <w:p w:rsidR="00AC0832" w:rsidRDefault="00AC0832">
      <w:pPr>
        <w:pStyle w:val="Heading6"/>
      </w:pPr>
      <w:r>
        <w:t>A665000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A665000-ADMINISTRACIJA I UPRAVLJANJE</w:t>
            </w:r>
          </w:p>
        </w:tc>
        <w:tc>
          <w:tcPr>
            <w:tcW w:w="2322" w:type="dxa"/>
          </w:tcPr>
          <w:p w:rsidR="00AC0832" w:rsidRDefault="00AC0832">
            <w:pPr>
              <w:pStyle w:val="CellColumn"/>
            </w:pPr>
            <w:r>
              <w:t>52.177.668</w:t>
            </w:r>
          </w:p>
        </w:tc>
        <w:tc>
          <w:tcPr>
            <w:tcW w:w="2322" w:type="dxa"/>
          </w:tcPr>
          <w:p w:rsidR="00AC0832" w:rsidRDefault="00AC0832">
            <w:pPr>
              <w:pStyle w:val="CellColumn"/>
            </w:pPr>
            <w:r>
              <w:t>51.225.484</w:t>
            </w:r>
          </w:p>
        </w:tc>
        <w:tc>
          <w:tcPr>
            <w:tcW w:w="2322" w:type="dxa"/>
          </w:tcPr>
          <w:p w:rsidR="00AC0832" w:rsidRDefault="00AC0832">
            <w:pPr>
              <w:pStyle w:val="CellColumn"/>
            </w:pPr>
            <w:r>
              <w:t>98,2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Aktivnost A665000- Administracija i upravljanje ima najveći udjel u ukupno planiranim i izvršenim rashodima Državnog ureda za reviziju. Ova aktivnost čini 98% ukupnog plana proračuna Ureda, a izvršeni rashodi u iznosu 51.225.484 kn sastoje se od: </w:t>
      </w:r>
    </w:p>
    <w:p w:rsidR="00AC0832" w:rsidRDefault="00AC0832">
      <w:pPr>
        <w:pStyle w:val="Normal6"/>
      </w:pPr>
      <w:r>
        <w:t xml:space="preserve">1. Rashoda za zaposlene                                43.693.981 kn </w:t>
      </w:r>
    </w:p>
    <w:p w:rsidR="00AC0832" w:rsidRDefault="00AC0832">
      <w:pPr>
        <w:pStyle w:val="Normal6"/>
      </w:pPr>
      <w:r>
        <w:t xml:space="preserve">2. Materijalnih rashoda                                     7.286.354 kn         </w:t>
      </w:r>
    </w:p>
    <w:p w:rsidR="00AC0832" w:rsidRDefault="00AC0832">
      <w:pPr>
        <w:pStyle w:val="Normal6"/>
      </w:pPr>
      <w:r>
        <w:t xml:space="preserve">3. Naknada građanima-školarine                            85.330 kn </w:t>
      </w:r>
    </w:p>
    <w:p w:rsidR="00AC0832" w:rsidRDefault="00AC0832">
      <w:pPr>
        <w:pStyle w:val="Normal6"/>
      </w:pPr>
      <w:r>
        <w:t xml:space="preserve">4. Rashoda za nabavu dugotrajne imovine          159.819 kn </w:t>
      </w:r>
    </w:p>
    <w:p w:rsidR="00AC0832" w:rsidRDefault="00AC0832">
      <w:pPr>
        <w:pStyle w:val="Normal6"/>
      </w:pPr>
      <w:r>
        <w:t xml:space="preserve"> </w:t>
      </w:r>
    </w:p>
    <w:p w:rsidR="00AC0832" w:rsidRDefault="00AC0832">
      <w:pPr>
        <w:pStyle w:val="Normal6"/>
      </w:pPr>
      <w:r>
        <w:t xml:space="preserve">Izvršeni rashodi poslovanja manji su od planiranih za 952.184 kn ili 1,8%. </w:t>
      </w:r>
    </w:p>
    <w:p w:rsidR="00AC0832" w:rsidRDefault="00AC0832">
      <w:pPr>
        <w:pStyle w:val="Normal6"/>
      </w:pPr>
      <w:r>
        <w:t xml:space="preserve">Plaće zaposlenih obračunate su u skladu s odredbama Zakona o državnim službenicima i namještenicima, koeficijentima utvrđenim Uredbom o nazivima radnih mjesta i koeficijentima složenosti poslova u državnoj službi te Zakonom o plaćama ovlaštenih državnih revizora. </w:t>
      </w:r>
    </w:p>
    <w:p w:rsidR="00AC0832" w:rsidRDefault="00AC0832">
      <w:pPr>
        <w:pStyle w:val="Normal6"/>
      </w:pPr>
      <w:r>
        <w:t>Materijalne rashode čine najvećim dijelom izdaci za naknade za prijevoz na posao (1.374.168 kn), uredski materijal (786.431 kn), komunalne usluge (459.612 kn),  energiju (786.431 kn), tekuće i investicijsko održavanje (726.143 kn), usluge telefona i pošte (594.089 kn) te ostale usluge- čišćenje i čuvanje imovine (1.047.480 kn).</w:t>
      </w:r>
    </w:p>
    <w:p w:rsidR="00AC0832" w:rsidRDefault="00AC0832">
      <w:pPr>
        <w:pStyle w:val="Heading6"/>
      </w:pPr>
      <w:r>
        <w:t>K665001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K665001-INFORMATIZACIJA</w:t>
            </w:r>
          </w:p>
        </w:tc>
        <w:tc>
          <w:tcPr>
            <w:tcW w:w="2322" w:type="dxa"/>
          </w:tcPr>
          <w:p w:rsidR="00AC0832" w:rsidRDefault="00AC0832">
            <w:pPr>
              <w:pStyle w:val="CellColumn"/>
            </w:pPr>
            <w:r>
              <w:t>1.018.000</w:t>
            </w:r>
          </w:p>
        </w:tc>
        <w:tc>
          <w:tcPr>
            <w:tcW w:w="2322" w:type="dxa"/>
          </w:tcPr>
          <w:p w:rsidR="00AC0832" w:rsidRDefault="00AC0832">
            <w:pPr>
              <w:pStyle w:val="CellColumn"/>
            </w:pPr>
            <w:r>
              <w:t>922.244</w:t>
            </w:r>
          </w:p>
        </w:tc>
        <w:tc>
          <w:tcPr>
            <w:tcW w:w="2322" w:type="dxa"/>
          </w:tcPr>
          <w:p w:rsidR="00AC0832" w:rsidRDefault="00AC0832">
            <w:pPr>
              <w:pStyle w:val="CellColumn"/>
            </w:pPr>
            <w:r>
              <w:t>90,6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Aktivnost K665001  sudjeluje u u ukupno izvršenim rashodima Državnog ureda za reviziju s 922.244 kn odnosno 1,8%. </w:t>
      </w:r>
    </w:p>
    <w:p w:rsidR="00AC0832" w:rsidRDefault="00AC0832">
      <w:pPr>
        <w:pStyle w:val="Normal6"/>
      </w:pPr>
      <w:r>
        <w:t>Sredstva su utrošena za nabavu nove informatičke opreme (706.886 kn) kojom je djelomično zamijenjena oprema dobivena donacijom Europske unije 2005. godine, te plaćanje licenci za korištenje Microsoft programa (215.358 kn).</w:t>
      </w:r>
    </w:p>
    <w:p w:rsidR="00AC0832" w:rsidRDefault="00AC0832">
      <w:pPr>
        <w:pStyle w:val="Heading1"/>
      </w:pPr>
      <w:r>
        <w:t>196 DRŽAVNA KOMISIJA ZA KONTROLU POSTUPAKA JAVNE NABAVE</w:t>
      </w:r>
    </w:p>
    <w:p w:rsidR="00AC0832" w:rsidRDefault="00AC0832">
      <w:pPr>
        <w:pStyle w:val="Heading4"/>
      </w:pPr>
      <w:r>
        <w:t>Uvod</w:t>
      </w:r>
    </w:p>
    <w:p w:rsidR="00AC0832" w:rsidRDefault="00AC0832">
      <w:pPr>
        <w:pStyle w:val="Normal3"/>
      </w:pPr>
      <w:r>
        <w:t xml:space="preserve">Državna komisija za kontrolu postupaka javne nabave (u daljnjem tekstu: Državna komisija) samostalno je i neovisno državno tijelo nadležno za rješavanje žalbi u postupcima javne nabave, davanja koncesija i odabira privatnog partnera u projektima javno-privatnog partnerstva. U žalbenom postupku, Državna komisija odlučuje o zakonitosti postupaka, radnji, propuštanja radnji i odluka kao pojedinačnih akata u navedenim postupcima, te o drugim zahtjevima koje su u postupku pravne zaštite ovlaštene postaviti stranke postupka, podnosi optužne prijedloge za prekršaje propisane Zakonom o Državnoj komisiji za kontrolu postupaka javne nabave (Narodne novine broj 21/10)  i drugim propisima koji uređuju područje javne nabave.  </w:t>
      </w:r>
    </w:p>
    <w:p w:rsidR="00AC0832" w:rsidRDefault="00AC0832">
      <w:pPr>
        <w:pStyle w:val="Normal3"/>
      </w:pPr>
      <w:r>
        <w:t xml:space="preserve">Za svoj rad Državna komisija odgovara Hrvatskom saboru te je obvezna jednom godišnje podnijeti Hrvatskom saboru Izvješće o svom radu. </w:t>
      </w:r>
    </w:p>
    <w:p w:rsidR="00AC0832" w:rsidRDefault="00AC0832">
      <w:pPr>
        <w:pStyle w:val="Normal3"/>
      </w:pPr>
      <w:r>
        <w:t xml:space="preserve">Od ukupno 30 zaposlenika, Državna komisija ima pet članova od kojih je jedan predsjednik i jedan zamjenik predsjednika. Članove Komisije imenuje  Hrvatski sabor na prijedlog Vlade Republike Hrvatske na temelju provedenog natječaja.  </w:t>
      </w:r>
    </w:p>
    <w:p w:rsidR="00AC0832" w:rsidRDefault="00AC0832">
      <w:pPr>
        <w:pStyle w:val="Normal3"/>
      </w:pPr>
      <w:r>
        <w:t xml:space="preserve">Planirana sredstva za 2012. godinu nisu dostatna da bi Državna komisija ispunila svoje obveze sukladno prijedlogu programa za preuzimanje i provedbu pravne stečevine Europske unije za 2012. godinu. </w:t>
      </w:r>
    </w:p>
    <w:p w:rsidR="00AC0832" w:rsidRDefault="00AC0832">
      <w:pPr>
        <w:pStyle w:val="Normal3"/>
      </w:pPr>
      <w:r>
        <w:t>Za 2012. godinu planirano je zapošljavanje novih zaposlenika kako bi se udovoljilo općem cilju a to je rješavanje žalbenih postupaka u propisanom roku na kvalitetan i transparentan način.  Zbog nedostatnih sredstava na materijalnim izdacima i zbog mjera štednje nije se išlo u zapošljavanje novih djelatnika.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19605-Državna komisija za kontrolu postupaka javne nabave</w:t>
            </w:r>
          </w:p>
        </w:tc>
        <w:tc>
          <w:tcPr>
            <w:tcW w:w="2322" w:type="dxa"/>
          </w:tcPr>
          <w:p w:rsidR="00AC0832" w:rsidRDefault="00AC0832">
            <w:pPr>
              <w:pStyle w:val="CellColumn"/>
            </w:pPr>
            <w:r>
              <w:t>7.906.000</w:t>
            </w:r>
          </w:p>
        </w:tc>
        <w:tc>
          <w:tcPr>
            <w:tcW w:w="2322" w:type="dxa"/>
          </w:tcPr>
          <w:p w:rsidR="00AC0832" w:rsidRDefault="00AC0832">
            <w:pPr>
              <w:pStyle w:val="CellColumn"/>
            </w:pPr>
            <w:r>
              <w:t>7.485.002</w:t>
            </w:r>
          </w:p>
        </w:tc>
        <w:tc>
          <w:tcPr>
            <w:tcW w:w="2322" w:type="dxa"/>
          </w:tcPr>
          <w:p w:rsidR="00AC0832" w:rsidRDefault="00AC0832">
            <w:pPr>
              <w:pStyle w:val="CellColumn"/>
            </w:pPr>
            <w:r>
              <w:t>94,7</w:t>
            </w:r>
          </w:p>
        </w:tc>
      </w:tr>
      <w:tr w:rsidR="00AC0832" w:rsidTr="00BE20ED">
        <w:trPr>
          <w:jc w:val="center"/>
        </w:trPr>
        <w:tc>
          <w:tcPr>
            <w:tcW w:w="2322" w:type="dxa"/>
            <w:shd w:val="clear" w:color="auto" w:fill="B5C0D8"/>
          </w:tcPr>
          <w:p w:rsidR="00AC0832" w:rsidRDefault="00AC0832">
            <w:pPr>
              <w:pStyle w:val="CellColumn"/>
            </w:pPr>
            <w:r>
              <w:t>Ukupno 196-DRŽAVNA KOMISIJA ZA KONTROLU POSTUPAKA JAVNE NABAVE</w:t>
            </w:r>
          </w:p>
        </w:tc>
        <w:tc>
          <w:tcPr>
            <w:tcW w:w="2322" w:type="dxa"/>
            <w:shd w:val="clear" w:color="auto" w:fill="B5C0D8"/>
          </w:tcPr>
          <w:p w:rsidR="00AC0832" w:rsidRDefault="00AC0832">
            <w:pPr>
              <w:pStyle w:val="CellColumn"/>
            </w:pPr>
            <w:r>
              <w:t>7.906.000</w:t>
            </w:r>
          </w:p>
        </w:tc>
        <w:tc>
          <w:tcPr>
            <w:tcW w:w="2322" w:type="dxa"/>
            <w:shd w:val="clear" w:color="auto" w:fill="B5C0D8"/>
          </w:tcPr>
          <w:p w:rsidR="00AC0832" w:rsidRDefault="00AC0832">
            <w:pPr>
              <w:pStyle w:val="CellColumn"/>
            </w:pPr>
            <w:r>
              <w:t>7.485.002</w:t>
            </w:r>
          </w:p>
        </w:tc>
        <w:tc>
          <w:tcPr>
            <w:tcW w:w="2322" w:type="dxa"/>
            <w:shd w:val="clear" w:color="auto" w:fill="B5C0D8"/>
          </w:tcPr>
          <w:p w:rsidR="00AC0832" w:rsidRDefault="00AC0832">
            <w:pPr>
              <w:pStyle w:val="CellColumn"/>
            </w:pPr>
            <w:r>
              <w:t>94,7</w:t>
            </w:r>
          </w:p>
        </w:tc>
      </w:tr>
    </w:tbl>
    <w:p w:rsidR="00AC0832" w:rsidRDefault="00AC0832">
      <w:pPr>
        <w:jc w:val="left"/>
      </w:pPr>
    </w:p>
    <w:p w:rsidR="00AC0832" w:rsidRDefault="00AC0832">
      <w:pPr>
        <w:pStyle w:val="Heading2"/>
      </w:pPr>
      <w:r>
        <w:t>19605 Državna komisija za kontrolu postupaka javne nabave</w:t>
      </w:r>
    </w:p>
    <w:p w:rsidR="00AC0832" w:rsidRDefault="00AC0832">
      <w:pPr>
        <w:pStyle w:val="Heading4"/>
      </w:pPr>
      <w:r>
        <w:t>Uvod</w:t>
      </w:r>
    </w:p>
    <w:p w:rsidR="00AC0832" w:rsidRDefault="00AC0832">
      <w:pPr>
        <w:pStyle w:val="Normal3"/>
      </w:pPr>
      <w:r>
        <w:t xml:space="preserve">Državna komisija za kontrolu postupaka javne nabave (u daljnjem tekstu: Državna komisija) samostalno je i neovisno državno tijelo nadležno za rješavanje žalbi u postupcima javne nabave, davanja koncesija i odabira privatnog partnera u projektima javno-privatnog partnerstva. U žalbenom postupku, Državna komisija odlučuje o zakonitosti postupaka, radnji, propuštanja radnji i odluka kao pojedinačnih akata u navedenim postupcima, te o drugim zahtjevima koje su u postupku pravne zaštite ovlaštene postaviti stranke postupka, također podnosi optužne prijedloge za prekršaje propisane Zakonom o Državnoj komisiji za kontrolu postupaka javne nabave (Narodne novine broj 21/10)  i drugim propisima koji uređuju područje javne nabave. Za svoj rad Državna komisija odgovara Hrvatskom saboru te je obvezna jednom godišnje podnijeti Hrvatskom saboru izviješće o svom radu. </w:t>
      </w:r>
    </w:p>
    <w:p w:rsidR="00AC0832" w:rsidRDefault="00AC0832">
      <w:pPr>
        <w:pStyle w:val="Normal3"/>
      </w:pPr>
      <w:r>
        <w:t xml:space="preserve">Od ukupno 30 zaposlenika, Državna komisija ima pet članova od kojih je jedan predsjednik i jedan zamjenik predsjednika. Članove komisije imenuje  Hrvatski sabor na prijedlog Vlade Republike Hrvatske na temelju provedenog natječaja.  </w:t>
      </w:r>
    </w:p>
    <w:p w:rsidR="00AC0832" w:rsidRDefault="00AC0832">
      <w:pPr>
        <w:pStyle w:val="Normal3"/>
      </w:pPr>
      <w:r>
        <w:t xml:space="preserve">Planirana sredstva za 2012. godinu nisu dostatna da bi Državna komisija ispunila svoje obveze sukladno prijedlogu programa za preuzimanje i provedbu pravne stečevine Evropske unije za 2012. godinu. </w:t>
      </w:r>
    </w:p>
    <w:p w:rsidR="00AC0832" w:rsidRDefault="00AC0832">
      <w:pPr>
        <w:pStyle w:val="Normal3"/>
      </w:pPr>
      <w:r>
        <w:t>Za 2012. godinu planirano je zapošljavanje novih zaposlenika kako bi se udovoljilo općem cilju a to je rješavanje žalbenih postupaka u propisanom roku na kvalitetan i transparentan način. Zbog mjera štednje i nedostatnih sredstava zapošljavanje novih djelatnika nije izvršeno u 2012. godini.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19605-Državna komisija za kontrolu postupaka javne nabave</w:t>
            </w:r>
          </w:p>
        </w:tc>
        <w:tc>
          <w:tcPr>
            <w:tcW w:w="2322" w:type="dxa"/>
          </w:tcPr>
          <w:p w:rsidR="00AC0832" w:rsidRDefault="00AC0832">
            <w:pPr>
              <w:pStyle w:val="CellColumn"/>
            </w:pPr>
            <w:r>
              <w:t>7.906.000</w:t>
            </w:r>
          </w:p>
        </w:tc>
        <w:tc>
          <w:tcPr>
            <w:tcW w:w="2322" w:type="dxa"/>
          </w:tcPr>
          <w:p w:rsidR="00AC0832" w:rsidRDefault="00AC0832">
            <w:pPr>
              <w:pStyle w:val="CellColumn"/>
            </w:pPr>
            <w:r>
              <w:t>7.485.002</w:t>
            </w:r>
          </w:p>
        </w:tc>
        <w:tc>
          <w:tcPr>
            <w:tcW w:w="2322" w:type="dxa"/>
          </w:tcPr>
          <w:p w:rsidR="00AC0832" w:rsidRDefault="00AC0832">
            <w:pPr>
              <w:pStyle w:val="CellColumn"/>
            </w:pPr>
            <w:r>
              <w:t>94,7</w:t>
            </w:r>
          </w:p>
        </w:tc>
      </w:tr>
      <w:tr w:rsidR="00AC0832" w:rsidTr="00BE20ED">
        <w:trPr>
          <w:jc w:val="center"/>
        </w:trPr>
        <w:tc>
          <w:tcPr>
            <w:tcW w:w="2322" w:type="dxa"/>
          </w:tcPr>
          <w:p w:rsidR="00AC0832" w:rsidRDefault="00AC0832">
            <w:pPr>
              <w:pStyle w:val="CellColumnSmall"/>
            </w:pPr>
            <w:r>
              <w:t>2209-KONTROLA POSTUPAKA JAVNE NABAVE</w:t>
            </w:r>
          </w:p>
        </w:tc>
        <w:tc>
          <w:tcPr>
            <w:tcW w:w="2322" w:type="dxa"/>
          </w:tcPr>
          <w:p w:rsidR="00AC0832" w:rsidRDefault="00AC0832">
            <w:pPr>
              <w:pStyle w:val="CellColumnSmall"/>
            </w:pPr>
            <w:r>
              <w:t>7.906.000</w:t>
            </w:r>
          </w:p>
        </w:tc>
        <w:tc>
          <w:tcPr>
            <w:tcW w:w="2322" w:type="dxa"/>
          </w:tcPr>
          <w:p w:rsidR="00AC0832" w:rsidRDefault="00AC0832">
            <w:pPr>
              <w:pStyle w:val="CellColumnSmall"/>
            </w:pPr>
            <w:r>
              <w:t>7.485.002</w:t>
            </w:r>
          </w:p>
        </w:tc>
        <w:tc>
          <w:tcPr>
            <w:tcW w:w="2322" w:type="dxa"/>
          </w:tcPr>
          <w:p w:rsidR="00AC0832" w:rsidRDefault="00AC0832">
            <w:pPr>
              <w:pStyle w:val="CellColumnSmall"/>
            </w:pPr>
            <w:r>
              <w:t>94,7</w:t>
            </w:r>
          </w:p>
        </w:tc>
      </w:tr>
    </w:tbl>
    <w:p w:rsidR="00AC0832" w:rsidRDefault="00AC0832">
      <w:pPr>
        <w:jc w:val="left"/>
      </w:pPr>
    </w:p>
    <w:p w:rsidR="00AC0832" w:rsidRDefault="00AC0832">
      <w:pPr>
        <w:pStyle w:val="Heading4"/>
      </w:pPr>
      <w:r>
        <w:t>OBRAZLOŽENJE PROGRAMA</w:t>
      </w:r>
    </w:p>
    <w:p w:rsidR="00AC0832" w:rsidRDefault="00AC0832">
      <w:pPr>
        <w:pStyle w:val="Heading5"/>
      </w:pPr>
      <w:r>
        <w:t>2209 KONTROLA POSTUPAKA JAVNE NABAVE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2209-KONTROLA POSTUPAKA JAVNE NABAVE</w:t>
            </w:r>
          </w:p>
        </w:tc>
        <w:tc>
          <w:tcPr>
            <w:tcW w:w="2322" w:type="dxa"/>
          </w:tcPr>
          <w:p w:rsidR="00AC0832" w:rsidRDefault="00AC0832">
            <w:pPr>
              <w:pStyle w:val="CellColumn"/>
            </w:pPr>
            <w:r>
              <w:t>7.906.000</w:t>
            </w:r>
          </w:p>
        </w:tc>
        <w:tc>
          <w:tcPr>
            <w:tcW w:w="2322" w:type="dxa"/>
          </w:tcPr>
          <w:p w:rsidR="00AC0832" w:rsidRDefault="00AC0832">
            <w:pPr>
              <w:pStyle w:val="CellColumn"/>
            </w:pPr>
            <w:r>
              <w:t>7.485.002</w:t>
            </w:r>
          </w:p>
        </w:tc>
        <w:tc>
          <w:tcPr>
            <w:tcW w:w="2322" w:type="dxa"/>
          </w:tcPr>
          <w:p w:rsidR="00AC0832" w:rsidRDefault="00AC0832">
            <w:pPr>
              <w:pStyle w:val="CellColumn"/>
            </w:pPr>
            <w:r>
              <w:t>94,7</w:t>
            </w:r>
          </w:p>
        </w:tc>
      </w:tr>
    </w:tbl>
    <w:p w:rsidR="00AC0832" w:rsidRDefault="00AC0832">
      <w:pPr>
        <w:jc w:val="left"/>
      </w:pPr>
    </w:p>
    <w:p w:rsidR="00AC0832" w:rsidRDefault="00AC0832">
      <w:pPr>
        <w:pStyle w:val="Heading6"/>
      </w:pPr>
      <w:r>
        <w:t>Opis programa</w:t>
      </w:r>
    </w:p>
    <w:p w:rsidR="00AC0832" w:rsidRDefault="00AC0832">
      <w:pPr>
        <w:pStyle w:val="Normal5"/>
      </w:pPr>
      <w:r>
        <w:t xml:space="preserve">Državna komisija za kontrolu postupaka javne nabave (u daljnjem tekstu: Državna komisija) samostalno je i neovisno državno tijelo nadležno za rješavanje žalbi u postupcima javne nabave, davanja koncesija i odabira privatnog partnera u projektima javno-privatnog partnerstva. U žalbenom postupku, Državna komisija odlučuje o zakonitosti postupaka, radnji, propuštanja radnji i odluka kao pojedinačnih akata u navedenim postupcima, te o drugim zahtjevima koje su u postupku pravne zaštite ovlaštene postaviti stranke postupka, također podnosi optužne prijedloge za prekršaje propisane Zakonom o Državnoj komisiji za kontrolu postupaka javne nabave (Narodne novine broj 21/10)  i drugim propisima koji uređuju područje javne nabave. Za svoj rad Državna komisija odgovara Hrvatskom saboru te je obvezna jednom godišnje podnijeti Hrvatskom saboru izviješće o svom radu. </w:t>
      </w:r>
    </w:p>
    <w:p w:rsidR="00AC0832" w:rsidRDefault="00AC0832">
      <w:pPr>
        <w:pStyle w:val="Normal5"/>
      </w:pPr>
      <w:r>
        <w:t xml:space="preserve">Od ukupno 30 zaposlenika, Državna komisija ima pet članova od kojih je jedan predsjednik i jedan zamjenik predsjednika. Članove komisije imenuje  Hrvatski sabor na prijedlog Vlade Republike Hrvatske na temelju provedenog natječaja.  </w:t>
      </w:r>
    </w:p>
    <w:p w:rsidR="00AC0832" w:rsidRDefault="00AC0832">
      <w:pPr>
        <w:pStyle w:val="Normal5"/>
      </w:pPr>
      <w:r>
        <w:t xml:space="preserve">Planirana sredstva za 2012. godinu nisu bila dostatna da bi Državna komisija ispunila svoje obveze sukladno prijedlogu programa za preuzimanje i provedbu pravne stečevine Evropske unije za 2012. godinu. Iz navedenog razloga bilo je za 2012. godinu  planirano  zapošljavanje novih djelatnika kako bi se udovoljilo općem cilju, a to je rješavanje žalbenih postupaka u propisanom roku na kvalitetan i transparentan način. </w:t>
      </w:r>
    </w:p>
    <w:p w:rsidR="00AC0832" w:rsidRDefault="00AC0832">
      <w:pPr>
        <w:pStyle w:val="Normal5"/>
      </w:pPr>
      <w:r>
        <w:t xml:space="preserve">Izvršenje plana od 94,7 % odnosi se najvećim dijelom na plaće za zaposlene i to 66,14 % izvršenih sredstava ili 5.228.859,45 kuna. Izvršenje je manje nego što je planirano zbog toga što nije bilo imenovanja novog člana Komisije od strane  Hrvatski sabora, a na prijedlog Vlade Republike Hrvatske na temelju provedenog natječaja. Imenovanje je uslijedilo tek polovicom 7. mjeseca 2012. godine.  </w:t>
      </w:r>
    </w:p>
    <w:p w:rsidR="00AC0832" w:rsidRDefault="00AC0832">
      <w:pPr>
        <w:pStyle w:val="Normal5"/>
      </w:pPr>
      <w:r>
        <w:t xml:space="preserve">27,31% izvršenja  ili 2.159.457,55 kuna odnosi se na materijalne troškove potrebne za rad zaposlenih u Državnoj komisiji za kontrolu postupaka javne nabave. Od tog iznosa 40,89 % troškova odnosi se na najam poslovnog prostora, a 21,98 % troškova odnosi se na održavanje tog poslovnog prostora. </w:t>
      </w:r>
    </w:p>
    <w:p w:rsidR="00AC0832" w:rsidRDefault="00AC0832">
      <w:pPr>
        <w:pStyle w:val="Normal5"/>
      </w:pPr>
      <w:r>
        <w:t>Od ukupno planiranih sredstava za kapitalne izdatke u iznosu od 130.000 kuna izvršenje za kapitalne izdatke iznosi  91.757,44 kune ili 70,58%. Naime, planirana su sredstva za informatičku opremu za nove djelatnike za koje je bilo planirano zapošljavanje, no zbog naprijed navedenog razloga nije se išlo u novo zapošljavanje. Samim tim je i kapitalna nabava manja od planirane. U 2012. godini zamijenjena su samo neka informatički dotrajala računala.</w:t>
      </w:r>
    </w:p>
    <w:p w:rsidR="00AC0832" w:rsidRDefault="00AC0832">
      <w:pPr>
        <w:pStyle w:val="Heading6"/>
      </w:pPr>
      <w:r>
        <w:t>Zakonske i druge pravne osnove</w:t>
      </w:r>
    </w:p>
    <w:p w:rsidR="00AC0832" w:rsidRDefault="00AC0832">
      <w:pPr>
        <w:pStyle w:val="Normal5"/>
      </w:pPr>
      <w:r>
        <w:t xml:space="preserve">Zakonom o Državnoj komisiji za kontrolu postupaka javne nabave (Narodne novine broj 21/10, </w:t>
      </w:r>
    </w:p>
    <w:p w:rsidR="00AC0832" w:rsidRDefault="00AC0832">
      <w:pPr>
        <w:pStyle w:val="Normal5"/>
      </w:pPr>
      <w:r>
        <w:t xml:space="preserve">Zakon o javnoj nabavi (Narodne novine broj 90/2011), </w:t>
      </w:r>
    </w:p>
    <w:p w:rsidR="00AC0832" w:rsidRDefault="00AC0832">
      <w:pPr>
        <w:pStyle w:val="Normal5"/>
      </w:pPr>
      <w:r>
        <w:t xml:space="preserve">Zakon o koncesijama (Narodne novine broj 125/08), </w:t>
      </w:r>
    </w:p>
    <w:p w:rsidR="00AC0832" w:rsidRDefault="00AC0832">
      <w:pPr>
        <w:pStyle w:val="Normal5"/>
      </w:pPr>
      <w:r>
        <w:t>Zakon o javno-privatnom partnerstvu (Narodne novine broj 125/08)</w:t>
      </w:r>
    </w:p>
    <w:p w:rsidR="00AC0832" w:rsidRDefault="00AC0832">
      <w:pPr>
        <w:pStyle w:val="Heading7"/>
      </w:pPr>
      <w:r>
        <w:t>Cilj 1. Rješavanje žalbenih postupaka u propisanom roku na kvalitetan i transparentan način</w:t>
      </w:r>
    </w:p>
    <w:p w:rsidR="00AC0832" w:rsidRDefault="00AC0832">
      <w:pPr>
        <w:pStyle w:val="Heading8"/>
        <w:jc w:val="left"/>
      </w:pPr>
      <w:r>
        <w:t>Opis provedbe cilja programa</w:t>
      </w:r>
    </w:p>
    <w:p w:rsidR="00AC0832" w:rsidRDefault="00AC0832">
      <w:pPr>
        <w:pStyle w:val="Normal6"/>
      </w:pPr>
      <w:r>
        <w:t xml:space="preserve">Državna za kontrolu postupaka javne nabave je u 2012. godini zaprimila 1728. žalbeni predmet. Protiv odluke Državne komisije može se pokrenuti upravni spor pred nadležnim upravnim sudom. Polazna vrijednost za 2012. godinu je postotak riješenih žalbi u odnosu na broj zaprimljenih žalbi u 2011. godini (86,6%). </w:t>
      </w:r>
    </w:p>
    <w:p w:rsidR="00AC0832" w:rsidRDefault="00AC0832">
      <w:pPr>
        <w:pStyle w:val="Normal6"/>
      </w:pPr>
      <w:r>
        <w:t>Ciljana vrijednost za 2012. godinu je 90%, dok ostvarena vrijednost iznosi 92%.</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riješenih žalbi u odnosu na broj zaprimljnih žalbi</w:t>
            </w:r>
          </w:p>
        </w:tc>
        <w:tc>
          <w:tcPr>
            <w:tcW w:w="1300" w:type="dxa"/>
          </w:tcPr>
          <w:p w:rsidR="00AC0832" w:rsidRDefault="00AC0832">
            <w:pPr>
              <w:pStyle w:val="CellColumn"/>
            </w:pPr>
            <w:r>
              <w:t>Pokazatelj učinka je postotak riješenih žalbi u odnosu na broj zaprimljenih žalbi u žalbenom postupku u 2012. godini</w:t>
            </w:r>
          </w:p>
        </w:tc>
        <w:tc>
          <w:tcPr>
            <w:tcW w:w="1300" w:type="dxa"/>
          </w:tcPr>
          <w:p w:rsidR="00AC0832" w:rsidRDefault="00AC0832">
            <w:pPr>
              <w:pStyle w:val="CellColumn"/>
            </w:pPr>
            <w:r>
              <w:t>postotak</w:t>
            </w:r>
          </w:p>
        </w:tc>
        <w:tc>
          <w:tcPr>
            <w:tcW w:w="1300" w:type="dxa"/>
          </w:tcPr>
          <w:p w:rsidR="00AC0832" w:rsidRDefault="00AC0832">
            <w:pPr>
              <w:pStyle w:val="CellColumn"/>
            </w:pPr>
            <w:r>
              <w:t>86,6%</w:t>
            </w:r>
          </w:p>
        </w:tc>
        <w:tc>
          <w:tcPr>
            <w:tcW w:w="1300" w:type="dxa"/>
          </w:tcPr>
          <w:p w:rsidR="00AC0832" w:rsidRDefault="00AC0832">
            <w:pPr>
              <w:pStyle w:val="CellColumn"/>
            </w:pPr>
            <w:r>
              <w:t>web stranica DKOM</w:t>
            </w:r>
          </w:p>
        </w:tc>
        <w:tc>
          <w:tcPr>
            <w:tcW w:w="1300" w:type="dxa"/>
          </w:tcPr>
          <w:p w:rsidR="00AC0832" w:rsidRDefault="00AC0832">
            <w:pPr>
              <w:pStyle w:val="CellColumn"/>
            </w:pPr>
            <w:r>
              <w:t>90%</w:t>
            </w:r>
          </w:p>
        </w:tc>
        <w:tc>
          <w:tcPr>
            <w:tcW w:w="1300" w:type="dxa"/>
          </w:tcPr>
          <w:p w:rsidR="00AC0832" w:rsidRDefault="00AC0832">
            <w:pPr>
              <w:pStyle w:val="CellColumn"/>
            </w:pPr>
            <w:r>
              <w:t>92%</w:t>
            </w:r>
          </w:p>
        </w:tc>
      </w:tr>
    </w:tbl>
    <w:p w:rsidR="00AC0832" w:rsidRDefault="00AC0832">
      <w:pPr>
        <w:jc w:val="left"/>
      </w:pPr>
    </w:p>
    <w:p w:rsidR="00AC0832" w:rsidRDefault="00AC0832">
      <w:pPr>
        <w:pStyle w:val="Heading6"/>
      </w:pPr>
      <w:r>
        <w:t>A744000 KONTROLA POSTUPAKA JAVNE NABAVE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A744000-KONTROLA POSTUPAKA JAVNE NABAVE</w:t>
            </w:r>
          </w:p>
        </w:tc>
        <w:tc>
          <w:tcPr>
            <w:tcW w:w="2322" w:type="dxa"/>
          </w:tcPr>
          <w:p w:rsidR="00AC0832" w:rsidRDefault="00AC0832">
            <w:pPr>
              <w:pStyle w:val="CellColumn"/>
            </w:pPr>
            <w:r>
              <w:t>7.776.000</w:t>
            </w:r>
          </w:p>
        </w:tc>
        <w:tc>
          <w:tcPr>
            <w:tcW w:w="2322" w:type="dxa"/>
          </w:tcPr>
          <w:p w:rsidR="00AC0832" w:rsidRDefault="00AC0832">
            <w:pPr>
              <w:pStyle w:val="CellColumn"/>
            </w:pPr>
            <w:r>
              <w:t>7.393.245</w:t>
            </w:r>
          </w:p>
        </w:tc>
        <w:tc>
          <w:tcPr>
            <w:tcW w:w="2322" w:type="dxa"/>
          </w:tcPr>
          <w:p w:rsidR="00AC0832" w:rsidRDefault="00AC0832">
            <w:pPr>
              <w:pStyle w:val="CellColumn"/>
            </w:pPr>
            <w:r>
              <w:t>95,1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Izvršenje na ovoj aktivnosti od 95,08 % odnosi se najvećim dijelom na plaće za zaposlene i to 72.72 % izvršenih sredstava ili 5.228.859,45 kuna. Izvršenje je manje nego što je planirano zbog toga što nije bilo imenovanja novog člana Komisije od strane  Hrvatski sabora, a na prijedlog Vlade Republike Hrvatske na temelju provedenog natječaja. Imenovanje je uslijedilo tek polovicom 7. mjeseca 2012. godine. U planirano novo zapošljavanje se nije išlo u 2012. godini.  </w:t>
      </w:r>
    </w:p>
    <w:p w:rsidR="00AC0832" w:rsidRDefault="00AC0832">
      <w:pPr>
        <w:pStyle w:val="Normal6"/>
      </w:pPr>
      <w:r>
        <w:t>29,21 izvršenja na ovoj aktivnosti ili 2.159.457,55 kuna odnosi se na materijalne troškove potrebne za rad zaposlenih u Državnoj komisiji za kontrolu postupaka javne nabave. Od tog iznosa 40,89 % troškova odnosi se na najam poslovnog prostora, a 21,98 % troškova odnosi se na održavanje tog poslovnog prostora.</w:t>
      </w:r>
    </w:p>
    <w:p w:rsidR="00AC0832" w:rsidRDefault="00AC0832">
      <w:pPr>
        <w:pStyle w:val="Heading6"/>
      </w:pPr>
      <w:r>
        <w:t>K744001 OPREMANJE UREDSKOG PROSTORA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K744001-OPREMANJE UREDSKOG PROSTORA</w:t>
            </w:r>
          </w:p>
        </w:tc>
        <w:tc>
          <w:tcPr>
            <w:tcW w:w="2322" w:type="dxa"/>
          </w:tcPr>
          <w:p w:rsidR="00AC0832" w:rsidRDefault="00AC0832">
            <w:pPr>
              <w:pStyle w:val="CellColumn"/>
            </w:pPr>
            <w:r>
              <w:t>10.000</w:t>
            </w:r>
          </w:p>
        </w:tc>
        <w:tc>
          <w:tcPr>
            <w:tcW w:w="2322" w:type="dxa"/>
          </w:tcPr>
          <w:p w:rsidR="00AC0832" w:rsidRDefault="00AC0832">
            <w:pPr>
              <w:pStyle w:val="CellColumn"/>
            </w:pPr>
            <w:r>
              <w:t>4.865</w:t>
            </w:r>
          </w:p>
        </w:tc>
        <w:tc>
          <w:tcPr>
            <w:tcW w:w="2322" w:type="dxa"/>
          </w:tcPr>
          <w:p w:rsidR="00AC0832" w:rsidRDefault="00AC0832">
            <w:pPr>
              <w:pStyle w:val="CellColumn"/>
            </w:pPr>
            <w:r>
              <w:t>48,7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Za opremanje uredskog prostora troše se neznatna sredstva za eventualne zamjene dotrajalog komada namještaja. 4.865 kuna potrošeno je za dodatnu policu u arhivi.</w:t>
      </w:r>
    </w:p>
    <w:p w:rsidR="00AC0832" w:rsidRDefault="00AC0832">
      <w:pPr>
        <w:pStyle w:val="Heading6"/>
      </w:pPr>
      <w:r>
        <w:t>K744002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K744002-INFORMATIZACIJA</w:t>
            </w:r>
          </w:p>
        </w:tc>
        <w:tc>
          <w:tcPr>
            <w:tcW w:w="2322" w:type="dxa"/>
          </w:tcPr>
          <w:p w:rsidR="00AC0832" w:rsidRDefault="00AC0832">
            <w:pPr>
              <w:pStyle w:val="CellColumn"/>
            </w:pPr>
            <w:r>
              <w:t>120.000</w:t>
            </w:r>
          </w:p>
        </w:tc>
        <w:tc>
          <w:tcPr>
            <w:tcW w:w="2322" w:type="dxa"/>
          </w:tcPr>
          <w:p w:rsidR="00AC0832" w:rsidRDefault="00AC0832">
            <w:pPr>
              <w:pStyle w:val="CellColumn"/>
            </w:pPr>
            <w:r>
              <w:t>86.892</w:t>
            </w:r>
          </w:p>
        </w:tc>
        <w:tc>
          <w:tcPr>
            <w:tcW w:w="2322" w:type="dxa"/>
          </w:tcPr>
          <w:p w:rsidR="00AC0832" w:rsidRDefault="00AC0832">
            <w:pPr>
              <w:pStyle w:val="CellColumn"/>
            </w:pPr>
            <w:r>
              <w:t>72,4</w:t>
            </w:r>
          </w:p>
        </w:tc>
      </w:tr>
    </w:tbl>
    <w:p w:rsidR="00AC0832" w:rsidRDefault="00AC0832">
      <w:pPr>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Izvršenje na ovom kapitalnom projektu odnosi se na nabavu programa za analitiku osnovnih sredstava i zamjenu dotrajale informatičke opreme.</w:t>
      </w:r>
    </w:p>
    <w:p w:rsidR="00AC0832" w:rsidRDefault="00AC0832">
      <w:pPr>
        <w:pStyle w:val="Heading1"/>
      </w:pPr>
      <w:r>
        <w:t>225 DRŽAVNI INSPEKTORAT</w:t>
      </w:r>
    </w:p>
    <w:p w:rsidR="00AC0832" w:rsidRDefault="00AC0832">
      <w:pPr>
        <w:pStyle w:val="Heading4"/>
      </w:pPr>
      <w:r>
        <w:t>Uvod</w:t>
      </w:r>
    </w:p>
    <w:p w:rsidR="00AC0832" w:rsidRDefault="00AC0832">
      <w:pPr>
        <w:pStyle w:val="Normal3"/>
      </w:pPr>
      <w:r>
        <w:t xml:space="preserve">Državni inspektorat je samostalno tijelo državne uprave, odnosno državna upravna organizacija koja je utemeljena  Zakonom o izmjenama i dopunama o ustrojstvu ministarstava i državnih upravnih organizacija 1997. godine. Poslovi i način rada Državnog inspektorata utvrđeni su Zakonom o sustavu državne uprave. Državni inspektorat sukladno Zakonu o Državnom inspektoratu obavlja inspekcijske poslove koji se odnose na nadzor obavljanja poslova o: trgovini i uslugama, radu i zaštiti na radu, elektroenergetici, rudarstvu, opremi pod tlakom, obračunu, naplati i uplati boravišne pristojbe, ugostiteljskoj djelatnosti i pružanju usluga u turizmu, kao i u drugim upravnim područjima kad je to određeno posebnim zakonom. </w:t>
      </w:r>
    </w:p>
    <w:p w:rsidR="00AC0832" w:rsidRDefault="00AC0832">
      <w:pPr>
        <w:pStyle w:val="Normal3"/>
      </w:pPr>
      <w:r>
        <w:t xml:space="preserve">Inspekcijski nadzor provode inspektori u pet područnih jedinica sa sjedištem u Rijeci, Splitu, Osijeku, Varaždinu i Zagrebu.  </w:t>
      </w:r>
    </w:p>
    <w:p w:rsidR="00AC0832" w:rsidRDefault="00AC0832">
      <w:pPr>
        <w:pStyle w:val="Normal3"/>
      </w:pPr>
      <w:r>
        <w:t xml:space="preserve">Sjedište Državnog inspektorata je u Zagrebu, Petračićeva 4.  </w:t>
      </w:r>
    </w:p>
    <w:p w:rsidR="00AC0832" w:rsidRDefault="00AC0832">
      <w:pPr>
        <w:pStyle w:val="Normal3"/>
      </w:pPr>
      <w:r>
        <w:t xml:space="preserve">Radom Državnog inspektorata upravlja glavna inspektorica, imenovana rješenjem Vlade Republike Hrvatske od 26.01.2012. godine (KLASA: 080-02/12-01/108: URBROJ: 5030115/1-12-01, kojoj je za svoj rad izravno odgovorna. </w:t>
      </w:r>
    </w:p>
    <w:p w:rsidR="00AC0832" w:rsidRDefault="00AC0832">
      <w:pPr>
        <w:pStyle w:val="Normal3"/>
      </w:pPr>
      <w:r>
        <w:t>Na dan 31.12.2012. godine u Državnom inspektoratu bilo je 821 zaposlenih.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22505-Državni inspektorat</w:t>
            </w:r>
          </w:p>
        </w:tc>
        <w:tc>
          <w:tcPr>
            <w:tcW w:w="2322" w:type="dxa"/>
          </w:tcPr>
          <w:p w:rsidR="00AC0832" w:rsidRDefault="00AC0832">
            <w:pPr>
              <w:pStyle w:val="CellColumn"/>
            </w:pPr>
            <w:r>
              <w:t>134.220.000</w:t>
            </w:r>
          </w:p>
        </w:tc>
        <w:tc>
          <w:tcPr>
            <w:tcW w:w="2322" w:type="dxa"/>
          </w:tcPr>
          <w:p w:rsidR="00AC0832" w:rsidRDefault="00AC0832">
            <w:pPr>
              <w:pStyle w:val="CellColumn"/>
            </w:pPr>
            <w:r>
              <w:t>133.870.973</w:t>
            </w:r>
          </w:p>
        </w:tc>
        <w:tc>
          <w:tcPr>
            <w:tcW w:w="2322" w:type="dxa"/>
          </w:tcPr>
          <w:p w:rsidR="00AC0832" w:rsidRDefault="00AC0832">
            <w:pPr>
              <w:pStyle w:val="CellColumn"/>
            </w:pPr>
            <w:r>
              <w:t>99,7</w:t>
            </w:r>
          </w:p>
        </w:tc>
      </w:tr>
      <w:tr w:rsidR="00AC0832" w:rsidTr="00BE20ED">
        <w:trPr>
          <w:jc w:val="center"/>
        </w:trPr>
        <w:tc>
          <w:tcPr>
            <w:tcW w:w="2322" w:type="dxa"/>
            <w:shd w:val="clear" w:color="auto" w:fill="B5C0D8"/>
          </w:tcPr>
          <w:p w:rsidR="00AC0832" w:rsidRDefault="00AC0832">
            <w:pPr>
              <w:pStyle w:val="CellColumn"/>
            </w:pPr>
            <w:r>
              <w:t>Ukupno 225-DRŽAVNI INSPEKTORAT</w:t>
            </w:r>
          </w:p>
        </w:tc>
        <w:tc>
          <w:tcPr>
            <w:tcW w:w="2322" w:type="dxa"/>
            <w:shd w:val="clear" w:color="auto" w:fill="B5C0D8"/>
          </w:tcPr>
          <w:p w:rsidR="00AC0832" w:rsidRDefault="00AC0832">
            <w:pPr>
              <w:pStyle w:val="CellColumn"/>
            </w:pPr>
            <w:r>
              <w:t>134.220.000</w:t>
            </w:r>
          </w:p>
        </w:tc>
        <w:tc>
          <w:tcPr>
            <w:tcW w:w="2322" w:type="dxa"/>
            <w:shd w:val="clear" w:color="auto" w:fill="B5C0D8"/>
          </w:tcPr>
          <w:p w:rsidR="00AC0832" w:rsidRDefault="00AC0832">
            <w:pPr>
              <w:pStyle w:val="CellColumn"/>
            </w:pPr>
            <w:r>
              <w:t>133.870.973</w:t>
            </w:r>
          </w:p>
        </w:tc>
        <w:tc>
          <w:tcPr>
            <w:tcW w:w="2322" w:type="dxa"/>
            <w:shd w:val="clear" w:color="auto" w:fill="B5C0D8"/>
          </w:tcPr>
          <w:p w:rsidR="00AC0832" w:rsidRDefault="00AC0832">
            <w:pPr>
              <w:pStyle w:val="CellColumn"/>
            </w:pPr>
            <w:r>
              <w:t>99,7</w:t>
            </w:r>
          </w:p>
        </w:tc>
      </w:tr>
    </w:tbl>
    <w:p w:rsidR="00AC0832" w:rsidRDefault="00AC0832">
      <w:pPr>
        <w:jc w:val="left"/>
      </w:pPr>
    </w:p>
    <w:p w:rsidR="00AC0832" w:rsidRDefault="00AC0832">
      <w:pPr>
        <w:pStyle w:val="Heading2"/>
      </w:pPr>
      <w:r>
        <w:t>22505 Državni inspektorat</w:t>
      </w:r>
    </w:p>
    <w:p w:rsidR="00AC0832" w:rsidRDefault="00AC0832">
      <w:pPr>
        <w:pStyle w:val="Heading4"/>
      </w:pPr>
      <w:r>
        <w:t>Uvod</w:t>
      </w:r>
    </w:p>
    <w:p w:rsidR="00AC0832" w:rsidRDefault="00AC0832">
      <w:pPr>
        <w:pStyle w:val="Normal3"/>
      </w:pPr>
      <w:r>
        <w:t xml:space="preserve">Planirana sredstva u Državnom proračunu za 2012. godinu za Državni inspektorat iznosila su 134.220.000,00 kuna, od čega 133.920.000,00 kuna proračunskih sredstava i 300.000,00 kuna namjenskih prihoda.  </w:t>
      </w:r>
    </w:p>
    <w:p w:rsidR="00AC0832" w:rsidRDefault="00AC0832">
      <w:pPr>
        <w:pStyle w:val="Normal3"/>
      </w:pPr>
      <w:r>
        <w:t xml:space="preserve">S danom 31.12.2012. godine doznačena sredstva iznose 133.870.972,66 kuna, od čega se na proračunska sredstava - izvor 11 odnosi se 133.580.647,800 kuna što je 99,75% planiranog iznosa, dok se iznos od 290.324,86 kuna odnosi na namjenska sredstva - izvor 43. Od ukupno doznačenih sredstava Državni inspektorat u državni proračun treba vratiti 23.063,92 kune, koja se odnose na potraživanja za više plaćene poreze i doprinose zbog izvršenih korekcija plaća kroz godinu u iznosu 15.743,92 kune, dane predujmove za sudska vještačenja u iznosu od 7.000,00 kuna i potraživanje od zaposlenih za troškove nadzore u iznosu od 320,00 kuna, pa prema tome utrošena proračunska sredstva iznose 133.557.583,88 kuna. </w:t>
      </w:r>
    </w:p>
    <w:p w:rsidR="00AC0832" w:rsidRDefault="00AC0832">
      <w:pPr>
        <w:pStyle w:val="Normal3"/>
      </w:pPr>
      <w:r>
        <w:t xml:space="preserve">Za podmirenje dijela rashoda za usluge i to rashoda za intelektualne i osobne usluge, osim proračunskih sredstava Državni inspektorat od ožujka 2009. godine ostvaruje i prihode za posebne namjene – izvor 43. Ostvaruju se uplatama stranaka za troškove analize i ispitivanja ispravnosti i sukladnosti proizvoda kada se utvrdi da ispitani uzorci ne odgovaraju deklariranom sastavu, sigurnosti i sukladnosti pa troškove mora snositi stranka. Na temelju utvrđenih podataka o obavljenim inspekcijskim nadzorima, inspektori su proveli uzorkovanje nad 293 ispitna uzorka i to 54 prehrambena i 239 neprehrambena uzorka. U 2012. godini u državni proračun je s te osnove uplaćeno 399.580,04 kune. Iznos od 112.512,03 kune stavljen je na raspolaganje Državnom inspektoratu u 2013. godini.    </w:t>
      </w:r>
    </w:p>
    <w:p w:rsidR="00AC0832" w:rsidRDefault="00AC0832">
      <w:pPr>
        <w:pStyle w:val="Normal3"/>
      </w:pPr>
      <w:r>
        <w:t>Rashode poslovanja u 2012. godini Državni inspektorat je sveo u okvire raspoloživih financijskih sredstava. Krajnje racionalnim trošenjem sredstava, pridržavanjem usvojenih Mjera štednje za 2012. godinu – rashodi za zaposlene (Klasa: 023-01/12-01/21, Ur.broj: 556-06-12-01) iz veljače 2012. godine, rashodi za uredski materijal i tiskanice (Klasa: 023-01/12-01/21, Ur.broj: 556-06-12-03), rashodi za energiju (Klasa: 023-01/12-01/21, Ur.broj: 556-06-12-04) i rashodi za usluge (Klasa: 023-01/12-01/21, Ur.broj: 556-06-12-05) iz srpnja 2012. godine, te preraspodjelom sredstava iz srpnja 2012. godine u iznosu od 1.141.250,00 kuna i iz studenog 2012. godine u iznosu 1.080.000,00 kuna osigurana su sredstva za podmirenje svih obveza po računima pristiglim do zadnjeg dana unosa u sustav plaćanja Državne riznice 21.12.2012. godine. Preraspodjele su napravljene u skladu s Odlukom Vlade Republike Hrvatske objavljene u „Narodnim novinama “ broj 132/12 i odobrenjem preraspodjele sredstava Državnog proračuna RH od strane Ministarstva financija.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22505-Državni inspektorat</w:t>
            </w:r>
          </w:p>
        </w:tc>
        <w:tc>
          <w:tcPr>
            <w:tcW w:w="2322" w:type="dxa"/>
          </w:tcPr>
          <w:p w:rsidR="00AC0832" w:rsidRDefault="00AC0832">
            <w:pPr>
              <w:pStyle w:val="CellColumn"/>
            </w:pPr>
            <w:r>
              <w:t>134.220.000</w:t>
            </w:r>
          </w:p>
        </w:tc>
        <w:tc>
          <w:tcPr>
            <w:tcW w:w="2322" w:type="dxa"/>
          </w:tcPr>
          <w:p w:rsidR="00AC0832" w:rsidRDefault="00AC0832">
            <w:pPr>
              <w:pStyle w:val="CellColumn"/>
            </w:pPr>
            <w:r>
              <w:t>133.870.973</w:t>
            </w:r>
          </w:p>
        </w:tc>
        <w:tc>
          <w:tcPr>
            <w:tcW w:w="2322" w:type="dxa"/>
          </w:tcPr>
          <w:p w:rsidR="00AC0832" w:rsidRDefault="00AC0832">
            <w:pPr>
              <w:pStyle w:val="CellColumn"/>
            </w:pPr>
            <w:r>
              <w:t>99,7</w:t>
            </w:r>
          </w:p>
        </w:tc>
      </w:tr>
      <w:tr w:rsidR="00AC0832" w:rsidTr="00BE20ED">
        <w:trPr>
          <w:jc w:val="center"/>
        </w:trPr>
        <w:tc>
          <w:tcPr>
            <w:tcW w:w="2322" w:type="dxa"/>
          </w:tcPr>
          <w:p w:rsidR="00AC0832" w:rsidRDefault="00AC0832">
            <w:pPr>
              <w:pStyle w:val="CellColumnSmall"/>
            </w:pPr>
            <w:r>
              <w:t>3213-INSPEKCIJSKI NADZOR</w:t>
            </w:r>
          </w:p>
        </w:tc>
        <w:tc>
          <w:tcPr>
            <w:tcW w:w="2322" w:type="dxa"/>
          </w:tcPr>
          <w:p w:rsidR="00AC0832" w:rsidRDefault="00AC0832">
            <w:pPr>
              <w:pStyle w:val="CellColumnSmall"/>
            </w:pPr>
            <w:r>
              <w:t>134.220.000</w:t>
            </w:r>
          </w:p>
        </w:tc>
        <w:tc>
          <w:tcPr>
            <w:tcW w:w="2322" w:type="dxa"/>
          </w:tcPr>
          <w:p w:rsidR="00AC0832" w:rsidRDefault="00AC0832">
            <w:pPr>
              <w:pStyle w:val="CellColumnSmall"/>
            </w:pPr>
            <w:r>
              <w:t>133.870.973</w:t>
            </w:r>
          </w:p>
        </w:tc>
        <w:tc>
          <w:tcPr>
            <w:tcW w:w="2322" w:type="dxa"/>
          </w:tcPr>
          <w:p w:rsidR="00AC0832" w:rsidRDefault="00AC0832">
            <w:pPr>
              <w:pStyle w:val="CellColumnSmall"/>
            </w:pPr>
            <w:r>
              <w:t>99,7</w:t>
            </w:r>
          </w:p>
        </w:tc>
      </w:tr>
    </w:tbl>
    <w:p w:rsidR="00AC0832" w:rsidRDefault="00AC0832">
      <w:pPr>
        <w:jc w:val="left"/>
      </w:pPr>
    </w:p>
    <w:p w:rsidR="00AC0832" w:rsidRDefault="00AC0832">
      <w:pPr>
        <w:pStyle w:val="Heading4"/>
      </w:pPr>
      <w:r>
        <w:t>OBRAZLOŽENJE PROGRAMA</w:t>
      </w:r>
    </w:p>
    <w:p w:rsidR="00AC0832" w:rsidRDefault="00AC0832">
      <w:pPr>
        <w:pStyle w:val="Heading5"/>
      </w:pPr>
      <w:r>
        <w:t>3213 INSPEKCIJSKI NADZOR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3213-INSPEKCIJSKI NADZOR</w:t>
            </w:r>
          </w:p>
        </w:tc>
        <w:tc>
          <w:tcPr>
            <w:tcW w:w="2322" w:type="dxa"/>
          </w:tcPr>
          <w:p w:rsidR="00AC0832" w:rsidRDefault="00AC0832">
            <w:pPr>
              <w:pStyle w:val="CellColumn"/>
            </w:pPr>
            <w:r>
              <w:t>134.220.000</w:t>
            </w:r>
          </w:p>
        </w:tc>
        <w:tc>
          <w:tcPr>
            <w:tcW w:w="2322" w:type="dxa"/>
          </w:tcPr>
          <w:p w:rsidR="00AC0832" w:rsidRDefault="00AC0832">
            <w:pPr>
              <w:pStyle w:val="CellColumn"/>
            </w:pPr>
            <w:r>
              <w:t>133.870.973</w:t>
            </w:r>
          </w:p>
        </w:tc>
        <w:tc>
          <w:tcPr>
            <w:tcW w:w="2322" w:type="dxa"/>
          </w:tcPr>
          <w:p w:rsidR="00AC0832" w:rsidRDefault="00AC0832">
            <w:pPr>
              <w:pStyle w:val="CellColumn"/>
            </w:pPr>
            <w:r>
              <w:t>99,7</w:t>
            </w:r>
          </w:p>
        </w:tc>
      </w:tr>
    </w:tbl>
    <w:p w:rsidR="00AC0832" w:rsidRDefault="00AC0832">
      <w:pPr>
        <w:jc w:val="left"/>
      </w:pPr>
    </w:p>
    <w:p w:rsidR="00AC0832" w:rsidRDefault="00AC0832">
      <w:pPr>
        <w:pStyle w:val="Heading6"/>
      </w:pPr>
      <w:r>
        <w:t>Opis programa</w:t>
      </w:r>
    </w:p>
    <w:p w:rsidR="00AC0832" w:rsidRDefault="00AC0832">
      <w:pPr>
        <w:pStyle w:val="Normal5"/>
      </w:pPr>
      <w:r>
        <w:t xml:space="preserve">Kroz ostvarenje osnovnog, a ujedno i jedinog programa 3213 Inspekcijski nadzor Državni inspektorat otkriva i suzbija sve oblike neregistriranog obavljanja djelatnosti, nezakonitog rada i zapošljavanja, te kontrolu primjene propisa kod registriranih gospodarskih subjekata. Cilj je stalnim pojačanim nadzorima smanjiti broj aktivnosti koje se smatraju nezakonitim radom. Na taj način osigurava se stabilan rast gospodarstva, povećanje prosperiteta, te kvalitete života i zaposlenosti za sve hrvatske građane. Tijekom 2012. godine inspektori su obavili 103 737 inspekcijskih nadzora u kojima su utvrdili više od 46 781 povrede propisa te rad 1 699 nezakonito zaposlenih osoba, od kojih su 374 bili strani državljani. Za utvrđene nepravilnosti poduzimaju se propisane mjere na temelju kojih se strankama, između ostalog nalaže i uplata novčanih sredstava u državni proračun. </w:t>
      </w:r>
    </w:p>
    <w:p w:rsidR="00AC0832" w:rsidRDefault="00AC0832">
      <w:pPr>
        <w:pStyle w:val="Normal5"/>
      </w:pPr>
      <w:r>
        <w:t xml:space="preserve">Prema utvrđenom djelokrugu rada inspektori Državnog inspektorata obavljaju nadzore koji se odnose na primjenu zakona i drugih propisa. Za utvrđene nepravilnosti poduzimaju se propisane mjere na temelju kojih se strankama, između ostalog nalaže i uplata novčanih sredstava u državni proračun. </w:t>
      </w:r>
    </w:p>
    <w:p w:rsidR="00AC0832" w:rsidRDefault="00AC0832">
      <w:pPr>
        <w:pStyle w:val="Normal5"/>
      </w:pPr>
      <w:r>
        <w:t xml:space="preserve">Internim Naputkom - Uplata prihoda državnog proračuna određen je način uplate za određene vrste prihoda državnog proračuna, u skladu s Naredbom o uplaćivanju prihoda proračuna, te su tako stvoreni uvjeti za izvješćivanje o izvršenim uplatama u proračun.  </w:t>
      </w:r>
    </w:p>
    <w:p w:rsidR="00AC0832" w:rsidRDefault="00AC0832">
      <w:pPr>
        <w:pStyle w:val="Normal5"/>
      </w:pPr>
      <w:r>
        <w:t xml:space="preserve">Temeljem navedenoga, svakodnevno iz FINA-e dobivamo izvješća o uplatama: Novčane kazne za prekršaje – vrsta prihoda 6092 i Ostali državni prihodi – vrsta prihoda 7129, koji se ostvaruju u postupku izvršenja rješenja s novčanim potraživanjem, u predmetima protupravno stečene imovinske koristi, više naplaćenog iznosa kad kupac robe ili korisnik usluge nije poznat, te kada je usmenim rješenjem izrečena mjera zabrane obavljanja djelatnosti, a izvršenik umjesto mjere pečaćenja uplati predviđeni novčani iznos radi isključena mjere pečaćenja. </w:t>
      </w:r>
    </w:p>
    <w:p w:rsidR="00AC0832" w:rsidRDefault="00AC0832">
      <w:pPr>
        <w:pStyle w:val="Normal5"/>
      </w:pPr>
      <w:r>
        <w:t xml:space="preserve">Iako se u poslovnim knjigama Državnog inspektorata ne evidentiraju prihodi proračuna Novčane kazne za prekršaje – vrsta prihoda 6092 i Ostali državni prihodi – vrsta prihoda 7129, kontinuirano se prati uplata navedenih prihoda u državni proračun. Tijekom 2012. godine u državni proračun uplaćen je iznos od 30.319.534,75 kuna i to: </w:t>
      </w:r>
    </w:p>
    <w:p w:rsidR="00AC0832" w:rsidRDefault="00AC0832">
      <w:pPr>
        <w:pStyle w:val="Normal5"/>
      </w:pPr>
      <w:r>
        <w:t xml:space="preserve">- vrsta prihoda 6092  u iznosu 18.507.065,44 kuna </w:t>
      </w:r>
    </w:p>
    <w:p w:rsidR="00AC0832" w:rsidRDefault="00AC0832">
      <w:pPr>
        <w:pStyle w:val="Normal5"/>
      </w:pPr>
      <w:r>
        <w:t xml:space="preserve">- vrsta prihoda 7129 u iznosu  11.812.469,31 kuna.        </w:t>
      </w:r>
    </w:p>
    <w:p w:rsidR="00AC0832" w:rsidRDefault="00AC0832">
      <w:pPr>
        <w:pStyle w:val="Normal5"/>
      </w:pPr>
      <w:r>
        <w:t xml:space="preserve">Ostvarenje programa 3213 u 2012. godini provodilo se kroz sljedeće aktivnosti: </w:t>
      </w:r>
    </w:p>
    <w:p w:rsidR="00AC0832" w:rsidRDefault="00AC0832">
      <w:pPr>
        <w:pStyle w:val="Normal5"/>
      </w:pPr>
      <w:r>
        <w:t xml:space="preserve">A673000 Administracija i upravljanje </w:t>
      </w:r>
    </w:p>
    <w:p w:rsidR="00AC0832" w:rsidRDefault="00AC0832">
      <w:pPr>
        <w:pStyle w:val="Normal5"/>
      </w:pPr>
      <w:r>
        <w:t xml:space="preserve">K673005 Opremanje prostorija </w:t>
      </w:r>
    </w:p>
    <w:p w:rsidR="00AC0832" w:rsidRDefault="00AC0832">
      <w:pPr>
        <w:pStyle w:val="Normal5"/>
      </w:pPr>
      <w:r>
        <w:t xml:space="preserve">K673006 Informatizacija Inspektorata </w:t>
      </w:r>
    </w:p>
    <w:p w:rsidR="00AC0832" w:rsidRDefault="00AC0832">
      <w:pPr>
        <w:pStyle w:val="Normal5"/>
      </w:pPr>
      <w:r>
        <w:t>Mišljenja smo da se program inspekcijskog nadzora, što je ujedno i najznačajnija aktivnost, provodi uspješno i da pridonosi zaštiti potrošača, suzbijanju rada na crno, ostvarivanju prava zaposlenika iz radnih odnosa i zaštite na radu te provedbi zakonskih i drugih propisa u području prometa roba, usluga, ugostiteljske i turističke djelatnosti, elektroenergetike, rudarstva, posuda pod tlakom i drugih područja koja kontroliraju inspektori Državnog inspektorata.</w:t>
      </w:r>
    </w:p>
    <w:p w:rsidR="00AC0832" w:rsidRDefault="00AC0832">
      <w:pPr>
        <w:pStyle w:val="Heading6"/>
      </w:pPr>
      <w:r>
        <w:t>Zakonske i druge pravne osnove</w:t>
      </w:r>
    </w:p>
    <w:p w:rsidR="00AC0832" w:rsidRDefault="00AC0832">
      <w:pPr>
        <w:pStyle w:val="Normal5"/>
      </w:pPr>
      <w:r>
        <w:t xml:space="preserve">Osim Zakona o Državnom inspektoratu („NN“ br. 116/08, 123/08 i 48/11) temelj za  provođenje programa – Inspekcijski nadzor su slijedeći zakonski propisi: </w:t>
      </w:r>
    </w:p>
    <w:p w:rsidR="00AC0832" w:rsidRDefault="00AC0832">
      <w:pPr>
        <w:pStyle w:val="Normal5"/>
      </w:pPr>
      <w:r>
        <w:t xml:space="preserve">Prekršajni zakon („NN“, broj 107/07.); Kazneni zakon („NN“, broj 110/97., 27/98., 50/00., 129/00.,51/01., 111/03.,190/03., 105/04., 84/05., 71/06., 110/07., 152/08 i 125/11.); Zakon o kaznenom postupku („NN“ br. 152/08., 76/09., 80/11. i 121/11.); Zakon o trgovačkim društvima („NN“,br.“ 111/93., 34/99., 121/99., 52/00.,118/03., 107/07., 146/08., 137/11. i 152/11.); Zakon o obrtu („NN“, br. 77/93., 90/96., 102/98., 64/01., 49/03.- pročišćeni tekst, 68/07. i 79/07.); Zakon o poljoprivredi („NN“, br. 149/09.); Zakon o audiovizualnim djelatnostima („NN“, br. 76/07. i 90/11.); Zakon o posredovanju u prometu nekretnina („NN“, br. 107/07.); Zakon o uvjetima za obavljanje poslova zastupanja u carinskom postupku („NN“, br. 92/01.); Zakon o elektroničkom potpisu („NN, br. 10/02. i 80/08.); Zakon o elektroničkoj trgovini („NN.“, br. 173/03., 67/08. i 36/09.); Zakon o trgovini („NN“, br. 87/08., 96/08., 116/08. i 114/11.); Zakon o nadzoru predmeta od plemenitih kovina („NN“, br. 76/93.); Zakon o šumskom reprodukcijskom materijalu („NN“, br. 75/09.); Zakon o strateškim robnim zalihama („NN“, br. 87/02.); Zakon o iznimnim mjerama kontrole cijena („NN“, br. 73/97.); Zakon o mjeriteljstvu („NN“, br. 163/03. i 111/07.); Zakon o prijevozu u cestovnom prometu („NN“, br. 178/04., 151/05., 111/06., 63/08., 124/09., 91/10., 112/10.); Zakon o inspekciji cestovnog prometa i cesta („NN“, br. 77/99. i 55/11.); Zakon o komunalnom gospodarstvu („NN“, br. 36/95., 70/97., 128/99., 57/00., 129/00., 59/01., 26/03- pročišćeni tekst,  82/04, 110/04., 178/04., 38/09., 79/09. i 49/11.); Zakon o ograničavanju uporabe duhanskih proizvoda („NN“, br. 125/08. i 119/09.); Zakon o energiji („NN“, br. 68/01., 177/04., 76/07., 152/08. i 127/10.); Zakon o proizvodnji, distribuciji i opskrbi toplinskom energijom („NN“, br. 42/05. i 20/10.); Zakon o tržištu električne energije („NN“, br. 177/04.. 76/07. i 152/08.); Zakon o učinkovitom korištenju energije u neposrednoj potrošnji („NN“, br. 152/08) Zakon o tržištu nafte i naftnih derivata („NN“, br. 57/06. i 18/11.); Zakon o tržištu plina („NN“, br. 40/07., 152/08., 83/09. i 114/11); Zakon o regulaciji energetskih djelatnosti („NN“, br. 177/04 i 76/07.); Zakon o zaštiti potrošača („NN“, br. 79/07.,125/07., 79/09. i 89/09.); Zakon o kreditnim institucijama („NN“, br. 117/08., 74/09. i 153/09.); Zakon o leasingu („NN“, br. 135/06.); Zakon o osiguranju („NN“, br. 151/05., 87/08. i 82/09.); Zakon o potrošačkom kreditiranju („NN“, br. 75/09.); Zakon o učinkovitom korištenju energije u neposrednoj potrošnji („NN“, br. 152/08.); Zakon o poštanskim uslugama („NN“, br. 88/09.); Zakon o posebnim uvjetima za stavljanje brašna na tržište („NN“, br. 48/04.,140/05.i 83/09.); Zakon o posebnom porezu na kavu („NN“, br. 87/05.); Zakon o obveznim odnosima („NN“, br. 35/05., 41/08.); Zakon o ugostiteljskoj djelatnosti ("NN" br.: 138/06, 152/08., 43/09. i 88/10); Zakon o pružanju usluga u turizmu (“NN” br. 68/07. i 88/10.); Zakon o boravišnoj pristojbi („NN“, br. 152/08. i 59/09); Zakon o sprječavanju nereda na športskim natjecanjima („NN“, broj 117/03, 71/06. i 43/09.); Zakon o tehničkim zahtjevima za proizvode i ocjeni sukladnosti („NN“, br. 158/03., 79/07.); Zakon o općoj sigurnosti proizvoda („NN“, br. 30/09. – direktiva 201/95/ec i 139/10.); Zakon o zaštiti zraka („NN“, br 178/04., 60/08.); Zakon o biogorivima za prijevoz („NN“, br. 65/09.); Zakon o građevnim proizvodima („NN“, br. 86/08. – direktiva 89/106/eec); Zakon o zaštiti okoliša („NN“, br. 110/07.); Zakon o sigurnosti prometa na cestama („NN“, br. 67/08.); Zakon o posebno porezu na naftne derivate („NN“, br. 55/00., 101/00., 27/01., 107/01, 136/02. –pročišćeni tekst i 57/06.); Zakon o autorskom pravu i srodnim pravima („NN“, br. 167/03. i 79/07.); Zakon o žigu („NN“, br. 173/03., 76/07. i 30/09.); Zakon o patentu („NN“, br. 173/03., 87/05., 76/07. i 30/09.); Zakon o industrijskom dizajnu („NN“, br. 173/03., 76/07. i 30/09.); Zakon o oznakama zemljopisnog porijekla i oznakama izvornosti proizvoda i usluga (“NN“ br. 173/03., 186/03. i 76/07.); Zakon o oznakama izvornosti, oznakama zemljopisnog podrijetla i oznakama tradicionalnog ugleda poljoprivrednih i prehrambenih proizvoda („NN“, br. 84/08., 75/09. i 107/09.); Zakon o hrani ("NN" br. 46/07.,155/08. i 55/11.); Zakon o vinu ("NN" br. 96/03. i 55/11.); Zakon o stočarstvu ("NN", br. 70/97., 36/98., 151/03. i 132/06.); Zakon o morskom ribarstvu  ("NN" br. 74/94., 57/96., 46/97.- pročišćeni tekst, 76/99., 48/05., 56/10. i 55/11.); Zakon o slatkovodnom ribarstvu ("NN" br. 106/01., 7/03., 174/04. i 49/05. - pročišćeni tekst); Zakon o ekološkoj proizvodnji poljoprivrednih i prehrambenih proizvoda ("NN" br. 12/01., 14/01. i 79/07.); Zakon o lovstvu ("NN" br. 140/05. i 75/09.); Zakon o rudarstvu („NN“ br. 75/09. i 49/11.); Zakon o radu („NN“ br. 149/09. i 61/11.); Zakon o strancima („NN“ br. 136/10.); Zakon o posredovanju pri zapošljavanju i pravima za vrijeme nezaposlenosti („NN“ br. 80/08., 94/09. i 121/10.); Zakon o obveznom zdravstvenom osiguranju („NN“ br. 150/08., 94/09., 71/10., 139/10. i 49/11.); Zakon o mirovinskom osiguranju („NN“ br. 102/98., 127/00., 59/01., 109/01., 147/02., 117/03., 30/04., 177/04., 92/05., 79/07., 35/08., 121/10., 130/10., 61/11. i 114/11); Zakon o zaštiti na radu („NN“ br. 59/96., 94/96., 114/03., 100/04., 86/08. i 75/09.); </w:t>
      </w:r>
    </w:p>
    <w:p w:rsidR="00AC0832" w:rsidRDefault="00AC0832">
      <w:pPr>
        <w:pStyle w:val="Normal5"/>
      </w:pPr>
      <w:r>
        <w:t>Pored navedenog ističemo kako inspektori Državnog inspektorata nadziru i primjenu propisa koji su regulirani nizom posebnih pravilnika donesenih temeljem gore spomenutih zakona.</w:t>
      </w:r>
    </w:p>
    <w:p w:rsidR="00AC0832" w:rsidRDefault="00AC0832">
      <w:pPr>
        <w:pStyle w:val="Heading6"/>
      </w:pPr>
      <w:r>
        <w:t>A673000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A673000-ADMINISTRACIJA I UPRAVLJANJE</w:t>
            </w:r>
          </w:p>
        </w:tc>
        <w:tc>
          <w:tcPr>
            <w:tcW w:w="2322" w:type="dxa"/>
          </w:tcPr>
          <w:p w:rsidR="00AC0832" w:rsidRDefault="00AC0832">
            <w:pPr>
              <w:pStyle w:val="CellColumn"/>
            </w:pPr>
            <w:r>
              <w:t>133.190.486</w:t>
            </w:r>
          </w:p>
        </w:tc>
        <w:tc>
          <w:tcPr>
            <w:tcW w:w="2322" w:type="dxa"/>
          </w:tcPr>
          <w:p w:rsidR="00AC0832" w:rsidRDefault="00AC0832">
            <w:pPr>
              <w:pStyle w:val="CellColumn"/>
            </w:pPr>
            <w:r>
              <w:t>132.857.208</w:t>
            </w:r>
          </w:p>
        </w:tc>
        <w:tc>
          <w:tcPr>
            <w:tcW w:w="2322" w:type="dxa"/>
          </w:tcPr>
          <w:p w:rsidR="00AC0832" w:rsidRDefault="00AC0832">
            <w:pPr>
              <w:pStyle w:val="CellColumn"/>
            </w:pPr>
            <w:r>
              <w:t>99,7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Aktivnost Administracija i upravljanje je najznačajnija aktivnost u programu 3213 – Inspekcijski nadzor i iznosi 99,25% ukupno izvršenog proračuna. Najznačajniji izvršeni rashodi u okviru aktivnosti odnosi se na rashode za zaposlene, i iznose 104.596.980,06 kuna što je 78,74% ukupno izvršenih rashoda navedene aktivnosti odnosno 78,15% ukupno izvršenog proračuna. Od ukupno izvršenih rashoda za zaposlene, na rashode za plaće za redovan i prekovremeni rad odnosi se 88.119.041,25 kuna, doprinose na plaće 14.214.270,25 kuna, te ostale rashode za zaposlene (jubilarne nagrade, dar djeci, regres,  pomoći) 2.263.668,56 kuna. Ostali rashodi za zaposlene isplaćeni su službenicima i namještenicima u skladu s Kolektivnim ugovorom (regres za godišnji odmor nije isplaćen dužnosnicima te službenicima i namještenicima koji su na dugotrajnom bolovanju).  </w:t>
      </w:r>
    </w:p>
    <w:p w:rsidR="00AC0832" w:rsidRDefault="00AC0832">
      <w:pPr>
        <w:pStyle w:val="Normal6"/>
      </w:pPr>
      <w:r>
        <w:t xml:space="preserve">Značajniji ostvareni rashodi aktivnosti odnose se na rashode za zakupnine i najamnine uredskog, parkirnog prostora i garaža u iznosu 12.638.865,03 kune, naknade za prijevoz na posao i s posla u iznosu 3.721.244,97 kuna, te usluge telefona, pošte i prijevoza u iznosu 2.541.784,17 kuna.  </w:t>
      </w:r>
    </w:p>
    <w:p w:rsidR="00AC0832" w:rsidRDefault="00AC0832">
      <w:pPr>
        <w:pStyle w:val="Normal6"/>
      </w:pPr>
      <w:r>
        <w:t xml:space="preserve">Visina izvršenih rashoda za zakupnine uvjetovana je činjenicom da Državni inspektorat osim sjedišta ima pet područnih jedinica i 37 ispostava, te smo zbog nedostatka slobodnog poslovnog prostora u vlasništvu Republike Hrvatske prisiljeni uzimati poslovni prostor u zakup (uz suglasnost Agencije za upravljanje državnom imovinom).  </w:t>
      </w:r>
    </w:p>
    <w:p w:rsidR="00AC0832" w:rsidRDefault="00AC0832">
      <w:pPr>
        <w:pStyle w:val="Normal6"/>
      </w:pPr>
      <w:r>
        <w:t>Visina izdataka naknade za prijevoz na posao i s posla, kao i rashoda za usluge telefona, pošte i prijevoza uvjetovana je brojem službenika, vrstom posla koji obavljamo i brojem lokacija na kojima smo smješteni.</w:t>
      </w:r>
    </w:p>
    <w:p w:rsidR="00AC0832" w:rsidRDefault="00AC0832">
      <w:pPr>
        <w:pStyle w:val="Heading6"/>
      </w:pPr>
      <w:r>
        <w:t>K673005 OPREMANJE PROSTORIJA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K673005-OPREMANJE PROSTORIJA</w:t>
            </w:r>
          </w:p>
        </w:tc>
        <w:tc>
          <w:tcPr>
            <w:tcW w:w="2322" w:type="dxa"/>
          </w:tcPr>
          <w:p w:rsidR="00AC0832" w:rsidRDefault="00AC0832">
            <w:pPr>
              <w:pStyle w:val="CellColumn"/>
            </w:pPr>
            <w:r>
              <w:t>32.500</w:t>
            </w:r>
          </w:p>
        </w:tc>
        <w:tc>
          <w:tcPr>
            <w:tcW w:w="2322" w:type="dxa"/>
          </w:tcPr>
          <w:p w:rsidR="00AC0832" w:rsidRDefault="00AC0832">
            <w:pPr>
              <w:pStyle w:val="CellColumn"/>
            </w:pPr>
            <w:r>
              <w:t>31.554</w:t>
            </w:r>
          </w:p>
        </w:tc>
        <w:tc>
          <w:tcPr>
            <w:tcW w:w="2322" w:type="dxa"/>
          </w:tcPr>
          <w:p w:rsidR="00AC0832" w:rsidRDefault="00AC0832">
            <w:pPr>
              <w:pStyle w:val="CellColumn"/>
            </w:pPr>
            <w:r>
              <w:t>97,1</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Zbog nedostatka financijskih sredstava u 2012. godini nabavljen je samo najnužniji namještaj i oprema. Na izvršenje aktivnosti Opremanje prostorija odnosi se 0,02% ukupno izvršenog proračuna.  </w:t>
      </w:r>
    </w:p>
    <w:p w:rsidR="00AC0832" w:rsidRDefault="00AC0832">
      <w:pPr>
        <w:pStyle w:val="Normal6"/>
      </w:pPr>
      <w:r>
        <w:t>Izvršeni rashodi za nabavu proizvedene dugotrajne imovine odnose se na rashode za uredski namještaj i opremu u iznosu 10.791,08 kuna, što je 93,84% planiranog iznosa i opremu za održavanje i zaštitu u iznosu 20.762,50 kuna, što je 98,87% planiranog iznosa.</w:t>
      </w:r>
    </w:p>
    <w:p w:rsidR="00AC0832" w:rsidRDefault="00AC0832">
      <w:pPr>
        <w:pStyle w:val="Heading6"/>
      </w:pPr>
      <w:r>
        <w:t>K673006 INFORMATIZACIJA INSPEKTORATA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K673006-INFORMATIZACIJA INSPEKTORATA</w:t>
            </w:r>
          </w:p>
        </w:tc>
        <w:tc>
          <w:tcPr>
            <w:tcW w:w="2322" w:type="dxa"/>
          </w:tcPr>
          <w:p w:rsidR="00AC0832" w:rsidRDefault="00AC0832">
            <w:pPr>
              <w:pStyle w:val="CellColumn"/>
            </w:pPr>
            <w:r>
              <w:t>997.014</w:t>
            </w:r>
          </w:p>
        </w:tc>
        <w:tc>
          <w:tcPr>
            <w:tcW w:w="2322" w:type="dxa"/>
          </w:tcPr>
          <w:p w:rsidR="00AC0832" w:rsidRDefault="00AC0832">
            <w:pPr>
              <w:pStyle w:val="CellColumn"/>
            </w:pPr>
            <w:r>
              <w:t>982.211</w:t>
            </w:r>
          </w:p>
        </w:tc>
        <w:tc>
          <w:tcPr>
            <w:tcW w:w="2322" w:type="dxa"/>
          </w:tcPr>
          <w:p w:rsidR="00AC0832" w:rsidRDefault="00AC0832">
            <w:pPr>
              <w:pStyle w:val="CellColumn"/>
            </w:pPr>
            <w:r>
              <w:t>98,5</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 izvršenje aktivnosti Informatizacija inspektorata odnosi se 0,73% ukupno izvršenog proračuna. Izvršeni rashodi unutar navedene aktivnosti odnose se na podmirenje obveza za licence u iznosu 516.262,39 kuna što čini 52,56% ukupno izvršenih rashoda navedene aktivnosti, odnosno 99,28% planiranog iznosa. Ostali rashodi unutar navedene aktivnosti odnose se na rashode za održavanje računalnih aplikacija u iznosu 340.074,89 kuna, što je 97,30% planiranog iznosa, ulaganja u računalne programe u iznosu 122.500,00 kuna, što je 100,00% planiranog iznosa, te za komunikacijsku opremu u iznosu 3.373,95 kuna, što je 67,48% planiranog iznosa.</w:t>
      </w:r>
    </w:p>
    <w:p w:rsidR="00AC0832" w:rsidRDefault="00AC0832">
      <w:pPr>
        <w:pStyle w:val="Heading1"/>
      </w:pPr>
      <w:r>
        <w:t>230 KOMISIJA ZA ODNOSE S VJERSKIM ZAJEDNICAMA</w:t>
      </w:r>
    </w:p>
    <w:p w:rsidR="00AC0832" w:rsidRDefault="00AC0832">
      <w:pPr>
        <w:pStyle w:val="Heading4"/>
      </w:pPr>
      <w:r>
        <w:t>Uvod</w:t>
      </w:r>
    </w:p>
    <w:p w:rsidR="00AC0832" w:rsidRDefault="00AC0832">
      <w:pPr>
        <w:pStyle w:val="Normal3"/>
      </w:pPr>
      <w:r>
        <w:t xml:space="preserve">Komisija za odnose s vjerskim zajednicama razmatra pitanja odnosa vjerskih zajednica i države, posebice pojedinih tijela državne vlasti, a prema članku 17. Poslovnika Vlade Republike Hrvatske (NN broj 154/2011, 121/2012 i 7/2013), između ostalog,  razmatra pitanja odnosa vjerskih zajednica i države, posebice pojedinih tijela državne vlasti, te predlaže Vladi  mjere za rješavanje određenih problema i poboljšanje odnosa s vjerskim zajednicama, te im u tom smislu osigurava zaštitu i pomoć.  </w:t>
      </w:r>
    </w:p>
    <w:p w:rsidR="00AC0832" w:rsidRDefault="00AC0832">
      <w:pPr>
        <w:pStyle w:val="Normal3"/>
      </w:pPr>
      <w:r>
        <w:t xml:space="preserve">Ukupno planirana sredstva za 2012. godinu iznosila su 648.480 kuna, a izvršeno je ukupno 627.731 kuna.  </w:t>
      </w:r>
    </w:p>
    <w:p w:rsidR="00AC0832" w:rsidRDefault="00AC0832">
      <w:pPr>
        <w:pStyle w:val="Normal3"/>
      </w:pPr>
      <w:r>
        <w:t xml:space="preserve"> </w:t>
      </w:r>
    </w:p>
    <w:p w:rsidR="00AC0832" w:rsidRDefault="00AC0832">
      <w:pPr>
        <w:pStyle w:val="Normal3"/>
      </w:pPr>
      <w:r>
        <w:t>Projekcija plana sredstava za 2013. i 2014. godinu je znatno manja od potrebne za odvijanje osnovne djelatnosti Komisije, te tako nije dovoljna ni za plaće djelatnika.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23005-Komisija za odnose s vjerskim zajednicama</w:t>
            </w:r>
          </w:p>
        </w:tc>
        <w:tc>
          <w:tcPr>
            <w:tcW w:w="2322" w:type="dxa"/>
          </w:tcPr>
          <w:p w:rsidR="00AC0832" w:rsidRDefault="00AC0832">
            <w:pPr>
              <w:pStyle w:val="CellColumn"/>
            </w:pPr>
            <w:r>
              <w:t>636.000</w:t>
            </w:r>
          </w:p>
        </w:tc>
        <w:tc>
          <w:tcPr>
            <w:tcW w:w="2322" w:type="dxa"/>
          </w:tcPr>
          <w:p w:rsidR="00AC0832" w:rsidRDefault="00AC0832">
            <w:pPr>
              <w:pStyle w:val="CellColumn"/>
            </w:pPr>
            <w:r>
              <w:t>627.731</w:t>
            </w:r>
          </w:p>
        </w:tc>
        <w:tc>
          <w:tcPr>
            <w:tcW w:w="2322" w:type="dxa"/>
          </w:tcPr>
          <w:p w:rsidR="00AC0832" w:rsidRDefault="00AC0832">
            <w:pPr>
              <w:pStyle w:val="CellColumn"/>
            </w:pPr>
            <w:r>
              <w:t>98,7</w:t>
            </w:r>
          </w:p>
        </w:tc>
      </w:tr>
      <w:tr w:rsidR="00AC0832" w:rsidTr="00BE20ED">
        <w:trPr>
          <w:jc w:val="center"/>
        </w:trPr>
        <w:tc>
          <w:tcPr>
            <w:tcW w:w="2322" w:type="dxa"/>
            <w:shd w:val="clear" w:color="auto" w:fill="B5C0D8"/>
          </w:tcPr>
          <w:p w:rsidR="00AC0832" w:rsidRDefault="00AC0832">
            <w:pPr>
              <w:pStyle w:val="CellColumn"/>
            </w:pPr>
            <w:r>
              <w:t>Ukupno 230-KOMISIJA ZA ODNOSE S VJERSKIM ZAJEDNICAMA</w:t>
            </w:r>
          </w:p>
        </w:tc>
        <w:tc>
          <w:tcPr>
            <w:tcW w:w="2322" w:type="dxa"/>
            <w:shd w:val="clear" w:color="auto" w:fill="B5C0D8"/>
          </w:tcPr>
          <w:p w:rsidR="00AC0832" w:rsidRDefault="00AC0832">
            <w:pPr>
              <w:pStyle w:val="CellColumn"/>
            </w:pPr>
            <w:r>
              <w:t>636.000</w:t>
            </w:r>
          </w:p>
        </w:tc>
        <w:tc>
          <w:tcPr>
            <w:tcW w:w="2322" w:type="dxa"/>
            <w:shd w:val="clear" w:color="auto" w:fill="B5C0D8"/>
          </w:tcPr>
          <w:p w:rsidR="00AC0832" w:rsidRDefault="00AC0832">
            <w:pPr>
              <w:pStyle w:val="CellColumn"/>
            </w:pPr>
            <w:r>
              <w:t>627.731</w:t>
            </w:r>
          </w:p>
        </w:tc>
        <w:tc>
          <w:tcPr>
            <w:tcW w:w="2322" w:type="dxa"/>
            <w:shd w:val="clear" w:color="auto" w:fill="B5C0D8"/>
          </w:tcPr>
          <w:p w:rsidR="00AC0832" w:rsidRDefault="00AC0832">
            <w:pPr>
              <w:pStyle w:val="CellColumn"/>
            </w:pPr>
            <w:r>
              <w:t>98,7</w:t>
            </w:r>
          </w:p>
        </w:tc>
      </w:tr>
    </w:tbl>
    <w:p w:rsidR="00AC0832" w:rsidRDefault="00AC0832">
      <w:pPr>
        <w:jc w:val="left"/>
      </w:pPr>
    </w:p>
    <w:p w:rsidR="00AC0832" w:rsidRDefault="00AC0832">
      <w:pPr>
        <w:pStyle w:val="Heading2"/>
      </w:pPr>
      <w:r>
        <w:t>23005 Komisija za odnose s vjerskim zajednicama</w:t>
      </w:r>
    </w:p>
    <w:p w:rsidR="00AC0832" w:rsidRDefault="00AC0832">
      <w:pPr>
        <w:pStyle w:val="Heading4"/>
      </w:pPr>
      <w:r>
        <w:t>Uvod</w:t>
      </w:r>
    </w:p>
    <w:p w:rsidR="00AC0832" w:rsidRDefault="00AC0832">
      <w:pPr>
        <w:pStyle w:val="Normal3"/>
      </w:pPr>
      <w:r>
        <w:t>Komisija za odnose s vjerskim zajednicama u Državnom proračunu ima osigurana sredstva isključivo za osnovnu djelatnost. Za 2012. godinu imala je osigurana sredstva u iznosu od 648.480 kuna. Od toga za rashode za zaposlene 414.860 kuna, a za materijalne rashode 230.620 kuna. Nije bilo značajnijih odstupanja.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23005-Komisija za odnose s vjerskim zajednicama</w:t>
            </w:r>
          </w:p>
        </w:tc>
        <w:tc>
          <w:tcPr>
            <w:tcW w:w="2322" w:type="dxa"/>
          </w:tcPr>
          <w:p w:rsidR="00AC0832" w:rsidRDefault="00AC0832">
            <w:pPr>
              <w:pStyle w:val="CellColumn"/>
            </w:pPr>
            <w:r>
              <w:t>636.000</w:t>
            </w:r>
          </w:p>
        </w:tc>
        <w:tc>
          <w:tcPr>
            <w:tcW w:w="2322" w:type="dxa"/>
          </w:tcPr>
          <w:p w:rsidR="00AC0832" w:rsidRDefault="00AC0832">
            <w:pPr>
              <w:pStyle w:val="CellColumn"/>
            </w:pPr>
            <w:r>
              <w:t>627.731</w:t>
            </w:r>
          </w:p>
        </w:tc>
        <w:tc>
          <w:tcPr>
            <w:tcW w:w="2322" w:type="dxa"/>
          </w:tcPr>
          <w:p w:rsidR="00AC0832" w:rsidRDefault="00AC0832">
            <w:pPr>
              <w:pStyle w:val="CellColumn"/>
            </w:pPr>
            <w:r>
              <w:t>98,7</w:t>
            </w:r>
          </w:p>
        </w:tc>
      </w:tr>
      <w:tr w:rsidR="00AC0832" w:rsidTr="00BE20ED">
        <w:trPr>
          <w:jc w:val="center"/>
        </w:trPr>
        <w:tc>
          <w:tcPr>
            <w:tcW w:w="2322" w:type="dxa"/>
          </w:tcPr>
          <w:p w:rsidR="00AC0832" w:rsidRDefault="00AC0832">
            <w:pPr>
              <w:pStyle w:val="CellColumnSmall"/>
            </w:pPr>
            <w:r>
              <w:t>3912-ODNOSI REPUBLIKE HRVATSKE I VJERSKIH ZAJEDNICA</w:t>
            </w:r>
          </w:p>
        </w:tc>
        <w:tc>
          <w:tcPr>
            <w:tcW w:w="2322" w:type="dxa"/>
          </w:tcPr>
          <w:p w:rsidR="00AC0832" w:rsidRDefault="00AC0832">
            <w:pPr>
              <w:pStyle w:val="CellColumnSmall"/>
            </w:pPr>
            <w:r>
              <w:t>636.000</w:t>
            </w:r>
          </w:p>
        </w:tc>
        <w:tc>
          <w:tcPr>
            <w:tcW w:w="2322" w:type="dxa"/>
          </w:tcPr>
          <w:p w:rsidR="00AC0832" w:rsidRDefault="00AC0832">
            <w:pPr>
              <w:pStyle w:val="CellColumnSmall"/>
            </w:pPr>
            <w:r>
              <w:t>627.731</w:t>
            </w:r>
          </w:p>
        </w:tc>
        <w:tc>
          <w:tcPr>
            <w:tcW w:w="2322" w:type="dxa"/>
          </w:tcPr>
          <w:p w:rsidR="00AC0832" w:rsidRDefault="00AC0832">
            <w:pPr>
              <w:pStyle w:val="CellColumnSmall"/>
            </w:pPr>
            <w:r>
              <w:t>98,7</w:t>
            </w:r>
          </w:p>
        </w:tc>
      </w:tr>
    </w:tbl>
    <w:p w:rsidR="00AC0832" w:rsidRDefault="00AC0832">
      <w:pPr>
        <w:jc w:val="left"/>
      </w:pPr>
    </w:p>
    <w:p w:rsidR="00AC0832" w:rsidRDefault="00AC0832">
      <w:pPr>
        <w:pStyle w:val="Heading4"/>
      </w:pPr>
      <w:r>
        <w:t>OBRAZLOŽENJE PROGRAMA</w:t>
      </w:r>
    </w:p>
    <w:p w:rsidR="00AC0832" w:rsidRDefault="00AC0832">
      <w:pPr>
        <w:pStyle w:val="Heading5"/>
      </w:pPr>
      <w:r>
        <w:t>3912 ODNOSI REPUBLIKE HRVATSKE I VJERSKIH ZAJEDNICA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3912-ODNOSI REPUBLIKE HRVATSKE I VJERSKIH ZAJEDNICA</w:t>
            </w:r>
          </w:p>
        </w:tc>
        <w:tc>
          <w:tcPr>
            <w:tcW w:w="2322" w:type="dxa"/>
          </w:tcPr>
          <w:p w:rsidR="00AC0832" w:rsidRDefault="00AC0832">
            <w:pPr>
              <w:pStyle w:val="CellColumn"/>
            </w:pPr>
            <w:r>
              <w:t>636.000</w:t>
            </w:r>
          </w:p>
        </w:tc>
        <w:tc>
          <w:tcPr>
            <w:tcW w:w="2322" w:type="dxa"/>
          </w:tcPr>
          <w:p w:rsidR="00AC0832" w:rsidRDefault="00AC0832">
            <w:pPr>
              <w:pStyle w:val="CellColumn"/>
            </w:pPr>
            <w:r>
              <w:t>627.731</w:t>
            </w:r>
          </w:p>
        </w:tc>
        <w:tc>
          <w:tcPr>
            <w:tcW w:w="2322" w:type="dxa"/>
          </w:tcPr>
          <w:p w:rsidR="00AC0832" w:rsidRDefault="00AC0832">
            <w:pPr>
              <w:pStyle w:val="CellColumn"/>
            </w:pPr>
            <w:r>
              <w:t>98,7</w:t>
            </w:r>
          </w:p>
        </w:tc>
      </w:tr>
    </w:tbl>
    <w:p w:rsidR="00AC0832" w:rsidRDefault="00AC0832">
      <w:pPr>
        <w:jc w:val="left"/>
      </w:pPr>
    </w:p>
    <w:p w:rsidR="00AC0832" w:rsidRDefault="00AC0832">
      <w:pPr>
        <w:pStyle w:val="Heading6"/>
      </w:pPr>
      <w:r>
        <w:t>Opis programa</w:t>
      </w:r>
    </w:p>
    <w:p w:rsidR="00AC0832" w:rsidRDefault="00AC0832">
      <w:pPr>
        <w:pStyle w:val="Normal5"/>
      </w:pPr>
      <w:r>
        <w:t>Program i cilj Komisije je održavanje i unapređenje dobrih odnosa Republike Hrvatske i vjerskih zajednica.</w:t>
      </w:r>
    </w:p>
    <w:p w:rsidR="00AC0832" w:rsidRDefault="00AC0832">
      <w:pPr>
        <w:pStyle w:val="Heading6"/>
      </w:pPr>
      <w:r>
        <w:t>Zakonske i druge pravne osnove</w:t>
      </w:r>
    </w:p>
    <w:p w:rsidR="00AC0832" w:rsidRDefault="00AC0832">
      <w:pPr>
        <w:pStyle w:val="Normal5"/>
      </w:pPr>
      <w:r>
        <w:t xml:space="preserve">Zakon o pravnom položaju vjerskih zajednica ("Narodne novine" broj 83/02) </w:t>
      </w:r>
    </w:p>
    <w:p w:rsidR="00AC0832" w:rsidRDefault="00AC0832">
      <w:pPr>
        <w:pStyle w:val="Normal5"/>
      </w:pPr>
      <w:r>
        <w:t>Poslovnik Vlade Republike Hrvatske ("Narodne novine" broj 154/11)</w:t>
      </w:r>
    </w:p>
    <w:p w:rsidR="00AC0832" w:rsidRDefault="00AC0832">
      <w:pPr>
        <w:pStyle w:val="Heading6"/>
      </w:pPr>
      <w:r>
        <w:t>A674000 ODNOSI REPUBLIKE HRVATSKE I VJERSKIH ZAJEDNICA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A674000-ODNOSI REPUBLIKE HRVATSKE I VJERSKIH ZAJEDNICA</w:t>
            </w:r>
          </w:p>
        </w:tc>
        <w:tc>
          <w:tcPr>
            <w:tcW w:w="2322" w:type="dxa"/>
          </w:tcPr>
          <w:p w:rsidR="00AC0832" w:rsidRDefault="00AC0832">
            <w:pPr>
              <w:pStyle w:val="CellColumn"/>
            </w:pPr>
            <w:r>
              <w:t>634.211</w:t>
            </w:r>
          </w:p>
        </w:tc>
        <w:tc>
          <w:tcPr>
            <w:tcW w:w="2322" w:type="dxa"/>
          </w:tcPr>
          <w:p w:rsidR="00AC0832" w:rsidRDefault="00AC0832">
            <w:pPr>
              <w:pStyle w:val="CellColumn"/>
            </w:pPr>
            <w:r>
              <w:t>625.943</w:t>
            </w:r>
          </w:p>
        </w:tc>
        <w:tc>
          <w:tcPr>
            <w:tcW w:w="2322" w:type="dxa"/>
          </w:tcPr>
          <w:p w:rsidR="00AC0832" w:rsidRDefault="00AC0832">
            <w:pPr>
              <w:pStyle w:val="CellColumn"/>
            </w:pPr>
            <w:r>
              <w:t>98,7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Ukupno planirana sredstva za 2012. godinu iznosila su 648.480 kuna, a izvršeno je 627.731 kuna. U izvršenju Financijskog plana za 2012. godinu nije bilo znatnijih odstupanja u odnosu na 2011. godinu.</w:t>
      </w:r>
    </w:p>
    <w:p w:rsidR="00AC0832" w:rsidRDefault="00AC0832">
      <w:pPr>
        <w:pStyle w:val="Heading6"/>
      </w:pPr>
      <w:r>
        <w:t>K674002 OPREMANJE KOMISIJE ZA ODNOSE S VJERSKIM ZAJEDNICAMA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K674002-OPREMANJE KOMISIJE ZA ODNOSE S VJERSKIM ZAJEDNICAMA</w:t>
            </w:r>
          </w:p>
        </w:tc>
        <w:tc>
          <w:tcPr>
            <w:tcW w:w="2322" w:type="dxa"/>
          </w:tcPr>
          <w:p w:rsidR="00AC0832" w:rsidRDefault="00AC0832">
            <w:pPr>
              <w:pStyle w:val="CellColumn"/>
            </w:pPr>
            <w:r>
              <w:t>1.789</w:t>
            </w:r>
          </w:p>
        </w:tc>
        <w:tc>
          <w:tcPr>
            <w:tcW w:w="2322" w:type="dxa"/>
          </w:tcPr>
          <w:p w:rsidR="00AC0832" w:rsidRDefault="00AC0832">
            <w:pPr>
              <w:pStyle w:val="CellColumn"/>
            </w:pPr>
            <w:r>
              <w:t>1.788</w:t>
            </w:r>
          </w:p>
        </w:tc>
        <w:tc>
          <w:tcPr>
            <w:tcW w:w="2322" w:type="dxa"/>
          </w:tcPr>
          <w:p w:rsidR="00AC0832" w:rsidRDefault="00AC0832">
            <w:pPr>
              <w:pStyle w:val="CellColumn"/>
            </w:pPr>
            <w:r>
              <w:t>99,9</w:t>
            </w:r>
          </w:p>
        </w:tc>
      </w:tr>
    </w:tbl>
    <w:p w:rsidR="00AC0832" w:rsidRDefault="00AC0832">
      <w:pPr>
        <w:jc w:val="left"/>
      </w:pPr>
    </w:p>
    <w:p w:rsidR="00AC0832" w:rsidRDefault="00AC0832">
      <w:pPr>
        <w:pStyle w:val="Heading8"/>
        <w:jc w:val="left"/>
      </w:pPr>
    </w:p>
    <w:p w:rsidR="00AC0832" w:rsidRDefault="00AC0832">
      <w:pPr>
        <w:pStyle w:val="Heading8"/>
        <w:jc w:val="left"/>
      </w:pPr>
    </w:p>
    <w:p w:rsidR="00AC0832" w:rsidRDefault="00AC0832">
      <w:pPr>
        <w:pStyle w:val="Heading8"/>
        <w:jc w:val="left"/>
      </w:pPr>
      <w:r>
        <w:t>Opis provedbe aktivnosti / projekta</w:t>
      </w:r>
    </w:p>
    <w:p w:rsidR="00AC0832" w:rsidRDefault="00AC0832">
      <w:pPr>
        <w:pStyle w:val="Normal6"/>
      </w:pPr>
      <w:r>
        <w:t>Tijekom 2012. godine za opremanje Komisije predviđeno je 2.500 kuna, a izvršeno je 1788 kuna, za kupnju novog pisača.</w:t>
      </w:r>
    </w:p>
    <w:p w:rsidR="00AC0832" w:rsidRDefault="00AC0832">
      <w:pPr>
        <w:pStyle w:val="Heading1"/>
      </w:pPr>
      <w:r>
        <w:t>235 HRVATSKA INFORMACIJSKO-DOKUMENTACIJSKA REFERALNA AGENCIJA</w:t>
      </w:r>
    </w:p>
    <w:p w:rsidR="00AC0832" w:rsidRDefault="00AC0832">
      <w:pPr>
        <w:pStyle w:val="Heading4"/>
      </w:pPr>
      <w:r>
        <w:t>Uvod</w:t>
      </w:r>
    </w:p>
    <w:p w:rsidR="00AC0832" w:rsidRDefault="00AC0832">
      <w:pPr>
        <w:pStyle w:val="Normal3"/>
      </w:pPr>
      <w:r>
        <w:t xml:space="preserve">Hrvatska informacijsko-dokumentacijska referalna agencija, stručna služba Vlade Republike Hrvatske zadužena je za informacijske, dokumentacijske i referalne poslove: prikupljanje, obradu, pohranu i diseminaciju javnih službenih informacija i dokumentacije Republike Hrvatske te izradu dokumentacijskih alata kojima sudjeluje u izgradnji javne službene informacijske infrastrukture koja se temelji na suvremenoj tehnologiji i međunarodno utvrđenim normama. </w:t>
      </w:r>
    </w:p>
    <w:p w:rsidR="00AC0832" w:rsidRDefault="00AC0832">
      <w:pPr>
        <w:pStyle w:val="Normal3"/>
      </w:pPr>
      <w:r>
        <w:t xml:space="preserve">Izvršavanjem zadaća za koje je zadužena, Hidra ostvaruje svoju misiju: osiguravanje dostupnosti i unapređenje korištenja javne službene dokumentacije i informacija Republike Hrvatske; pružanje pomoći u pretraživanju i pronalaženju službene dokumentacije stranih zemalja, međunarodnih organizacija kao i drugih informacija i dokumentacije od interesa tijelima javne vlasti i ostalim korisnicima; preuzimanje, primjena i izgradnja normi i preporuka nužnih za izgradnju jedinstvenog sustava poslovanja elektroničkim dokumentima tijela državne uprave te sudjelovanje u izobrazbi državnih i javnih službenika.  </w:t>
      </w:r>
    </w:p>
    <w:p w:rsidR="00AC0832" w:rsidRDefault="00AC0832">
      <w:pPr>
        <w:pStyle w:val="Normal3"/>
      </w:pPr>
      <w:r>
        <w:t xml:space="preserve">U 2012. godini Hidra je obavljala poslove u okviru svoje redovne djelatnosti, u sklopu provedbe mjera Akcijskoga plana za provedbu inicijative Partnerstvo za otvorenu vlast u Republici Hrvatskoj za razdoblje 2012.-2013. Vlade Republike Hrvatske u kojima je Hidra navedena kao sunositelj aktivnosti  ili njezino uključivanje u realizaciju proizlazi iz potrebe realizacije određene mjere (mjera 5.1. Izmijeniti i dopuniti Zakon o pravu na pristup informacijama, mjera 6.1. i osobito 6.2. Stvoriti zakonske, tehničke i financijske preduvjete za javnu objavu i trajnu dostupnost pretražive baze podataka o donatorima izbornih kampanja i donatora političkih stranaka)  te realizacije druge faze tekugeća projekta Izgradnja sustava za slanje i preuzimanje elektroničkih dokumenata. </w:t>
      </w:r>
    </w:p>
    <w:p w:rsidR="00AC0832" w:rsidRDefault="00AC0832">
      <w:pPr>
        <w:pStyle w:val="Normal3"/>
      </w:pPr>
      <w:r>
        <w:t>Zadaci su bili planirani na način da ih se u najvećoj mogućoj mjeri moglo obaviti kroz redovni rad zaposlenih i u okvirima njihovih stručnih i iskustvenih potencijala te postojeće tehničko-tehnološke infrastrukture. Rezultati obavljenih poslova doprinose transparentnosti rada tijela javne vlasti i ostvarenju zajamčenoga prava svim građanima na slobodan pristup službenim informacijama, razvoju informatizacije tijela javne vlasti, pripremnim radnjama za ulazak Republike Hrvatske u Europsku uniju i povećanju kvalitete usluga građanima od strane tijela javne vlasti.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23505-Hrvatska informacijsko-dokumentacijska referalna agencija</w:t>
            </w:r>
          </w:p>
        </w:tc>
        <w:tc>
          <w:tcPr>
            <w:tcW w:w="2322" w:type="dxa"/>
          </w:tcPr>
          <w:p w:rsidR="00AC0832" w:rsidRDefault="00AC0832">
            <w:pPr>
              <w:pStyle w:val="CellColumn"/>
            </w:pPr>
            <w:r>
              <w:t>5.046.000</w:t>
            </w:r>
          </w:p>
        </w:tc>
        <w:tc>
          <w:tcPr>
            <w:tcW w:w="2322" w:type="dxa"/>
          </w:tcPr>
          <w:p w:rsidR="00AC0832" w:rsidRDefault="00AC0832">
            <w:pPr>
              <w:pStyle w:val="CellColumn"/>
            </w:pPr>
            <w:r>
              <w:t>5.000.948</w:t>
            </w:r>
          </w:p>
        </w:tc>
        <w:tc>
          <w:tcPr>
            <w:tcW w:w="2322" w:type="dxa"/>
          </w:tcPr>
          <w:p w:rsidR="00AC0832" w:rsidRDefault="00AC0832">
            <w:pPr>
              <w:pStyle w:val="CellColumn"/>
            </w:pPr>
            <w:r>
              <w:t>99,1</w:t>
            </w:r>
          </w:p>
        </w:tc>
      </w:tr>
      <w:tr w:rsidR="00AC0832" w:rsidTr="00BE20ED">
        <w:trPr>
          <w:jc w:val="center"/>
        </w:trPr>
        <w:tc>
          <w:tcPr>
            <w:tcW w:w="2322" w:type="dxa"/>
            <w:shd w:val="clear" w:color="auto" w:fill="B5C0D8"/>
          </w:tcPr>
          <w:p w:rsidR="00AC0832" w:rsidRDefault="00AC0832">
            <w:pPr>
              <w:pStyle w:val="CellColumn"/>
            </w:pPr>
            <w:r>
              <w:t>Ukupno 235-HRVATSKA INFORMACIJSKO-DOKUMENTACIJSKA REFERALNA AGENCIJA</w:t>
            </w:r>
          </w:p>
        </w:tc>
        <w:tc>
          <w:tcPr>
            <w:tcW w:w="2322" w:type="dxa"/>
            <w:shd w:val="clear" w:color="auto" w:fill="B5C0D8"/>
          </w:tcPr>
          <w:p w:rsidR="00AC0832" w:rsidRDefault="00AC0832">
            <w:pPr>
              <w:pStyle w:val="CellColumn"/>
            </w:pPr>
            <w:r>
              <w:t>5.046.000</w:t>
            </w:r>
          </w:p>
        </w:tc>
        <w:tc>
          <w:tcPr>
            <w:tcW w:w="2322" w:type="dxa"/>
            <w:shd w:val="clear" w:color="auto" w:fill="B5C0D8"/>
          </w:tcPr>
          <w:p w:rsidR="00AC0832" w:rsidRDefault="00AC0832">
            <w:pPr>
              <w:pStyle w:val="CellColumn"/>
            </w:pPr>
            <w:r>
              <w:t>5.000.948</w:t>
            </w:r>
          </w:p>
        </w:tc>
        <w:tc>
          <w:tcPr>
            <w:tcW w:w="2322" w:type="dxa"/>
            <w:shd w:val="clear" w:color="auto" w:fill="B5C0D8"/>
          </w:tcPr>
          <w:p w:rsidR="00AC0832" w:rsidRDefault="00AC0832">
            <w:pPr>
              <w:pStyle w:val="CellColumn"/>
            </w:pPr>
            <w:r>
              <w:t>99,1</w:t>
            </w:r>
          </w:p>
        </w:tc>
      </w:tr>
    </w:tbl>
    <w:p w:rsidR="00AC0832" w:rsidRDefault="00AC0832">
      <w:pPr>
        <w:jc w:val="left"/>
      </w:pPr>
    </w:p>
    <w:p w:rsidR="00AC0832" w:rsidRDefault="00AC0832">
      <w:pPr>
        <w:pStyle w:val="Heading2"/>
      </w:pPr>
      <w:r>
        <w:t>23505 Hrvatska informacijsko-dokumentacijska referalna agencija</w:t>
      </w:r>
    </w:p>
    <w:p w:rsidR="00AC0832" w:rsidRDefault="00AC0832">
      <w:pPr>
        <w:pStyle w:val="Heading4"/>
      </w:pPr>
      <w:r>
        <w:t>Uvod</w:t>
      </w:r>
    </w:p>
    <w:p w:rsidR="00AC0832" w:rsidRDefault="00AC0832">
      <w:pPr>
        <w:pStyle w:val="Normal3"/>
      </w:pPr>
      <w:r>
        <w:t xml:space="preserve">Hrvatska informacijsko-dokumentacijska referalna agencija, stručna služba Vlade Republike Hrvatske zadužena je za informacijske, dokumentacijske i referalne poslove: prikupljanje, obradu, pohranu i diseminaciju javnih službenih informacija i dokumentacije Republike Hrvatske te izradu dokumentacijskih alata kojima sudjeluje u izgradnji javne službene informacijske infrastrukture koja se temelji na suvremenoj tehnologiji i međunarodno utvrđenim normama. </w:t>
      </w:r>
    </w:p>
    <w:p w:rsidR="00AC0832" w:rsidRDefault="00AC0832">
      <w:pPr>
        <w:pStyle w:val="Normal3"/>
      </w:pPr>
      <w:r>
        <w:t xml:space="preserve">Izvršavanjem zadaća za koje je zadužena, Hidra ostvaruje svoju misiju: osiguravanje dostupnosti i unapređenje korištenja javne službene dokumentacije i informacija Republike Hrvatske; pružanje pomoći u pretraživanju i pronalaženju službene dokumentacije stranih zemalja, međunarodnih organizacija kao i drugih informacija i dokumentacije od interesa tijelima javne vlasti i ostalim korisnicima; preuzimanje, primjena i izgradnja normi i preporuka nužnih za izgradnju jedinstvenog sustava poslovanja elektroničkim dokumentima tijela državne uprave te sudjelovanje u izobrazbi državnih i javnih službenika.  </w:t>
      </w:r>
    </w:p>
    <w:p w:rsidR="00AC0832" w:rsidRDefault="00AC0832">
      <w:pPr>
        <w:pStyle w:val="Normal3"/>
      </w:pPr>
      <w:r>
        <w:t xml:space="preserve">U 2012. godini Hidra je obavljala poslove u okviru svoje redovne djelatnosti, u sklopu provedbe mjera Akcijskoga plana za provedbu inicijative Partnerstvo za otvorenu vlast u Republici Hrvatskoj za razdoblje 2012.-2013. Vlade Republike Hrvatske u kojima je Hidra navedena kao sunositelj aktivnosti  ili njezino uključivanje u realizaciju proizlazi iz potrebe realizacije određene mjere (mjera 5.1. Izmijeniti i dopuniti Zakon o pravu na pristup informacijama, mjera 6.1 i osobito 6.2. Stvoriti zakonske, tehničke i financijske preduvjete za javnu objavu i trajnu dostupnost pretražive baze podataka o donatorima izbornih kampanja i donatora političkih stranaka)  te realizacije druge faze tekugeća projekta Izgradnja sustava za slanje i preuzimanje elektroničkih dokumenata. </w:t>
      </w:r>
    </w:p>
    <w:p w:rsidR="00AC0832" w:rsidRDefault="00AC0832">
      <w:pPr>
        <w:pStyle w:val="Normal3"/>
      </w:pPr>
      <w:r>
        <w:t>Zadaci su bili planirani na način da ih se u najvećoj mogućoj mjeri moglo obaviti kroz redovni rad zaposlenih i u okvirima njihovih stručnih i iskustvenih potencijala te postojeće tehničko-tehnološke infrastrukture. Rezultati obavljenih poslova doprinose transparentnosti rada tijela javne vlasti i ostvarenju zajamčenoga prava svim građanima na slobodan pristup službenim informacijama, razvoju informatizacije tijela javne vlasti, pripremnim radnjama za ulazak Republike Hrvatske u Europsku uniju i povećanju kvalitete usluga građanima od strane tijela javne vlasti.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23505-Hrvatska informacijsko-dokumentacijska referalna agencija</w:t>
            </w:r>
          </w:p>
        </w:tc>
        <w:tc>
          <w:tcPr>
            <w:tcW w:w="2322" w:type="dxa"/>
          </w:tcPr>
          <w:p w:rsidR="00AC0832" w:rsidRDefault="00AC0832">
            <w:pPr>
              <w:pStyle w:val="CellColumn"/>
            </w:pPr>
            <w:r>
              <w:t>5.046.000</w:t>
            </w:r>
          </w:p>
        </w:tc>
        <w:tc>
          <w:tcPr>
            <w:tcW w:w="2322" w:type="dxa"/>
          </w:tcPr>
          <w:p w:rsidR="00AC0832" w:rsidRDefault="00AC0832">
            <w:pPr>
              <w:pStyle w:val="CellColumn"/>
            </w:pPr>
            <w:r>
              <w:t>5.000.948</w:t>
            </w:r>
          </w:p>
        </w:tc>
        <w:tc>
          <w:tcPr>
            <w:tcW w:w="2322" w:type="dxa"/>
          </w:tcPr>
          <w:p w:rsidR="00AC0832" w:rsidRDefault="00AC0832">
            <w:pPr>
              <w:pStyle w:val="CellColumn"/>
            </w:pPr>
            <w:r>
              <w:t>99,1</w:t>
            </w:r>
          </w:p>
        </w:tc>
      </w:tr>
      <w:tr w:rsidR="00AC0832" w:rsidTr="00BE20ED">
        <w:trPr>
          <w:jc w:val="center"/>
        </w:trPr>
        <w:tc>
          <w:tcPr>
            <w:tcW w:w="2322" w:type="dxa"/>
          </w:tcPr>
          <w:p w:rsidR="00AC0832" w:rsidRDefault="00AC0832">
            <w:pPr>
              <w:pStyle w:val="CellColumnSmall"/>
            </w:pPr>
            <w:r>
              <w:t>2409-INFORMACIJSKI SUSTAV JAVNE SLUŽBENE DOKUMENTACIJE</w:t>
            </w:r>
          </w:p>
        </w:tc>
        <w:tc>
          <w:tcPr>
            <w:tcW w:w="2322" w:type="dxa"/>
          </w:tcPr>
          <w:p w:rsidR="00AC0832" w:rsidRDefault="00AC0832">
            <w:pPr>
              <w:pStyle w:val="CellColumnSmall"/>
            </w:pPr>
            <w:r>
              <w:t>5.046.000</w:t>
            </w:r>
          </w:p>
        </w:tc>
        <w:tc>
          <w:tcPr>
            <w:tcW w:w="2322" w:type="dxa"/>
          </w:tcPr>
          <w:p w:rsidR="00AC0832" w:rsidRDefault="00AC0832">
            <w:pPr>
              <w:pStyle w:val="CellColumnSmall"/>
            </w:pPr>
            <w:r>
              <w:t>5.000.948</w:t>
            </w:r>
          </w:p>
        </w:tc>
        <w:tc>
          <w:tcPr>
            <w:tcW w:w="2322" w:type="dxa"/>
          </w:tcPr>
          <w:p w:rsidR="00AC0832" w:rsidRDefault="00AC0832">
            <w:pPr>
              <w:pStyle w:val="CellColumnSmall"/>
            </w:pPr>
            <w:r>
              <w:t>99,1</w:t>
            </w:r>
          </w:p>
        </w:tc>
      </w:tr>
    </w:tbl>
    <w:p w:rsidR="00AC0832" w:rsidRDefault="00AC0832">
      <w:pPr>
        <w:jc w:val="left"/>
      </w:pPr>
    </w:p>
    <w:p w:rsidR="00AC0832" w:rsidRDefault="00AC0832">
      <w:pPr>
        <w:pStyle w:val="Heading4"/>
      </w:pPr>
      <w:r>
        <w:t>OBRAZLOŽENJE PROGRAMA</w:t>
      </w:r>
    </w:p>
    <w:p w:rsidR="00AC0832" w:rsidRDefault="00AC0832">
      <w:pPr>
        <w:pStyle w:val="Heading5"/>
      </w:pPr>
      <w:r>
        <w:t>2409 INFORMACIJSKI SUSTAV JAVNE SLUŽBENE DOKUMENTACIJE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2409-INFORMACIJSKI SUSTAV JAVNE SLUŽBENE DOKUMENTACIJE</w:t>
            </w:r>
          </w:p>
        </w:tc>
        <w:tc>
          <w:tcPr>
            <w:tcW w:w="2322" w:type="dxa"/>
          </w:tcPr>
          <w:p w:rsidR="00AC0832" w:rsidRDefault="00AC0832">
            <w:pPr>
              <w:pStyle w:val="CellColumn"/>
            </w:pPr>
            <w:r>
              <w:t>5.046.000</w:t>
            </w:r>
          </w:p>
        </w:tc>
        <w:tc>
          <w:tcPr>
            <w:tcW w:w="2322" w:type="dxa"/>
          </w:tcPr>
          <w:p w:rsidR="00AC0832" w:rsidRDefault="00AC0832">
            <w:pPr>
              <w:pStyle w:val="CellColumn"/>
            </w:pPr>
            <w:r>
              <w:t>5.000.948</w:t>
            </w:r>
          </w:p>
        </w:tc>
        <w:tc>
          <w:tcPr>
            <w:tcW w:w="2322" w:type="dxa"/>
          </w:tcPr>
          <w:p w:rsidR="00AC0832" w:rsidRDefault="00AC0832">
            <w:pPr>
              <w:pStyle w:val="CellColumn"/>
            </w:pPr>
            <w:r>
              <w:t>99,1</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Program predstavlja skup svih aktivnosti u sklopu sustava informacijsko-dokumentacijske djelatnosti Hidre koji obuhvaća prikupljanje, obradu, pohranu, diseminaciju javnih službenih informacija i dokumentacije Republike Hrvatske i izradu dokumentacijskih alata u službi izgradnje javne službene informacijske infrastrukture koja se temelji na suvremenoj tehnologiji i međunarodno utvrđenim normama. Ostvarenje aktivnosti dovodi do postignuća Hidrinoga općeg cilja, odnosno, osiguravanja dostupnosti javne službene dokumentacije pod jednakim uvjetima i nepristrano svim korisnicima. </w:t>
      </w:r>
    </w:p>
    <w:p w:rsidR="00AC0832" w:rsidRDefault="00AC0832">
      <w:pPr>
        <w:pStyle w:val="Normal5"/>
      </w:pPr>
      <w:r>
        <w:t>Ciljevi programa dio su Strategije Vladinih programa za razdoblje 2012.-2014. pod točkom 3.3.1 Stvaranje cjelovite zbirke javne službene dokumentacije i informacija o tijelima javne vlasti Republike Hrvatske Posebnog cilja 3.3 Kompetentna i djelotvorna javna uprava Općeg cilja 3. Jačanje pravne države i vladavine prava.</w:t>
      </w:r>
    </w:p>
    <w:p w:rsidR="00AC0832" w:rsidRDefault="00AC0832">
      <w:pPr>
        <w:pStyle w:val="Heading6"/>
      </w:pPr>
      <w:r>
        <w:t>Zakonske i druge pravne osnove</w:t>
      </w:r>
    </w:p>
    <w:p w:rsidR="00AC0832" w:rsidRDefault="00AC0832">
      <w:pPr>
        <w:pStyle w:val="Normal5"/>
      </w:pPr>
      <w:r>
        <w:t>Uredba o Hrvatskoj informacijsko-dokumentacijskoj referalnoj agenciji (NN 43/94 i 32/01), Uredba o unutarnjem ustrojstvu i načinu rada Hrvatske informacijsko-dokumentacijske referalne agencije (NN 20/07), Zakon o Vladi RH (NN 150/11), Zakon o knjižnicama, članak 39. (NN 105/97, 5/98,  104/00 i 69/09), Zakon o pravu na pristup informacijama (NN 172/03, 37/11 i 77/11), Strategija Vladinih programa za razdoblje 2012.-2014., Strategije razvoja elektroničke uprave u RH za razdoblje 2009. do 2012. godine, Akcijski plan za provedbu strategije razvoja ljudskih potencijala za državnu službu 2010.- 2013., Strategija "Informacijska i komunikacijska tehnologija - Hrvatska u 21. stoljeću" (NN 109/02), Strateški okvir za razvoj 2006.-2013., Ne ekskluzivna Licenca 2003-COP-171 Ureda za službene publikacije Europskih zajednica (u ime Europskih zajednica) Hidri za prevođenje i izdavanje Pojmovnika Eurovoc (srpanj, 2003).</w:t>
      </w:r>
    </w:p>
    <w:p w:rsidR="00AC0832" w:rsidRDefault="00AC0832">
      <w:pPr>
        <w:pStyle w:val="Heading7"/>
      </w:pPr>
      <w:r>
        <w:t xml:space="preserve">Cilj 1. Stvaranje cjelovite zbirke javne službene dokumentacije i informacija  o  tijelima  javne  vlasti  Republike  Hrvatske </w:t>
      </w:r>
    </w:p>
    <w:p w:rsidR="00AC0832" w:rsidRDefault="00AC0832">
      <w:pPr>
        <w:pStyle w:val="Heading8"/>
        <w:jc w:val="left"/>
      </w:pPr>
      <w:r>
        <w:t>Opis provedbe cilja programa</w:t>
      </w:r>
    </w:p>
    <w:p w:rsidR="00AC0832" w:rsidRDefault="00AC0832">
      <w:pPr>
        <w:pStyle w:val="Normal6"/>
      </w:pPr>
      <w:r>
        <w:t xml:space="preserve">Cjelovita zbirka javne službene dokumentacije i informacija omogućit će uspješnu i trajnu dostupnost javnim službenim dokumentima i informacijama tijela javne vlasti svim zainteresiranim korisnicima. </w:t>
      </w:r>
    </w:p>
    <w:p w:rsidR="00AC0832" w:rsidRDefault="00AC0832">
      <w:pPr>
        <w:pStyle w:val="Normal6"/>
      </w:pPr>
      <w:r>
        <w:t xml:space="preserve">Zbirka obuhvaća pravne propise i međunarodne ugovore, radne materijale za sjednice Hrvatskoga sabora i Vlade Republike Hrvatske, službena glasila jedinica lokalne i područne (regionalne) samouprave te druge javne službene dokumente tijela javne vlasti. </w:t>
      </w:r>
    </w:p>
    <w:p w:rsidR="00AC0832" w:rsidRDefault="00AC0832">
      <w:pPr>
        <w:pStyle w:val="Normal6"/>
      </w:pPr>
      <w:r>
        <w:t xml:space="preserve">Postojeći zakonski i drugi pravni propisi ne osiguravaju u cijelosti izgradnju zbirke službenih dokumenata Republike Hrvatske  te je  u trogodišnjem razdoblju težište djelatnosti usmjereno na inicijative za uspostavu adekvatnijeg pravnog okvira koji će omogućiti njezinu cjelovitost. </w:t>
      </w:r>
    </w:p>
    <w:p w:rsidR="00AC0832" w:rsidRDefault="00AC0832">
      <w:pPr>
        <w:pStyle w:val="Normal6"/>
      </w:pPr>
      <w:r>
        <w:t xml:space="preserve">Projekt izgradnje sustava za slanje i preuzimanje službenih elektroničkih dokumenata, koji je pokrenut 2011. godine, trebao bi rezultirati naprednijim tehnološkim rješenjem za prikupljanje dokumenata od strane tijela javne vlasti i upotpunjavanje zbirke. </w:t>
      </w:r>
    </w:p>
    <w:p w:rsidR="00AC0832" w:rsidRDefault="00AC0832">
      <w:pPr>
        <w:pStyle w:val="Normal6"/>
      </w:pPr>
      <w:r>
        <w:t>U svrhu organizacije podataka te bržeg i ciljanog pretraživanja podatkovnih baza i zbirke javne službene dokumentacije, Hidra sustavno i trajno od 2000. godine izgrađuje i održava jedinstveni nacionalni dokumentacijski pojmovni sustav za usklađenu sadržajnu obradu čiju okosnicu predstavlja hrvatsko izdanje Pojmovnika Eurovoc Europske unije.</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9"/>
        <w:gridCol w:w="1255"/>
        <w:gridCol w:w="788"/>
        <w:gridCol w:w="1290"/>
        <w:gridCol w:w="857"/>
        <w:gridCol w:w="1784"/>
        <w:gridCol w:w="151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Osiguran adekvatni normativni temelj za cjelovitost zbirke javne službene dokumentacije i informacija tijela javne vlasti</w:t>
            </w:r>
          </w:p>
        </w:tc>
        <w:tc>
          <w:tcPr>
            <w:tcW w:w="1300" w:type="dxa"/>
          </w:tcPr>
          <w:p w:rsidR="00AC0832" w:rsidRDefault="00AC0832">
            <w:pPr>
              <w:pStyle w:val="CellColumn"/>
            </w:pPr>
            <w:r>
              <w:t>Inicijativa za izmjenu i dopunu zakonskih i drugih propisa za Hidrino prikupljanje javne službene dokumentacije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Nepotpune i neprecizne odredbe na kojima se temelji Hidrino prikupljanje javne službene dokumentacije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 xml:space="preserve">Izmjena i dopuna Uredbe o unutarnjem ustrojstvu i načinu rada Hidre </w:t>
            </w:r>
          </w:p>
          <w:p w:rsidR="00AC0832" w:rsidRDefault="00AC0832">
            <w:pPr>
              <w:pStyle w:val="CellColumn"/>
            </w:pPr>
            <w:r>
              <w:t>Prijedlog izmjene i dopune čl. 10 Zakona o pristupu informacijama</w:t>
            </w:r>
          </w:p>
        </w:tc>
        <w:tc>
          <w:tcPr>
            <w:tcW w:w="1300" w:type="dxa"/>
          </w:tcPr>
          <w:p w:rsidR="00AC0832" w:rsidRDefault="00AC0832">
            <w:pPr>
              <w:pStyle w:val="CellColumn"/>
            </w:pPr>
            <w:r>
              <w:t xml:space="preserve">Izrađen nacrt Prijedloga Uredbe, usklađen sa zakonskim propisima i pribavljena mišljenja nadležnih tijela </w:t>
            </w:r>
          </w:p>
          <w:p w:rsidR="00AC0832" w:rsidRDefault="00AC0832">
            <w:pPr>
              <w:pStyle w:val="CellColumn"/>
            </w:pPr>
            <w:r>
              <w:t>Hidrin prijedlog dopune Zakona o pravu na pristup informacijama u dijelu koji se odnosi na Središnji katalog javnih dokumenata RH uvršten je u konačni prijedlog Zakona.</w:t>
            </w:r>
          </w:p>
        </w:tc>
      </w:tr>
      <w:tr w:rsidR="00AC0832" w:rsidTr="00BE20ED">
        <w:trPr>
          <w:jc w:val="center"/>
        </w:trPr>
        <w:tc>
          <w:tcPr>
            <w:tcW w:w="1300" w:type="dxa"/>
          </w:tcPr>
          <w:p w:rsidR="00AC0832" w:rsidRDefault="00AC0832">
            <w:pPr>
              <w:pStyle w:val="CellColumn"/>
            </w:pPr>
            <w:r>
              <w:t>Uspostavljena IT podrška za cjelovitost zbirke javne službene dokumentacije i informacija tijela javne vlasti</w:t>
            </w:r>
          </w:p>
        </w:tc>
        <w:tc>
          <w:tcPr>
            <w:tcW w:w="1300" w:type="dxa"/>
          </w:tcPr>
          <w:p w:rsidR="00AC0832" w:rsidRDefault="00AC0832">
            <w:pPr>
              <w:pStyle w:val="CellColumn"/>
            </w:pPr>
            <w:r>
              <w:t>Izgradnjom programskoga sustava za slanje i preuzimanje elektroničkih dokumenata omogućit će se jednostavno i cjelovito prikupljanje i arhiviranje službene dokumentacije na elektroničkom mediju</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Ne postoji odgovarajući sustav za dostavljanje i prihvat elektroničkih dokumenata. Postojeći sustav za pobiranje elektroničkih dokumenata je neodrživ i predstavlja prelazno rješenje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Pilot verzija sustava za dostavljanje i prihvat elektroničkih dokumenata (testiranje kod tri korisnika)</w:t>
            </w:r>
          </w:p>
        </w:tc>
        <w:tc>
          <w:tcPr>
            <w:tcW w:w="1300" w:type="dxa"/>
          </w:tcPr>
          <w:p w:rsidR="00AC0832" w:rsidRDefault="00AC0832">
            <w:pPr>
              <w:pStyle w:val="CellColumn"/>
            </w:pPr>
            <w:r>
              <w:t>Pilot verzija sustava za slanje/preuzimanje elektroničkih dokumenata testirana je na podacima tri službena glasnika lokalne i područne samouprave.</w:t>
            </w:r>
          </w:p>
        </w:tc>
      </w:tr>
      <w:tr w:rsidR="00AC0832" w:rsidTr="00BE20ED">
        <w:trPr>
          <w:jc w:val="center"/>
        </w:trPr>
        <w:tc>
          <w:tcPr>
            <w:tcW w:w="1300" w:type="dxa"/>
          </w:tcPr>
          <w:p w:rsidR="00AC0832" w:rsidRDefault="00AC0832">
            <w:pPr>
              <w:pStyle w:val="CellColumn"/>
            </w:pPr>
            <w:r>
              <w:t>Uspostavljeni protokoli za osiguranje cjelovitost zbirke javne službene dokumentacije i informacija tijela javne vlasti</w:t>
            </w:r>
          </w:p>
        </w:tc>
        <w:tc>
          <w:tcPr>
            <w:tcW w:w="1300" w:type="dxa"/>
          </w:tcPr>
          <w:p w:rsidR="00AC0832" w:rsidRDefault="00AC0832">
            <w:pPr>
              <w:pStyle w:val="CellColumn"/>
            </w:pPr>
            <w:r>
              <w:t>Izrada protokola za slanje i preuzimanje elektroničkih dokumenata olakšat će primjenu programskoga sustava i osigurati njegovu konzistentnu uporabu</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Ne postoji pisani protokol.</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Protokol po kojem TJV dostavljajuelektroničke dokumente</w:t>
            </w:r>
          </w:p>
        </w:tc>
        <w:tc>
          <w:tcPr>
            <w:tcW w:w="1300" w:type="dxa"/>
          </w:tcPr>
          <w:p w:rsidR="00AC0832" w:rsidRDefault="00AC0832">
            <w:pPr>
              <w:pStyle w:val="CellColumn"/>
            </w:pPr>
            <w:r>
              <w:t>Ne postoji protokol</w:t>
            </w:r>
          </w:p>
        </w:tc>
      </w:tr>
      <w:tr w:rsidR="00AC0832" w:rsidTr="00BE20ED">
        <w:trPr>
          <w:jc w:val="center"/>
        </w:trPr>
        <w:tc>
          <w:tcPr>
            <w:tcW w:w="1300" w:type="dxa"/>
          </w:tcPr>
          <w:p w:rsidR="00AC0832" w:rsidRDefault="00AC0832">
            <w:pPr>
              <w:pStyle w:val="CellColumn"/>
            </w:pPr>
            <w:r>
              <w:t>Jednostavnija, brža, ekonomičnija dostupnost javne službene dokumentacije i informacijaterminološki transparentne u EU okruženju</w:t>
            </w:r>
          </w:p>
        </w:tc>
        <w:tc>
          <w:tcPr>
            <w:tcW w:w="1300" w:type="dxa"/>
          </w:tcPr>
          <w:p w:rsidR="00AC0832" w:rsidRDefault="00AC0832">
            <w:pPr>
              <w:pStyle w:val="CellColumn"/>
            </w:pPr>
            <w:r>
              <w:t xml:space="preserve">Ažuriranje Pojmovnika Eurovoc: </w:t>
            </w:r>
          </w:p>
          <w:p w:rsidR="00AC0832" w:rsidRDefault="00AC0832">
            <w:pPr>
              <w:pStyle w:val="CellColumn"/>
            </w:pPr>
            <w:r>
              <w:t>Preuzimanje, prevođenje, implementacija i objavljivanje najnovije verzije 4.4. Pojmovnika Eurovoc Europske unije s Hrvatskim dodatkom</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Implementirana Eurovoc verzija 4.3, objavljena na Hidrinom portalu i Portalu Europske Unije u sklopu višejezične verzije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 xml:space="preserve">Prevedena i implementirana nova verzija (4.4) Pojmovnika Eurovoc u Hidrinu normativnu bazu podataka </w:t>
            </w:r>
          </w:p>
          <w:p w:rsidR="00AC0832" w:rsidRDefault="00AC0832">
            <w:pPr>
              <w:pStyle w:val="CellColumn"/>
            </w:pPr>
            <w:r>
              <w:t xml:space="preserve">Objavljena verzija 4.4 Pojmovnika Eurovoc na Hidrinom portalu  </w:t>
            </w:r>
          </w:p>
          <w:p w:rsidR="00AC0832" w:rsidRDefault="00AC0832">
            <w:pPr>
              <w:pStyle w:val="CellColumn"/>
            </w:pPr>
            <w:r>
              <w:t xml:space="preserve">Objavljena verzija 4.4 Pojmovnika Eurovoc na portalu EU </w:t>
            </w:r>
          </w:p>
          <w:p w:rsidR="00AC0832" w:rsidRDefault="00AC0832">
            <w:pPr>
              <w:pStyle w:val="CellColumn"/>
            </w:pPr>
            <w:r>
              <w:t>Imenik TJV rekonstruiran i dograđen u dijelu državne vlasti, objavljen samostalno i u sklopu Hrvatskoga dodatka Pojmovniku Eurovoc 4.4</w:t>
            </w:r>
          </w:p>
        </w:tc>
        <w:tc>
          <w:tcPr>
            <w:tcW w:w="1300" w:type="dxa"/>
          </w:tcPr>
          <w:p w:rsidR="00AC0832" w:rsidRDefault="00AC0832">
            <w:pPr>
              <w:pStyle w:val="CellColumn"/>
            </w:pPr>
            <w:r>
              <w:t xml:space="preserve">Verzija 4.4 Pojmovnika Eurovoc je prevedena, revidirana i implementirana u Hidrinu normativnu bazu podataka. Objavljena verzija 4.4 Pojmovnika Eurovoc na Hidrinom portalu </w:t>
            </w:r>
          </w:p>
          <w:p w:rsidR="00AC0832" w:rsidRDefault="00AC0832">
            <w:pPr>
              <w:pStyle w:val="CellColumn"/>
            </w:pPr>
            <w:r>
              <w:t xml:space="preserve">Objavljena verzija 4.4 Pojmovnika Eurovoc na portalu EU </w:t>
            </w:r>
          </w:p>
          <w:p w:rsidR="00AC0832" w:rsidRDefault="00AC0832">
            <w:pPr>
              <w:pStyle w:val="CellColumn"/>
            </w:pPr>
            <w:r>
              <w:t>Imenik TJV ažuriran i objavljen na Hidrinom portalu zajedno s verzijom 4.4 Pojmovnika Eurovoc</w:t>
            </w:r>
          </w:p>
        </w:tc>
      </w:tr>
    </w:tbl>
    <w:p w:rsidR="00AC0832" w:rsidRDefault="00AC0832">
      <w:pPr>
        <w:jc w:val="left"/>
      </w:pPr>
    </w:p>
    <w:p w:rsidR="00AC0832" w:rsidRDefault="00AC0832">
      <w:pPr>
        <w:pStyle w:val="Heading7"/>
      </w:pPr>
      <w:r>
        <w:t>Cilj 2. Povećanje kvalitete diseminacije informacijskih proizvoda i usluga Hidre i edukacija korisnika</w:t>
      </w:r>
    </w:p>
    <w:p w:rsidR="00AC0832" w:rsidRDefault="00AC0832">
      <w:pPr>
        <w:pStyle w:val="Heading8"/>
        <w:jc w:val="left"/>
      </w:pPr>
      <w:r>
        <w:t>Opis provedbe cilja programa</w:t>
      </w:r>
    </w:p>
    <w:p w:rsidR="00AC0832" w:rsidRDefault="00AC0832">
      <w:pPr>
        <w:pStyle w:val="Normal6"/>
      </w:pPr>
      <w:r>
        <w:t>Organiziranjem i održavanjem sadržaja na portalu Hidre, uključivanjem njegova sadržaja na srodne državne portale Moja uprava i Hrvatska kulturna baština, izdavanjem i distribuiranjem periodičkih tiskanih i elektroničkih izdanja, lecima, brošurama, napisima u stručnim izdanjima i javnim medijima, nastupima na seminarima, konferencijama i drugim stručnim skupovima, radionicama za stručno osposobljavanje državnih i javnih službenika, konzultacijama, predstavljanjima proizvoda i usluga te odgovorima na pojedinačne korisničke upite, Hidra osigurava široku javnu dostupnost prikupljenoj, obrađenoj i pohranjenoj službenoj dokumentaciji i informacijama. Povećanjem opsega i ažurnošću podataka doprinosi se kvaliteti proizvoda i usluga, a snažnijom promocijom povećava vidljivost javne službene dokumentacije i informacija u javnom prostoru i broj korisnika Hidrinih usluga kojima su namijenjene: Hrvatskome saboru, Vladi Republike Hrvatske, drugim tijelima državne vlasti, tijelima s javnim ovlastima, jedinicama lokalne i područne (regionalne) samouprave te svim ostalim pravnim subjektima i pojedincima.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2"/>
        <w:gridCol w:w="2153"/>
        <w:gridCol w:w="840"/>
        <w:gridCol w:w="1378"/>
        <w:gridCol w:w="915"/>
        <w:gridCol w:w="1340"/>
        <w:gridCol w:w="134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Bolja informiranost korisnika uvođenjem novih tema i usluga na Portalu Hidre</w:t>
            </w:r>
          </w:p>
        </w:tc>
        <w:tc>
          <w:tcPr>
            <w:tcW w:w="1300" w:type="dxa"/>
          </w:tcPr>
          <w:p w:rsidR="00AC0832" w:rsidRDefault="00AC0832">
            <w:pPr>
              <w:pStyle w:val="CellColumn"/>
            </w:pPr>
            <w:r>
              <w:t>Dodavanje novih tema i poboljšanje funkcionalnosti alata za pretraživanje i proširivanje njegove primjene povećava se obuhvat i kvaliteta informiranosti na Hidrinom portalu</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 xml:space="preserve">- 4 teme sa 27 podtema </w:t>
            </w:r>
          </w:p>
          <w:p w:rsidR="00AC0832" w:rsidRDefault="00AC0832">
            <w:pPr>
              <w:pStyle w:val="CellColumn"/>
            </w:pPr>
            <w:r>
              <w:t>- tražilica CADIAL implementirana na zbirku pravnih propisa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 xml:space="preserve">Nova funkcionalnost u pretraživanju zbirke Digitalizirani glasnici - DG </w:t>
            </w:r>
          </w:p>
          <w:p w:rsidR="00AC0832" w:rsidRDefault="00AC0832">
            <w:pPr>
              <w:pStyle w:val="CellColumn"/>
            </w:pPr>
            <w:r>
              <w:t xml:space="preserve">(glasila lokalne i područne samouprave) </w:t>
            </w:r>
          </w:p>
          <w:p w:rsidR="00AC0832" w:rsidRDefault="00AC0832">
            <w:pPr>
              <w:pStyle w:val="CellColumn"/>
            </w:pPr>
            <w:r>
              <w:t xml:space="preserve"> Nova tema na portalu 'Tko je što'</w:t>
            </w:r>
          </w:p>
        </w:tc>
        <w:tc>
          <w:tcPr>
            <w:tcW w:w="1300" w:type="dxa"/>
          </w:tcPr>
          <w:p w:rsidR="00AC0832" w:rsidRDefault="00AC0832">
            <w:pPr>
              <w:pStyle w:val="CellColumn"/>
            </w:pPr>
            <w:r>
              <w:t xml:space="preserve">1. Nova funkcionalnost u pretraživanju zbirke DG je u testnoj fazi </w:t>
            </w:r>
          </w:p>
          <w:p w:rsidR="00AC0832" w:rsidRDefault="00AC0832">
            <w:pPr>
              <w:pStyle w:val="CellColumn"/>
            </w:pPr>
            <w:r>
              <w:t xml:space="preserve">2. Objavljena je nova tema na portalu 'Tko je što' </w:t>
            </w:r>
          </w:p>
          <w:p w:rsidR="00AC0832" w:rsidRDefault="00AC0832">
            <w:pPr>
              <w:pStyle w:val="CellColumn"/>
            </w:pPr>
            <w:r>
              <w:t xml:space="preserve">3. Objavljena je nova podtema 'Financiranje' u  rubrici Političke stranke – Dokumenti i publikacije stranaka </w:t>
            </w:r>
          </w:p>
          <w:p w:rsidR="00AC0832" w:rsidRDefault="00AC0832">
            <w:pPr>
              <w:pStyle w:val="CellColumn"/>
            </w:pPr>
            <w:r>
              <w:t>4. Objavljena nova edukacijska usluga – online program: 'Naučite kako, brzo i lako, do pravnih propisa.'</w:t>
            </w:r>
          </w:p>
        </w:tc>
      </w:tr>
      <w:tr w:rsidR="00AC0832" w:rsidTr="00BE20ED">
        <w:trPr>
          <w:jc w:val="center"/>
        </w:trPr>
        <w:tc>
          <w:tcPr>
            <w:tcW w:w="1300" w:type="dxa"/>
          </w:tcPr>
          <w:p w:rsidR="00AC0832" w:rsidRDefault="00AC0832">
            <w:pPr>
              <w:pStyle w:val="CellColumn"/>
            </w:pPr>
            <w:r>
              <w:t>Dostupnost službenih informacija za korisnike koji nemaju pristup Internetu</w:t>
            </w:r>
          </w:p>
        </w:tc>
        <w:tc>
          <w:tcPr>
            <w:tcW w:w="1300" w:type="dxa"/>
          </w:tcPr>
          <w:p w:rsidR="00AC0832" w:rsidRDefault="00AC0832">
            <w:pPr>
              <w:pStyle w:val="CellColumn"/>
            </w:pPr>
            <w:r>
              <w:t>Objavljena izdanja promoviraju korištenje službenih izvora i pomoć su u radu službi tijela javne vlasti</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3 periodičke objavljene publikacije i promidžbeni materijali. Distribuirano na 1.486 adresa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Objava triju periodičnih publikacija i tiskanje promidžbenog materijala 2.000 komada</w:t>
            </w:r>
          </w:p>
        </w:tc>
        <w:tc>
          <w:tcPr>
            <w:tcW w:w="1300" w:type="dxa"/>
          </w:tcPr>
          <w:p w:rsidR="00AC0832" w:rsidRDefault="00AC0832">
            <w:pPr>
              <w:pStyle w:val="CellColumn"/>
            </w:pPr>
            <w:r>
              <w:t xml:space="preserve">- Objavljena je elektronička publikacija 'Katalog službenih publikacija 17/2011.' </w:t>
            </w:r>
          </w:p>
          <w:p w:rsidR="00AC0832" w:rsidRDefault="00AC0832">
            <w:pPr>
              <w:pStyle w:val="CellColumn"/>
            </w:pPr>
            <w:r>
              <w:t xml:space="preserve">- Objavljena je publikacija 'Mali vodič' u elektroničkom i papirnom izdanju </w:t>
            </w:r>
          </w:p>
          <w:p w:rsidR="00AC0832" w:rsidRDefault="00AC0832">
            <w:pPr>
              <w:pStyle w:val="CellColumn"/>
            </w:pPr>
            <w:r>
              <w:t>- Objavljena je publikacija 'Političke stranke u RH 16/2012' u elektroničkom i papirnom izdanju</w:t>
            </w:r>
          </w:p>
        </w:tc>
      </w:tr>
      <w:tr w:rsidR="00AC0832" w:rsidTr="00BE20ED">
        <w:trPr>
          <w:jc w:val="center"/>
        </w:trPr>
        <w:tc>
          <w:tcPr>
            <w:tcW w:w="1300" w:type="dxa"/>
          </w:tcPr>
          <w:p w:rsidR="00AC0832" w:rsidRDefault="00AC0832">
            <w:pPr>
              <w:pStyle w:val="CellColumn"/>
            </w:pPr>
            <w:r>
              <w:t>Proširenje sadržaja specijaliziranih službenih portala ažurnim Hidrinim bazama podataka</w:t>
            </w:r>
          </w:p>
        </w:tc>
        <w:tc>
          <w:tcPr>
            <w:tcW w:w="1300" w:type="dxa"/>
          </w:tcPr>
          <w:p w:rsidR="00AC0832" w:rsidRDefault="00AC0832">
            <w:pPr>
              <w:pStyle w:val="CellColumn"/>
            </w:pPr>
            <w:r>
              <w:t>Sudjelovanjem s relevantnim temama u sadržaju portala Moja uprava i Hrvatska kulturna baština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 xml:space="preserve">Na portalu Moja uprava prikazuju se: Adresar tijela javne vlasti i zbirke službene dokumentacije </w:t>
            </w:r>
          </w:p>
          <w:p w:rsidR="00AC0832" w:rsidRDefault="00AC0832">
            <w:pPr>
              <w:pStyle w:val="CellColumn"/>
            </w:pPr>
            <w:r>
              <w:t>Na portalu Hrvatska kulturna baština prikazuje se Službena dokumentacija Republike Hrvatske i Dokumentacija političkih stranaka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 xml:space="preserve">Na portal Moja uprava dodaje se podtema Digitalizirani glasnici - DG </w:t>
            </w:r>
          </w:p>
          <w:p w:rsidR="00AC0832" w:rsidRDefault="00AC0832">
            <w:pPr>
              <w:pStyle w:val="CellColumn"/>
            </w:pPr>
            <w:r>
              <w:t xml:space="preserve">(glasila lokalne i područne samouprave) </w:t>
            </w:r>
          </w:p>
          <w:p w:rsidR="00AC0832" w:rsidRDefault="00AC0832">
            <w:pPr>
              <w:pStyle w:val="CellColumn"/>
            </w:pPr>
            <w:r>
              <w:t xml:space="preserve">Prisutnost na portalu Hrvatska kulturna baština s ažuriranim zbirkama: </w:t>
            </w:r>
          </w:p>
          <w:p w:rsidR="00AC0832" w:rsidRDefault="00AC0832">
            <w:pPr>
              <w:pStyle w:val="CellColumn"/>
            </w:pPr>
            <w:r>
              <w:t xml:space="preserve">- Službena dokumentacija Republike Hrvatske </w:t>
            </w:r>
          </w:p>
          <w:p w:rsidR="00AC0832" w:rsidRDefault="00AC0832">
            <w:pPr>
              <w:pStyle w:val="CellColumn"/>
            </w:pPr>
            <w:r>
              <w:t>- Dokumentacija političkih stranaka</w:t>
            </w:r>
          </w:p>
        </w:tc>
        <w:tc>
          <w:tcPr>
            <w:tcW w:w="1300" w:type="dxa"/>
          </w:tcPr>
          <w:p w:rsidR="00AC0832" w:rsidRDefault="00AC0832">
            <w:pPr>
              <w:pStyle w:val="CellColumn"/>
            </w:pPr>
            <w:r>
              <w:t xml:space="preserve">Na portalu Moja uprava prikazuju se: Adresar TJV i Hidrina zbirka pravnih propisa, čeka se uvrštavanje podteme Digitalizirani glasnici - DG (glasila lokalne i područne samouprave) </w:t>
            </w:r>
          </w:p>
          <w:p w:rsidR="00AC0832" w:rsidRDefault="00AC0832">
            <w:pPr>
              <w:pStyle w:val="CellColumn"/>
            </w:pPr>
            <w:r>
              <w:t>Na portalu Hrvatska kulturna baština eksplicitno su navedene Hidrine zbirke: Službena dokumentacija Republike Hrvatske i Dokumentacija političkih stranaka. Kroz poveznicu na Hidrin portal moguć je pristup ostalim informacijama i zbirkama dokumenata koje Hidra vodi.</w:t>
            </w:r>
          </w:p>
        </w:tc>
      </w:tr>
      <w:tr w:rsidR="00AC0832" w:rsidTr="00BE20ED">
        <w:trPr>
          <w:jc w:val="center"/>
        </w:trPr>
        <w:tc>
          <w:tcPr>
            <w:tcW w:w="1300" w:type="dxa"/>
          </w:tcPr>
          <w:p w:rsidR="00AC0832" w:rsidRDefault="00AC0832">
            <w:pPr>
              <w:pStyle w:val="CellColumn"/>
            </w:pPr>
            <w:r>
              <w:t>Širenje informacija i podizanje razine znanja kod državnih službenika o javnoj službenoj dokumentaciji i njezinom korištenju</w:t>
            </w:r>
          </w:p>
        </w:tc>
        <w:tc>
          <w:tcPr>
            <w:tcW w:w="1300" w:type="dxa"/>
          </w:tcPr>
          <w:p w:rsidR="00AC0832" w:rsidRDefault="00AC0832">
            <w:pPr>
              <w:pStyle w:val="CellColumn"/>
            </w:pPr>
            <w:r>
              <w:t xml:space="preserve">Kreiranje edukativnih sadržaja: seminara i radionica iz domene informacijsko-dokumentacijske djelatnosti u sklopu stalne izobrazbe državnih službenika koje organiziraju i provode tijela javne vlasti </w:t>
            </w:r>
          </w:p>
          <w:p w:rsidR="00AC0832" w:rsidRDefault="00AC0832">
            <w:pPr>
              <w:pStyle w:val="CellColumn"/>
            </w:pPr>
            <w:r>
              <w:t>Konzultantske aktivnosti: prezentacije Hidrine djelatnosti u sklopu pripreme za odlazak u diplomatske misije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 xml:space="preserve">- Radionice uvrštene u Program Centra za stalno stručno usavršavanje knjižničara pri Nacionalnoj i sveučilišnoj knjižnici /tri izvedbe u 2011. godini/: </w:t>
            </w:r>
          </w:p>
          <w:p w:rsidR="00AC0832" w:rsidRDefault="00AC0832">
            <w:pPr>
              <w:pStyle w:val="CellColumn"/>
            </w:pPr>
            <w:r>
              <w:t xml:space="preserve">1.Pravo na pristup informacijama i e-demokracija </w:t>
            </w:r>
          </w:p>
          <w:p w:rsidR="00AC0832" w:rsidRDefault="00AC0832">
            <w:pPr>
              <w:pStyle w:val="CellColumn"/>
            </w:pPr>
            <w:r>
              <w:t xml:space="preserve">2. Primjena Pojmovnika Eurovoc </w:t>
            </w:r>
          </w:p>
          <w:p w:rsidR="00AC0832" w:rsidRDefault="00AC0832">
            <w:pPr>
              <w:pStyle w:val="CellColumn"/>
            </w:pPr>
            <w:r>
              <w:t xml:space="preserve">- Pripremljene radionice: </w:t>
            </w:r>
          </w:p>
          <w:p w:rsidR="00AC0832" w:rsidRDefault="00AC0832">
            <w:pPr>
              <w:pStyle w:val="CellColumn"/>
            </w:pPr>
            <w:r>
              <w:t xml:space="preserve">1. Službena dokumentacija i informacije i njihova dostupnost </w:t>
            </w:r>
          </w:p>
          <w:p w:rsidR="00AC0832" w:rsidRDefault="00AC0832">
            <w:pPr>
              <w:pStyle w:val="CellColumn"/>
            </w:pPr>
            <w:r>
              <w:t xml:space="preserve">2. Novi oblici komunikacije s građanima </w:t>
            </w:r>
          </w:p>
          <w:p w:rsidR="00AC0832" w:rsidRDefault="00AC0832">
            <w:pPr>
              <w:pStyle w:val="CellColumn"/>
            </w:pPr>
            <w:r>
              <w:t xml:space="preserve">3. Upravljanje kroz ciljeve </w:t>
            </w:r>
          </w:p>
          <w:p w:rsidR="00AC0832" w:rsidRDefault="00AC0832">
            <w:pPr>
              <w:pStyle w:val="CellColumn"/>
            </w:pPr>
            <w:r>
              <w:t xml:space="preserve">4. Upravljanje znanjem </w:t>
            </w:r>
          </w:p>
          <w:p w:rsidR="00AC0832" w:rsidRDefault="00AC0832">
            <w:pPr>
              <w:pStyle w:val="CellColumn"/>
            </w:pPr>
            <w:r>
              <w:t>Plan Diplomatske akademije za 2012.</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 xml:space="preserve">- Održavanje radionica uvrštenih u Program Centra za stalno stručno usavršavanje knjižničara pri Nacionalnoj i sveučilišnoj knjižnici: </w:t>
            </w:r>
          </w:p>
          <w:p w:rsidR="00AC0832" w:rsidRDefault="00AC0832">
            <w:pPr>
              <w:pStyle w:val="CellColumn"/>
            </w:pPr>
            <w:r>
              <w:t xml:space="preserve">1.Pravo na pristup informacijama i e-demokracija </w:t>
            </w:r>
          </w:p>
          <w:p w:rsidR="00AC0832" w:rsidRDefault="00AC0832">
            <w:pPr>
              <w:pStyle w:val="CellColumn"/>
            </w:pPr>
            <w:r>
              <w:t xml:space="preserve">2. Primjena Pojmovnika Eurovoc </w:t>
            </w:r>
          </w:p>
          <w:p w:rsidR="00AC0832" w:rsidRDefault="00AC0832">
            <w:pPr>
              <w:pStyle w:val="CellColumn"/>
            </w:pPr>
            <w:r>
              <w:t xml:space="preserve">- uvrštavanje radionica u program Državne škole za javnu upravu </w:t>
            </w:r>
          </w:p>
          <w:p w:rsidR="00AC0832" w:rsidRDefault="00AC0832">
            <w:pPr>
              <w:pStyle w:val="CellColumn"/>
            </w:pPr>
            <w:r>
              <w:t>Ostvarenje Plana Diplomatske akademije u cijelosti</w:t>
            </w:r>
          </w:p>
        </w:tc>
        <w:tc>
          <w:tcPr>
            <w:tcW w:w="1300" w:type="dxa"/>
          </w:tcPr>
          <w:p w:rsidR="00AC0832" w:rsidRDefault="00AC0832">
            <w:pPr>
              <w:pStyle w:val="CellColumn"/>
            </w:pPr>
            <w:r>
              <w:t xml:space="preserve">- U Centru za stalno stručno usavršavanje knjižničara pri Nacionalnoj i sveučilišnoj knjižnici – održana je jedna radionica 'Pravo na pristup informacijama i e-demokracija'  </w:t>
            </w:r>
          </w:p>
          <w:p w:rsidR="00AC0832" w:rsidRDefault="00AC0832">
            <w:pPr>
              <w:pStyle w:val="CellColumn"/>
            </w:pPr>
            <w:r>
              <w:t xml:space="preserve">- U Državnu školu za javnu upravu upućene su teme: </w:t>
            </w:r>
          </w:p>
          <w:p w:rsidR="00AC0832" w:rsidRDefault="00AC0832">
            <w:pPr>
              <w:pStyle w:val="CellColumn"/>
            </w:pPr>
            <w:r>
              <w:t xml:space="preserve">1. Pravo na pristup informacijama i e-demokracija  </w:t>
            </w:r>
          </w:p>
          <w:p w:rsidR="00AC0832" w:rsidRDefault="00AC0832">
            <w:pPr>
              <w:pStyle w:val="CellColumn"/>
            </w:pPr>
            <w:r>
              <w:t xml:space="preserve">2. Primjena Pojmovnika Eurovoc </w:t>
            </w:r>
          </w:p>
          <w:p w:rsidR="00AC0832" w:rsidRDefault="00AC0832">
            <w:pPr>
              <w:pStyle w:val="CellColumn"/>
            </w:pPr>
            <w:r>
              <w:t xml:space="preserve">Očekuje se prihvaćanje. </w:t>
            </w:r>
          </w:p>
          <w:p w:rsidR="00AC0832" w:rsidRDefault="00AC0832">
            <w:pPr>
              <w:pStyle w:val="CellColumn"/>
            </w:pPr>
            <w:r>
              <w:t xml:space="preserve">- Radionice pod brojem 3. i 4. nisu više u domeni Hidre zbog odlaska zaposlenice koja ih je izvodila. </w:t>
            </w:r>
          </w:p>
          <w:p w:rsidR="00AC0832" w:rsidRDefault="00AC0832">
            <w:pPr>
              <w:pStyle w:val="CellColumn"/>
            </w:pPr>
            <w:r>
              <w:t>Nije bilo niti jednog zahtjeva od strane Diplomatske akademije.</w:t>
            </w:r>
          </w:p>
        </w:tc>
      </w:tr>
      <w:tr w:rsidR="00AC0832" w:rsidTr="00BE20ED">
        <w:trPr>
          <w:jc w:val="center"/>
        </w:trPr>
        <w:tc>
          <w:tcPr>
            <w:tcW w:w="1300" w:type="dxa"/>
          </w:tcPr>
          <w:p w:rsidR="00AC0832" w:rsidRDefault="00AC0832">
            <w:pPr>
              <w:pStyle w:val="CellColumn"/>
            </w:pPr>
            <w:r>
              <w:t>Širenje informacija i podizanje razine znanja kod najšire skupine korisnika o javnoj službenoj dokumentaciji i njenom korištenju</w:t>
            </w:r>
          </w:p>
        </w:tc>
        <w:tc>
          <w:tcPr>
            <w:tcW w:w="1300" w:type="dxa"/>
          </w:tcPr>
          <w:p w:rsidR="00AC0832" w:rsidRDefault="00AC0832">
            <w:pPr>
              <w:pStyle w:val="CellColumn"/>
            </w:pPr>
            <w:r>
              <w:t>Povećanjem broja radionica, predavanja,predstavljanja i drugih oblika aktivnog informiranja i obrazovanja korisnika iz područja informacijsko-dokumentacijske djelatnosti, Hidra podiže razinu osposobljenosti i informiranosti korisnika svojih usluga i usluga e-uprave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 xml:space="preserve">29 prezentacija i </w:t>
            </w:r>
          </w:p>
          <w:p w:rsidR="00AC0832" w:rsidRDefault="00AC0832">
            <w:pPr>
              <w:pStyle w:val="CellColumn"/>
            </w:pPr>
            <w:r>
              <w:t>radionica u 2011. godini</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 xml:space="preserve">30 prezentacija, </w:t>
            </w:r>
          </w:p>
          <w:p w:rsidR="00AC0832" w:rsidRDefault="00AC0832">
            <w:pPr>
              <w:pStyle w:val="CellColumn"/>
            </w:pPr>
            <w:r>
              <w:t>radionica i predavanja godišnje</w:t>
            </w:r>
          </w:p>
        </w:tc>
        <w:tc>
          <w:tcPr>
            <w:tcW w:w="1300" w:type="dxa"/>
          </w:tcPr>
          <w:p w:rsidR="00AC0832" w:rsidRDefault="00AC0832">
            <w:pPr>
              <w:pStyle w:val="CellColumn"/>
            </w:pPr>
            <w:r>
              <w:t>održane  22 prezentacije i radionice</w:t>
            </w:r>
          </w:p>
        </w:tc>
      </w:tr>
    </w:tbl>
    <w:p w:rsidR="00AC0832" w:rsidRDefault="00AC0832">
      <w:pPr>
        <w:jc w:val="left"/>
      </w:pPr>
    </w:p>
    <w:p w:rsidR="00AC0832" w:rsidRDefault="00AC0832">
      <w:pPr>
        <w:pStyle w:val="Heading6"/>
      </w:pPr>
      <w:r>
        <w:t>K675003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K675003-INFORMATIZACIJA</w:t>
            </w:r>
          </w:p>
        </w:tc>
        <w:tc>
          <w:tcPr>
            <w:tcW w:w="2322" w:type="dxa"/>
          </w:tcPr>
          <w:p w:rsidR="00AC0832" w:rsidRDefault="00AC0832">
            <w:pPr>
              <w:pStyle w:val="CellColumn"/>
            </w:pPr>
            <w:r>
              <w:t>193.590</w:t>
            </w:r>
          </w:p>
        </w:tc>
        <w:tc>
          <w:tcPr>
            <w:tcW w:w="2322" w:type="dxa"/>
          </w:tcPr>
          <w:p w:rsidR="00AC0832" w:rsidRDefault="00AC0832">
            <w:pPr>
              <w:pStyle w:val="CellColumn"/>
            </w:pPr>
            <w:r>
              <w:t>192.755</w:t>
            </w:r>
          </w:p>
        </w:tc>
        <w:tc>
          <w:tcPr>
            <w:tcW w:w="2322" w:type="dxa"/>
          </w:tcPr>
          <w:p w:rsidR="00AC0832" w:rsidRDefault="00AC0832">
            <w:pPr>
              <w:pStyle w:val="CellColumn"/>
            </w:pPr>
            <w:r>
              <w:t>99,6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Komunikacijsko-računalna infrastruktura: Hidrina komunikacijsko-računalna infrastruktura razvija se prema potrebama obrade i razmjene informacija nastojeći pratiti svjetski tehnički razvoj. Sva su radna mjesta opremljena računalnom opremom potrebnom za obavljanje složenih radnih zadataka. Računala su povezana u računalnu mrežu i priključena na Internet. Lokalna računalna mreža radi s operacijskim sustavom Novell, a radne stanice su u Microsoft Windows okruženju. Pristup Internetu ostvaruje se kroz komunikacijsku mrežu tijela državne uprave HITRONet. </w:t>
      </w:r>
    </w:p>
    <w:p w:rsidR="00AC0832" w:rsidRDefault="00AC0832">
      <w:pPr>
        <w:pStyle w:val="Normal6"/>
      </w:pPr>
      <w:r>
        <w:t xml:space="preserve">Kontinuirano se radi na sigurnosti IT sustava, provodi se stalna zaštita instalacijom zaštitnih programa (Sophos, Gwava) te Backup kao dodatna sigurnosna mjera čuvanja kopija sadržaja na poslužitelju koji se obavlja tjedno. Nadograđuju se procedure za automatsku distribuciju operativnoga sustava i aplikacija na radne stanice. Omogućeno je udaljeno upravljanje radnim stanicama, uključujući prijenos datoteka i dijagnostiku u realnom vremenu. Automatizirana je evidencija hardverskih i softverskih komponenata radnih stanica za potrebe održavanja sustava. Razvija se standardno radno okruženje i primjenjuje automatizacija uspostave takvog okruženja upotrebom 'workstation imaginga'. Redovito se nadgledava ukupni IT sustav i nadograđuju svi standardni alati. </w:t>
      </w:r>
    </w:p>
    <w:p w:rsidR="00AC0832" w:rsidRDefault="00AC0832">
      <w:pPr>
        <w:pStyle w:val="Normal6"/>
      </w:pPr>
      <w:r>
        <w:t xml:space="preserve">Redovito se nadgledaju i održavaju programi za administriranje IT sustava Hidre na razini korištenja i organizacije diskovnoga prostora, aplikativnih programa, elektroničke pošte i pripadnih lista. </w:t>
      </w:r>
    </w:p>
    <w:p w:rsidR="00AC0832" w:rsidRDefault="00AC0832">
      <w:pPr>
        <w:pStyle w:val="Normal6"/>
      </w:pPr>
      <w:r>
        <w:t xml:space="preserve">Informatički sustavi i računalni programi: U svom poslovanju Hidra koristi Sustav Arhiv mrežnih dokumenata – AMD, računalni program CADIAL, Sustav za obradu, pretraživanje i prikaz digitalnih i digitaliziranih dokumenata, Sustav za održavanje portala Hidre, Sustav za obračun plaća te računovodstvene računalne programe. </w:t>
      </w:r>
    </w:p>
    <w:p w:rsidR="00AC0832" w:rsidRDefault="00AC0832">
      <w:pPr>
        <w:pStyle w:val="Normal6"/>
      </w:pPr>
      <w:r>
        <w:t xml:space="preserve">Svi sustavi i programi redovito se nadziru i nadograđuju dodatnim funkcionalnostima. </w:t>
      </w:r>
    </w:p>
    <w:p w:rsidR="00AC0832" w:rsidRDefault="00AC0832">
      <w:pPr>
        <w:pStyle w:val="Normal6"/>
      </w:pPr>
      <w:r>
        <w:t>U 2012. godini sustavno se radilo na održavanju postojeće opreme i programa.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7"/>
        <w:gridCol w:w="1386"/>
        <w:gridCol w:w="865"/>
        <w:gridCol w:w="1425"/>
        <w:gridCol w:w="943"/>
        <w:gridCol w:w="1897"/>
        <w:gridCol w:w="1385"/>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1.2.1.1.   Nove teme i usluge te dodatne funkcionalnosti na Hidrinom portalu</w:t>
            </w:r>
          </w:p>
        </w:tc>
        <w:tc>
          <w:tcPr>
            <w:tcW w:w="1300" w:type="dxa"/>
          </w:tcPr>
          <w:p w:rsidR="00AC0832" w:rsidRDefault="00AC0832">
            <w:pPr>
              <w:pStyle w:val="CellColumn"/>
            </w:pPr>
            <w:r>
              <w:t>Dodavanje novih tema i poboljšanje funkcionalnosti alata za pretraživanje i proširivanje njegove primjene na Hidrinom portalu, povećat će kvalitetu informiranosti korisnika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 xml:space="preserve">- 4 teme sa 27 podtema </w:t>
            </w:r>
          </w:p>
          <w:p w:rsidR="00AC0832" w:rsidRDefault="00AC0832">
            <w:pPr>
              <w:pStyle w:val="CellColumn"/>
            </w:pPr>
            <w:r>
              <w:t>- tražilica CADIAL implementirana na zbirku pravnih propisa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 xml:space="preserve">1. Nova funkcionalnost u pretraživanju zbirke Digitalizirani glasnici - DG </w:t>
            </w:r>
          </w:p>
          <w:p w:rsidR="00AC0832" w:rsidRDefault="00AC0832">
            <w:pPr>
              <w:pStyle w:val="CellColumn"/>
            </w:pPr>
            <w:r>
              <w:t xml:space="preserve">(glasila lokalne i područne samouprave) </w:t>
            </w:r>
          </w:p>
          <w:p w:rsidR="00AC0832" w:rsidRDefault="00AC0832">
            <w:pPr>
              <w:pStyle w:val="CellColumn"/>
            </w:pPr>
            <w:r>
              <w:t>2. Nova tema na portalu 'Tko je što'</w:t>
            </w:r>
          </w:p>
        </w:tc>
        <w:tc>
          <w:tcPr>
            <w:tcW w:w="1300" w:type="dxa"/>
          </w:tcPr>
          <w:p w:rsidR="00AC0832" w:rsidRDefault="00AC0832">
            <w:pPr>
              <w:pStyle w:val="CellColumn"/>
            </w:pPr>
            <w:r>
              <w:t xml:space="preserve">1. Nova funkcionalnost u pretraživanju zbirke DG je u testnoj fazi </w:t>
            </w:r>
          </w:p>
          <w:p w:rsidR="00AC0832" w:rsidRDefault="00AC0832">
            <w:pPr>
              <w:pStyle w:val="CellColumn"/>
            </w:pPr>
            <w:r>
              <w:t xml:space="preserve">2. Objavljena je nova tema na portalu 'Tko je što' </w:t>
            </w:r>
          </w:p>
          <w:p w:rsidR="00AC0832" w:rsidRDefault="00AC0832">
            <w:pPr>
              <w:pStyle w:val="CellColumn"/>
            </w:pPr>
            <w:r>
              <w:t xml:space="preserve">3. Objavljena je nova podtema 'Financiranje' u  rubrici Političke stranke – Dokumenti i publikacije stranaka </w:t>
            </w:r>
          </w:p>
          <w:p w:rsidR="00AC0832" w:rsidRDefault="00AC0832">
            <w:pPr>
              <w:pStyle w:val="CellColumn"/>
            </w:pPr>
            <w:r>
              <w:t>4. Objavljena nova edukacijska usluga – online program: 'Naučite kako, brzo i lako, do pravnih propisa.'</w:t>
            </w:r>
          </w:p>
        </w:tc>
      </w:tr>
      <w:tr w:rsidR="00AC0832" w:rsidTr="00BE20ED">
        <w:trPr>
          <w:jc w:val="center"/>
        </w:trPr>
        <w:tc>
          <w:tcPr>
            <w:tcW w:w="1300" w:type="dxa"/>
          </w:tcPr>
          <w:p w:rsidR="00AC0832" w:rsidRDefault="00AC0832">
            <w:pPr>
              <w:pStyle w:val="CellColumn"/>
            </w:pPr>
            <w:r>
              <w:t>1.2.1.2.  Pregled i broj tiskanih publikacija</w:t>
            </w:r>
          </w:p>
        </w:tc>
        <w:tc>
          <w:tcPr>
            <w:tcW w:w="1300" w:type="dxa"/>
          </w:tcPr>
          <w:p w:rsidR="00AC0832" w:rsidRDefault="00AC0832">
            <w:pPr>
              <w:pStyle w:val="CellColumn"/>
            </w:pPr>
            <w:r>
              <w:t>Distribucija tiskanih izdanja promovirat će korištenje službenih izvora i pomoći u radu u službama tijela javne vlasti</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Tiskane 3 periodične publikacije i promidžbeni materijal</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Tiskanje periodičnihpublikacija i promidžbenog materijala</w:t>
            </w:r>
          </w:p>
        </w:tc>
        <w:tc>
          <w:tcPr>
            <w:tcW w:w="1300" w:type="dxa"/>
          </w:tcPr>
          <w:p w:rsidR="00AC0832" w:rsidRDefault="00AC0832">
            <w:pPr>
              <w:pStyle w:val="CellColumn"/>
            </w:pPr>
            <w:r>
              <w:t xml:space="preserve">- Objavljena je elektronička publikacija 'Katalog službenih publikacija 17/2011.' </w:t>
            </w:r>
          </w:p>
          <w:p w:rsidR="00AC0832" w:rsidRDefault="00AC0832">
            <w:pPr>
              <w:pStyle w:val="CellColumn"/>
            </w:pPr>
            <w:r>
              <w:t xml:space="preserve">- Objavljena je publikacija 'Mali vodič' u elektroničkom i papirnom izdanju </w:t>
            </w:r>
          </w:p>
          <w:p w:rsidR="00AC0832" w:rsidRDefault="00AC0832">
            <w:pPr>
              <w:pStyle w:val="CellColumn"/>
            </w:pPr>
            <w:r>
              <w:t>- Objavljena je publikacija 'Političke stranke u RH 16/2012' u elektroničkom i papirnom izdanju</w:t>
            </w:r>
          </w:p>
        </w:tc>
      </w:tr>
      <w:tr w:rsidR="00AC0832" w:rsidTr="00BE20ED">
        <w:trPr>
          <w:jc w:val="center"/>
        </w:trPr>
        <w:tc>
          <w:tcPr>
            <w:tcW w:w="1300" w:type="dxa"/>
          </w:tcPr>
          <w:p w:rsidR="00AC0832" w:rsidRDefault="00AC0832">
            <w:pPr>
              <w:pStyle w:val="CellColumn"/>
            </w:pPr>
            <w:r>
              <w:t>1.2.2.1.  Sudjelovanje  u Programu rada portala Moja uprava</w:t>
            </w:r>
          </w:p>
        </w:tc>
        <w:tc>
          <w:tcPr>
            <w:tcW w:w="1300" w:type="dxa"/>
          </w:tcPr>
          <w:p w:rsidR="00AC0832" w:rsidRDefault="00AC0832">
            <w:pPr>
              <w:pStyle w:val="CellColumn"/>
            </w:pPr>
            <w:r>
              <w:t>Sudjelovanjem s relevantnim temama u sadržaju portala Moja uprava doprinosi se kvaliteti i bogatstvu informacija na portalu i promoviraju se Hidrini proizvodi i usluge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Na portalu Moja uprava prikazuju se: Adresar TJV i Hidrina zbirka pravnih propisa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 xml:space="preserve">Na portal Moja uprava dodaje se podtema Digitalizirani glasnici - DG </w:t>
            </w:r>
          </w:p>
          <w:p w:rsidR="00AC0832" w:rsidRDefault="00AC0832">
            <w:pPr>
              <w:pStyle w:val="CellColumn"/>
            </w:pPr>
            <w:r>
              <w:t>(glasila lokalne i područne samouprave)</w:t>
            </w:r>
          </w:p>
        </w:tc>
        <w:tc>
          <w:tcPr>
            <w:tcW w:w="1300" w:type="dxa"/>
          </w:tcPr>
          <w:p w:rsidR="00AC0832" w:rsidRDefault="00AC0832">
            <w:pPr>
              <w:pStyle w:val="CellColumn"/>
            </w:pPr>
            <w:r>
              <w:t>Na portalu Moja uprava prikazuju se: Adresar TJV i Hidrina zbirka pravnih propisa, čeka se uvrštavanje podteme Digitalizirani glasnici - DG (glasila lokalne i područne samouprave)</w:t>
            </w:r>
          </w:p>
        </w:tc>
      </w:tr>
      <w:tr w:rsidR="00AC0832" w:rsidTr="00BE20ED">
        <w:trPr>
          <w:jc w:val="center"/>
        </w:trPr>
        <w:tc>
          <w:tcPr>
            <w:tcW w:w="1300" w:type="dxa"/>
          </w:tcPr>
          <w:p w:rsidR="00AC0832" w:rsidRDefault="00AC0832">
            <w:pPr>
              <w:pStyle w:val="CellColumn"/>
            </w:pPr>
            <w:r>
              <w:t>1.2.2.2.  Sudjelovanje na portalu  'Hrvatska kulturna baština'</w:t>
            </w:r>
          </w:p>
        </w:tc>
        <w:tc>
          <w:tcPr>
            <w:tcW w:w="1300" w:type="dxa"/>
          </w:tcPr>
          <w:p w:rsidR="00AC0832" w:rsidRDefault="00AC0832">
            <w:pPr>
              <w:pStyle w:val="CellColumn"/>
            </w:pPr>
            <w:r>
              <w:t>Sudjelovanjem s relevantnim zbirkama u sadržaju portala Hrvatska kulturna baština Hidra doprinosi stvaranju arhiva zbirki elektroničkih dokumenata koje predstavljaju hrvatsku kulturnu baštinu te ujedno promovira svoje proizvode i usluge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 xml:space="preserve">Na portalu Hrvatska kulturna baština prikazuju se zbirke: </w:t>
            </w:r>
          </w:p>
          <w:p w:rsidR="00AC0832" w:rsidRDefault="00AC0832">
            <w:pPr>
              <w:pStyle w:val="CellColumn"/>
            </w:pPr>
            <w:r>
              <w:t xml:space="preserve">- Službena dokumentacija Republike Hrvatske i </w:t>
            </w:r>
          </w:p>
          <w:p w:rsidR="00AC0832" w:rsidRDefault="00AC0832">
            <w:pPr>
              <w:pStyle w:val="CellColumn"/>
            </w:pPr>
            <w:r>
              <w:t>- Dokumentacija političkih stranaka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 xml:space="preserve">Prisutnost na portalu Hrvatska kulturna baština s ažuriranim zbirkama: </w:t>
            </w:r>
          </w:p>
          <w:p w:rsidR="00AC0832" w:rsidRDefault="00AC0832">
            <w:pPr>
              <w:pStyle w:val="CellColumn"/>
            </w:pPr>
            <w:r>
              <w:t xml:space="preserve">- Službena dokumentacija Republike Hrvatske </w:t>
            </w:r>
          </w:p>
          <w:p w:rsidR="00AC0832" w:rsidRDefault="00AC0832">
            <w:pPr>
              <w:pStyle w:val="CellColumn"/>
            </w:pPr>
            <w:r>
              <w:t>- Dokumentacija političkih stranaka</w:t>
            </w:r>
          </w:p>
        </w:tc>
        <w:tc>
          <w:tcPr>
            <w:tcW w:w="1300" w:type="dxa"/>
          </w:tcPr>
          <w:p w:rsidR="00AC0832" w:rsidRDefault="00AC0832">
            <w:pPr>
              <w:pStyle w:val="CellColumn"/>
            </w:pPr>
            <w:r>
              <w:t>Na portalu Hrvatska kulturna baština eksplicitno su navedene Hidrine zbirke: Službena dokumentacija Republike Hrvatske i Dokumentacija političkih stranaka. Kroz poveznicu na Hidrin portal moguć je pristup ostalim informacijama i zbirkama dokumenata koje Hidra vodi.</w:t>
            </w:r>
          </w:p>
        </w:tc>
      </w:tr>
    </w:tbl>
    <w:p w:rsidR="00AC0832" w:rsidRDefault="00AC0832">
      <w:pPr>
        <w:jc w:val="left"/>
      </w:pPr>
    </w:p>
    <w:p w:rsidR="00AC0832" w:rsidRDefault="00AC0832">
      <w:pPr>
        <w:pStyle w:val="Heading6"/>
      </w:pPr>
      <w:r>
        <w:t>T675024 IZGRADNJA SUSTAVA ZA SLANJE I PREUZIMANJE ELEKTRONIČKIH DOKUMENATA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T675024-IZGRADNJA SUSTAVA ZA SLANJE I PREUZIMANJE ELEKTRONIČKIH DOKUMENATA</w:t>
            </w:r>
          </w:p>
        </w:tc>
        <w:tc>
          <w:tcPr>
            <w:tcW w:w="2322" w:type="dxa"/>
          </w:tcPr>
          <w:p w:rsidR="00AC0832" w:rsidRDefault="00AC0832">
            <w:pPr>
              <w:pStyle w:val="CellColumn"/>
            </w:pPr>
            <w:r>
              <w:t>27.000</w:t>
            </w:r>
          </w:p>
        </w:tc>
        <w:tc>
          <w:tcPr>
            <w:tcW w:w="2322" w:type="dxa"/>
          </w:tcPr>
          <w:p w:rsidR="00AC0832" w:rsidRDefault="00AC0832">
            <w:pPr>
              <w:pStyle w:val="CellColumn"/>
            </w:pPr>
            <w:r>
              <w:t>26.881</w:t>
            </w:r>
          </w:p>
        </w:tc>
        <w:tc>
          <w:tcPr>
            <w:tcW w:w="2322" w:type="dxa"/>
          </w:tcPr>
          <w:p w:rsidR="00AC0832" w:rsidRDefault="00AC0832">
            <w:pPr>
              <w:pStyle w:val="CellColumn"/>
            </w:pPr>
            <w:r>
              <w:t>99,6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Sustav za slanje i preuzimanje elektroničkih dokumenata omogućit će stvarateljima javnih službenih dokumenata, tijelima javne vlasti, na jednostavan način kroz web sučelje učitavanje dokumenata u individualno oblikovanu mapu na Hidrinom poslužitelju. </w:t>
      </w:r>
    </w:p>
    <w:p w:rsidR="00AC0832" w:rsidRDefault="00AC0832">
      <w:pPr>
        <w:pStyle w:val="Normal6"/>
      </w:pPr>
      <w:r>
        <w:t xml:space="preserve">Sustavno i kontrolirano dostavljanje elektroničkih dokumenata od strane tijela javne vlasti ( u početnoj fazi samo tijela javne uprave) uspostavlja se u svrhu izgradnje cjelovite zbirke javne službene dokumentacije Republike Hrvatske. </w:t>
      </w:r>
    </w:p>
    <w:p w:rsidR="00AC0832" w:rsidRDefault="00AC0832">
      <w:pPr>
        <w:pStyle w:val="Normal6"/>
      </w:pPr>
      <w:r>
        <w:t xml:space="preserve">Planirano trajanje projekta je tri godine. </w:t>
      </w:r>
    </w:p>
    <w:p w:rsidR="00AC0832" w:rsidRDefault="00AC0832">
      <w:pPr>
        <w:pStyle w:val="Normal6"/>
      </w:pPr>
      <w:r>
        <w:t>U 2012. godini je pilot verzija sustava za dostavljanje i prihvat elektroničkih dokumenata testirana na podacima tri službena glasnika lokalne i područne samouprave. Na temelju rezultata testiranja izrađena je specifikacija za doradu i poboljšanje funkcionalnosti sustava.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01"/>
        <w:gridCol w:w="1693"/>
        <w:gridCol w:w="866"/>
        <w:gridCol w:w="1692"/>
        <w:gridCol w:w="944"/>
        <w:gridCol w:w="1200"/>
        <w:gridCol w:w="1692"/>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1.1.2.1.  Osigurana IT podrška – uspostavljen sustav za dostavljanje elektroničkih dokumenata</w:t>
            </w:r>
          </w:p>
        </w:tc>
        <w:tc>
          <w:tcPr>
            <w:tcW w:w="1300" w:type="dxa"/>
          </w:tcPr>
          <w:p w:rsidR="00AC0832" w:rsidRDefault="00AC0832">
            <w:pPr>
              <w:pStyle w:val="CellColumn"/>
            </w:pPr>
            <w:r>
              <w:t>Izgradnjom programskoga sustava za slanje/preuzimanje elektroničkih dokumenata omogućit će se jednostavno i cjelovito prikupljanje i arhiviranje službene dokumentacije na elektroničkom mediju</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Izrađen idejni projekt sustava za slanje/preuzimanje elektroničkih dokumenata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Pilot verzija sustava za dostavljanje i prihvat elektroničkih dokumenata (testiranje kod tri korisnika)</w:t>
            </w:r>
          </w:p>
        </w:tc>
        <w:tc>
          <w:tcPr>
            <w:tcW w:w="1300" w:type="dxa"/>
          </w:tcPr>
          <w:p w:rsidR="00AC0832" w:rsidRDefault="00AC0832">
            <w:pPr>
              <w:pStyle w:val="CellColumn"/>
            </w:pPr>
            <w:r>
              <w:t>Pilot verzija sustava za slanje/preuzimanje elektroničkih dokumenata testirana je na podacima tri službena glasnika lokalne i područne samouprave.</w:t>
            </w:r>
          </w:p>
        </w:tc>
      </w:tr>
      <w:tr w:rsidR="00AC0832" w:rsidTr="00BE20ED">
        <w:trPr>
          <w:jc w:val="center"/>
        </w:trPr>
        <w:tc>
          <w:tcPr>
            <w:tcW w:w="1300" w:type="dxa"/>
          </w:tcPr>
          <w:p w:rsidR="00AC0832" w:rsidRDefault="00AC0832">
            <w:pPr>
              <w:pStyle w:val="CellColumn"/>
            </w:pPr>
            <w:r>
              <w:t>1.1.2.2.  Izrađen protokol za dostavljanje elektroničkih dokumenata</w:t>
            </w:r>
          </w:p>
        </w:tc>
        <w:tc>
          <w:tcPr>
            <w:tcW w:w="1300" w:type="dxa"/>
          </w:tcPr>
          <w:p w:rsidR="00AC0832" w:rsidRDefault="00AC0832">
            <w:pPr>
              <w:pStyle w:val="CellColumn"/>
            </w:pPr>
            <w:r>
              <w:t>Izradom protokola za slanje/preuzimanje elektroničkih dokumenata olakšat će se primjena programskoga sustava i osigurati njegova konzistentna uporaba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Ne postoji protokol</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Protokol po kojem TJV dostavljaju elektroničke dokumente</w:t>
            </w:r>
          </w:p>
        </w:tc>
        <w:tc>
          <w:tcPr>
            <w:tcW w:w="1300" w:type="dxa"/>
          </w:tcPr>
          <w:p w:rsidR="00AC0832" w:rsidRDefault="00AC0832">
            <w:pPr>
              <w:pStyle w:val="CellColumn"/>
            </w:pPr>
            <w:r>
              <w:t>Ne postoji protokol</w:t>
            </w:r>
          </w:p>
        </w:tc>
      </w:tr>
    </w:tbl>
    <w:p w:rsidR="00AC0832" w:rsidRDefault="00AC0832">
      <w:pPr>
        <w:jc w:val="left"/>
      </w:pPr>
    </w:p>
    <w:p w:rsidR="00AC0832" w:rsidRDefault="00AC0832">
      <w:pPr>
        <w:pStyle w:val="Heading1"/>
      </w:pPr>
      <w:r>
        <w:t>250 AGENCIJA ZA ZAŠTITU OSOBNIH PODATAKA</w:t>
      </w:r>
    </w:p>
    <w:p w:rsidR="00AC0832" w:rsidRDefault="00AC0832">
      <w:pPr>
        <w:pStyle w:val="Heading4"/>
      </w:pPr>
      <w:r>
        <w:t>Uvod</w:t>
      </w:r>
    </w:p>
    <w:p w:rsidR="00AC0832" w:rsidRDefault="00AC0832">
      <w:pPr>
        <w:pStyle w:val="Normal3"/>
      </w:pPr>
      <w:r>
        <w:t xml:space="preserve">Zakon o zaštiti osobnih podataka (Narodne novine br. 103/03., 118/06., 41/08) je temeljni propis koji uređuje zaštitu osobnih podataka fizičkih osoba, te nadzor nad prikupljanjem, obradom i korištenjem osobnih podataka u Republici Hrvatskoj. Zakonom je utvrđeno osnivanje Agencije za zaštitu osobnih podataka kao samostalne pravne osobe odgovorne Hrvatskom saboru, koja dio svojih poslova i zadataka obavlja kao javne ovlasti. Agencija za zaštitu osobnih podataka počela je s radom krajem 2004. godine. Danas u Agenciji radi 32 ljudi. </w:t>
      </w:r>
    </w:p>
    <w:p w:rsidR="00AC0832" w:rsidRDefault="00AC0832">
      <w:pPr>
        <w:pStyle w:val="Normal3"/>
      </w:pPr>
      <w:r>
        <w:t xml:space="preserve">Otpočinjanjem procesa pridruživanja Europskoj uniji započelo je i usklađivanje naše legislative s odredbama EU u području zaštite osobnih podataka. Republika Hrvatska je potpisala Konvenciju 108 o zaštiti osoba glede automatizirane obrade osobnih podataka i Dodatni protokol uz Konvenciju 108 u vezi nadzornih tijela i međunarodne razmjene podataka. Konvencija i Dodatni protokol stupili su na snagu 1. listopada 2005. godine i čine dio sustava propisa o zaštiti osobnih podataka. </w:t>
      </w:r>
    </w:p>
    <w:p w:rsidR="00AC0832" w:rsidRDefault="00AC0832">
      <w:pPr>
        <w:pStyle w:val="Normal3"/>
      </w:pPr>
      <w:r>
        <w:t xml:space="preserve">Zakon o izmjenama i dopunama Zakona o zaštiti osobnih podataka prošao je zakonodavnu proceduru te je izglasan u Hrvatskom Saboru na njegovoj 24. sjednici dana 28. listopada 2011. godine. </w:t>
      </w:r>
    </w:p>
    <w:p w:rsidR="00AC0832" w:rsidRDefault="00AC0832">
      <w:pPr>
        <w:pStyle w:val="Normal3"/>
      </w:pPr>
      <w:r>
        <w:t xml:space="preserve">Zakonodavni okvir zaštite osobnih podataka u Republici Hrvatskoj odnosno sam Zakon o zaštiti osobnih podataka donošenjem predmetnog Zakona o izmjenama i dopunama Zakona o zaštiti osobnih podataka („Narodne novine“ 130/11 od 16.11.2011.) usklađen je u potpunosti sa Direktivom 95/46/EZ.   </w:t>
      </w:r>
    </w:p>
    <w:p w:rsidR="00AC0832" w:rsidRDefault="00AC0832">
      <w:pPr>
        <w:pStyle w:val="Normal3"/>
      </w:pPr>
      <w:r>
        <w:t xml:space="preserve">Sukladno odredbama predmetnog Zakona Agnecija za zaštitu osobnih podataka u narednom razdoblju usmjerena je između ostaloga jačanju nadzornih ovlasti Agencije, usklađenju odredbi  posebnih zakona s zakonskim okivrom zaštite osobnih podataka, jačanju pozicije službenika za zaštitu osobnih podataka kod voditelja zbirki osobnih podataka, usklađenju Uredbe o načinu vođenja i obrascu evidencije o zbirkama osobnih podataka NN 105/04 s izmjenjenim odredbama  ZZOP-a,   jasnijem definiranju pojedinih odredbi  spomenute Uredbe, implementiranjem  ISO 270001 standarda u prikupljanju obradi i prijenosu osobnih podataka, suradnji s državnim tijelima na području zaštite osobnih podataka, poboljšanjem transparentnosti rada Agencije te jačanju njene neovisnosti, kao najvažnijim ciljevima prepoznatim i u okviru projekta IPA 2007 „Capacity building of  the Croatian Agency for protection of personal data“. </w:t>
      </w:r>
    </w:p>
    <w:p w:rsidR="00AC0832" w:rsidRDefault="00AC0832">
      <w:pPr>
        <w:pStyle w:val="Normal3"/>
      </w:pPr>
      <w:r>
        <w:t xml:space="preserve">Pravo na pristup informacijama je temeljno ljudsko pravo koje se štiti Ustavom Republike Hrvatske, Europskom konvencijom o ljudskim pravima i slobodama, Konvencijom o pristupu informacijama, međunarodnim ugovorima i Zakonom o pravu na pristup informacijama („Narodne novine“, broj 172/03. i 144/10.). </w:t>
      </w:r>
    </w:p>
    <w:p w:rsidR="00AC0832" w:rsidRDefault="00AC0832">
      <w:pPr>
        <w:pStyle w:val="Normal3"/>
      </w:pPr>
      <w:r>
        <w:t xml:space="preserve">Od 02.01.2011. godine, a sukladno članku 21. Zakona o izmjenama i dopunama Zakona o pravu na pristup informacijama („Narodne novine“, broj 144/10.) Agencija za zaštitu osobnih podataka obavlja poslove neovisnog tijela za zaštitu prava na pristup informacijama, a također i poslove drugostupanjskog tijela u rješavanju žalbi temeljem navedenog Zakona. </w:t>
      </w:r>
    </w:p>
    <w:p w:rsidR="00AC0832" w:rsidRDefault="00AC0832">
      <w:pPr>
        <w:pStyle w:val="Normal3"/>
      </w:pPr>
      <w:r>
        <w:t>Sredstva za rad Agencije za zaštitu osobnih podataka planirana su u Državnom proračunu RH u okviru odobrenih limita za navedeni period. Opravdanost prijedloga financijskog plana proizlazi iz navedenih poslova i zadataka Agencije točnije Agencija će povećati napore da zaštita privatnosti (zaštita osobnih podataka) kao jedno od temeljnih ljudskih prava postane opće prihvaćeno načelo rada svih koji prikupljaju, obrađuju i prenose osobne podatke, povećati nadzor nad provođenjem propisa o zaštiti osobnih podataka te omogućiti ostvarivanje tog prava svakom pojedincu u RH, pratiti razvoj na tom području predlagati mjere za unapređenje zaštite osobnih podataka i osigurati efikasno provođenje Zakona o pravu na pristup informacijama.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25005-Agencija za zaštitu osobnih podataka</w:t>
            </w:r>
          </w:p>
        </w:tc>
        <w:tc>
          <w:tcPr>
            <w:tcW w:w="2322" w:type="dxa"/>
          </w:tcPr>
          <w:p w:rsidR="00AC0832" w:rsidRDefault="00AC0832">
            <w:pPr>
              <w:pStyle w:val="CellColumn"/>
            </w:pPr>
            <w:r>
              <w:t>7.439.236</w:t>
            </w:r>
          </w:p>
        </w:tc>
        <w:tc>
          <w:tcPr>
            <w:tcW w:w="2322" w:type="dxa"/>
          </w:tcPr>
          <w:p w:rsidR="00AC0832" w:rsidRDefault="00AC0832">
            <w:pPr>
              <w:pStyle w:val="CellColumn"/>
            </w:pPr>
            <w:r>
              <w:t>6.537.344</w:t>
            </w:r>
          </w:p>
        </w:tc>
        <w:tc>
          <w:tcPr>
            <w:tcW w:w="2322" w:type="dxa"/>
          </w:tcPr>
          <w:p w:rsidR="00AC0832" w:rsidRDefault="00AC0832">
            <w:pPr>
              <w:pStyle w:val="CellColumn"/>
            </w:pPr>
            <w:r>
              <w:t>87,9</w:t>
            </w:r>
          </w:p>
        </w:tc>
      </w:tr>
      <w:tr w:rsidR="00AC0832" w:rsidTr="00BE20ED">
        <w:trPr>
          <w:jc w:val="center"/>
        </w:trPr>
        <w:tc>
          <w:tcPr>
            <w:tcW w:w="2322" w:type="dxa"/>
            <w:shd w:val="clear" w:color="auto" w:fill="B5C0D8"/>
          </w:tcPr>
          <w:p w:rsidR="00AC0832" w:rsidRDefault="00AC0832">
            <w:pPr>
              <w:pStyle w:val="CellColumn"/>
            </w:pPr>
            <w:r>
              <w:t>Ukupno 250-AGENCIJA ZA ZAŠTITU OSOBNIH PODATAKA</w:t>
            </w:r>
          </w:p>
        </w:tc>
        <w:tc>
          <w:tcPr>
            <w:tcW w:w="2322" w:type="dxa"/>
            <w:shd w:val="clear" w:color="auto" w:fill="B5C0D8"/>
          </w:tcPr>
          <w:p w:rsidR="00AC0832" w:rsidRDefault="00AC0832">
            <w:pPr>
              <w:pStyle w:val="CellColumn"/>
            </w:pPr>
            <w:r>
              <w:t>7.439.236</w:t>
            </w:r>
          </w:p>
        </w:tc>
        <w:tc>
          <w:tcPr>
            <w:tcW w:w="2322" w:type="dxa"/>
            <w:shd w:val="clear" w:color="auto" w:fill="B5C0D8"/>
          </w:tcPr>
          <w:p w:rsidR="00AC0832" w:rsidRDefault="00AC0832">
            <w:pPr>
              <w:pStyle w:val="CellColumn"/>
            </w:pPr>
            <w:r>
              <w:t>6.537.344</w:t>
            </w:r>
          </w:p>
        </w:tc>
        <w:tc>
          <w:tcPr>
            <w:tcW w:w="2322" w:type="dxa"/>
            <w:shd w:val="clear" w:color="auto" w:fill="B5C0D8"/>
          </w:tcPr>
          <w:p w:rsidR="00AC0832" w:rsidRDefault="00AC0832">
            <w:pPr>
              <w:pStyle w:val="CellColumn"/>
            </w:pPr>
            <w:r>
              <w:t>87,9</w:t>
            </w:r>
          </w:p>
        </w:tc>
      </w:tr>
    </w:tbl>
    <w:p w:rsidR="00AC0832" w:rsidRDefault="00AC0832">
      <w:pPr>
        <w:jc w:val="left"/>
      </w:pPr>
    </w:p>
    <w:p w:rsidR="00AC0832" w:rsidRDefault="00AC0832">
      <w:pPr>
        <w:pStyle w:val="Heading5"/>
      </w:pPr>
      <w:r>
        <w:t>2814 ZAŠTITA OSOBNIH PODATAKA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2814-ZAŠTITA OSOBNIH PODATAKA</w:t>
            </w:r>
          </w:p>
        </w:tc>
        <w:tc>
          <w:tcPr>
            <w:tcW w:w="2322" w:type="dxa"/>
          </w:tcPr>
          <w:p w:rsidR="00AC0832" w:rsidRDefault="00AC0832">
            <w:pPr>
              <w:pStyle w:val="CellColumn"/>
            </w:pPr>
            <w:r>
              <w:t>7.439.236</w:t>
            </w:r>
          </w:p>
        </w:tc>
        <w:tc>
          <w:tcPr>
            <w:tcW w:w="2322" w:type="dxa"/>
          </w:tcPr>
          <w:p w:rsidR="00AC0832" w:rsidRDefault="00AC0832">
            <w:pPr>
              <w:pStyle w:val="CellColumn"/>
            </w:pPr>
            <w:r>
              <w:t>6.537.344</w:t>
            </w:r>
          </w:p>
        </w:tc>
        <w:tc>
          <w:tcPr>
            <w:tcW w:w="2322" w:type="dxa"/>
          </w:tcPr>
          <w:p w:rsidR="00AC0832" w:rsidRDefault="00AC0832">
            <w:pPr>
              <w:pStyle w:val="CellColumn"/>
            </w:pPr>
            <w:r>
              <w:t>87,9</w:t>
            </w:r>
          </w:p>
        </w:tc>
      </w:tr>
    </w:tbl>
    <w:p w:rsidR="00AC0832" w:rsidRDefault="00AC0832">
      <w:pPr>
        <w:jc w:val="left"/>
      </w:pPr>
    </w:p>
    <w:p w:rsidR="00AC0832" w:rsidRDefault="00AC0832">
      <w:pPr>
        <w:pStyle w:val="Heading6"/>
      </w:pPr>
      <w:r>
        <w:t>Opis programa</w:t>
      </w:r>
    </w:p>
    <w:p w:rsidR="00AC0832" w:rsidRDefault="00AC0832">
      <w:pPr>
        <w:pStyle w:val="Normal5"/>
      </w:pPr>
      <w:r>
        <w:t xml:space="preserve">Agencija za zaštitu osobnih podataka pravna je osoba s javnim ovlastima, koja je u svojem radu samostalna i odgovorna Hrvatskom saboru, a čl. 32 Zakona o zaštiti osobnih podataka utvrđeni su poslovi koje Agencija obavlja kao javne ovlasti, nadzire provođenje zaštite osobnih podataka, ukazuje na uočene zloupotrebe prikupljanja osobnih podataka, sastavlja listu država i međunarodnih organizacija koje imaju odgovarajuće uređenu zaštitu osobnih podataka, rješava povodom zahtjeva za utvrđivanje povrede prava zajamčenih Zakonom, vodi središnji registar, te nadzorno tijelo po pravu na pristup informacijama. </w:t>
      </w:r>
    </w:p>
    <w:p w:rsidR="00AC0832" w:rsidRDefault="00AC0832">
      <w:pPr>
        <w:pStyle w:val="Normal5"/>
      </w:pPr>
      <w:r>
        <w:t>Sukladno strategiji Vladinih programa za razdoblje 2012.-2014. u cilju makroekonomske i gospodarske stabilnosti jačati kapacitete za korištenje fondova Europske unije, Agencija za zaštitu osobnih podataka prijavila je iz pretpristupnih programa Europske unije projekt IPA, naziva „Jačanje kapaciteta Agencije" te sukladno cilju Vlade RH  daljnjim jačanjem međunarodnog položaja Republike Hrvatske pratiti ispunjenje uvjeta potrebnih za suradnju Republike Hrvatske i EUROJUSTA .</w:t>
      </w:r>
    </w:p>
    <w:p w:rsidR="00AC0832" w:rsidRDefault="00AC0832">
      <w:pPr>
        <w:pStyle w:val="Heading6"/>
      </w:pPr>
      <w:r>
        <w:t>Zakonske i druge pravne osnove</w:t>
      </w:r>
    </w:p>
    <w:p w:rsidR="00AC0832" w:rsidRDefault="00AC0832">
      <w:pPr>
        <w:pStyle w:val="Normal5"/>
      </w:pPr>
      <w:r>
        <w:t xml:space="preserve">Zakon o zaštiti osobnih podataka (NN br. 103/03). </w:t>
      </w:r>
    </w:p>
    <w:p w:rsidR="00AC0832" w:rsidRDefault="00AC0832">
      <w:pPr>
        <w:pStyle w:val="Normal5"/>
      </w:pPr>
      <w:r>
        <w:t xml:space="preserve">Zakon o dopuni Zakona o zaštiti osobnih podataka (NN br. 118/06 ). </w:t>
      </w:r>
    </w:p>
    <w:p w:rsidR="00AC0832" w:rsidRDefault="00AC0832">
      <w:pPr>
        <w:pStyle w:val="Normal5"/>
      </w:pPr>
      <w:r>
        <w:t xml:space="preserve">Zakon o izmjenama i dopunama Zakona o zaštiti osobnih podataka (NN br.41/08). </w:t>
      </w:r>
    </w:p>
    <w:p w:rsidR="00AC0832" w:rsidRDefault="00AC0832">
      <w:pPr>
        <w:pStyle w:val="Normal5"/>
      </w:pPr>
      <w:r>
        <w:t xml:space="preserve">Zakon o izmjenama i dopunama Zakona o zaštiti osobnih podataka (NN.br.130/11). </w:t>
      </w:r>
    </w:p>
    <w:p w:rsidR="00AC0832" w:rsidRDefault="00AC0832">
      <w:pPr>
        <w:pStyle w:val="Normal5"/>
      </w:pPr>
      <w:r>
        <w:t xml:space="preserve">RH je ratificirala konvenciju Vijeća Europe (Zaštita osoba glede automatizirane obrade osobnih podataka - Konvencija </w:t>
      </w:r>
    </w:p>
    <w:p w:rsidR="00AC0832" w:rsidRDefault="00AC0832">
      <w:pPr>
        <w:pStyle w:val="Normal5"/>
      </w:pPr>
      <w:r>
        <w:t xml:space="preserve">108) čime je ista postala dio zakonodavnog okvira zaštite osobnih podataka. </w:t>
      </w:r>
    </w:p>
    <w:p w:rsidR="00AC0832" w:rsidRDefault="00AC0832">
      <w:pPr>
        <w:pStyle w:val="Normal5"/>
      </w:pPr>
      <w:r>
        <w:t xml:space="preserve">Zakon o pravu na pristup informacijama ( NN 172/03). </w:t>
      </w:r>
    </w:p>
    <w:p w:rsidR="00AC0832" w:rsidRDefault="00AC0832">
      <w:pPr>
        <w:pStyle w:val="Normal5"/>
      </w:pPr>
      <w:r>
        <w:t xml:space="preserve">Zakon o izmjenama i dopunama Zakona o pravu na pristup informacijama (NN br.144/10). </w:t>
      </w:r>
    </w:p>
    <w:p w:rsidR="00AC0832" w:rsidRDefault="00AC0832">
      <w:pPr>
        <w:pStyle w:val="Normal5"/>
      </w:pPr>
      <w:r>
        <w:t xml:space="preserve">Zakon o izmjenama i dopunama Zakona o pravu na pristup informacijama (NN br.77/11). </w:t>
      </w:r>
    </w:p>
    <w:p w:rsidR="00AC0832" w:rsidRDefault="00AC0832">
      <w:pPr>
        <w:pStyle w:val="Normal5"/>
      </w:pPr>
      <w:r>
        <w:t>Zakon o elektroničkim komunikacijama  (NN br.73/08 i 90/11).</w:t>
      </w:r>
    </w:p>
    <w:p w:rsidR="00AC0832" w:rsidRDefault="00AC0832">
      <w:pPr>
        <w:pStyle w:val="Heading7"/>
      </w:pPr>
      <w:r>
        <w:t>Cilj 1. Opći cilj 1.</w:t>
      </w:r>
      <w:r>
        <w:tab/>
      </w:r>
      <w:r>
        <w:tab/>
        <w:t xml:space="preserve">Efikasno provođenje zaštite osobnih podataka i  </w:t>
      </w:r>
      <w:r>
        <w:tab/>
      </w:r>
      <w:r>
        <w:tab/>
      </w:r>
      <w:r>
        <w:tab/>
        <w:t>zaštite prava na pristup informacijama  Efikasno provođenje zaštite osobnih podataka i zaštite prava na pristup informacijama</w:t>
      </w:r>
    </w:p>
    <w:p w:rsidR="00AC0832" w:rsidRDefault="00AC0832">
      <w:pPr>
        <w:pStyle w:val="Heading8"/>
        <w:jc w:val="left"/>
      </w:pPr>
      <w:r>
        <w:t>Opis provedbe cilja programa</w:t>
      </w:r>
    </w:p>
    <w:p w:rsidR="00AC0832" w:rsidRDefault="00AC0832">
      <w:pPr>
        <w:pStyle w:val="Normal6"/>
      </w:pPr>
      <w:r>
        <w:t xml:space="preserve">Efikasno provođenje zaštite osobnih podataka omogućit će zaštitu privatnosti sukladno zakonima i propisima Republike Hrvatske, međunarodnim konvencijama i ugovorima, te Direktivi 95/46 Europske unije. </w:t>
      </w:r>
    </w:p>
    <w:p w:rsidR="00AC0832" w:rsidRDefault="00AC0832">
      <w:pPr>
        <w:pStyle w:val="Normal6"/>
      </w:pPr>
      <w:r>
        <w:t xml:space="preserve">Kada je riječ o pravnom temelju zaštite osobnih podataka – potrebno je provesti potpuno usklađivanje Zakona o zaštiti osobnih podataka i podzakonskih propisa s Direktivom Vijeća Europe. Kako bi se postiglo efikasno provođenje zaštite osobnih podataka potrebno je također unaprijediti nadzornu i savjetodavnu ulogu Agencije.  </w:t>
      </w:r>
    </w:p>
    <w:p w:rsidR="00AC0832" w:rsidRDefault="00AC0832">
      <w:pPr>
        <w:pStyle w:val="Normal6"/>
      </w:pPr>
      <w:r>
        <w:t xml:space="preserve">Istovremeno treba poboljšati IT infrastrukturu Agencije i poslovnih procesa, te implementirati međunarodni standard za informacijsku sigurnost ISO 27001. Iskustva koja se ovom implementacijom budu stekla, uz već provedene edukacije o informacijskoj sigurnosti, bit će temelj izrade nadzornih postupaka i mjerila za provjeru stupnja poduzetih organizacijskih, kadrovskih i tehničkih mjera zaštite osobnih podataka kod voditelja zbirki osobnih podataka, posebno onih mjera koje su propisane Uredbom o načinu pohranjivanja i posebnim mjerama tehničke zaštite posebnih kategorija osobnih podataka (NN 139/04). </w:t>
      </w:r>
    </w:p>
    <w:p w:rsidR="00AC0832" w:rsidRDefault="00AC0832">
      <w:pPr>
        <w:pStyle w:val="Normal6"/>
      </w:pPr>
      <w:r>
        <w:t xml:space="preserve">Nadalje, potrebno je provesti dizanje svijesti građana o potrebi i važnosti zaštite privatnosti kao temeljnog ljudskog prava. Zakon o zaštiti osobnih podataka, koji je stupio na snagu 26. lipnja 2003. godine, još uvijek je nedovoljno poznat za većinu građana, a to se isto odnosi i na veći broj poslovnih subjekata koji bi kao voditelji zbirki osobnih podataka svakako trebali znati za obveze koje za njih iz Zakona proizlaze. Nepoznavanje zakonskih obveza očituje se između ostalog i u neprovođenju svih potrebnih oblika mjera zaštite osobnih podataka koje vode, a i u tome što je izuzetno mali broj voditelja dostavilo evidencije o zbirkama osobnih podataka u Središnji registar kojeg po Zakonu vodi Agencija za zaštitu osobnih podataka. </w:t>
      </w:r>
    </w:p>
    <w:p w:rsidR="00AC0832" w:rsidRDefault="00AC0832">
      <w:pPr>
        <w:pStyle w:val="Normal6"/>
      </w:pPr>
      <w:r>
        <w:t xml:space="preserve">Sukladno tome, potrebno je osigurati učinkovitu suradnju i s drugim državnim i međunarodnim tijelima.  </w:t>
      </w:r>
    </w:p>
    <w:p w:rsidR="00AC0832" w:rsidRDefault="00AC0832">
      <w:pPr>
        <w:pStyle w:val="Normal6"/>
      </w:pPr>
      <w:r>
        <w:t xml:space="preserve">Iz Izvješća Europske komisije o napretku Republike Hrvatske za 2010. navodi se da nema poboljšanja u primjeni zakonodavstva o pristupu informacijama. Kontrola zakona je slaba, a pristup pravnom lijeku građanima je previše kompliciran. Zakon o izmjenama i dopunama Zakona o pravu na pristup informacijama („Narodne novine“, broj 144/2010.) stupio je na snagu 30. prosinca 2010. godine, te je žalbeni postupak povjeren Agenciji za zaštitu osobnih podataka - neovisnom tijelu za zaštitu prava na pristup informacijama.  </w:t>
      </w:r>
    </w:p>
    <w:p w:rsidR="00AC0832" w:rsidRDefault="00AC0832">
      <w:pPr>
        <w:pStyle w:val="Normal6"/>
      </w:pPr>
      <w:r>
        <w:t xml:space="preserve">Nadalje, potrebno je provesti dizanje svijesti korisnika prava na pristup informacijama o potrebi i važnosti ostvarivanja prava na pristup informacijama kao temeljnog ljudskog prava. Zakon o pravu na pristup informacijama nedovoljno je poznat za većinu korisnika prava na informacije. Zakon o izmjenama i dopunama Zakona o pravu na pristup informacijama proširio je krug obveznika primjene Zakona, koji kao tijela javne vlasti imaju obvezu rješavati zahtjeve korisnika za pristup informacijama kao i obvezu da omoguće pristup zatraženoj informaciji, odnosno da objavljuju informacije kada za to i ne postoji poseban zahtjev već takvo objavljivanje predstavlja njihovu obvezu određenu zakonom ili drugim općim propisom. </w:t>
      </w:r>
    </w:p>
    <w:p w:rsidR="00AC0832" w:rsidRDefault="00AC0832">
      <w:pPr>
        <w:pStyle w:val="Normal6"/>
      </w:pPr>
      <w:r>
        <w:t xml:space="preserve"> </w:t>
      </w:r>
    </w:p>
    <w:p w:rsidR="00AC0832" w:rsidRDefault="00AC0832">
      <w:pPr>
        <w:pStyle w:val="Normal6"/>
      </w:pPr>
      <w:r>
        <w:t xml:space="preserve">Nepoznavanje zakonskih obveza očituje se između ostalog što je samo 22% tijela javne vlasti dostavilo Agenciji za zaštitu osobnih podataka Izvješće o provedbi Zakona za 2010. godinu. </w:t>
      </w:r>
    </w:p>
    <w:p w:rsidR="00AC0832" w:rsidRDefault="00AC0832">
      <w:pPr>
        <w:pStyle w:val="Normal6"/>
      </w:pPr>
      <w:r>
        <w:t xml:space="preserve"> </w:t>
      </w:r>
    </w:p>
    <w:p w:rsidR="00AC0832" w:rsidRDefault="00AC0832">
      <w:pPr>
        <w:pStyle w:val="Normal6"/>
      </w:pPr>
      <w:r>
        <w:t xml:space="preserve">Sukladno tome, potrebno je osigurati učinkovitu suradnju s drugim državnim tijelima, te tijelima jedinica lokalne i područne (regionalne) samouprave, pravnim osobama s javnim ovlastima i drugim osobama na koje su prenesene javne ovlasti, pravnim osobama čiji su programi ili djelovanje zakonom utvrđeni kao javni interes te se u cijelosti ili djelomično financiraju iz državnog proračuna ili iz proračuna jedinica lokalne i područne (regionalne) samouprave, kao i trgovačkim društvima u kojima Republika Hrvatska i jedinice lokalne i područne (regionalne) samouprave imaju zasebno ili zajedno većinsko vlasništvo. </w:t>
      </w:r>
    </w:p>
    <w:p w:rsidR="00AC0832" w:rsidRDefault="00AC0832">
      <w:pPr>
        <w:pStyle w:val="Normal6"/>
      </w:pPr>
      <w:r>
        <w:t xml:space="preserve"> </w:t>
      </w:r>
    </w:p>
    <w:p w:rsidR="00AC0832" w:rsidRDefault="00AC0832">
      <w:pPr>
        <w:pStyle w:val="Normal6"/>
      </w:pPr>
      <w:r>
        <w:t xml:space="preserve">Također, potrebno je osigurati učinkovitu suradnju i s drugim međunarodnim tijelima koji se bave zaštitom prava na pristup informacijama.  </w:t>
      </w:r>
    </w:p>
    <w:p w:rsidR="00AC0832" w:rsidRDefault="00AC0832">
      <w:pPr>
        <w:pStyle w:val="Normal6"/>
      </w:pPr>
      <w:r>
        <w:t>Navedeni opći cilj proizlazi iz Izvješća Europske komisije o napretku Republike Hrvatske za 2009. godinu, kao i Pristupnog partnerstva Europskog vijeća za Hrvatsku iz 2008. godine, u dijelu koji se u oba dokumenta odnosi na Poglavlje 23: Pravosuđe i temeljna ljudska prava.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6"/>
        <w:gridCol w:w="1795"/>
        <w:gridCol w:w="1153"/>
        <w:gridCol w:w="1205"/>
        <w:gridCol w:w="1191"/>
        <w:gridCol w:w="1205"/>
        <w:gridCol w:w="123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Postotak provedenih nadzora u odnosu na planirani broj i broj prijavljenih povreda prava</w:t>
            </w:r>
          </w:p>
        </w:tc>
        <w:tc>
          <w:tcPr>
            <w:tcW w:w="1300" w:type="dxa"/>
          </w:tcPr>
          <w:p w:rsidR="00AC0832" w:rsidRDefault="00AC0832">
            <w:pPr>
              <w:pStyle w:val="CellColumn"/>
            </w:pPr>
            <w:r>
              <w:t>Agencija će unaprjeđivati nadzorne aktivnosti i praksu provođenja nadzora nad voditeljima zbirki osobnih podataka čime će osiguravati efikasnije provođenje Zakona i podzakonskih propisa o zaštiti osobnih podataka. Agencija će, kao i do sada, svoje nadzorne aktivnosti provoditi dvojako: sa pravnog i sa informatičkog stajališta. Slijedom toga bit će potrebno izraditi nadzorne postupke koje pored pravnog nadzora uključuju i nadzor komponente informacijske sigurnosti pri prikupljanju, obradi i prijenosu osobnih podataka.</w:t>
            </w:r>
          </w:p>
        </w:tc>
        <w:tc>
          <w:tcPr>
            <w:tcW w:w="1300" w:type="dxa"/>
          </w:tcPr>
          <w:p w:rsidR="00AC0832" w:rsidRDefault="00AC0832">
            <w:pPr>
              <w:pStyle w:val="CellColumn"/>
            </w:pPr>
            <w:r>
              <w:t xml:space="preserve">% </w:t>
            </w:r>
          </w:p>
          <w:p w:rsidR="00AC0832" w:rsidRDefault="00AC0832">
            <w:pPr>
              <w:pStyle w:val="CellColumn"/>
            </w:pPr>
            <w:r>
              <w:t>(god.)</w:t>
            </w:r>
          </w:p>
        </w:tc>
        <w:tc>
          <w:tcPr>
            <w:tcW w:w="1300" w:type="dxa"/>
          </w:tcPr>
          <w:p w:rsidR="00AC0832" w:rsidRDefault="00AC0832">
            <w:pPr>
              <w:pStyle w:val="CellColumn"/>
            </w:pPr>
            <w:r>
              <w:t>100%</w:t>
            </w:r>
          </w:p>
        </w:tc>
        <w:tc>
          <w:tcPr>
            <w:tcW w:w="1300" w:type="dxa"/>
          </w:tcPr>
          <w:p w:rsidR="00AC0832" w:rsidRDefault="00AC0832">
            <w:pPr>
              <w:pStyle w:val="CellColumn"/>
            </w:pPr>
            <w:r>
              <w:t>AZOP</w:t>
            </w:r>
          </w:p>
        </w:tc>
        <w:tc>
          <w:tcPr>
            <w:tcW w:w="1300" w:type="dxa"/>
          </w:tcPr>
          <w:p w:rsidR="00AC0832" w:rsidRDefault="00AC0832">
            <w:pPr>
              <w:pStyle w:val="CellColumn"/>
            </w:pPr>
            <w:r>
              <w:t>100%</w:t>
            </w:r>
          </w:p>
        </w:tc>
        <w:tc>
          <w:tcPr>
            <w:tcW w:w="1300" w:type="dxa"/>
          </w:tcPr>
          <w:p w:rsidR="00AC0832" w:rsidRDefault="00AC0832">
            <w:pPr>
              <w:pStyle w:val="CellColumn"/>
            </w:pPr>
            <w:r>
              <w:t>100%</w:t>
            </w:r>
          </w:p>
        </w:tc>
      </w:tr>
      <w:tr w:rsidR="00AC0832" w:rsidTr="00BE20ED">
        <w:trPr>
          <w:jc w:val="center"/>
        </w:trPr>
        <w:tc>
          <w:tcPr>
            <w:tcW w:w="1300" w:type="dxa"/>
          </w:tcPr>
          <w:p w:rsidR="00AC0832" w:rsidRDefault="00AC0832">
            <w:pPr>
              <w:pStyle w:val="CellColumn"/>
            </w:pPr>
            <w:r>
              <w:t xml:space="preserve">Postotak riješenih predmeta u II.stupanjskom postupku </w:t>
            </w:r>
          </w:p>
          <w:p w:rsidR="00AC0832" w:rsidRDefault="00AC0832">
            <w:pPr>
              <w:pStyle w:val="CellColumn"/>
            </w:pPr>
            <w:r>
              <w:t>u odnosu na broj podnesenih zahtjeva za zaštitu prava</w:t>
            </w:r>
          </w:p>
        </w:tc>
        <w:tc>
          <w:tcPr>
            <w:tcW w:w="1300" w:type="dxa"/>
          </w:tcPr>
          <w:p w:rsidR="00AC0832" w:rsidRDefault="00AC0832">
            <w:pPr>
              <w:pStyle w:val="CellColumn"/>
            </w:pPr>
            <w:r>
              <w:t>Agencija za zaštitu osobnih podataka će kao neovisno tijelo za zaštitu prava na pristup informacijama, kroz poslove drugostupanjskog tijela u rješavanju žalbi o ostvarivanju prava na pristup informacijama unaprjeđivati nadzorne aktivnosti i praksu u postupcima ostvarivanja prava na pristup informacijama te obavljati i druge povjerene poslove u Zakonu. Agencija će nadzorne aktivnosti provoditi u pravnom dijelu.</w:t>
            </w:r>
          </w:p>
        </w:tc>
        <w:tc>
          <w:tcPr>
            <w:tcW w:w="1300" w:type="dxa"/>
          </w:tcPr>
          <w:p w:rsidR="00AC0832" w:rsidRDefault="00AC0832">
            <w:pPr>
              <w:pStyle w:val="CellColumn"/>
            </w:pPr>
            <w:r>
              <w:t xml:space="preserve">% </w:t>
            </w:r>
          </w:p>
          <w:p w:rsidR="00AC0832" w:rsidRDefault="00AC0832">
            <w:pPr>
              <w:pStyle w:val="CellColumn"/>
            </w:pPr>
            <w:r>
              <w:t>(god.)</w:t>
            </w:r>
          </w:p>
        </w:tc>
        <w:tc>
          <w:tcPr>
            <w:tcW w:w="1300" w:type="dxa"/>
          </w:tcPr>
          <w:p w:rsidR="00AC0832" w:rsidRDefault="00AC0832">
            <w:pPr>
              <w:pStyle w:val="CellColumn"/>
            </w:pPr>
            <w:r>
              <w:t>0%</w:t>
            </w:r>
          </w:p>
        </w:tc>
        <w:tc>
          <w:tcPr>
            <w:tcW w:w="1300" w:type="dxa"/>
          </w:tcPr>
          <w:p w:rsidR="00AC0832" w:rsidRDefault="00AC0832">
            <w:pPr>
              <w:pStyle w:val="CellColumn"/>
            </w:pPr>
            <w:r>
              <w:t>AZOP</w:t>
            </w:r>
          </w:p>
        </w:tc>
        <w:tc>
          <w:tcPr>
            <w:tcW w:w="1300" w:type="dxa"/>
          </w:tcPr>
          <w:p w:rsidR="00AC0832" w:rsidRDefault="00AC0832">
            <w:pPr>
              <w:pStyle w:val="CellColumn"/>
            </w:pPr>
            <w:r>
              <w:t>85%</w:t>
            </w:r>
          </w:p>
        </w:tc>
        <w:tc>
          <w:tcPr>
            <w:tcW w:w="1300" w:type="dxa"/>
          </w:tcPr>
          <w:p w:rsidR="00AC0832" w:rsidRDefault="00AC0832">
            <w:pPr>
              <w:pStyle w:val="CellColumn"/>
            </w:pPr>
            <w:r>
              <w:t>85%</w:t>
            </w:r>
          </w:p>
        </w:tc>
      </w:tr>
    </w:tbl>
    <w:p w:rsidR="00AC0832" w:rsidRDefault="00AC0832">
      <w:pPr>
        <w:jc w:val="left"/>
      </w:pPr>
    </w:p>
    <w:p w:rsidR="00AC0832" w:rsidRDefault="00AC0832">
      <w:pPr>
        <w:pStyle w:val="Heading6"/>
      </w:pPr>
      <w:r>
        <w:t>A765000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A765000-ADMINISTRACIJA I UPRAVLJANJE</w:t>
            </w:r>
          </w:p>
        </w:tc>
        <w:tc>
          <w:tcPr>
            <w:tcW w:w="2322" w:type="dxa"/>
          </w:tcPr>
          <w:p w:rsidR="00AC0832" w:rsidRDefault="00AC0832">
            <w:pPr>
              <w:pStyle w:val="CellColumn"/>
            </w:pPr>
            <w:r>
              <w:t>6.362.500</w:t>
            </w:r>
          </w:p>
        </w:tc>
        <w:tc>
          <w:tcPr>
            <w:tcW w:w="2322" w:type="dxa"/>
          </w:tcPr>
          <w:p w:rsidR="00AC0832" w:rsidRDefault="00AC0832">
            <w:pPr>
              <w:pStyle w:val="CellColumn"/>
            </w:pPr>
            <w:r>
              <w:t>6.452.094</w:t>
            </w:r>
          </w:p>
        </w:tc>
        <w:tc>
          <w:tcPr>
            <w:tcW w:w="2322" w:type="dxa"/>
          </w:tcPr>
          <w:p w:rsidR="00AC0832" w:rsidRDefault="00AC0832">
            <w:pPr>
              <w:pStyle w:val="CellColumn"/>
            </w:pPr>
            <w:r>
              <w:t>101,4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Agencija za zaštitu osobnih podataka provodi aktivnosti vezane uz proces pridruživanja Europskoj Uniji. </w:t>
      </w:r>
    </w:p>
    <w:p w:rsidR="00AC0832" w:rsidRDefault="00AC0832">
      <w:pPr>
        <w:pStyle w:val="Normal6"/>
      </w:pPr>
      <w:r>
        <w:t xml:space="preserve">Poglavlje 23. Pravosuđe i temeljne prava </w:t>
      </w:r>
    </w:p>
    <w:p w:rsidR="00AC0832" w:rsidRDefault="00AC0832">
      <w:pPr>
        <w:pStyle w:val="Normal6"/>
      </w:pPr>
      <w:r>
        <w:t>-</w:t>
      </w:r>
      <w:r>
        <w:tab/>
        <w:t xml:space="preserve">Izvješćivanje (višekratno) o provedbi aktivnosti Agencije za zaštitu osobnih podataka odnosno na obveze iz Poglavlja 23. Pravosuđe i temeljna prava tj. glede provedbe mjera navedenih u „monitoring“ tablici; </w:t>
      </w:r>
    </w:p>
    <w:p w:rsidR="00AC0832" w:rsidRDefault="00AC0832">
      <w:pPr>
        <w:pStyle w:val="Normal6"/>
      </w:pPr>
      <w:r>
        <w:t>-</w:t>
      </w:r>
      <w:r>
        <w:tab/>
        <w:t xml:space="preserve">Praćenje napretka u ispunjavanju obveza iz pregovora u pretpristupnom razdoblju od strane Europske komisije – 5. krug (monitoring tablice), očitovanje. </w:t>
      </w:r>
    </w:p>
    <w:p w:rsidR="00AC0832" w:rsidRDefault="00AC0832">
      <w:pPr>
        <w:pStyle w:val="Normal6"/>
      </w:pPr>
      <w:r>
        <w:t xml:space="preserve"> </w:t>
      </w:r>
    </w:p>
    <w:p w:rsidR="00AC0832" w:rsidRDefault="00AC0832">
      <w:pPr>
        <w:pStyle w:val="Normal6"/>
      </w:pPr>
      <w:r>
        <w:t xml:space="preserve">Pododbor za pravosuđe i unutarnje poslove  </w:t>
      </w:r>
    </w:p>
    <w:p w:rsidR="00AC0832" w:rsidRDefault="00AC0832">
      <w:pPr>
        <w:pStyle w:val="Normal6"/>
      </w:pPr>
      <w:r>
        <w:t>-</w:t>
      </w:r>
      <w:r>
        <w:tab/>
        <w:t xml:space="preserve">Sudjelovanje na sastanku Pododbora za pravosuđe i unutarnje poslove (izvješćivanje vezano uz točku 4. Temeljna prava, uključujući zaštitu podataka). </w:t>
      </w:r>
    </w:p>
    <w:p w:rsidR="00AC0832" w:rsidRDefault="00AC0832">
      <w:pPr>
        <w:pStyle w:val="Normal6"/>
      </w:pPr>
      <w:r>
        <w:t xml:space="preserve"> </w:t>
      </w:r>
    </w:p>
    <w:p w:rsidR="00AC0832" w:rsidRDefault="00AC0832">
      <w:pPr>
        <w:pStyle w:val="Normal6"/>
      </w:pPr>
      <w:r>
        <w:t xml:space="preserve">Izvješća  vezana za predpristupne aktivnosti  </w:t>
      </w:r>
    </w:p>
    <w:p w:rsidR="00AC0832" w:rsidRDefault="00AC0832">
      <w:pPr>
        <w:pStyle w:val="Normal6"/>
      </w:pPr>
      <w:r>
        <w:t>-</w:t>
      </w:r>
      <w:r>
        <w:tab/>
        <w:t xml:space="preserve">Dodatno očitovanje glede „Monitoring“ tablica za poglavlje 23. Pravosuđe i temeljna prava izrađeno je na traženje Ministarstva pravosuđa; </w:t>
      </w:r>
    </w:p>
    <w:p w:rsidR="00AC0832" w:rsidRDefault="00AC0832">
      <w:pPr>
        <w:pStyle w:val="Normal6"/>
      </w:pPr>
      <w:r>
        <w:t>-</w:t>
      </w:r>
      <w:r>
        <w:tab/>
        <w:t xml:space="preserve">Izvješća (višekratna po zatraženim razdobljima) „Samoprocjena Agencije za zaštitu osobnih podataka“ u procesu pristupanja Europskoj uniji; </w:t>
      </w:r>
    </w:p>
    <w:p w:rsidR="00AC0832" w:rsidRDefault="00AC0832">
      <w:pPr>
        <w:pStyle w:val="Normal6"/>
      </w:pPr>
      <w:r>
        <w:t>-</w:t>
      </w:r>
      <w:r>
        <w:tab/>
        <w:t xml:space="preserve">Izvješćivanja EU koordinacije, npr. sukladno zatraženom izvješće Agencije za zaštitu osobnih podataka o imenovanju vezano uz provođenje postupka prethodne notifikacije. </w:t>
      </w:r>
    </w:p>
    <w:p w:rsidR="00AC0832" w:rsidRDefault="00AC0832">
      <w:pPr>
        <w:pStyle w:val="Normal6"/>
      </w:pPr>
      <w:r>
        <w:t xml:space="preserve"> </w:t>
      </w:r>
    </w:p>
    <w:p w:rsidR="00AC0832" w:rsidRDefault="00AC0832">
      <w:pPr>
        <w:pStyle w:val="Normal6"/>
      </w:pPr>
      <w:r>
        <w:t xml:space="preserve">Međudržavni ugovori  i sporazumi o suradnji s drugim zemljama </w:t>
      </w:r>
    </w:p>
    <w:p w:rsidR="00AC0832" w:rsidRDefault="00AC0832">
      <w:pPr>
        <w:pStyle w:val="Normal6"/>
      </w:pPr>
      <w:r>
        <w:t>-</w:t>
      </w:r>
      <w:r>
        <w:tab/>
        <w:t xml:space="preserve">Konvencija o policijskoj suradnji u Jugoistočnoj Europi glede postojanja eventualne mogućnosti za pristupanje Republike Hrvatske istoj, mišljenje; </w:t>
      </w:r>
    </w:p>
    <w:p w:rsidR="00AC0832" w:rsidRDefault="00AC0832">
      <w:pPr>
        <w:pStyle w:val="Normal6"/>
      </w:pPr>
      <w:r>
        <w:t>-</w:t>
      </w:r>
      <w:r>
        <w:tab/>
        <w:t xml:space="preserve">Nacrt Prijedloga Odluke o pokretanju postupka za sklapanje Sporazuma između Republike Bugarske, Republike Hrvatske, Češke Republike, Mađarske, Republike Austrije, Rumunjske, Slovačke Republike i Republike Slovenije o suradnji  u području zaštite svjedoka, zajedno sa Nacrtom Sporazuma o suradnji na području zaštite svjedoka, mišljenje; </w:t>
      </w:r>
    </w:p>
    <w:p w:rsidR="00AC0832" w:rsidRDefault="00AC0832">
      <w:pPr>
        <w:pStyle w:val="Normal6"/>
      </w:pPr>
      <w:r>
        <w:t>-</w:t>
      </w:r>
      <w:r>
        <w:tab/>
        <w:t xml:space="preserve">Nacrt Odluke o pokretanju postupka za sklapanje Sporazuma između Vlade Republike Hrvatske i Vlade Republike Makedonije o policijskoj suradnji, zajedno sa Sporazumom između Vlade Republike Hrvatske i Vlade Republike Makedonije o policijskoj suradnji (na hrvatskom i engleskom jeziku); </w:t>
      </w:r>
    </w:p>
    <w:p w:rsidR="00AC0832" w:rsidRDefault="00AC0832">
      <w:pPr>
        <w:pStyle w:val="Normal6"/>
      </w:pPr>
      <w:r>
        <w:t>-</w:t>
      </w:r>
      <w:r>
        <w:tab/>
        <w:t xml:space="preserve">Nacrt odluke o pokretanju postupka za sklapanje Sporazuma između Vlade Republike Hrvatske i Vlade Mađarske o radu centra za koordinaciju rada tijela za provođenje zakona i sigurnosti u Podunavlju; </w:t>
      </w:r>
    </w:p>
    <w:p w:rsidR="00AC0832" w:rsidRDefault="00AC0832">
      <w:pPr>
        <w:pStyle w:val="Normal6"/>
      </w:pPr>
      <w:r>
        <w:t>-</w:t>
      </w:r>
      <w:r>
        <w:tab/>
        <w:t xml:space="preserve">Nacrt prijedloga Izvješća o pregovorima izaslanstava Vlade Republike Hrvatske i Vlade Mađarske održanima u svrhu usuglašavanja Sporazuma između Vlade Republike Hrvatske i Vlade Mađarske o radu Dunavskog policijsko-sigurnosnog koordinacijskog centra te Nacrta prijedloga Zaključka Vlade RH o prihvaćanju Izvješća o vođenim pregovorima; </w:t>
      </w:r>
    </w:p>
    <w:p w:rsidR="00AC0832" w:rsidRDefault="00AC0832">
      <w:pPr>
        <w:pStyle w:val="Normal6"/>
      </w:pPr>
      <w:r>
        <w:t>-</w:t>
      </w:r>
      <w:r>
        <w:tab/>
        <w:t xml:space="preserve">Nacrt prijedloga Zaključka o prihvaćanju Sporazuma o policijskoj suradnji između Ministarstva unutarnjih poslova Republike Hrvatske i Ministarstva javne sigurnosti Narodne Republike Kine (tekst Sporazuma na hrvatskom i engleskom jeziku. </w:t>
      </w:r>
    </w:p>
    <w:p w:rsidR="00AC0832" w:rsidRDefault="00AC0832">
      <w:pPr>
        <w:pStyle w:val="Normal6"/>
      </w:pPr>
      <w:r>
        <w:t xml:space="preserve"> </w:t>
      </w:r>
    </w:p>
    <w:p w:rsidR="00AC0832" w:rsidRDefault="00AC0832">
      <w:pPr>
        <w:pStyle w:val="Normal6"/>
      </w:pPr>
      <w:r>
        <w:t xml:space="preserve">Projekt  "Jačanje kapaciteta Agencije za zaštitu osobnih podataka" </w:t>
      </w:r>
    </w:p>
    <w:p w:rsidR="00AC0832" w:rsidRDefault="00AC0832">
      <w:pPr>
        <w:pStyle w:val="Normal6"/>
      </w:pPr>
      <w:r>
        <w:t>-</w:t>
      </w:r>
      <w:r>
        <w:tab/>
        <w:t xml:space="preserve">Radni sastanak sa stranim  twinning stručnjacima, vezano uz institut službenika za zaštitu osobnih podataka; </w:t>
      </w:r>
    </w:p>
    <w:p w:rsidR="00AC0832" w:rsidRDefault="00AC0832">
      <w:pPr>
        <w:pStyle w:val="Normal6"/>
      </w:pPr>
      <w:r>
        <w:t>-</w:t>
      </w:r>
      <w:r>
        <w:tab/>
        <w:t xml:space="preserve">Studijski posjet Agenciji za zaštitu osobnih podataka Španjolske, Italije i Portugala.  </w:t>
      </w:r>
    </w:p>
    <w:p w:rsidR="00AC0832" w:rsidRDefault="00AC0832">
      <w:pPr>
        <w:pStyle w:val="Normal6"/>
      </w:pPr>
      <w:r>
        <w:t xml:space="preserve"> </w:t>
      </w:r>
    </w:p>
    <w:p w:rsidR="00AC0832" w:rsidRDefault="00AC0832">
      <w:pPr>
        <w:pStyle w:val="Normal6"/>
      </w:pPr>
      <w:r>
        <w:t xml:space="preserve">Pripremljena radna verzija pročišćenog teksta Zakona o zaštiti osobnih podataka i upućena u službenu proceduru prije objave. Isti je objavljen u NN br. 106/2012.U ovom izvještajnom razdoblju Odjel za nadzor je evidentirao ukupno 434  neupravna predmeta i 63 upravna predmeta.  </w:t>
      </w:r>
    </w:p>
    <w:p w:rsidR="00AC0832" w:rsidRDefault="00AC0832">
      <w:pPr>
        <w:pStyle w:val="Normal6"/>
      </w:pPr>
      <w:r>
        <w:t xml:space="preserve"> </w:t>
      </w:r>
    </w:p>
    <w:p w:rsidR="00AC0832" w:rsidRDefault="00AC0832">
      <w:pPr>
        <w:pStyle w:val="Normal6"/>
      </w:pPr>
      <w:r>
        <w:t xml:space="preserve"> </w:t>
      </w:r>
    </w:p>
    <w:p w:rsidR="00AC0832" w:rsidRDefault="00AC0832">
      <w:pPr>
        <w:pStyle w:val="Normal6"/>
      </w:pPr>
      <w:r>
        <w:t xml:space="preserve">Nadzor nad obradom osobnih podataka: </w:t>
      </w:r>
    </w:p>
    <w:p w:rsidR="00AC0832" w:rsidRDefault="00AC0832">
      <w:pPr>
        <w:pStyle w:val="Normal6"/>
      </w:pPr>
      <w:r>
        <w:t xml:space="preserve"> </w:t>
      </w:r>
    </w:p>
    <w:p w:rsidR="00AC0832" w:rsidRDefault="00AC0832">
      <w:pPr>
        <w:pStyle w:val="Normal6"/>
      </w:pPr>
      <w:r>
        <w:t xml:space="preserve">Tijekom izvještajnog razdoblja djelatnici ovog Odjela obavili su ukupno 68 izravnih nadzora nad obradom osobnih podataka kod voditelja zbirki osobnih podataka, od čega 39 samostalnih nadzora temeljem članka 32. Zakona o zaštiti osobnih podataka i 29 zajedničkih nadzora  temeljem članka  18. Zakona o zaštiti osobnih podataka. Cilj nadzora bio je  kod voditelja zbirki osobnih podataka utvrditi  da li  se obrada osobnih podataka obavlja na zakonit način te da li se poduzimaju odgovarajuće mjere zaštite kako bi se osobni podaci zaštitili od neovlaštenog dostupa, promjena ili uništenja.  </w:t>
      </w:r>
    </w:p>
    <w:p w:rsidR="00AC0832" w:rsidRDefault="00AC0832">
      <w:pPr>
        <w:pStyle w:val="Normal6"/>
      </w:pPr>
      <w:r>
        <w:t xml:space="preserve">Nakon obavljenih nadzora izrađeno je 68 zapisnika u kojima su unesena sva bitna zapažanja i primjedbe u vezi obrade osobnih podataka koje su utvrđene u tijeku nadzora.  </w:t>
      </w:r>
    </w:p>
    <w:p w:rsidR="00AC0832" w:rsidRDefault="00AC0832">
      <w:pPr>
        <w:pStyle w:val="Normal6"/>
      </w:pPr>
      <w:r>
        <w:t xml:space="preserve">Izravni nadzori kod voditelja zbirki osobnih podataka od strane ovog Odjela provedeni  su u sljedećim sektorima: državna uprava, lokalna i područna (regionalna) samouprava, gospodarstvo, financije, trgovina,  kultura, obrazovanje, zdravstvo i socijalna skrb, telekomunikacije te kod ostalih voditelja zbirki osobnih podataka.  </w:t>
      </w:r>
    </w:p>
    <w:p w:rsidR="00AC0832" w:rsidRDefault="00AC0832">
      <w:pPr>
        <w:pStyle w:val="Normal6"/>
      </w:pPr>
      <w:r>
        <w:t xml:space="preserve"> </w:t>
      </w:r>
    </w:p>
    <w:p w:rsidR="00AC0832" w:rsidRDefault="00AC0832">
      <w:pPr>
        <w:pStyle w:val="Normal6"/>
      </w:pPr>
      <w:r>
        <w:t xml:space="preserve"> </w:t>
      </w:r>
    </w:p>
    <w:p w:rsidR="00AC0832" w:rsidRDefault="00AC0832">
      <w:pPr>
        <w:pStyle w:val="Normal6"/>
      </w:pPr>
      <w:r>
        <w:t xml:space="preserve">Ovaj Odjel obavljao je nadzorne aktivnosti koje su bile usmjerene na Sektorski nadzor nad dostavom evidencija u Središnji registar koji se vodi kod  ove Agencije. Nadzor se provodio u Sektoru zdravstva i socijalne skrbi odnosno prema  domovima za starije i nemoćne osobe koji prikupljaju i obrađuju osobne podatke o svojim zaposlenicima i korisnicima doma. U ovom sektoru  izvršen je  151 nadzor vezan uz dostavu evidencija u Središnji registar, te nadzor nad ispunjenjem obveze vezane uz  imenovanje službenika za zaštitu osobnih podataka.  </w:t>
      </w:r>
    </w:p>
    <w:p w:rsidR="00AC0832" w:rsidRDefault="00AC0832">
      <w:pPr>
        <w:pStyle w:val="Normal6"/>
      </w:pPr>
      <w:r>
        <w:t xml:space="preserve">Sukladno članku 14. i  16. Agencija je nalagala svim domovima za starije i nemoćne osobe, kao voditeljima zbirki osobnih podataka, koji nisu ispunili svoje zakonske obveze da dostave evidencije o svim zbirkama osobnih podataka koje vode u Središnji registar. Isto tako sukladno ovlastima iz čl. 18. a Zakona o zaštiti osobnih podataka Odjel je  voditeljima zbirki  naložio i dostavu obavijesti o imenovanju službenika za zaštitu osobnih podataka. </w:t>
      </w:r>
    </w:p>
    <w:p w:rsidR="00AC0832" w:rsidRDefault="00AC0832">
      <w:pPr>
        <w:pStyle w:val="Normal6"/>
      </w:pPr>
      <w:r>
        <w:t xml:space="preserve">Isto tako Odjel je izradio 93 požurnice prema domovima za starije i nemoćne za postupanje po nalozima Agencije  </w:t>
      </w:r>
    </w:p>
    <w:p w:rsidR="00AC0832" w:rsidRDefault="00AC0832">
      <w:pPr>
        <w:pStyle w:val="Normal6"/>
      </w:pPr>
      <w:r>
        <w:t xml:space="preserve"> </w:t>
      </w:r>
    </w:p>
    <w:p w:rsidR="00AC0832" w:rsidRDefault="00AC0832">
      <w:pPr>
        <w:pStyle w:val="Normal6"/>
      </w:pPr>
      <w:r>
        <w:t xml:space="preserve"> </w:t>
      </w:r>
    </w:p>
    <w:p w:rsidR="00AC0832" w:rsidRDefault="00AC0832">
      <w:pPr>
        <w:pStyle w:val="Normal6"/>
      </w:pPr>
      <w:r>
        <w:t xml:space="preserve"> </w:t>
      </w:r>
    </w:p>
    <w:p w:rsidR="00AC0832" w:rsidRDefault="00AC0832">
      <w:pPr>
        <w:pStyle w:val="Normal6"/>
      </w:pPr>
      <w:r>
        <w:t xml:space="preserve">          </w:t>
      </w:r>
    </w:p>
    <w:p w:rsidR="00AC0832" w:rsidRDefault="00AC0832">
      <w:pPr>
        <w:pStyle w:val="Normal6"/>
      </w:pPr>
      <w:r>
        <w:t xml:space="preserve"> </w:t>
      </w:r>
    </w:p>
    <w:p w:rsidR="00AC0832" w:rsidRDefault="00AC0832">
      <w:pPr>
        <w:pStyle w:val="Normal6"/>
      </w:pPr>
      <w:r>
        <w:t xml:space="preserve"> </w:t>
      </w:r>
    </w:p>
    <w:p w:rsidR="00AC0832" w:rsidRDefault="00AC0832">
      <w:pPr>
        <w:pStyle w:val="Normal6"/>
      </w:pPr>
      <w:r>
        <w:t xml:space="preserve">Sukladno članku 18. a Zakona o zaštiti osobnih podataka Agencija je također obavljala neizravne nadzore vezane uz obveze voditelja zbirki za imenovanjem službenika za zaštitu osobnih podataka. S tim u vezi Agencija je izradila 73 naloga za dostavu obavijesti o imenovanju službenika za zaštitu osobnih podataka svim ministarstvima, državnim upravnim organizacijama, državnim uredima, državnim  zavodima, agencijama i  strukovnim  komorama koje zapošljavaju više od 20 zaposlenih. </w:t>
      </w:r>
    </w:p>
    <w:p w:rsidR="00AC0832" w:rsidRDefault="00AC0832">
      <w:pPr>
        <w:pStyle w:val="Normal6"/>
      </w:pPr>
      <w:r>
        <w:t xml:space="preserve">U navedenim predmetima izrađene su 4 požurnice za postupanje po nalozima. </w:t>
      </w:r>
    </w:p>
    <w:p w:rsidR="00AC0832" w:rsidRDefault="00AC0832">
      <w:pPr>
        <w:pStyle w:val="Normal6"/>
      </w:pPr>
      <w:r>
        <w:t xml:space="preserve"> </w:t>
      </w:r>
    </w:p>
    <w:p w:rsidR="00AC0832" w:rsidRDefault="00AC0832">
      <w:pPr>
        <w:pStyle w:val="Normal6"/>
      </w:pPr>
      <w:r>
        <w:t xml:space="preserve"> </w:t>
      </w:r>
    </w:p>
    <w:p w:rsidR="00AC0832" w:rsidRDefault="00AC0832">
      <w:pPr>
        <w:pStyle w:val="Normal6"/>
      </w:pPr>
      <w:r>
        <w:t xml:space="preserve">U ovom izvještajnom razdoblju Odjel je zaprimio ukupno 187 zahtjeva za zaštitu prava, odnosno pritužbi građana i trećih osoba (sindikata, pravobraniteljice za djecu, upita iz medija). </w:t>
      </w:r>
    </w:p>
    <w:p w:rsidR="00AC0832" w:rsidRDefault="00AC0832">
      <w:pPr>
        <w:pStyle w:val="Normal6"/>
      </w:pPr>
      <w:r>
        <w:t xml:space="preserve"> </w:t>
      </w:r>
    </w:p>
    <w:p w:rsidR="00AC0832" w:rsidRDefault="00AC0832">
      <w:pPr>
        <w:pStyle w:val="Normal6"/>
      </w:pPr>
      <w:r>
        <w:t xml:space="preserve"> </w:t>
      </w:r>
    </w:p>
    <w:p w:rsidR="00AC0832" w:rsidRDefault="00AC0832">
      <w:pPr>
        <w:pStyle w:val="Normal6"/>
      </w:pPr>
      <w:r>
        <w:t xml:space="preserve">Postupajući po zahtjevima za zaštitu prava djelatnici Odjela u svrhu provođenja ispitnog postupka izradili su 78 zahtjeva za očitovanje u svrhu provođenja upravnog postupka, 10 zaključaka za nadopunu zahtjeva .         </w:t>
      </w:r>
    </w:p>
    <w:p w:rsidR="00AC0832" w:rsidRDefault="00AC0832">
      <w:pPr>
        <w:pStyle w:val="Normal6"/>
      </w:pPr>
      <w:r>
        <w:t xml:space="preserve">Nakon provedenog upravnog postupka temeljem članka 24. Zakona o zaštiti osobnih podataka  Odjel je donio 63 rješenja te 67 odgovora - mišljenja strankama 4 preporuke za unapređenje zaštite osobnih podataka prema voditeljima zbirki osobnih podataka u svrhu poduzimanja mjera za postupanje sukladno Zakonu o zaštiti osobnih podataka i  4 upozorenja prema voditeljima zbirki.  </w:t>
      </w:r>
    </w:p>
    <w:p w:rsidR="00AC0832" w:rsidRDefault="00AC0832">
      <w:pPr>
        <w:pStyle w:val="Normal6"/>
      </w:pPr>
      <w:r>
        <w:t xml:space="preserve"> U ovom izvještajnom razdoblju Odjel je proslijedio na nadležno postupanje ministarstvu unutarnjih poslova 11 predmeta, dok je u jednom predmetu podnio kaznenu prijavu protiv nepoznate osobe zbog kaznenog djela neovlaštene uporabe  osobnih podataka iz članka 133. stavka 1. Kaznenog zakona koji je bio na snazi u vrijeme podnošenja zahtjeva, odnosno kaznenog djela iz  članka 141. st. 1. važećeg Kaznenog zakona.  </w:t>
      </w:r>
    </w:p>
    <w:p w:rsidR="00AC0832" w:rsidRDefault="00AC0832">
      <w:pPr>
        <w:pStyle w:val="Normal6"/>
      </w:pPr>
      <w:r>
        <w:t xml:space="preserve"> </w:t>
      </w:r>
    </w:p>
    <w:p w:rsidR="00AC0832" w:rsidRDefault="00AC0832" w:rsidP="00B43923">
      <w:pPr>
        <w:pStyle w:val="Normal6"/>
      </w:pPr>
      <w:r>
        <w:t xml:space="preserve">Od ukupnog broja zaprimljenih  zahtjeva  riješeno je 148 zahtjeva, dok je ostalo neriješeno 49  zahtjeva za zaštitu prava . </w:t>
      </w:r>
    </w:p>
    <w:p w:rsidR="00AC0832" w:rsidRDefault="00AC0832">
      <w:pPr>
        <w:pStyle w:val="Normal6"/>
      </w:pPr>
      <w:r>
        <w:t xml:space="preserve">Protiv rješenja  koje je donijela Agencija u ovom izvještajnom razdoblju nezadovoljne stranke pokrenule su 5 tužbi pred Upravnim sudom RH. S tim u vezi djelatnici Odjela sukladno Zakonu o općem upravnom postupku i Zakonu o upravnim sporovima  sastavile su 5 odgovora na tužbe i dostavili  sve spise predmeta na nadležno postupanje Upravnom sudu RH. </w:t>
      </w:r>
    </w:p>
    <w:p w:rsidR="00AC0832" w:rsidRDefault="00AC0832" w:rsidP="00B43923">
      <w:pPr>
        <w:pStyle w:val="Normal6"/>
      </w:pPr>
      <w:r>
        <w:t xml:space="preserve">U ovom izvještajnom razdoblju također je Upravni sud donio 7 presuda kojima su potvrđena rješenja Agencije i 1 presudu kojom je poništeno rješenje Agencije i postupak vraćen na ponovno odlučivanje.  </w:t>
      </w:r>
    </w:p>
    <w:p w:rsidR="00AC0832" w:rsidRDefault="00AC0832" w:rsidP="00B43923">
      <w:pPr>
        <w:pStyle w:val="Normal6"/>
      </w:pPr>
      <w:r>
        <w:t xml:space="preserve">U ovom izvještajnom razdoblju pokrenuta su 4 optužna prijedloga za pokretanje prekršajnog postupka i 2 nadopune prijedloga pred nadležnim prekršajnim sudovima zbog prekršaja iz članka 36. stavka 1. t.  6. i stavka 2. Zakona o zaštiti osobnih podataka. </w:t>
      </w:r>
    </w:p>
    <w:p w:rsidR="00AC0832" w:rsidRDefault="00AC0832">
      <w:pPr>
        <w:pStyle w:val="Normal6"/>
      </w:pPr>
      <w:r>
        <w:t xml:space="preserve">Pored navedenih aktivnosti Odjel je obavljao poslove zastupanja pred nadležnim Upravnim sudovima i pred Prekršajnim sudovima u svim predmetima u kojima su pokrenuti upravni ili prekršajni postupci.  </w:t>
      </w:r>
    </w:p>
    <w:p w:rsidR="00AC0832" w:rsidRDefault="00AC0832" w:rsidP="00B43923">
      <w:pPr>
        <w:pStyle w:val="Normal6"/>
      </w:pPr>
    </w:p>
    <w:p w:rsidR="00AC0832" w:rsidRDefault="00AC0832">
      <w:pPr>
        <w:pStyle w:val="Normal6"/>
      </w:pPr>
      <w:r>
        <w:t xml:space="preserve">Tijekom 2012. godine izvršeno je ukupno 68 izravnih nadzora temeljem članka  32. i čl. 18  Zakona o zaštiti osobnih podataka. </w:t>
      </w:r>
    </w:p>
    <w:p w:rsidR="00AC0832" w:rsidRDefault="00AC0832">
      <w:pPr>
        <w:pStyle w:val="Normal6"/>
      </w:pPr>
      <w:r>
        <w:tab/>
        <w:t xml:space="preserve"> </w:t>
      </w:r>
    </w:p>
    <w:p w:rsidR="00AC0832" w:rsidRDefault="00AC0832" w:rsidP="00B43923">
      <w:pPr>
        <w:pStyle w:val="Normal6"/>
      </w:pPr>
      <w:r>
        <w:t xml:space="preserve">Aplikacija za rad sa Središnjim registrom evidencija o zbirkama osobnih podataka radi u neizmijenjenom stanju u odnosu na 2007. godinu. Godišnjim ugovorom sa tvrtkom „Roby“ osigurana je tehnička podrška rada aplikacije na operacijskom sustavu SuSe Linux , kao i redovito održavanje sigurnosnih kopija softvera i baze podataka. </w:t>
      </w:r>
    </w:p>
    <w:p w:rsidR="00AC0832" w:rsidRDefault="00AC0832" w:rsidP="00B43923">
      <w:pPr>
        <w:pStyle w:val="Normal6"/>
      </w:pPr>
      <w:r>
        <w:t>Počevši od 7. mjeseca 2005. godine do kraja 2012. godine ukupno je u Središnjem registru registrirano 8.811 voditelja zbirki osobnih podataka i dostavljeno 20.394 evidencija o zbirkama osobnih podataka.</w:t>
      </w:r>
    </w:p>
    <w:p w:rsidR="00AC0832" w:rsidRDefault="00AC0832">
      <w:pPr>
        <w:pStyle w:val="Normal6"/>
      </w:pPr>
      <w:r>
        <w:t xml:space="preserve">U 2012.godini ukupno je registrirano 965 novih voditelja zbirki. </w:t>
      </w:r>
    </w:p>
    <w:p w:rsidR="00AC0832" w:rsidRDefault="00AC0832" w:rsidP="00B43923">
      <w:pPr>
        <w:pStyle w:val="Normal6"/>
      </w:pPr>
      <w:r>
        <w:t xml:space="preserve">Tijekom 2012. godine, u Središnji registar je uneseno ukupno 1.890 novih evidencija o zbirkama osobnih podataka, od kojih je 442 (23%) dostavljeno u pisanom (papirnatom) obliku, a 1.448 (77%) dostavljeno je elektronički. </w:t>
      </w:r>
    </w:p>
    <w:p w:rsidR="00AC0832" w:rsidRDefault="00AC0832">
      <w:pPr>
        <w:pStyle w:val="Normal6"/>
      </w:pPr>
      <w:r>
        <w:t xml:space="preserve">Odjela za zaštitu prava na pristup informacijama  za 2012. godinu </w:t>
      </w:r>
    </w:p>
    <w:p w:rsidR="00AC0832" w:rsidRDefault="00AC0832">
      <w:pPr>
        <w:pStyle w:val="Normal6"/>
      </w:pPr>
      <w:r>
        <w:t xml:space="preserve">Tijekom 2012. godine Odjel za zaštitu prava na pristup informacija zaprimio je 709 predmeta što je povećanje od 127% u odnosu na 2011. godinu.  </w:t>
      </w:r>
    </w:p>
    <w:p w:rsidR="00AC0832" w:rsidRDefault="00AC0832">
      <w:pPr>
        <w:pStyle w:val="Normal6"/>
      </w:pPr>
      <w:r>
        <w:t xml:space="preserve">Od ukupno 709 zaprimljenih predmeta bilo je: </w:t>
      </w:r>
    </w:p>
    <w:p w:rsidR="00AC0832" w:rsidRDefault="00AC0832">
      <w:pPr>
        <w:pStyle w:val="Normal6"/>
      </w:pPr>
      <w:r>
        <w:t>•</w:t>
      </w:r>
      <w:r>
        <w:tab/>
        <w:t xml:space="preserve">480 žalbi,  </w:t>
      </w:r>
    </w:p>
    <w:p w:rsidR="00AC0832" w:rsidRDefault="00AC0832">
      <w:pPr>
        <w:pStyle w:val="Normal6"/>
      </w:pPr>
      <w:r>
        <w:t>•</w:t>
      </w:r>
      <w:r>
        <w:tab/>
        <w:t xml:space="preserve">99 pisanih upita od strane tijela javne vlasti ili drugih fizičkih ili pravnih osoba;  </w:t>
      </w:r>
    </w:p>
    <w:p w:rsidR="00AC0832" w:rsidRDefault="00AC0832">
      <w:pPr>
        <w:pStyle w:val="Normal6"/>
      </w:pPr>
      <w:r>
        <w:t>•</w:t>
      </w:r>
      <w:r>
        <w:tab/>
        <w:t xml:space="preserve">101 predstavka koje su se odnosile na rad tijela javne vlasti;  </w:t>
      </w:r>
    </w:p>
    <w:p w:rsidR="00AC0832" w:rsidRDefault="00AC0832">
      <w:pPr>
        <w:pStyle w:val="Normal6"/>
      </w:pPr>
      <w:r>
        <w:t>•</w:t>
      </w:r>
      <w:r>
        <w:tab/>
        <w:t xml:space="preserve">16 drugih podnesaka koji su se odnosili na ostalu komunikaciju sa tijelima javne vlasti ili strankama.  </w:t>
      </w:r>
    </w:p>
    <w:p w:rsidR="00AC0832" w:rsidRDefault="00AC0832">
      <w:pPr>
        <w:pStyle w:val="Normal6"/>
      </w:pPr>
      <w:r>
        <w:t xml:space="preserve">U 2012. godinu je prenesena u rad 21 žalba iz 2011. godine, što znači da je Odjel tijekom 2012. godine imao u radu ukupno 501 žalbu iz područja prava na pristup informacijama.  </w:t>
      </w:r>
    </w:p>
    <w:p w:rsidR="00AC0832" w:rsidRDefault="00AC0832">
      <w:pPr>
        <w:pStyle w:val="Normal6"/>
      </w:pPr>
      <w:r>
        <w:t xml:space="preserve">Od ukupnog broja žalbi koje su bile na rješavanju, Odjel je riješio  362 žalbe (75%), te je iz navedenog je vidljivo da je Odjel riješio 93% više žalbi u odnosu na 2011. godinu kada je  riješeno 188 žalbi. Dio neriješenih žalbi je rezultat  nedovoljnog broja rješavatelja predmeta. </w:t>
      </w:r>
    </w:p>
    <w:p w:rsidR="00AC0832" w:rsidRDefault="00AC0832">
      <w:pPr>
        <w:pStyle w:val="Normal6"/>
      </w:pPr>
      <w:r>
        <w:t xml:space="preserve">Odjel je u 2012. godine izradio Izvješće o provedbi Zakona o pravu na pristup informacijama za 2011. godinu. Zaprimljeno je 2655 pojedinačnih Izvješća od tijela javne vlasti. </w:t>
      </w:r>
    </w:p>
    <w:p w:rsidR="00AC0832" w:rsidRDefault="00AC0832" w:rsidP="00B43923">
      <w:pPr>
        <w:pStyle w:val="Normal6"/>
      </w:pPr>
      <w:r>
        <w:t xml:space="preserve"> </w:t>
      </w:r>
      <w:r>
        <w:tab/>
        <w:t xml:space="preserve"> Izvješće o provedbi Zakona za 2012. godinu je dostavilo je 2852 tijela javne vlasti, što je povećanje za 7%  u odnosu na 2011. godinu, kada te  234% odnosu na 2010. godinu kada je 854 tijela javne vlasti ispunilo zakonsku obvezu.  </w:t>
      </w:r>
    </w:p>
    <w:p w:rsidR="00AC0832" w:rsidRDefault="00AC0832">
      <w:pPr>
        <w:pStyle w:val="Normal6"/>
      </w:pPr>
      <w:r>
        <w:t xml:space="preserve">  </w:t>
      </w:r>
    </w:p>
    <w:p w:rsidR="00AC0832" w:rsidRDefault="00AC0832">
      <w:pPr>
        <w:pStyle w:val="Normal6"/>
      </w:pPr>
      <w:r>
        <w:t xml:space="preserve">U okviru projekta „Strengthen the implementation of the new Freedom of Information Act“  predstavnici Odjela održali su tijekom 2012 godine 5 edukacija za službenike za informiranje i to:  24.01.2012. godine u Rijeci, 16.02.2012. u Varaždinu, 28.03.2012. u Splitu, te 27. i 29.03.2012. godine u Zagrebu.  </w:t>
      </w:r>
    </w:p>
    <w:p w:rsidR="00AC0832" w:rsidRDefault="00AC0832">
      <w:pPr>
        <w:pStyle w:val="Normal6"/>
      </w:pPr>
      <w:r>
        <w:t xml:space="preserve">Predstavnici Odjela sudjelovali su na seminarima za predstavnike voditelja zbirki osobnih podataka i za tijela javne vlasti koji su održani u Zagrebu tijekom siječnja 2012. godine. </w:t>
      </w:r>
    </w:p>
    <w:p w:rsidR="00AC0832" w:rsidRDefault="00AC0832">
      <w:pPr>
        <w:pStyle w:val="Normal6"/>
      </w:pPr>
      <w:r>
        <w:t xml:space="preserve">Predstavnik Odjela je dana 08.03.2012. godine održano predavanje na temu pristup informacija za studente Pravnog fakulteta. </w:t>
      </w:r>
    </w:p>
    <w:p w:rsidR="00AC0832" w:rsidRDefault="00AC0832">
      <w:pPr>
        <w:pStyle w:val="Normal6"/>
      </w:pPr>
      <w:r>
        <w:t xml:space="preserve">Dana 20.09.2012. godine predstavnik Odjela je održao radionicu za  ravnatelje ustanova socijalne skrbi  Ministarstva socijalne politike i mladih na temu „Primjena Zakona o pravu na pristup informacijama na javne ustanove socijalne skrbi“.   </w:t>
      </w:r>
    </w:p>
    <w:p w:rsidR="00AC0832" w:rsidRDefault="00AC0832">
      <w:pPr>
        <w:pStyle w:val="Normal6"/>
      </w:pPr>
      <w:r>
        <w:t xml:space="preserve">Predstavnik Odjela je sudjelovao u edukaciji za službenike za informiranje Vlade Republike Hrvatske,  vladinih ureda i ministarstava, dana  12.11.2012. godine. </w:t>
      </w:r>
    </w:p>
    <w:p w:rsidR="00AC0832" w:rsidRDefault="00AC0832">
      <w:pPr>
        <w:pStyle w:val="Normal6"/>
      </w:pPr>
      <w:r>
        <w:t xml:space="preserve">Održana edukacija za službenike za informiranje u pilot projekt s Državnom školom za javnu upravu, u okviru kojega su izrađeni materijali za teorijski dio edukacije i vježbe za radionicu te je održana edukacija dana  27.11.2012. godine. </w:t>
      </w:r>
    </w:p>
    <w:p w:rsidR="00AC0832" w:rsidRDefault="00AC0832">
      <w:pPr>
        <w:pStyle w:val="Normal6"/>
      </w:pPr>
      <w:r>
        <w:t xml:space="preserve">U okviru projekta „Increase the capacity of Croatian NGOs to use access to information“ predstavnici Odjela održali su  2 edukacije  za udruge i predstavnike lokalnih tijela javne vlasti  i to u Splitu dana 21.11.2012. i   u  Dubrovniku dana 23.11.2012. godine. </w:t>
      </w:r>
    </w:p>
    <w:p w:rsidR="00AC0832" w:rsidRDefault="00AC0832">
      <w:pPr>
        <w:pStyle w:val="Normal6"/>
      </w:pPr>
      <w:r>
        <w:t xml:space="preserve">Također ravnatelj i zamjenica ravnatelja Agencije su u  razdoblju od 09.11. 2012. do 21.12.2012. godine Agencija za zaštitu osobnih podataka je u suradnji s Hrvatskom gospodarskom komorom, organizirala  17 edukacija „Zaštita osobnih podataka i pravo na pristup informacijama“ na kojima su sudionici bili predstavnici tijela javnih vlasti i službenici za informiranje, te na kojima je educirano nešto više od 800 službenika za informiranje.  </w:t>
      </w:r>
    </w:p>
    <w:p w:rsidR="00AC0832" w:rsidRDefault="00AC0832">
      <w:pPr>
        <w:pStyle w:val="Normal6"/>
      </w:pPr>
      <w:r>
        <w:t xml:space="preserve">Iz navedenog je vidljivo da je održano daleko više edukacija nego što je to predviđeno Strateškim planom. </w:t>
      </w:r>
    </w:p>
    <w:p w:rsidR="00AC0832" w:rsidRDefault="00AC0832">
      <w:pPr>
        <w:pStyle w:val="Normal6"/>
      </w:pPr>
    </w:p>
    <w:p w:rsidR="00AC0832" w:rsidRDefault="00AC0832" w:rsidP="00B43923">
      <w:pPr>
        <w:pStyle w:val="Normal6"/>
      </w:pPr>
      <w:r>
        <w:t xml:space="preserve">Tijekom 2012. godine su pokrenuta 13 upravna spora, te je Odjel izradio 13 odgovora na tužbu  je smanjenje u odnosu na 2011. godinu u kojoj su bila pokrenuta 24 upravna spora. </w:t>
      </w:r>
    </w:p>
    <w:p w:rsidR="00AC0832" w:rsidRDefault="00AC0832" w:rsidP="00B43923">
      <w:pPr>
        <w:pStyle w:val="Normal6"/>
      </w:pPr>
      <w:r>
        <w:t xml:space="preserve">U 5 slučaja Odjel je zbog nepostupanja po nalogu za rješavanje zahtjeva za pristup informaciji podnijela 5 optužna prijedloga zbog počinjenja prekršaja iz 26. Zakona.  </w:t>
      </w:r>
    </w:p>
    <w:p w:rsidR="00AC0832" w:rsidRDefault="00AC0832">
      <w:pPr>
        <w:pStyle w:val="Normal6"/>
      </w:pPr>
      <w:r>
        <w:t xml:space="preserve">Odjel je organizirao radnim danom od 10:00 - 12:00 sati Info - telefon za pitanja građana i službenika za informiranje i drugih zainteresiranih osoba iz područja pristupa informacijama. U periodu od 01.02.2012. godine odgovoreno je na 535 upita.  </w:t>
      </w:r>
    </w:p>
    <w:p w:rsidR="00AC0832" w:rsidRDefault="00AC0832" w:rsidP="00B43923">
      <w:pPr>
        <w:pStyle w:val="Normal6"/>
      </w:pPr>
      <w:r>
        <w:t xml:space="preserve">Odjel je izradio Izvješća vezana za predpristupne aktivnosti i to Izvješća za Odbor za stabilizaciju i pridruživanje, za Pododbor za pravosuđe i unutarnje poslove o aktivnostima Odjela u zadanom razdoblju, Izvješće „Samoprocjena Odjela za zaštitu osobnih podataka“ u procesu pristupanja Europskoj uniji za zadano razdoblje, Monitoring Izvješća, te Izvješća za Misiju  stručnjaka Europske komisije za područje pravosuđa na temu o pravu na pristup informacijama. Predstavnik Odjela je sudjelovao na sastanku Pododbora za pravosuđe i unutarnje poslove u Zagrebu, te na sastancima Misije stručnjaka Europske komisije za područje pravosuđa na temu o pravu na pristup informacijama. </w:t>
      </w:r>
    </w:p>
    <w:p w:rsidR="00AC0832" w:rsidRDefault="00AC0832">
      <w:pPr>
        <w:pStyle w:val="Normal6"/>
      </w:pPr>
      <w:r>
        <w:t xml:space="preserve">Povodom Međunarodnog dana prava na pristup informacijama „Građani imaju pravo znati“ predstavnici Odjela su sudjelovali u „Tjedan dana prava na pristup informacijama“ i to: „Dan otvorenih vrata“ – savjetovanje službenika za informiranje, edukaciju za učenike srednje škole (Upravna i birotehnička škola Zagreb, Varšavska 17, pod nazivom „Mladi službenik za informiranje“ za koju priliku je izrađen  Priručnik za mlade, održano je predavanje  „Pravo na pristup informacijama“ u trgovačkom društvu Odašiljači i veze, Ul. grada Vukovara 269/d, koje je u Antikorupcijskom programu za trgovačka društva, te su održana 2 Info-štanda za građane na  Trgu bana Josipa Jelačića. </w:t>
      </w:r>
    </w:p>
    <w:p w:rsidR="00AC0832" w:rsidRDefault="00AC0832">
      <w:pPr>
        <w:pStyle w:val="Normal6"/>
      </w:pPr>
      <w:r>
        <w:t xml:space="preserve">Odjel je sudjelovao u izradi teksta za Nacionalni program zaštite i promicanja ljudskih prava za 2013.-2016. godine  </w:t>
      </w:r>
    </w:p>
    <w:p w:rsidR="00AC0832" w:rsidRDefault="00AC0832">
      <w:pPr>
        <w:pStyle w:val="Normal6"/>
      </w:pPr>
      <w:r>
        <w:t xml:space="preserve">Predstavnik Odjela je sudjelovalo u radu Radne grupe za Zakon o pravu na pristup informacijama u okviru koje je izrađen Nacrt prijedloga Zakona o pravu na pristup informacijama </w:t>
      </w:r>
    </w:p>
    <w:p w:rsidR="00AC0832" w:rsidRDefault="00AC0832">
      <w:pPr>
        <w:pStyle w:val="Normal6"/>
      </w:pPr>
      <w:r>
        <w:t xml:space="preserve">U izradi i javnoj raspravi javne rasprave o prioritetima i mjerama Akcijskog plana za provedbu inicijative Partnerstvo za otvorenu vlast predstavnik Odjela je sudjelovao dana 31.01.2012. godine. Dana  4. i 5. listopada 2012. godine u Dubrovniku predstavnik Odjela  sudjelovalo je na Europskom sastanku inicijative Partnerstvo za otvorenu vlast, te  sudjeluje u radu Savjeta Partnerstva za otvorenu vlast. </w:t>
      </w:r>
    </w:p>
    <w:p w:rsidR="00AC0832" w:rsidRDefault="00AC0832">
      <w:pPr>
        <w:pStyle w:val="Normal6"/>
      </w:pPr>
      <w:r>
        <w:t xml:space="preserve">Tijekom 2012. godine Odjel je obavio su pripremne radnje za pilot projekt s Državnom školom za javnu upravu vezano za edukaciju službenika za informiranje.  </w:t>
      </w:r>
    </w:p>
    <w:p w:rsidR="00AC0832" w:rsidRDefault="00AC0832">
      <w:pPr>
        <w:pStyle w:val="Normal6"/>
      </w:pPr>
      <w:r>
        <w:t xml:space="preserve">U prostorijama Odjela, je u okviru TAIEX-a, od 29.-31.05.2012. godine održana edukacija za zaposlenike  Odjela  „Expert Mission on the right of access to information in public administration“, predavač predstavnica slovenskog Informacijskog povjerenika, te za članove Radne skupine za izradu Zakona predavanje na teme  »Ponovna uporaba informacija i redovito objavljivanje informacija“. </w:t>
      </w:r>
    </w:p>
    <w:p w:rsidR="00AC0832" w:rsidRDefault="00AC0832">
      <w:pPr>
        <w:pStyle w:val="Normal6"/>
      </w:pPr>
      <w:r>
        <w:t xml:space="preserve"> </w:t>
      </w:r>
    </w:p>
    <w:p w:rsidR="00AC0832" w:rsidRDefault="00AC0832" w:rsidP="00B43923">
      <w:pPr>
        <w:pStyle w:val="Normal6"/>
      </w:pPr>
      <w:r>
        <w:t xml:space="preserve">Odjel je sudjelovao u izradi Smjernica za klasifikaciju podataka i Smjernica za pristup informacijama, te  Smjernica za izradu kataloga informacija u okviru projekta „Strengthen the implementation of the new Freedom of Information Act“. Također je  Odjel sudjelovao u izradi brošure koja se odnosi na pravo na pristup informacijama koja je izrađena u okviru projekta „Capacity building of the Croatian agency for protection of personal  data (CAPPD). </w:t>
      </w:r>
    </w:p>
    <w:p w:rsidR="00AC0832" w:rsidRDefault="00AC0832">
      <w:pPr>
        <w:pStyle w:val="Normal6"/>
      </w:pPr>
      <w:r>
        <w:t xml:space="preserve">Predstavnik Odjela je prisustvovao seminaru u organizaciju TAIEX-a „The Ombudsman function &amp; access to public information“ u Švedskoj dana 27.09.2012. godine u Zadru. </w:t>
      </w:r>
    </w:p>
    <w:p w:rsidR="00AC0832" w:rsidRDefault="00AC0832">
      <w:pPr>
        <w:pStyle w:val="Normal6"/>
      </w:pPr>
      <w:r>
        <w:t xml:space="preserve">Dana 27.09.2012. godine predstavnik Odjela je sudjelovalo na panelu konferencije Regional civil society conference “For Europe of the Western Balkans and Turkey”. Predstavnici Odjela sudjelovali su na radionici dana  17. i 18.12.2012. godine u organizaciji TAIEX-A  „Workshop on cooperation in the area of data protection“, u Makedoniji koja je obuhvaćala i područje prava na pristup informacijama.  </w:t>
      </w:r>
    </w:p>
    <w:p w:rsidR="00AC0832" w:rsidRDefault="00AC0832">
      <w:pPr>
        <w:pStyle w:val="Normal6"/>
      </w:pPr>
      <w:r>
        <w:t xml:space="preserve">Predstavnici Odjela sudjelovali su u  projektu Matra flex programa „Enhancing capacities of the CAPPD in  the field of right of access to information“. Tijekom 2012. godine nastavljen je rad na projektu „Strengthen the implementation of the new Freedom of Information Act“, koji je završio u travnju 2012. godine.   </w:t>
      </w:r>
    </w:p>
    <w:p w:rsidR="00AC0832" w:rsidRDefault="00AC0832">
      <w:pPr>
        <w:pStyle w:val="Normal6"/>
      </w:pPr>
      <w:r>
        <w:t>Tijekom 2012. godine započeo je projekt „Increase the capacity of Croatian NGOs to use access to information“ koji je provodila u Republici Hrvatskoj udruga EXPERT forum iz Rumunjske u suradnji s Agencijom, a kojeg financira Britansko veleposlanstvo u Zagrebu. Suradnja s drugim tijelima</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6"/>
        <w:gridCol w:w="1718"/>
        <w:gridCol w:w="1287"/>
        <w:gridCol w:w="1190"/>
        <w:gridCol w:w="1174"/>
        <w:gridCol w:w="1190"/>
        <w:gridCol w:w="122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1.1.1.1. Izrađen Nacrt izmjena i dopuna podzakonskih uredbi.</w:t>
            </w:r>
          </w:p>
        </w:tc>
        <w:tc>
          <w:tcPr>
            <w:tcW w:w="1300" w:type="dxa"/>
          </w:tcPr>
          <w:p w:rsidR="00AC0832" w:rsidRDefault="00AC0832">
            <w:pPr>
              <w:pStyle w:val="CellColumn"/>
            </w:pPr>
            <w:r>
              <w:t>Izmjenom i dopunom podzakonskih uredbi bit će pojednostavljeno popunjavanje i način dostave evidencija o zbirkama osobnih podataka</w:t>
            </w:r>
          </w:p>
        </w:tc>
        <w:tc>
          <w:tcPr>
            <w:tcW w:w="1300" w:type="dxa"/>
          </w:tcPr>
          <w:p w:rsidR="00AC0832" w:rsidRDefault="00AC0832">
            <w:pPr>
              <w:pStyle w:val="CellColumn"/>
            </w:pPr>
            <w:r>
              <w:t xml:space="preserve">% </w:t>
            </w:r>
          </w:p>
          <w:p w:rsidR="00AC0832" w:rsidRDefault="00AC0832">
            <w:pPr>
              <w:pStyle w:val="CellColumn"/>
            </w:pPr>
            <w:r>
              <w:t>(kumul.)</w:t>
            </w:r>
          </w:p>
        </w:tc>
        <w:tc>
          <w:tcPr>
            <w:tcW w:w="1300" w:type="dxa"/>
          </w:tcPr>
          <w:p w:rsidR="00AC0832" w:rsidRDefault="00AC0832">
            <w:pPr>
              <w:pStyle w:val="CellColumn"/>
            </w:pPr>
            <w:r>
              <w:t>30%</w:t>
            </w:r>
          </w:p>
        </w:tc>
        <w:tc>
          <w:tcPr>
            <w:tcW w:w="1300" w:type="dxa"/>
          </w:tcPr>
          <w:p w:rsidR="00AC0832" w:rsidRDefault="00AC0832">
            <w:pPr>
              <w:pStyle w:val="CellColumn"/>
            </w:pPr>
            <w:r>
              <w:t>Azop</w:t>
            </w:r>
          </w:p>
        </w:tc>
        <w:tc>
          <w:tcPr>
            <w:tcW w:w="1300" w:type="dxa"/>
          </w:tcPr>
          <w:p w:rsidR="00AC0832" w:rsidRDefault="00AC0832">
            <w:pPr>
              <w:pStyle w:val="CellColumn"/>
            </w:pPr>
            <w:r>
              <w:t>60%</w:t>
            </w:r>
          </w:p>
        </w:tc>
        <w:tc>
          <w:tcPr>
            <w:tcW w:w="1300" w:type="dxa"/>
          </w:tcPr>
          <w:p w:rsidR="00AC0832" w:rsidRDefault="00AC0832">
            <w:pPr>
              <w:pStyle w:val="CellColumn"/>
            </w:pPr>
            <w:r>
              <w:t>60%</w:t>
            </w:r>
          </w:p>
        </w:tc>
      </w:tr>
      <w:tr w:rsidR="00AC0832" w:rsidTr="00BE20ED">
        <w:trPr>
          <w:jc w:val="center"/>
        </w:trPr>
        <w:tc>
          <w:tcPr>
            <w:tcW w:w="1300" w:type="dxa"/>
          </w:tcPr>
          <w:p w:rsidR="00AC0832" w:rsidRDefault="00AC0832">
            <w:pPr>
              <w:pStyle w:val="CellColumn"/>
            </w:pPr>
            <w:r>
              <w:t>1.1.2.1. Implementiran standard ISO 27001 o prikupljanju, obradi i prijenosu osobnih podataka, te razrađen i usvojen Pravilnik o provođenju nadzora i nadzornih aktivnosti</w:t>
            </w:r>
          </w:p>
        </w:tc>
        <w:tc>
          <w:tcPr>
            <w:tcW w:w="1300" w:type="dxa"/>
          </w:tcPr>
          <w:p w:rsidR="00AC0832" w:rsidRDefault="00AC0832">
            <w:pPr>
              <w:pStyle w:val="CellColumn"/>
            </w:pPr>
            <w:r>
              <w:t>Pravilnikom o provođenju nadzora i nadzornih aktivnosti bit će određena optimalna i prihvatljiva praksa i metodologija nadzora koja će se primjenjivati kroz planirane nadzore kao redovnu aktivnost u uvjetima suvremenih informacijskih i komunikacijskih tehnologija</w:t>
            </w:r>
          </w:p>
        </w:tc>
        <w:tc>
          <w:tcPr>
            <w:tcW w:w="1300" w:type="dxa"/>
          </w:tcPr>
          <w:p w:rsidR="00AC0832" w:rsidRDefault="00AC0832">
            <w:pPr>
              <w:pStyle w:val="CellColumn"/>
            </w:pPr>
            <w:r>
              <w:t>% ( kumul.)</w:t>
            </w:r>
          </w:p>
        </w:tc>
        <w:tc>
          <w:tcPr>
            <w:tcW w:w="1300" w:type="dxa"/>
          </w:tcPr>
          <w:p w:rsidR="00AC0832" w:rsidRDefault="00AC0832">
            <w:pPr>
              <w:pStyle w:val="CellColumn"/>
            </w:pPr>
            <w:r>
              <w:t>40%</w:t>
            </w:r>
          </w:p>
        </w:tc>
        <w:tc>
          <w:tcPr>
            <w:tcW w:w="1300" w:type="dxa"/>
          </w:tcPr>
          <w:p w:rsidR="00AC0832" w:rsidRDefault="00AC0832">
            <w:pPr>
              <w:pStyle w:val="CellColumn"/>
            </w:pPr>
            <w:r>
              <w:t>Azop</w:t>
            </w:r>
          </w:p>
        </w:tc>
        <w:tc>
          <w:tcPr>
            <w:tcW w:w="1300" w:type="dxa"/>
          </w:tcPr>
          <w:p w:rsidR="00AC0832" w:rsidRDefault="00AC0832">
            <w:pPr>
              <w:pStyle w:val="CellColumn"/>
            </w:pPr>
            <w:r>
              <w:t>70%</w:t>
            </w:r>
          </w:p>
        </w:tc>
        <w:tc>
          <w:tcPr>
            <w:tcW w:w="1300" w:type="dxa"/>
          </w:tcPr>
          <w:p w:rsidR="00AC0832" w:rsidRDefault="00AC0832">
            <w:pPr>
              <w:pStyle w:val="CellColumn"/>
            </w:pPr>
            <w:r>
              <w:t>70%</w:t>
            </w:r>
          </w:p>
        </w:tc>
      </w:tr>
      <w:tr w:rsidR="00AC0832" w:rsidTr="00BE20ED">
        <w:trPr>
          <w:jc w:val="center"/>
        </w:trPr>
        <w:tc>
          <w:tcPr>
            <w:tcW w:w="1300" w:type="dxa"/>
          </w:tcPr>
          <w:p w:rsidR="00AC0832" w:rsidRDefault="00AC0832">
            <w:pPr>
              <w:pStyle w:val="CellColumn"/>
            </w:pPr>
            <w:r>
              <w:t>1.1.2.2. Kontinuirana realizacija planiranog broja nadzora i nadzora po prijavi nad voditeljima zbirki</w:t>
            </w:r>
          </w:p>
        </w:tc>
        <w:tc>
          <w:tcPr>
            <w:tcW w:w="1300" w:type="dxa"/>
          </w:tcPr>
          <w:p w:rsidR="00AC0832" w:rsidRDefault="00AC0832">
            <w:pPr>
              <w:pStyle w:val="CellColumn"/>
            </w:pPr>
            <w:r>
              <w:t>Izvršenjem nadzora nad voditeljima zbirki osobnih podataka Agencija djeluje na voditelje u provođenju Zakona o zaštiti osobnih podataka, a isto tako Agencija mjeri uspješnost i efikasnost Pravilnika o provođenju nadzora i nadzornih aktivnosti.</w:t>
            </w:r>
          </w:p>
        </w:tc>
        <w:tc>
          <w:tcPr>
            <w:tcW w:w="1300" w:type="dxa"/>
          </w:tcPr>
          <w:p w:rsidR="00AC0832" w:rsidRDefault="00AC0832">
            <w:pPr>
              <w:pStyle w:val="CellColumn"/>
            </w:pPr>
            <w:r>
              <w:t>broj ( kumul)</w:t>
            </w:r>
          </w:p>
        </w:tc>
        <w:tc>
          <w:tcPr>
            <w:tcW w:w="1300" w:type="dxa"/>
          </w:tcPr>
          <w:p w:rsidR="00AC0832" w:rsidRDefault="00AC0832">
            <w:pPr>
              <w:pStyle w:val="CellColumn"/>
            </w:pPr>
            <w:r>
              <w:t>50</w:t>
            </w:r>
          </w:p>
        </w:tc>
        <w:tc>
          <w:tcPr>
            <w:tcW w:w="1300" w:type="dxa"/>
          </w:tcPr>
          <w:p w:rsidR="00AC0832" w:rsidRDefault="00AC0832">
            <w:pPr>
              <w:pStyle w:val="CellColumn"/>
            </w:pPr>
            <w:r>
              <w:t>Azop</w:t>
            </w:r>
          </w:p>
        </w:tc>
        <w:tc>
          <w:tcPr>
            <w:tcW w:w="1300" w:type="dxa"/>
          </w:tcPr>
          <w:p w:rsidR="00AC0832" w:rsidRDefault="00AC0832">
            <w:pPr>
              <w:pStyle w:val="CellColumn"/>
            </w:pPr>
            <w:r>
              <w:t>120</w:t>
            </w:r>
          </w:p>
        </w:tc>
        <w:tc>
          <w:tcPr>
            <w:tcW w:w="1300" w:type="dxa"/>
          </w:tcPr>
          <w:p w:rsidR="00AC0832" w:rsidRDefault="00AC0832">
            <w:pPr>
              <w:pStyle w:val="CellColumn"/>
            </w:pPr>
            <w:r>
              <w:t>118</w:t>
            </w:r>
          </w:p>
        </w:tc>
      </w:tr>
      <w:tr w:rsidR="00AC0832" w:rsidTr="00BE20ED">
        <w:trPr>
          <w:jc w:val="center"/>
        </w:trPr>
        <w:tc>
          <w:tcPr>
            <w:tcW w:w="1300" w:type="dxa"/>
          </w:tcPr>
          <w:p w:rsidR="00AC0832" w:rsidRDefault="00AC0832">
            <w:pPr>
              <w:pStyle w:val="CellColumn"/>
            </w:pPr>
            <w:r>
              <w:t>1.1.3.1. Kontinuirano održavanje seminara i radionica za voditelje zbirki osobnih podataka</w:t>
            </w:r>
          </w:p>
        </w:tc>
        <w:tc>
          <w:tcPr>
            <w:tcW w:w="1300" w:type="dxa"/>
          </w:tcPr>
          <w:p w:rsidR="00AC0832" w:rsidRDefault="00AC0832">
            <w:pPr>
              <w:pStyle w:val="CellColumn"/>
            </w:pPr>
            <w:r>
              <w:t>Upoznavanjem predstavnika voditelja zbirki s obvezama koje proizlaze iz Zakona i načinima na koje se obveze izvršavaju glede zaštite osobnih podataka i dostavljanja evidencija, utječe se na dosljedno i efikasno provođenje propisa.</w:t>
            </w:r>
          </w:p>
        </w:tc>
        <w:tc>
          <w:tcPr>
            <w:tcW w:w="1300" w:type="dxa"/>
          </w:tcPr>
          <w:p w:rsidR="00AC0832" w:rsidRDefault="00AC0832">
            <w:pPr>
              <w:pStyle w:val="CellColumn"/>
            </w:pPr>
            <w:r>
              <w:t>broj( kumul.)</w:t>
            </w:r>
          </w:p>
        </w:tc>
        <w:tc>
          <w:tcPr>
            <w:tcW w:w="1300" w:type="dxa"/>
          </w:tcPr>
          <w:p w:rsidR="00AC0832" w:rsidRDefault="00AC0832">
            <w:pPr>
              <w:pStyle w:val="CellColumn"/>
            </w:pPr>
            <w:r>
              <w:t>8</w:t>
            </w:r>
          </w:p>
        </w:tc>
        <w:tc>
          <w:tcPr>
            <w:tcW w:w="1300" w:type="dxa"/>
          </w:tcPr>
          <w:p w:rsidR="00AC0832" w:rsidRDefault="00AC0832">
            <w:pPr>
              <w:pStyle w:val="CellColumn"/>
            </w:pPr>
            <w:r>
              <w:t>Azop</w:t>
            </w:r>
          </w:p>
        </w:tc>
        <w:tc>
          <w:tcPr>
            <w:tcW w:w="1300" w:type="dxa"/>
          </w:tcPr>
          <w:p w:rsidR="00AC0832" w:rsidRDefault="00AC0832">
            <w:pPr>
              <w:pStyle w:val="CellColumn"/>
            </w:pPr>
            <w:r>
              <w:t>24</w:t>
            </w:r>
          </w:p>
        </w:tc>
        <w:tc>
          <w:tcPr>
            <w:tcW w:w="1300" w:type="dxa"/>
          </w:tcPr>
          <w:p w:rsidR="00AC0832" w:rsidRDefault="00AC0832">
            <w:pPr>
              <w:pStyle w:val="CellColumn"/>
            </w:pPr>
            <w:r>
              <w:t>26</w:t>
            </w:r>
          </w:p>
        </w:tc>
      </w:tr>
      <w:tr w:rsidR="00AC0832" w:rsidTr="00BE20ED">
        <w:trPr>
          <w:jc w:val="center"/>
        </w:trPr>
        <w:tc>
          <w:tcPr>
            <w:tcW w:w="1300" w:type="dxa"/>
          </w:tcPr>
          <w:p w:rsidR="00AC0832" w:rsidRDefault="00AC0832">
            <w:pPr>
              <w:pStyle w:val="CellColumn"/>
            </w:pPr>
            <w:r>
              <w:t>1.2.2.1.  Postotak rješavanja predmeta u II.stupanjskom postupku u zakonskim rokovima</w:t>
            </w:r>
          </w:p>
        </w:tc>
        <w:tc>
          <w:tcPr>
            <w:tcW w:w="1300" w:type="dxa"/>
          </w:tcPr>
          <w:p w:rsidR="00AC0832" w:rsidRDefault="00AC0832">
            <w:pPr>
              <w:pStyle w:val="CellColumn"/>
            </w:pPr>
            <w:r>
              <w:t>Zadatak je Agencije pravovremeno u zakonskim rokovima odgovarati na sve zaprimljene zahtjeve, educirati zaposlenike za efikasnije rješavanje predmeta i sistematizirati predloške za često postavljene zahtjeve.</w:t>
            </w:r>
          </w:p>
        </w:tc>
        <w:tc>
          <w:tcPr>
            <w:tcW w:w="1300" w:type="dxa"/>
          </w:tcPr>
          <w:p w:rsidR="00AC0832" w:rsidRDefault="00AC0832">
            <w:pPr>
              <w:pStyle w:val="CellColumn"/>
            </w:pPr>
            <w:r>
              <w:t>% (god .)</w:t>
            </w:r>
          </w:p>
        </w:tc>
        <w:tc>
          <w:tcPr>
            <w:tcW w:w="1300" w:type="dxa"/>
          </w:tcPr>
          <w:p w:rsidR="00AC0832" w:rsidRDefault="00AC0832">
            <w:pPr>
              <w:pStyle w:val="CellColumn"/>
            </w:pPr>
            <w:r>
              <w:t>70%</w:t>
            </w:r>
          </w:p>
        </w:tc>
        <w:tc>
          <w:tcPr>
            <w:tcW w:w="1300" w:type="dxa"/>
          </w:tcPr>
          <w:p w:rsidR="00AC0832" w:rsidRDefault="00AC0832">
            <w:pPr>
              <w:pStyle w:val="CellColumn"/>
            </w:pPr>
            <w:r>
              <w:t>Azop</w:t>
            </w:r>
          </w:p>
        </w:tc>
        <w:tc>
          <w:tcPr>
            <w:tcW w:w="1300" w:type="dxa"/>
          </w:tcPr>
          <w:p w:rsidR="00AC0832" w:rsidRDefault="00AC0832">
            <w:pPr>
              <w:pStyle w:val="CellColumn"/>
            </w:pPr>
            <w:r>
              <w:t>85%</w:t>
            </w:r>
          </w:p>
        </w:tc>
        <w:tc>
          <w:tcPr>
            <w:tcW w:w="1300" w:type="dxa"/>
          </w:tcPr>
          <w:p w:rsidR="00AC0832" w:rsidRDefault="00AC0832">
            <w:pPr>
              <w:pStyle w:val="CellColumn"/>
            </w:pPr>
            <w:r>
              <w:t>85%</w:t>
            </w:r>
          </w:p>
        </w:tc>
      </w:tr>
      <w:tr w:rsidR="00AC0832" w:rsidTr="00BE20ED">
        <w:trPr>
          <w:jc w:val="center"/>
        </w:trPr>
        <w:tc>
          <w:tcPr>
            <w:tcW w:w="1300" w:type="dxa"/>
          </w:tcPr>
          <w:p w:rsidR="00AC0832" w:rsidRDefault="00AC0832">
            <w:pPr>
              <w:pStyle w:val="CellColumn"/>
            </w:pPr>
            <w:r>
              <w:t>.2.2.1. Postotak dostavljenih godišnjih izvješća od tijela javne vlasti</w:t>
            </w:r>
          </w:p>
        </w:tc>
        <w:tc>
          <w:tcPr>
            <w:tcW w:w="1300" w:type="dxa"/>
          </w:tcPr>
          <w:p w:rsidR="00AC0832" w:rsidRDefault="00AC0832">
            <w:pPr>
              <w:pStyle w:val="CellColumn"/>
            </w:pPr>
            <w:r>
              <w:t>Obveza je svih tijela javne vlasti dostaviti godišnja izvješća po zahtjevima za informacije, a zadaća Agencije je pozivati tijela javne vlasti na izvršenje te obveze provođenjem nadzora i upućivanjem poziva</w:t>
            </w:r>
          </w:p>
        </w:tc>
        <w:tc>
          <w:tcPr>
            <w:tcW w:w="1300" w:type="dxa"/>
          </w:tcPr>
          <w:p w:rsidR="00AC0832" w:rsidRDefault="00AC0832">
            <w:pPr>
              <w:pStyle w:val="CellColumn"/>
            </w:pPr>
            <w:r>
              <w:t>% ( kumul.)</w:t>
            </w:r>
          </w:p>
        </w:tc>
        <w:tc>
          <w:tcPr>
            <w:tcW w:w="1300" w:type="dxa"/>
          </w:tcPr>
          <w:p w:rsidR="00AC0832" w:rsidRDefault="00AC0832">
            <w:pPr>
              <w:pStyle w:val="CellColumn"/>
            </w:pPr>
            <w:r>
              <w:t>30%</w:t>
            </w:r>
          </w:p>
        </w:tc>
        <w:tc>
          <w:tcPr>
            <w:tcW w:w="1300" w:type="dxa"/>
          </w:tcPr>
          <w:p w:rsidR="00AC0832" w:rsidRDefault="00AC0832">
            <w:pPr>
              <w:pStyle w:val="CellColumn"/>
            </w:pPr>
            <w:r>
              <w:t>Azop</w:t>
            </w:r>
          </w:p>
        </w:tc>
        <w:tc>
          <w:tcPr>
            <w:tcW w:w="1300" w:type="dxa"/>
          </w:tcPr>
          <w:p w:rsidR="00AC0832" w:rsidRDefault="00AC0832">
            <w:pPr>
              <w:pStyle w:val="CellColumn"/>
            </w:pPr>
            <w:r>
              <w:t>35%</w:t>
            </w:r>
          </w:p>
        </w:tc>
        <w:tc>
          <w:tcPr>
            <w:tcW w:w="1300" w:type="dxa"/>
          </w:tcPr>
          <w:p w:rsidR="00AC0832" w:rsidRDefault="00AC0832">
            <w:pPr>
              <w:pStyle w:val="CellColumn"/>
            </w:pPr>
            <w:r>
              <w:t>35%</w:t>
            </w:r>
          </w:p>
        </w:tc>
      </w:tr>
      <w:tr w:rsidR="00AC0832" w:rsidTr="00BE20ED">
        <w:trPr>
          <w:jc w:val="center"/>
        </w:trPr>
        <w:tc>
          <w:tcPr>
            <w:tcW w:w="1300" w:type="dxa"/>
          </w:tcPr>
          <w:p w:rsidR="00AC0832" w:rsidRDefault="00AC0832">
            <w:pPr>
              <w:pStyle w:val="CellColumn"/>
            </w:pPr>
            <w:r>
              <w:t>1.2.3.1. Kontinuirano održavanje seminara i radionica za tijela javne vlasti o primjeni Zakona o pravu na pristup informacijama</w:t>
            </w:r>
          </w:p>
        </w:tc>
        <w:tc>
          <w:tcPr>
            <w:tcW w:w="1300" w:type="dxa"/>
          </w:tcPr>
          <w:p w:rsidR="00AC0832" w:rsidRDefault="00AC0832">
            <w:pPr>
              <w:pStyle w:val="CellColumn"/>
            </w:pPr>
            <w:r>
              <w:t>Upoznavanjem predstavnika tijela javne vlasti s obvezama koje proizlaze iz Zakona o pravu na pristup informacijama, utječe se na dosljedno i efikasno provođenje propisa.</w:t>
            </w:r>
          </w:p>
        </w:tc>
        <w:tc>
          <w:tcPr>
            <w:tcW w:w="1300" w:type="dxa"/>
          </w:tcPr>
          <w:p w:rsidR="00AC0832" w:rsidRDefault="00AC0832">
            <w:pPr>
              <w:pStyle w:val="CellColumn"/>
            </w:pPr>
            <w:r>
              <w:t>broj(kumul.)</w:t>
            </w:r>
          </w:p>
        </w:tc>
        <w:tc>
          <w:tcPr>
            <w:tcW w:w="1300" w:type="dxa"/>
          </w:tcPr>
          <w:p w:rsidR="00AC0832" w:rsidRDefault="00AC0832">
            <w:pPr>
              <w:pStyle w:val="CellColumn"/>
            </w:pPr>
            <w:r>
              <w:t>1</w:t>
            </w:r>
          </w:p>
        </w:tc>
        <w:tc>
          <w:tcPr>
            <w:tcW w:w="1300" w:type="dxa"/>
          </w:tcPr>
          <w:p w:rsidR="00AC0832" w:rsidRDefault="00AC0832">
            <w:pPr>
              <w:pStyle w:val="CellColumn"/>
            </w:pPr>
            <w:r>
              <w:t>Azop</w:t>
            </w:r>
          </w:p>
        </w:tc>
        <w:tc>
          <w:tcPr>
            <w:tcW w:w="1300" w:type="dxa"/>
          </w:tcPr>
          <w:p w:rsidR="00AC0832" w:rsidRDefault="00AC0832">
            <w:pPr>
              <w:pStyle w:val="CellColumn"/>
            </w:pPr>
            <w:r>
              <w:t>3</w:t>
            </w:r>
          </w:p>
        </w:tc>
        <w:tc>
          <w:tcPr>
            <w:tcW w:w="1300" w:type="dxa"/>
          </w:tcPr>
          <w:p w:rsidR="00AC0832" w:rsidRDefault="00AC0832">
            <w:pPr>
              <w:pStyle w:val="CellColumn"/>
            </w:pPr>
            <w:r>
              <w:t>3</w:t>
            </w:r>
          </w:p>
        </w:tc>
      </w:tr>
      <w:tr w:rsidR="00AC0832" w:rsidTr="00BE20ED">
        <w:trPr>
          <w:jc w:val="center"/>
        </w:trPr>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K765001 OPREMANJE AGENCIJE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K765001-OPREMANJE AGENCIJE</w:t>
            </w:r>
          </w:p>
        </w:tc>
        <w:tc>
          <w:tcPr>
            <w:tcW w:w="2322" w:type="dxa"/>
          </w:tcPr>
          <w:p w:rsidR="00AC0832" w:rsidRDefault="00AC0832">
            <w:pPr>
              <w:pStyle w:val="CellColumn"/>
            </w:pPr>
            <w:r>
              <w:t>85.500</w:t>
            </w:r>
          </w:p>
        </w:tc>
        <w:tc>
          <w:tcPr>
            <w:tcW w:w="2322" w:type="dxa"/>
          </w:tcPr>
          <w:p w:rsidR="00AC0832" w:rsidRDefault="00AC0832">
            <w:pPr>
              <w:pStyle w:val="CellColumn"/>
            </w:pPr>
            <w:r>
              <w:t>85.250</w:t>
            </w:r>
          </w:p>
        </w:tc>
        <w:tc>
          <w:tcPr>
            <w:tcW w:w="2322" w:type="dxa"/>
          </w:tcPr>
          <w:p w:rsidR="00AC0832" w:rsidRDefault="00AC0832">
            <w:pPr>
              <w:pStyle w:val="CellColumn"/>
            </w:pPr>
            <w:r>
              <w:t>99,7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Nabavljena je nova verzija programa za iredsko poslovanje "e URED". Nova verzija u potpunosti je usklađena sa novom uredbom o uredskom poslovanju , koja je stupila na snagu 1.1.2010.godine.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c>
          <w:tcPr>
            <w:tcW w:w="1300" w:type="dxa"/>
          </w:tcPr>
          <w:p w:rsidR="00AC0832" w:rsidRPr="00BE20ED" w:rsidRDefault="00AC0832" w:rsidP="00BE20ED">
            <w:pPr>
              <w:jc w:val="left"/>
              <w:rPr>
                <w:sz w:val="20"/>
                <w:lang w:eastAsia="hr-HR"/>
              </w:rPr>
            </w:pPr>
          </w:p>
        </w:tc>
      </w:tr>
    </w:tbl>
    <w:p w:rsidR="00AC0832" w:rsidRDefault="00AC0832">
      <w:pPr>
        <w:jc w:val="left"/>
      </w:pPr>
    </w:p>
    <w:p w:rsidR="00AC0832" w:rsidRDefault="00AC0832">
      <w:pPr>
        <w:pStyle w:val="Heading6"/>
      </w:pPr>
      <w:r>
        <w:t>K765003 IPA I 2007 JAČANJE KAPACITETA AGENCIJE ZA ZAŠTITU OSOBNIH PODATAKA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K765003-IPA I 2007 JAČANJE KAPACITETA AGENCIJE ZA ZAŠTITU OSOBNIH PODATAKA</w:t>
            </w:r>
          </w:p>
        </w:tc>
        <w:tc>
          <w:tcPr>
            <w:tcW w:w="2322" w:type="dxa"/>
          </w:tcPr>
          <w:p w:rsidR="00AC0832" w:rsidRDefault="00AC0832">
            <w:pPr>
              <w:pStyle w:val="CellColumn"/>
            </w:pPr>
            <w:r>
              <w:t>991.236</w:t>
            </w:r>
          </w:p>
        </w:tc>
        <w:tc>
          <w:tcPr>
            <w:tcW w:w="2322" w:type="dxa"/>
          </w:tcPr>
          <w:p w:rsidR="00AC0832" w:rsidRDefault="00AC0832">
            <w:pPr>
              <w:pStyle w:val="CellColumn"/>
            </w:pPr>
            <w:r>
              <w:t>00</w:t>
            </w:r>
          </w:p>
        </w:tc>
        <w:tc>
          <w:tcPr>
            <w:tcW w:w="2322" w:type="dxa"/>
          </w:tcPr>
          <w:p w:rsidR="00AC0832" w:rsidRDefault="00AC0832">
            <w:pPr>
              <w:pStyle w:val="CellColumn"/>
            </w:pPr>
            <w:r>
              <w:t>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U okviru IPA 2007 projekta „Jačanje kapaciteta Agencije za zaštitu osobnih podataka“, (HR/2007/IB/JH/02) izvršeno je sljedeće: </w:t>
      </w:r>
    </w:p>
    <w:p w:rsidR="00AC0832" w:rsidRDefault="00AC0832">
      <w:pPr>
        <w:pStyle w:val="Normal6"/>
      </w:pPr>
      <w:r>
        <w:t>•</w:t>
      </w:r>
      <w:r>
        <w:tab/>
        <w:t xml:space="preserve">revidiran Zakon o zaštiti osobnih podataka u skladu sa pravnom stečevinom Europske unije iz područja zaštite osobnih podataka; </w:t>
      </w:r>
    </w:p>
    <w:p w:rsidR="00AC0832" w:rsidRDefault="00AC0832">
      <w:pPr>
        <w:pStyle w:val="Normal6"/>
      </w:pPr>
      <w:r>
        <w:t>•</w:t>
      </w:r>
      <w:r>
        <w:tab/>
        <w:t xml:space="preserve">početak primjene zakona iz područja zaštite podataka, te politike provedbe i nadzora u skladu sa izmjenama Zakona o zaštiti osobnih podataka; </w:t>
      </w:r>
    </w:p>
    <w:p w:rsidR="00AC0832" w:rsidRDefault="00AC0832">
      <w:pPr>
        <w:pStyle w:val="Normal6"/>
      </w:pPr>
      <w:r>
        <w:t>•</w:t>
      </w:r>
      <w:r>
        <w:tab/>
        <w:t xml:space="preserve">uvedena višerazinska zaštita i provedena certifikacija u skladu sa ISO27001 standardom informacijske sigurnosti; </w:t>
      </w:r>
    </w:p>
    <w:p w:rsidR="00AC0832" w:rsidRDefault="00AC0832">
      <w:pPr>
        <w:pStyle w:val="Normal6"/>
      </w:pPr>
      <w:r>
        <w:t>•</w:t>
      </w:r>
      <w:r>
        <w:tab/>
        <w:t xml:space="preserve">(vezano uz jačanje suradnje s MUP-om) imenovan službenik za zaštitu osobnih podataka u MUP-u i održan trening za preko 600 policijskih službenika. </w:t>
      </w:r>
    </w:p>
    <w:p w:rsidR="00AC0832" w:rsidRDefault="00AC0832">
      <w:pPr>
        <w:pStyle w:val="Normal6"/>
      </w:pPr>
      <w:r>
        <w:t xml:space="preserve">Može se reći da su rezultati premašili očekivanja. Projekt je završio sa svim aktivnostima 18. listopada 2012. svečanom konferencijom u Zagrebu.U sklopu Programa za cjeloživotno učenje (Lifelong Learning Programme) Leonardo da Vinci 2012. godine, Agenciji je zajedno s državama partnerima Bugarskom, Češkom i Poljskom odobren projekt "Raising awareness of the data protection issues among the employees working in the EU" (“Jačanje svijesti o zaštiti osobnih podataka radnika zaposlenih u EU”) u vrijednosti od 14000€. Temeljni cilj ovog projekta je izraditi edukativne materijale za fizičke osobe koje se namjeravaju zaposliti u jednoj od zemlja koje sudjeluju u projektu. Iskustva svih zemalja koje sudjeluju u projektu upućuju na nedostatak informiranosti o zaštiti osobnih podataka u određenim segmentima svakodnevnog života, stoga je od iznimne važnosti poduzeti sve potrebne aktivnosti s ciljem širenja znanja o zaštiti osobnih podataka i privatnosti namijenjenoj različitim grupama korisnika. Do sada je održan uvodni sastanak svih partnera u Poljskoj, a zatim je planiran prvi radni sastanak u veljači 2013. u Hrvatskoj.U sklopu TAIEX pomoći: </w:t>
      </w:r>
    </w:p>
    <w:p w:rsidR="00AC0832" w:rsidRDefault="00AC0832">
      <w:pPr>
        <w:pStyle w:val="Normal6"/>
      </w:pPr>
      <w:r>
        <w:t>•</w:t>
      </w:r>
      <w:r>
        <w:tab/>
        <w:t xml:space="preserve">organiziran je studijski posjet Agenciji u Portugalu s naglaskom na temu automatska obrada osobnih podataka na radnom mjestu korištenjem novih tehnologija;  </w:t>
      </w:r>
    </w:p>
    <w:p w:rsidR="00AC0832" w:rsidRDefault="00AC0832">
      <w:pPr>
        <w:pStyle w:val="Normal6"/>
      </w:pPr>
      <w:r>
        <w:t>•</w:t>
      </w:r>
      <w:r>
        <w:tab/>
        <w:t xml:space="preserve">organiziran je studijski posjet Agenciji u Sloveniji za djelatnike odjela za zaštitu prava na pristup informacijama; </w:t>
      </w:r>
    </w:p>
    <w:p w:rsidR="00AC0832" w:rsidRDefault="00AC0832">
      <w:pPr>
        <w:pStyle w:val="Normal6"/>
      </w:pPr>
      <w:r>
        <w:t>•</w:t>
      </w:r>
      <w:r>
        <w:tab/>
        <w:t xml:space="preserve">organiziran je studijski posjet Agenciji u Njemačkoj; </w:t>
      </w:r>
    </w:p>
    <w:p w:rsidR="00AC0832" w:rsidRDefault="00AC0832">
      <w:pPr>
        <w:pStyle w:val="Normal6"/>
      </w:pPr>
      <w:r>
        <w:t>•</w:t>
      </w:r>
      <w:r>
        <w:tab/>
        <w:t xml:space="preserve">dolazak eksperta iz Slovenije na temu prava na pristup informacijama i provođenja testa javnog interesa; </w:t>
      </w:r>
    </w:p>
    <w:p w:rsidR="00AC0832" w:rsidRDefault="00AC0832">
      <w:pPr>
        <w:pStyle w:val="Normal6"/>
      </w:pPr>
      <w:r>
        <w:t>•</w:t>
      </w:r>
      <w:r>
        <w:tab/>
        <w:t xml:space="preserve">organizirana je radionica „EUROJUST i zaštita osobnih podataka“; </w:t>
      </w:r>
    </w:p>
    <w:p w:rsidR="00AC0832" w:rsidRDefault="00AC0832">
      <w:pPr>
        <w:pStyle w:val="Normal6"/>
      </w:pPr>
      <w:r>
        <w:t>•</w:t>
      </w:r>
      <w:r>
        <w:tab/>
        <w:t xml:space="preserve">organizirana je radionica u sklopu IPA 2007 "Jačanje kapaciteta u području zaštite osobnih podataka"; </w:t>
      </w:r>
    </w:p>
    <w:p w:rsidR="00AC0832" w:rsidRDefault="00AC0832">
      <w:pPr>
        <w:pStyle w:val="Normal6"/>
      </w:pPr>
      <w:r>
        <w:t>•</w:t>
      </w:r>
      <w:r>
        <w:tab/>
        <w:t>organizirana je radionica za službenike za zaštitu osobnih podataka u Rijeci 13. prosinca, te Zagrebu 14. prosinca 2012.</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4"/>
        <w:gridCol w:w="1718"/>
        <w:gridCol w:w="1182"/>
        <w:gridCol w:w="1223"/>
        <w:gridCol w:w="1212"/>
        <w:gridCol w:w="1223"/>
        <w:gridCol w:w="1246"/>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1.1.1.1. Izrađen Nacrt izmjena i dopuna podzakonskih uredbi.</w:t>
            </w:r>
          </w:p>
        </w:tc>
        <w:tc>
          <w:tcPr>
            <w:tcW w:w="1300" w:type="dxa"/>
          </w:tcPr>
          <w:p w:rsidR="00AC0832" w:rsidRDefault="00AC0832">
            <w:pPr>
              <w:pStyle w:val="CellColumn"/>
            </w:pPr>
            <w:r>
              <w:t>Izmjenom i dopunom podzakonskih uredbi bit će pojednostavljeno popunjavanje i način dostave evidencija o zbirkama osobnih podataka</w:t>
            </w:r>
          </w:p>
        </w:tc>
        <w:tc>
          <w:tcPr>
            <w:tcW w:w="1300" w:type="dxa"/>
          </w:tcPr>
          <w:p w:rsidR="00AC0832" w:rsidRDefault="00AC0832">
            <w:pPr>
              <w:pStyle w:val="CellColumn"/>
            </w:pPr>
            <w:r>
              <w:t xml:space="preserve">% </w:t>
            </w:r>
          </w:p>
          <w:p w:rsidR="00AC0832" w:rsidRDefault="00AC0832">
            <w:pPr>
              <w:pStyle w:val="CellColumn"/>
            </w:pPr>
            <w:r>
              <w:t>(kumul.)</w:t>
            </w:r>
          </w:p>
        </w:tc>
        <w:tc>
          <w:tcPr>
            <w:tcW w:w="1300" w:type="dxa"/>
          </w:tcPr>
          <w:p w:rsidR="00AC0832" w:rsidRDefault="00AC0832">
            <w:pPr>
              <w:pStyle w:val="CellColumn"/>
            </w:pPr>
            <w:r>
              <w:t>0</w:t>
            </w:r>
          </w:p>
        </w:tc>
        <w:tc>
          <w:tcPr>
            <w:tcW w:w="1300" w:type="dxa"/>
          </w:tcPr>
          <w:p w:rsidR="00AC0832" w:rsidRDefault="00AC0832">
            <w:pPr>
              <w:pStyle w:val="CellColumn"/>
            </w:pPr>
            <w:r>
              <w:t>AZOP</w:t>
            </w:r>
          </w:p>
        </w:tc>
        <w:tc>
          <w:tcPr>
            <w:tcW w:w="1300" w:type="dxa"/>
          </w:tcPr>
          <w:p w:rsidR="00AC0832" w:rsidRDefault="00AC0832">
            <w:pPr>
              <w:pStyle w:val="CellColumn"/>
            </w:pPr>
            <w:r>
              <w:t>60%</w:t>
            </w:r>
          </w:p>
        </w:tc>
        <w:tc>
          <w:tcPr>
            <w:tcW w:w="1300" w:type="dxa"/>
          </w:tcPr>
          <w:p w:rsidR="00AC0832" w:rsidRPr="00BE20ED" w:rsidRDefault="00AC0832" w:rsidP="00BE20ED">
            <w:pPr>
              <w:jc w:val="left"/>
              <w:rPr>
                <w:sz w:val="20"/>
                <w:lang w:eastAsia="hr-HR"/>
              </w:rPr>
            </w:pPr>
          </w:p>
        </w:tc>
      </w:tr>
      <w:tr w:rsidR="00AC0832" w:rsidTr="00BE20ED">
        <w:trPr>
          <w:jc w:val="center"/>
        </w:trPr>
        <w:tc>
          <w:tcPr>
            <w:tcW w:w="1300" w:type="dxa"/>
          </w:tcPr>
          <w:p w:rsidR="00AC0832" w:rsidRDefault="00AC0832">
            <w:pPr>
              <w:pStyle w:val="CellColumn"/>
            </w:pPr>
            <w:r>
              <w:t>1.1.2.1. Implementiran standard ISO 27001 o prikupljanju, obradi i prijenosu osobnih podataka, te razrađen i usvojen Pravilnik o provođenju nadzora i nadzornih aktivnosti</w:t>
            </w:r>
          </w:p>
        </w:tc>
        <w:tc>
          <w:tcPr>
            <w:tcW w:w="1300" w:type="dxa"/>
          </w:tcPr>
          <w:p w:rsidR="00AC0832" w:rsidRDefault="00AC0832">
            <w:pPr>
              <w:pStyle w:val="CellColumn"/>
            </w:pPr>
            <w:r>
              <w:t>Pravilnikom o provođenju nadzora i nadzornih aktivnosti bit će određena optimalna i prihvatljiva praksa i metodologija nadzora koja će se primjenjivati kroz planirane nadzore kao redovnu aktivnost u uvjetima suvremenih informacijskih i komunikacijskih tehnologija.</w:t>
            </w:r>
          </w:p>
        </w:tc>
        <w:tc>
          <w:tcPr>
            <w:tcW w:w="1300" w:type="dxa"/>
          </w:tcPr>
          <w:p w:rsidR="00AC0832" w:rsidRDefault="00AC0832">
            <w:pPr>
              <w:pStyle w:val="CellColumn"/>
            </w:pPr>
            <w:r>
              <w:t xml:space="preserve">% </w:t>
            </w:r>
          </w:p>
          <w:p w:rsidR="00AC0832" w:rsidRDefault="00AC0832">
            <w:pPr>
              <w:pStyle w:val="CellColumn"/>
            </w:pPr>
            <w:r>
              <w:t>(kumul.)</w:t>
            </w:r>
          </w:p>
        </w:tc>
        <w:tc>
          <w:tcPr>
            <w:tcW w:w="1300" w:type="dxa"/>
          </w:tcPr>
          <w:p w:rsidR="00AC0832" w:rsidRDefault="00AC0832">
            <w:pPr>
              <w:pStyle w:val="CellColumn"/>
            </w:pPr>
            <w:r>
              <w:t>20%</w:t>
            </w:r>
          </w:p>
        </w:tc>
        <w:tc>
          <w:tcPr>
            <w:tcW w:w="1300" w:type="dxa"/>
          </w:tcPr>
          <w:p w:rsidR="00AC0832" w:rsidRDefault="00AC0832">
            <w:pPr>
              <w:pStyle w:val="CellColumn"/>
            </w:pPr>
            <w:r>
              <w:t>AZOP</w:t>
            </w:r>
          </w:p>
        </w:tc>
        <w:tc>
          <w:tcPr>
            <w:tcW w:w="1300" w:type="dxa"/>
          </w:tcPr>
          <w:p w:rsidR="00AC0832" w:rsidRDefault="00AC0832">
            <w:pPr>
              <w:pStyle w:val="CellColumn"/>
            </w:pPr>
            <w:r>
              <w:t>70%</w:t>
            </w:r>
          </w:p>
        </w:tc>
        <w:tc>
          <w:tcPr>
            <w:tcW w:w="1300" w:type="dxa"/>
          </w:tcPr>
          <w:p w:rsidR="00AC0832" w:rsidRPr="00BE20ED" w:rsidRDefault="00AC0832" w:rsidP="00BE20ED">
            <w:pPr>
              <w:jc w:val="left"/>
              <w:rPr>
                <w:sz w:val="20"/>
                <w:lang w:eastAsia="hr-HR"/>
              </w:rPr>
            </w:pPr>
          </w:p>
        </w:tc>
      </w:tr>
    </w:tbl>
    <w:p w:rsidR="00AC0832" w:rsidRDefault="00AC0832">
      <w:pPr>
        <w:pStyle w:val="Heading1"/>
      </w:pPr>
      <w:r>
        <w:t>256 DRŽAVNI ZAVOD ZA RADIOLOŠKU I NUKLEARNU SIGURNOST</w:t>
      </w:r>
    </w:p>
    <w:p w:rsidR="00AC0832" w:rsidRDefault="00AC0832">
      <w:pPr>
        <w:pStyle w:val="Heading4"/>
      </w:pPr>
      <w:r>
        <w:t>Uvod</w:t>
      </w:r>
    </w:p>
    <w:p w:rsidR="00AC0832" w:rsidRDefault="00AC0832">
      <w:pPr>
        <w:pStyle w:val="Normal3"/>
      </w:pPr>
      <w:r>
        <w:t>Državni zavod za radiološku i nuklearnu sigurnost odobrava obavljanje nuklearne djelatnosti, djelatnosti s izvorima ionizirajućeg zračenja, nabavu, uvoz, izvoz, prijevoz i provoz te uporabu izvora ionizirajućeg zračenja; provodi nezavisne analize sigurnosti i izdaje rješenja i suglasnosti za smještaj, projektiranje, gradnju, uporabu te razgradnju objekta u kojem će se obavljati nuklearna djelatnost; sudjeluje u postupku izdavanja lokacijske dozvole, građevinske dozvole, dozvole za uklanjanje i postupku izdavanja uporabne dozvole za građevine u kojima su smješteni izvori ionizirajućeg zračenja ili se obavlja djelatnost s izvorima ionizirajućeg zračenja u skladu s posebnim propisom; ovlašćuje i nadzire stručni rad ovlaštenih stručnih tehničkih servisa i ovlaštenih izvršitelja za nuklearnu sigurnost; organizira i nadzire, a po potrebi i provodi ispitivanja prisutnosti vrste i jakosti ionizirajućeg zračenja u okolišu, hrani i hrani za životinje, lijekovima i predmetima opće uporabe u redovitim uvjetima te u slučaju sumnje na izvanredni događaj; vodi očevidnike o dozvolama, suglasnostima, rješenjima i potvrdama, koje izdaje u okviru svojih ovlasti, te vodi i nadzire očevidnike o izvorima ionizirajućeg zračenja, nositeljima odobrenja za obavljanje djelatnosti s izvorima ionizirajućeg zračenja i nuklearne djelatnosti, korisnicima, izloženim radnicima, stupnju ozračenosti izloženih radnika te stupnju ozračenosti osoba izloženih medicinskom ozračenju i drugih osoba; obavlja inspekcijski nadzor nad provedbom odredbi ovoga Zakona i propisa donesenih na temelju ovoga Zakona; izrađuje stručne podloge za nastavne programe i planove za redovito i dopunsko obrazovanje te obnovu znanja iz područja zaštite od ionizirajućeg zračenja; osigurava stručnu pomoć za provođenje državnog plana i programa postupaka u slučaju nuklearne nesreće i izvanrednog događaja vezanih uz izvore ionizirajućeg zračenja; obavješćuje sredstva javnog informiranja, nadležna tijela, organizacije, udruge i međunarodne institucije o izvanrednim događajima vezanim uz izvore ionizirajućeg zračenja; osigurava stručnu pomoć i suradnju u poslovima suzbijanja nedozvoljenog prometa nuklearnog i drugog radioaktivnog materijala tijelima državne uprave nadležnim za te poslove; prati stanje sigurnosti nuklearnih elektrana u regiji i provodi procjenu opasnosti od mogućih nuklearnih nesreća u njima, a osobito za Nuklearnu elektranu Krško u Sloveniji i Nuklearnu elektranu Paks u Mađarskoj; daje dozimetrijske procjene izlaganja ionizirajućem zračenju izloženih radnika, stanovništva od medicinskog ozračenja te od izlaganja ionizirajućem zračenju od radionuklida iz okoliša; provodi obveze koje je Republika Hrvatska preuzela prema međunarodnim konvencijama, ugovorima i sporazumima, a odnose se na zaštitu od ionizirajućeg zračenja, nuklearnu sigurnost i primjenu mjera zaštite u svrhu neširenja nuklearnog oružja; surađuje s međunarodnim i domaćim organizacijama i društvima s područja zaštite od ionizirajućeg zračenja i nuklearne sigurnosti te imenuje svoje stručne predstavnike koji sudjeluju u radu tih organizacija i društava ili prate njihov rad; koordinira poslove tehničke suradnje s Međunarodnom agencijom za atomsku energiju za sve sudionike iz Republike Hrvatske; potiče i podupire znanstveni i razvojnoistraživački rad, potiče stručna statistička i druga istraživanja u skladu sa zahtjevima i potrebama razvoja nuklearne sigurnosti i zaštite od ionizirajućeg zračenja u Republici Hrvatskoj; izdaje upute za provođenje međunarodnih preporuka i normi u području zaštite od ionizirajućeg zračenja i nuklearne sigurnosti te oblikuje standarde i metode u praćenju stanja zaštite od ionizirajućeg zračenja te obavlja i druge poslove iz svoje nadležnosti na temelju ovoga Zakona, propisa donesenih na temelju ovoga Zakona i drugih propisa.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25605-Državni zavod za radiološku i nuklearnu sigurnost</w:t>
            </w:r>
          </w:p>
        </w:tc>
        <w:tc>
          <w:tcPr>
            <w:tcW w:w="2322" w:type="dxa"/>
          </w:tcPr>
          <w:p w:rsidR="00AC0832" w:rsidRDefault="00AC0832">
            <w:pPr>
              <w:pStyle w:val="CellColumn"/>
            </w:pPr>
            <w:r>
              <w:t>16.339.500</w:t>
            </w:r>
          </w:p>
        </w:tc>
        <w:tc>
          <w:tcPr>
            <w:tcW w:w="2322" w:type="dxa"/>
          </w:tcPr>
          <w:p w:rsidR="00AC0832" w:rsidRDefault="00AC0832">
            <w:pPr>
              <w:pStyle w:val="CellColumn"/>
            </w:pPr>
            <w:r>
              <w:t>12.180.363</w:t>
            </w:r>
          </w:p>
        </w:tc>
        <w:tc>
          <w:tcPr>
            <w:tcW w:w="2322" w:type="dxa"/>
          </w:tcPr>
          <w:p w:rsidR="00AC0832" w:rsidRDefault="00AC0832">
            <w:pPr>
              <w:pStyle w:val="CellColumn"/>
            </w:pPr>
            <w:r>
              <w:t>74,5</w:t>
            </w:r>
          </w:p>
        </w:tc>
      </w:tr>
      <w:tr w:rsidR="00AC0832" w:rsidTr="00BE20ED">
        <w:trPr>
          <w:jc w:val="center"/>
        </w:trPr>
        <w:tc>
          <w:tcPr>
            <w:tcW w:w="2322" w:type="dxa"/>
            <w:shd w:val="clear" w:color="auto" w:fill="B5C0D8"/>
          </w:tcPr>
          <w:p w:rsidR="00AC0832" w:rsidRDefault="00AC0832">
            <w:pPr>
              <w:pStyle w:val="CellColumn"/>
            </w:pPr>
            <w:r>
              <w:t>Ukupno 256-DRŽAVNI ZAVOD ZA RADIOLOŠKU I NUKLEARNU SIGURNOST</w:t>
            </w:r>
          </w:p>
        </w:tc>
        <w:tc>
          <w:tcPr>
            <w:tcW w:w="2322" w:type="dxa"/>
            <w:shd w:val="clear" w:color="auto" w:fill="B5C0D8"/>
          </w:tcPr>
          <w:p w:rsidR="00AC0832" w:rsidRDefault="00AC0832">
            <w:pPr>
              <w:pStyle w:val="CellColumn"/>
            </w:pPr>
            <w:r>
              <w:t>16.339.500</w:t>
            </w:r>
          </w:p>
        </w:tc>
        <w:tc>
          <w:tcPr>
            <w:tcW w:w="2322" w:type="dxa"/>
            <w:shd w:val="clear" w:color="auto" w:fill="B5C0D8"/>
          </w:tcPr>
          <w:p w:rsidR="00AC0832" w:rsidRDefault="00AC0832">
            <w:pPr>
              <w:pStyle w:val="CellColumn"/>
            </w:pPr>
            <w:r>
              <w:t>12.180.363</w:t>
            </w:r>
          </w:p>
        </w:tc>
        <w:tc>
          <w:tcPr>
            <w:tcW w:w="2322" w:type="dxa"/>
            <w:shd w:val="clear" w:color="auto" w:fill="B5C0D8"/>
          </w:tcPr>
          <w:p w:rsidR="00AC0832" w:rsidRDefault="00AC0832">
            <w:pPr>
              <w:pStyle w:val="CellColumn"/>
            </w:pPr>
            <w:r>
              <w:t>74,5</w:t>
            </w:r>
          </w:p>
        </w:tc>
      </w:tr>
    </w:tbl>
    <w:p w:rsidR="00AC0832" w:rsidRDefault="00AC0832">
      <w:pPr>
        <w:jc w:val="left"/>
      </w:pPr>
    </w:p>
    <w:p w:rsidR="00AC0832" w:rsidRDefault="00AC0832">
      <w:pPr>
        <w:pStyle w:val="Heading2"/>
      </w:pPr>
      <w:r>
        <w:t>25605 Državni zavod za radiološku i nuklearnu sigurnost</w:t>
      </w:r>
    </w:p>
    <w:p w:rsidR="00AC0832" w:rsidRDefault="00AC0832">
      <w:pPr>
        <w:pStyle w:val="Heading4"/>
      </w:pPr>
      <w:r>
        <w:t>Uvod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25605-Državni zavod za radiološku i nuklearnu sigurnost</w:t>
            </w:r>
          </w:p>
        </w:tc>
        <w:tc>
          <w:tcPr>
            <w:tcW w:w="2322" w:type="dxa"/>
          </w:tcPr>
          <w:p w:rsidR="00AC0832" w:rsidRDefault="00AC0832">
            <w:pPr>
              <w:pStyle w:val="CellColumn"/>
            </w:pPr>
            <w:r>
              <w:t>16.339.500</w:t>
            </w:r>
          </w:p>
        </w:tc>
        <w:tc>
          <w:tcPr>
            <w:tcW w:w="2322" w:type="dxa"/>
          </w:tcPr>
          <w:p w:rsidR="00AC0832" w:rsidRDefault="00AC0832">
            <w:pPr>
              <w:pStyle w:val="CellColumn"/>
            </w:pPr>
            <w:r>
              <w:t>12.180.363</w:t>
            </w:r>
          </w:p>
        </w:tc>
        <w:tc>
          <w:tcPr>
            <w:tcW w:w="2322" w:type="dxa"/>
          </w:tcPr>
          <w:p w:rsidR="00AC0832" w:rsidRDefault="00AC0832">
            <w:pPr>
              <w:pStyle w:val="CellColumn"/>
            </w:pPr>
            <w:r>
              <w:t>74,5</w:t>
            </w:r>
          </w:p>
        </w:tc>
      </w:tr>
      <w:tr w:rsidR="00AC0832" w:rsidTr="00BE20ED">
        <w:trPr>
          <w:jc w:val="center"/>
        </w:trPr>
        <w:tc>
          <w:tcPr>
            <w:tcW w:w="2322" w:type="dxa"/>
          </w:tcPr>
          <w:p w:rsidR="00AC0832" w:rsidRDefault="00AC0832">
            <w:pPr>
              <w:pStyle w:val="CellColumnSmall"/>
            </w:pPr>
            <w:r>
              <w:t>3608-RADIOLOŠKA I NUKLEARNA SIGURNOST</w:t>
            </w:r>
          </w:p>
        </w:tc>
        <w:tc>
          <w:tcPr>
            <w:tcW w:w="2322" w:type="dxa"/>
          </w:tcPr>
          <w:p w:rsidR="00AC0832" w:rsidRDefault="00AC0832">
            <w:pPr>
              <w:pStyle w:val="CellColumnSmall"/>
            </w:pPr>
            <w:r>
              <w:t>16.339.500</w:t>
            </w:r>
          </w:p>
        </w:tc>
        <w:tc>
          <w:tcPr>
            <w:tcW w:w="2322" w:type="dxa"/>
          </w:tcPr>
          <w:p w:rsidR="00AC0832" w:rsidRDefault="00AC0832">
            <w:pPr>
              <w:pStyle w:val="CellColumnSmall"/>
            </w:pPr>
            <w:r>
              <w:t>12.180.363</w:t>
            </w:r>
          </w:p>
        </w:tc>
        <w:tc>
          <w:tcPr>
            <w:tcW w:w="2322" w:type="dxa"/>
          </w:tcPr>
          <w:p w:rsidR="00AC0832" w:rsidRDefault="00AC0832">
            <w:pPr>
              <w:pStyle w:val="CellColumnSmall"/>
            </w:pPr>
            <w:r>
              <w:t>74,5</w:t>
            </w:r>
          </w:p>
        </w:tc>
      </w:tr>
    </w:tbl>
    <w:p w:rsidR="00AC0832" w:rsidRDefault="00AC0832">
      <w:pPr>
        <w:jc w:val="left"/>
      </w:pPr>
    </w:p>
    <w:p w:rsidR="00AC0832" w:rsidRDefault="00AC0832">
      <w:pPr>
        <w:pStyle w:val="Heading4"/>
      </w:pPr>
      <w:r>
        <w:t>OBRAZLOŽENJE PROGRAMA</w:t>
      </w:r>
    </w:p>
    <w:p w:rsidR="00AC0832" w:rsidRDefault="00AC0832">
      <w:pPr>
        <w:pStyle w:val="Heading5"/>
      </w:pPr>
      <w:r>
        <w:t>3608 RADIOLOŠKA I NUKLEARNA SIGURNOST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3608-RADIOLOŠKA I NUKLEARNA SIGURNOST</w:t>
            </w:r>
          </w:p>
        </w:tc>
        <w:tc>
          <w:tcPr>
            <w:tcW w:w="2322" w:type="dxa"/>
          </w:tcPr>
          <w:p w:rsidR="00AC0832" w:rsidRDefault="00AC0832">
            <w:pPr>
              <w:pStyle w:val="CellColumn"/>
            </w:pPr>
            <w:r>
              <w:t>16.339.500</w:t>
            </w:r>
          </w:p>
        </w:tc>
        <w:tc>
          <w:tcPr>
            <w:tcW w:w="2322" w:type="dxa"/>
          </w:tcPr>
          <w:p w:rsidR="00AC0832" w:rsidRDefault="00AC0832">
            <w:pPr>
              <w:pStyle w:val="CellColumn"/>
            </w:pPr>
            <w:r>
              <w:t>12.180.363</w:t>
            </w:r>
          </w:p>
        </w:tc>
        <w:tc>
          <w:tcPr>
            <w:tcW w:w="2322" w:type="dxa"/>
          </w:tcPr>
          <w:p w:rsidR="00AC0832" w:rsidRDefault="00AC0832">
            <w:pPr>
              <w:pStyle w:val="CellColumn"/>
            </w:pPr>
            <w:r>
              <w:t>74,5</w:t>
            </w:r>
          </w:p>
        </w:tc>
      </w:tr>
    </w:tbl>
    <w:p w:rsidR="00AC0832" w:rsidRDefault="00AC0832">
      <w:pPr>
        <w:jc w:val="left"/>
      </w:pPr>
    </w:p>
    <w:p w:rsidR="00AC0832" w:rsidRDefault="00AC0832">
      <w:pPr>
        <w:pStyle w:val="Heading6"/>
      </w:pPr>
      <w:r>
        <w:t>Opis programa</w:t>
      </w:r>
    </w:p>
    <w:p w:rsidR="00AC0832" w:rsidRDefault="00AC0832">
      <w:pPr>
        <w:pStyle w:val="Normal5"/>
      </w:pPr>
      <w:r>
        <w:t xml:space="preserve">Predlaganje i provođenje zakona te donošenje i provođenje propisa pri obavljanju </w:t>
      </w:r>
    </w:p>
    <w:p w:rsidR="00AC0832" w:rsidRDefault="00AC0832">
      <w:pPr>
        <w:pStyle w:val="Normal5"/>
      </w:pPr>
      <w:r>
        <w:t xml:space="preserve">upravnih, stručnih i tehničkih poslova koji se odnose na zaštitu od ionizirajućeg zračenja i </w:t>
      </w:r>
    </w:p>
    <w:p w:rsidR="00AC0832" w:rsidRDefault="00AC0832">
      <w:pPr>
        <w:pStyle w:val="Normal5"/>
      </w:pPr>
      <w:r>
        <w:t xml:space="preserve">nuklearnu sigurnost kao i proces izdavanja odobrenja i dozvola, vođenje ažurnih i </w:t>
      </w:r>
    </w:p>
    <w:p w:rsidR="00AC0832" w:rsidRDefault="00AC0832">
      <w:pPr>
        <w:pStyle w:val="Normal5"/>
      </w:pPr>
      <w:r>
        <w:t xml:space="preserve">dostupnih evidencija te provedba inspekcijskog nadzora čime se osigurava mirnodopsko, </w:t>
      </w:r>
    </w:p>
    <w:p w:rsidR="00AC0832" w:rsidRDefault="00AC0832">
      <w:pPr>
        <w:pStyle w:val="Normal5"/>
      </w:pPr>
      <w:r>
        <w:t xml:space="preserve">opravdano i sigurno korištenje izvora ionizirajućeg zračenja, nuklearne tehnologije i </w:t>
      </w:r>
    </w:p>
    <w:p w:rsidR="00AC0832" w:rsidRDefault="00AC0832">
      <w:pPr>
        <w:pStyle w:val="Normal5"/>
      </w:pPr>
      <w:r>
        <w:t xml:space="preserve">materijala te zadovoljavajuće visoka razina mjera fizičke sigurnosti. Poticanjem promjena </w:t>
      </w:r>
    </w:p>
    <w:p w:rsidR="00AC0832" w:rsidRDefault="00AC0832">
      <w:pPr>
        <w:pStyle w:val="Normal5"/>
      </w:pPr>
      <w:r>
        <w:t xml:space="preserve">i uklanjanjem nedostataka u sustavu omogućuje se usklađeno djelovanje svih njegovih </w:t>
      </w:r>
    </w:p>
    <w:p w:rsidR="00AC0832" w:rsidRDefault="00AC0832">
      <w:pPr>
        <w:pStyle w:val="Normal5"/>
      </w:pPr>
      <w:r>
        <w:t>elemenata.</w:t>
      </w:r>
    </w:p>
    <w:p w:rsidR="00AC0832" w:rsidRDefault="00AC0832">
      <w:pPr>
        <w:pStyle w:val="Heading6"/>
      </w:pPr>
      <w:r>
        <w:t>Zakonske i druge pravne osnove</w:t>
      </w:r>
    </w:p>
    <w:p w:rsidR="00AC0832" w:rsidRDefault="00AC0832">
      <w:pPr>
        <w:pStyle w:val="Normal5"/>
      </w:pPr>
      <w:r>
        <w:t xml:space="preserve">Zakon o radiološkoj i nuklearnoj sigurnosti (NN28/10) </w:t>
      </w:r>
    </w:p>
    <w:p w:rsidR="00AC0832" w:rsidRDefault="00AC0832">
      <w:pPr>
        <w:pStyle w:val="Normal5"/>
      </w:pPr>
      <w:r>
        <w:t xml:space="preserve">Uredba o ustrojstvu i djelokrugu Državnog zavoda za radiološku i nuklearnu sigurnost </w:t>
      </w:r>
    </w:p>
    <w:p w:rsidR="00AC0832" w:rsidRDefault="00AC0832">
      <w:pPr>
        <w:pStyle w:val="Normal5"/>
      </w:pPr>
      <w:r>
        <w:t>(NN 125/10, 51/12)</w:t>
      </w:r>
    </w:p>
    <w:p w:rsidR="00AC0832" w:rsidRDefault="00AC0832">
      <w:pPr>
        <w:pStyle w:val="Heading6"/>
      </w:pPr>
      <w:r>
        <w:t>A849003 SUSTAVNO ISPITIVANJE IONIZIRAJUĆIH ZRAČENJA TE VRSTA I AKTIVNOSTI RADIOAKTIVNIH TVARI U OKOLIŠU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A849003-SUSTAVNO ISPITIVANJE IONIZIRAJUĆIH ZRAČENJA TE VRSTA I AKTIVNOSTI RADIOAKTIVNIH TVARI U OKOLIŠU</w:t>
            </w:r>
          </w:p>
        </w:tc>
        <w:tc>
          <w:tcPr>
            <w:tcW w:w="2322" w:type="dxa"/>
          </w:tcPr>
          <w:p w:rsidR="00AC0832" w:rsidRDefault="00AC0832">
            <w:pPr>
              <w:pStyle w:val="CellColumn"/>
            </w:pPr>
            <w:r>
              <w:t>1.049.958</w:t>
            </w:r>
          </w:p>
        </w:tc>
        <w:tc>
          <w:tcPr>
            <w:tcW w:w="2322" w:type="dxa"/>
          </w:tcPr>
          <w:p w:rsidR="00AC0832" w:rsidRDefault="00AC0832">
            <w:pPr>
              <w:pStyle w:val="CellColumn"/>
            </w:pPr>
            <w:r>
              <w:t>858.950</w:t>
            </w:r>
          </w:p>
        </w:tc>
        <w:tc>
          <w:tcPr>
            <w:tcW w:w="2322" w:type="dxa"/>
          </w:tcPr>
          <w:p w:rsidR="00AC0832" w:rsidRDefault="00AC0832">
            <w:pPr>
              <w:pStyle w:val="CellColumn"/>
            </w:pPr>
            <w:r>
              <w:t>81,8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Za sustavno ispitivanje ionizirajućih zračenja  te vrsta i aktivnosti radioaktivnih tvari u okolišu (temeljem Programa za 2012. g. uz suglasnost ministra zdravlja KLASA: 542-01/12-01/13 URBROJ: 534-08-1-5/3-12-2 od 20. travnja 2012. g.  sa stavke DZRNS A849003 od planiranih 1.049.958,00 utrošeno je 858.950,00 kn ( 81.8%) </w:t>
      </w:r>
    </w:p>
    <w:p w:rsidR="00AC0832" w:rsidRDefault="00AC0832">
      <w:pPr>
        <w:pStyle w:val="Normal6"/>
      </w:pPr>
      <w:r>
        <w:t xml:space="preserve">Izvješća o obavljenim poslovima predana su kako je predviđeno ugovorima.  </w:t>
      </w:r>
    </w:p>
    <w:p w:rsidR="00AC0832" w:rsidRDefault="00AC0832">
      <w:pPr>
        <w:pStyle w:val="Normal6"/>
      </w:pPr>
      <w:r>
        <w:t>Status projekta „Upgrading of the system for the on-and off-line monitoring of radioactivity into the environment in Croatia.  potpisan ugovor o financiranju (12. 04. 2012.) – izvršenje = 100%</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4"/>
        <w:gridCol w:w="1615"/>
        <w:gridCol w:w="921"/>
        <w:gridCol w:w="1038"/>
        <w:gridCol w:w="1946"/>
        <w:gridCol w:w="1221"/>
        <w:gridCol w:w="110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Izvješće o stanju radioaktivnosti u okolišu te stambenim i radnim prostorijama s procjenom ozračenja stanovništva</w:t>
            </w:r>
          </w:p>
        </w:tc>
        <w:tc>
          <w:tcPr>
            <w:tcW w:w="1300" w:type="dxa"/>
          </w:tcPr>
          <w:p w:rsidR="00AC0832" w:rsidRDefault="00AC0832">
            <w:pPr>
              <w:pStyle w:val="CellColumn"/>
            </w:pPr>
            <w:r>
              <w:t>Izvješće sadžava rezultate o stanju radioaktivnosti u okolišu za proteklu godinu s procjenom ozračenja stanovništva.</w:t>
            </w:r>
          </w:p>
        </w:tc>
        <w:tc>
          <w:tcPr>
            <w:tcW w:w="1300" w:type="dxa"/>
          </w:tcPr>
          <w:p w:rsidR="00AC0832" w:rsidRDefault="00AC0832">
            <w:pPr>
              <w:pStyle w:val="CellColumn"/>
            </w:pPr>
            <w:r>
              <w:t>%</w:t>
            </w:r>
          </w:p>
        </w:tc>
        <w:tc>
          <w:tcPr>
            <w:tcW w:w="1300" w:type="dxa"/>
          </w:tcPr>
          <w:p w:rsidR="00AC0832" w:rsidRDefault="00AC0832">
            <w:pPr>
              <w:pStyle w:val="CellColumn"/>
            </w:pPr>
            <w:r>
              <w:t>66</w:t>
            </w:r>
          </w:p>
        </w:tc>
        <w:tc>
          <w:tcPr>
            <w:tcW w:w="1300" w:type="dxa"/>
          </w:tcPr>
          <w:p w:rsidR="00AC0832" w:rsidRDefault="00AC0832">
            <w:pPr>
              <w:pStyle w:val="CellColumn"/>
            </w:pPr>
            <w:r>
              <w:t>DZRNS/ovlašteni stručni tehnički servisi</w:t>
            </w:r>
          </w:p>
        </w:tc>
        <w:tc>
          <w:tcPr>
            <w:tcW w:w="1300" w:type="dxa"/>
          </w:tcPr>
          <w:p w:rsidR="00AC0832" w:rsidRDefault="00AC0832">
            <w:pPr>
              <w:pStyle w:val="CellColumn"/>
            </w:pPr>
            <w:r>
              <w:t>100</w:t>
            </w:r>
          </w:p>
        </w:tc>
        <w:tc>
          <w:tcPr>
            <w:tcW w:w="1300" w:type="dxa"/>
          </w:tcPr>
          <w:p w:rsidR="00AC0832" w:rsidRDefault="00AC0832">
            <w:pPr>
              <w:pStyle w:val="CellColumn"/>
            </w:pPr>
            <w:r>
              <w:t>100</w:t>
            </w:r>
          </w:p>
        </w:tc>
      </w:tr>
      <w:tr w:rsidR="00AC0832" w:rsidTr="00BE20ED">
        <w:trPr>
          <w:jc w:val="center"/>
        </w:trPr>
        <w:tc>
          <w:tcPr>
            <w:tcW w:w="1300" w:type="dxa"/>
          </w:tcPr>
          <w:p w:rsidR="00AC0832" w:rsidRDefault="00AC0832">
            <w:pPr>
              <w:pStyle w:val="CellColumn"/>
            </w:pPr>
            <w:r>
              <w:t>uspostavljen sustav (IT infrastrukture) za pohranu, obradu i prezentaciju prikupljenih podataka</w:t>
            </w:r>
          </w:p>
        </w:tc>
        <w:tc>
          <w:tcPr>
            <w:tcW w:w="1300" w:type="dxa"/>
          </w:tcPr>
          <w:p w:rsidR="00AC0832" w:rsidRDefault="00AC0832">
            <w:pPr>
              <w:pStyle w:val="CellColumn"/>
            </w:pPr>
            <w:r>
              <w:t>Postojanjem strukture unaprijedit će dostupnost podacima, kao i analiza postojećih podataka te usporedba s drugim pokazateljima.</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DZRNS/JRC/vanjski stručnjaci</w:t>
            </w:r>
          </w:p>
        </w:tc>
        <w:tc>
          <w:tcPr>
            <w:tcW w:w="1300" w:type="dxa"/>
          </w:tcPr>
          <w:p w:rsidR="00AC0832" w:rsidRDefault="00AC0832">
            <w:pPr>
              <w:pStyle w:val="CellColumn"/>
            </w:pPr>
            <w:r>
              <w:t>10</w:t>
            </w:r>
          </w:p>
        </w:tc>
        <w:tc>
          <w:tcPr>
            <w:tcW w:w="1300" w:type="dxa"/>
          </w:tcPr>
          <w:p w:rsidR="00AC0832" w:rsidRDefault="00AC0832">
            <w:pPr>
              <w:pStyle w:val="CellColumn"/>
            </w:pPr>
            <w:r>
              <w:t>10</w:t>
            </w:r>
          </w:p>
        </w:tc>
      </w:tr>
      <w:tr w:rsidR="00AC0832" w:rsidTr="00BE20ED">
        <w:trPr>
          <w:jc w:val="center"/>
        </w:trPr>
        <w:tc>
          <w:tcPr>
            <w:tcW w:w="1300" w:type="dxa"/>
          </w:tcPr>
          <w:p w:rsidR="00AC0832" w:rsidRDefault="00AC0832">
            <w:pPr>
              <w:pStyle w:val="CellColumn"/>
            </w:pPr>
            <w:r>
              <w:t>Status IPA 2011 projekta "Upgrading of the systems for the on- and off-line monitoring of radioactivity into the environment in Croatia"</w:t>
            </w:r>
          </w:p>
        </w:tc>
        <w:tc>
          <w:tcPr>
            <w:tcW w:w="1300" w:type="dxa"/>
          </w:tcPr>
          <w:p w:rsidR="00AC0832" w:rsidRDefault="00AC0832">
            <w:pPr>
              <w:pStyle w:val="CellColumn"/>
            </w:pPr>
            <w:r>
              <w:t>Detaljna dinamika i sustav praćenja definirani projektnom dokumentacijom</w:t>
            </w:r>
          </w:p>
        </w:tc>
        <w:tc>
          <w:tcPr>
            <w:tcW w:w="1300" w:type="dxa"/>
          </w:tcPr>
          <w:p w:rsidR="00AC0832" w:rsidRDefault="00AC0832">
            <w:pPr>
              <w:pStyle w:val="CellColumn"/>
            </w:pPr>
            <w:r>
              <w:t>opisno</w:t>
            </w:r>
          </w:p>
        </w:tc>
        <w:tc>
          <w:tcPr>
            <w:tcW w:w="1300" w:type="dxa"/>
          </w:tcPr>
          <w:p w:rsidR="00AC0832" w:rsidRDefault="00AC0832">
            <w:pPr>
              <w:pStyle w:val="CellColumn"/>
            </w:pPr>
            <w:r>
              <w:t>Izrađen prijedlog projekta</w:t>
            </w:r>
          </w:p>
        </w:tc>
        <w:tc>
          <w:tcPr>
            <w:tcW w:w="1300" w:type="dxa"/>
          </w:tcPr>
          <w:p w:rsidR="00AC0832" w:rsidRDefault="00AC0832">
            <w:pPr>
              <w:pStyle w:val="CellColumn"/>
            </w:pPr>
            <w:r>
              <w:t>DZRNS/SAFU</w:t>
            </w:r>
          </w:p>
        </w:tc>
        <w:tc>
          <w:tcPr>
            <w:tcW w:w="1300" w:type="dxa"/>
          </w:tcPr>
          <w:p w:rsidR="00AC0832" w:rsidRDefault="00AC0832">
            <w:pPr>
              <w:pStyle w:val="CellColumn"/>
            </w:pPr>
            <w:r>
              <w:t>Potisivanje financijskog sporazuma</w:t>
            </w:r>
          </w:p>
        </w:tc>
        <w:tc>
          <w:tcPr>
            <w:tcW w:w="1300" w:type="dxa"/>
          </w:tcPr>
          <w:p w:rsidR="00AC0832" w:rsidRDefault="00AC0832">
            <w:pPr>
              <w:pStyle w:val="CellColumn"/>
            </w:pPr>
            <w:r>
              <w:t>100</w:t>
            </w:r>
          </w:p>
        </w:tc>
      </w:tr>
      <w:tr w:rsidR="00AC0832" w:rsidTr="00BE20ED">
        <w:trPr>
          <w:jc w:val="center"/>
        </w:trPr>
        <w:tc>
          <w:tcPr>
            <w:tcW w:w="1300" w:type="dxa"/>
          </w:tcPr>
          <w:p w:rsidR="00AC0832" w:rsidRDefault="00AC0832">
            <w:pPr>
              <w:pStyle w:val="CellColumn"/>
            </w:pPr>
            <w:r>
              <w:t>Identificirana radna mjesta i područja obzirom na izloženost prirodnim izvorima ionizirajućeg zračenja</w:t>
            </w:r>
          </w:p>
        </w:tc>
        <w:tc>
          <w:tcPr>
            <w:tcW w:w="1300" w:type="dxa"/>
          </w:tcPr>
          <w:p w:rsidR="00AC0832" w:rsidRDefault="00AC0832">
            <w:pPr>
              <w:pStyle w:val="CellColumn"/>
            </w:pPr>
            <w:r>
              <w:t>Na identificiranim radnim mjestima i područjima s povišenom razinom ionizirajućeg zračenja primjenjivat će se mjere zaštite od ionizirajućeg zračenja čime će se smanjiti doza stanovništa, odnosno radnika</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DZRNS/ovlašteni stručni tehnički servisi/vanjski stručnjaci</w:t>
            </w:r>
          </w:p>
        </w:tc>
        <w:tc>
          <w:tcPr>
            <w:tcW w:w="1300" w:type="dxa"/>
          </w:tcPr>
          <w:p w:rsidR="00AC0832" w:rsidRDefault="00AC0832">
            <w:pPr>
              <w:pStyle w:val="CellColumn"/>
            </w:pPr>
            <w:r>
              <w:t>10</w:t>
            </w:r>
          </w:p>
        </w:tc>
        <w:tc>
          <w:tcPr>
            <w:tcW w:w="1300" w:type="dxa"/>
          </w:tcPr>
          <w:p w:rsidR="00AC0832" w:rsidRDefault="00AC0832">
            <w:pPr>
              <w:pStyle w:val="CellColumn"/>
            </w:pPr>
            <w:r>
              <w:t>1</w:t>
            </w:r>
          </w:p>
        </w:tc>
      </w:tr>
    </w:tbl>
    <w:p w:rsidR="00AC0832" w:rsidRDefault="00AC0832">
      <w:pPr>
        <w:jc w:val="left"/>
      </w:pPr>
    </w:p>
    <w:p w:rsidR="00AC0832" w:rsidRDefault="00AC0832">
      <w:pPr>
        <w:pStyle w:val="Heading6"/>
      </w:pPr>
      <w:r>
        <w:t>A849020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A849020-ADMINISTRACIJA I UPRAVLJANJE</w:t>
            </w:r>
          </w:p>
        </w:tc>
        <w:tc>
          <w:tcPr>
            <w:tcW w:w="2322" w:type="dxa"/>
          </w:tcPr>
          <w:p w:rsidR="00AC0832" w:rsidRDefault="00AC0832">
            <w:pPr>
              <w:pStyle w:val="CellColumn"/>
            </w:pPr>
            <w:r>
              <w:t>9.197.068</w:t>
            </w:r>
          </w:p>
        </w:tc>
        <w:tc>
          <w:tcPr>
            <w:tcW w:w="2322" w:type="dxa"/>
          </w:tcPr>
          <w:p w:rsidR="00AC0832" w:rsidRDefault="00AC0832">
            <w:pPr>
              <w:pStyle w:val="CellColumn"/>
            </w:pPr>
            <w:r>
              <w:t>7.616.978</w:t>
            </w:r>
          </w:p>
        </w:tc>
        <w:tc>
          <w:tcPr>
            <w:tcW w:w="2322" w:type="dxa"/>
          </w:tcPr>
          <w:p w:rsidR="00AC0832" w:rsidRDefault="00AC0832">
            <w:pPr>
              <w:pStyle w:val="CellColumn"/>
            </w:pPr>
            <w:r>
              <w:t>82,8</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Od ukupno planiranih sredstava od  9.197.068,00 kn  izvršeno je 7.616.978,00 kn.  Da bi se uspješno provodio Program 3608- Radiološka i nuklearna sigurnost potrebno je osigurati ljudske resurse , prostor, održavanje prostora, opremanje, a posebno opremanje informatičkom opremom (financira se kroz K949023 - Informatizacija). Tako je u DZRNS-u zaposleno 22 djelatnika čije su plaće osigurane u proračunu i iznose  3.904.852,00 kn. Iz ove aktivnosti se podmiruju svi troškovi vezani uz funkcioniranje Zavoda. Posebno treba naglasiti osiguranu pravnu regulativu kao i stručni kadar vezan uz realizaciju ostalih aktivnosti koje su zakonski vezane uz poslove radiološke i nuklearne sigurnosti što je i glavna zadaća Zavoda. Zbog potrebe odlaska na teren, veliki dio poslova vezan je za vozni park i službena putovanja o kojima se vodi posebna, zakonom propisana evidencija i briga o održavanju. Za službena putovanja je u tu svrhu utrošeno 395.183,57 kn, a za investicijsko održavanje opreme 152.693,00 kn. Najveći dio od skupine 32 materijalnih rashoda ove aktivnosti odnosi se na rashode skupine 3235 - najamnine i zakupnine poslovnog prostora gdje je Zavod smješten u iznosu od 1,375.414,00 kn ili 14,96% od ukupno planiranih sredstava za ovu aktivnost. Budući je Zavod zbog svoje specifične djelatnosti uključen u mnoge međunarodne udruge istih djelatnosti, jedan dio rashoda odnosi se na plaćanje članarina i to u iznosu 205.451 kn. Zbog pomanjkanja redovnog kadra, Zavod je prisiljen angažirati vanjske suradnike, a sve u cilju transparentnosti i točnosti realizacije svih poslova zacrtanih u programu koji su plaćani sa stavke 3237 intelektualne usluge i to u visini od 252.898,00 kn što čini 35,17 % od planom predviđenih sredstava za te usluge koji je iznosio 719.000,00 kn. Kod ovih poslova važno je istaknuti da je primjenjivana ušteda kod mnogih poslova te da je Zavod sa smanjenim brojem zaposlenih uspješno i stručno izvršio zakonom dodijeljene poslove. Kod obavljanja redovne djelatnosti primjenjivani su i poštivani i svi interni akti i pravilnici. Zavod je tijekom 2012. godine izdao 3064 upravna akta. Doneseni su sljedeći pravilnici: </w:t>
      </w:r>
    </w:p>
    <w:p w:rsidR="00AC0832" w:rsidRDefault="00AC0832">
      <w:pPr>
        <w:pStyle w:val="Normal6"/>
      </w:pPr>
      <w:r>
        <w:t xml:space="preserve">–Pravilnik o fizičkom osiguranju radioaktivnih izvora, nuklearnog materijala i nuklearnih objekata (NN 38/12) </w:t>
      </w:r>
    </w:p>
    <w:p w:rsidR="00AC0832" w:rsidRDefault="00AC0832">
      <w:pPr>
        <w:pStyle w:val="Normal6"/>
      </w:pPr>
      <w:r>
        <w:t xml:space="preserve">–Pravilnik o mjerenju osobnog ozračenja, ispitivanju izvora ionizirajućeg zračenja i uvjeta rada te o izvješćima i očevidnicima (NN 41/12) </w:t>
      </w:r>
    </w:p>
    <w:p w:rsidR="00AC0832" w:rsidRDefault="00AC0832">
      <w:pPr>
        <w:pStyle w:val="Normal6"/>
      </w:pPr>
      <w:r>
        <w:t xml:space="preserve">–Pravilnik o odobrenjima i dozvolama za uporabu i promet izvora ionizirajućeg zračenja (NN 71/12) </w:t>
      </w:r>
    </w:p>
    <w:p w:rsidR="00AC0832" w:rsidRDefault="00AC0832">
      <w:pPr>
        <w:pStyle w:val="Normal6"/>
      </w:pPr>
      <w:r>
        <w:t xml:space="preserve">–Pravilnik o opsegu i sadržaju plana i programa mjera za slučaj izvanrednog događaja te izvješćivanja javnosti i nadležnih tijela (123/12) </w:t>
      </w:r>
    </w:p>
    <w:p w:rsidR="00AC0832" w:rsidRDefault="00AC0832">
      <w:pPr>
        <w:pStyle w:val="Normal6"/>
      </w:pPr>
      <w:r>
        <w:t>te pripremljena Uredba o mjerama zaštite od ionizirajućeg zračenja te intervencija u slučaju izvanrednog događaja (NN 102/12).</w:t>
      </w:r>
    </w:p>
    <w:p w:rsidR="00AC0832" w:rsidRDefault="00AC0832">
      <w:pPr>
        <w:pStyle w:val="Heading6"/>
      </w:pPr>
      <w:r>
        <w:t>A849021 SUSTAV PRIPRAVNOSTI U SLUČAJU IZVANREDNOG DOGAĐAJA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A849021-SUSTAV PRIPRAVNOSTI U SLUČAJU IZVANREDNOG DOGAĐAJA</w:t>
            </w:r>
          </w:p>
        </w:tc>
        <w:tc>
          <w:tcPr>
            <w:tcW w:w="2322" w:type="dxa"/>
          </w:tcPr>
          <w:p w:rsidR="00AC0832" w:rsidRDefault="00AC0832">
            <w:pPr>
              <w:pStyle w:val="CellColumn"/>
            </w:pPr>
            <w:r>
              <w:t>738.200</w:t>
            </w:r>
          </w:p>
        </w:tc>
        <w:tc>
          <w:tcPr>
            <w:tcW w:w="2322" w:type="dxa"/>
          </w:tcPr>
          <w:p w:rsidR="00AC0832" w:rsidRDefault="00AC0832">
            <w:pPr>
              <w:pStyle w:val="CellColumn"/>
            </w:pPr>
            <w:r>
              <w:t>425.249</w:t>
            </w:r>
          </w:p>
        </w:tc>
        <w:tc>
          <w:tcPr>
            <w:tcW w:w="2322" w:type="dxa"/>
          </w:tcPr>
          <w:p w:rsidR="00AC0832" w:rsidRDefault="00AC0832">
            <w:pPr>
              <w:pStyle w:val="CellColumn"/>
            </w:pPr>
            <w:r>
              <w:t>57,6</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Osnova za provedbu većine aktivnosti iz područja pripravnosti na izvanredni događaj u 2012. godini, podrazumijevao je donošenje  Uredbe o mjerama zaštite od ionizirajućeg zračenja te intervencija u slučaju izvanrednog događaja početkom godine. Uredba je stupila na snagu u rujnu 2012. što je onemogućilo izradu i sklapanje niza dokumenata i sporazuma koji proizlaze iz Uredbe u 2012. godini. Izravan razlog za kašnjenje u donošenju Uredbe u odnosu na plan jest odlazak ključnih ljudi uključenih u izradu Uredbe u fazi donošenja Uredbe, te nemogućnost zapošljavanja adekvatne zamjene.  </w:t>
      </w:r>
    </w:p>
    <w:p w:rsidR="00AC0832" w:rsidRDefault="00AC0832">
      <w:pPr>
        <w:pStyle w:val="Normal6"/>
      </w:pPr>
      <w:r>
        <w:t>Aktivnosti koje su se provodile i financirale iz ove proračunske aktivnosti odnose se na ugovaranje i provođenje održavanja mjernih postaja SPUNN sustava (sustava za upozoravanje na nuklearnu nesreću) i RODOS sustava (sustava za donošenje odluka u realnom vremenu o primjeni mjera zaštite u slučaju nuklearne nesreće).</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5"/>
        <w:gridCol w:w="1528"/>
        <w:gridCol w:w="1199"/>
        <w:gridCol w:w="1234"/>
        <w:gridCol w:w="1244"/>
        <w:gridCol w:w="1234"/>
        <w:gridCol w:w="1254"/>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izrađeni prateći dokumenti (SOP-ovi i upute)</w:t>
            </w:r>
          </w:p>
        </w:tc>
        <w:tc>
          <w:tcPr>
            <w:tcW w:w="1300" w:type="dxa"/>
          </w:tcPr>
          <w:p w:rsidR="00AC0832" w:rsidRDefault="00AC0832">
            <w:pPr>
              <w:pStyle w:val="CellColumn"/>
            </w:pPr>
            <w:r>
              <w:t>broj izrađenih pratećih dokumenata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0</w:t>
            </w:r>
          </w:p>
        </w:tc>
        <w:tc>
          <w:tcPr>
            <w:tcW w:w="1300" w:type="dxa"/>
          </w:tcPr>
          <w:p w:rsidR="00AC0832" w:rsidRDefault="00AC0832">
            <w:pPr>
              <w:pStyle w:val="CellColumn"/>
            </w:pPr>
            <w:r>
              <w:t>DZRNS i druga TDU, pojedini nositelji odobrenja</w:t>
            </w:r>
          </w:p>
        </w:tc>
        <w:tc>
          <w:tcPr>
            <w:tcW w:w="1300" w:type="dxa"/>
          </w:tcPr>
          <w:p w:rsidR="00AC0832" w:rsidRDefault="00AC0832">
            <w:pPr>
              <w:pStyle w:val="CellColumn"/>
            </w:pPr>
            <w:r>
              <w:t>15</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provjera osposobljenosti sudionika</w:t>
            </w:r>
          </w:p>
        </w:tc>
        <w:tc>
          <w:tcPr>
            <w:tcW w:w="1300" w:type="dxa"/>
          </w:tcPr>
          <w:p w:rsidR="00AC0832" w:rsidRDefault="00AC0832">
            <w:pPr>
              <w:pStyle w:val="CellColumn"/>
            </w:pPr>
            <w:r>
              <w:t>održavanje pokaznih vježbi za provjeru učinkovitosti sustava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0</w:t>
            </w:r>
          </w:p>
        </w:tc>
        <w:tc>
          <w:tcPr>
            <w:tcW w:w="1300" w:type="dxa"/>
          </w:tcPr>
          <w:p w:rsidR="00AC0832" w:rsidRDefault="00AC0832">
            <w:pPr>
              <w:pStyle w:val="CellColumn"/>
            </w:pPr>
            <w:r>
              <w:t>sudionici sustava</w:t>
            </w:r>
          </w:p>
        </w:tc>
        <w:tc>
          <w:tcPr>
            <w:tcW w:w="1300" w:type="dxa"/>
          </w:tcPr>
          <w:p w:rsidR="00AC0832" w:rsidRDefault="00AC0832">
            <w:pPr>
              <w:pStyle w:val="CellColumn"/>
            </w:pPr>
            <w:r>
              <w:t>1</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sklopljeni ugovori za nabavu roba i usluga</w:t>
            </w:r>
          </w:p>
        </w:tc>
        <w:tc>
          <w:tcPr>
            <w:tcW w:w="1300" w:type="dxa"/>
          </w:tcPr>
          <w:p w:rsidR="00AC0832" w:rsidRDefault="00AC0832">
            <w:pPr>
              <w:pStyle w:val="CellColumn"/>
            </w:pPr>
            <w:r>
              <w:t>broj sklopljenih ugovora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0</w:t>
            </w:r>
          </w:p>
        </w:tc>
        <w:tc>
          <w:tcPr>
            <w:tcW w:w="1300" w:type="dxa"/>
          </w:tcPr>
          <w:p w:rsidR="00AC0832" w:rsidRDefault="00AC0832">
            <w:pPr>
              <w:pStyle w:val="CellColumn"/>
            </w:pPr>
            <w:r>
              <w:t>SAFU, DZRNS, DUZS, Grad Zagreb</w:t>
            </w:r>
          </w:p>
        </w:tc>
        <w:tc>
          <w:tcPr>
            <w:tcW w:w="1300" w:type="dxa"/>
          </w:tcPr>
          <w:p w:rsidR="00AC0832" w:rsidRDefault="00AC0832">
            <w:pPr>
              <w:pStyle w:val="CellColumn"/>
            </w:pPr>
            <w:r>
              <w:t>3</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EPREV misija provedena</w:t>
            </w:r>
          </w:p>
        </w:tc>
        <w:tc>
          <w:tcPr>
            <w:tcW w:w="1300" w:type="dxa"/>
          </w:tcPr>
          <w:p w:rsidR="00AC0832" w:rsidRDefault="00AC0832">
            <w:pPr>
              <w:pStyle w:val="CellColumn"/>
            </w:pPr>
            <w:r>
              <w:t>izvješće EPREV misije</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0</w:t>
            </w:r>
          </w:p>
        </w:tc>
        <w:tc>
          <w:tcPr>
            <w:tcW w:w="1300" w:type="dxa"/>
          </w:tcPr>
          <w:p w:rsidR="00AC0832" w:rsidRDefault="00AC0832">
            <w:pPr>
              <w:pStyle w:val="CellColumn"/>
            </w:pPr>
            <w:r>
              <w:t>IAEA</w:t>
            </w:r>
          </w:p>
        </w:tc>
        <w:tc>
          <w:tcPr>
            <w:tcW w:w="1300" w:type="dxa"/>
          </w:tcPr>
          <w:p w:rsidR="00AC0832" w:rsidRDefault="00AC0832">
            <w:pPr>
              <w:pStyle w:val="CellColumn"/>
            </w:pPr>
            <w:r>
              <w:t>1</w:t>
            </w:r>
          </w:p>
        </w:tc>
        <w:tc>
          <w:tcPr>
            <w:tcW w:w="1300" w:type="dxa"/>
          </w:tcPr>
          <w:p w:rsidR="00AC0832" w:rsidRDefault="00AC0832">
            <w:pPr>
              <w:pStyle w:val="CellColumn"/>
            </w:pPr>
            <w:r>
              <w:t>1</w:t>
            </w:r>
          </w:p>
        </w:tc>
      </w:tr>
      <w:tr w:rsidR="00AC0832" w:rsidTr="00BE20ED">
        <w:trPr>
          <w:jc w:val="center"/>
        </w:trPr>
        <w:tc>
          <w:tcPr>
            <w:tcW w:w="1300" w:type="dxa"/>
          </w:tcPr>
          <w:p w:rsidR="00AC0832" w:rsidRDefault="00AC0832">
            <w:pPr>
              <w:pStyle w:val="CellColumn"/>
            </w:pPr>
            <w:r>
              <w:t>osigurana raspoloživost sustava SPUNN</w:t>
            </w:r>
          </w:p>
        </w:tc>
        <w:tc>
          <w:tcPr>
            <w:tcW w:w="1300" w:type="dxa"/>
          </w:tcPr>
          <w:p w:rsidR="00AC0832" w:rsidRDefault="00AC0832">
            <w:pPr>
              <w:pStyle w:val="CellColumn"/>
            </w:pPr>
            <w:r>
              <w:t>postotak vremena izvan funkcije pojedine mjerne stanice</w:t>
            </w:r>
          </w:p>
        </w:tc>
        <w:tc>
          <w:tcPr>
            <w:tcW w:w="1300" w:type="dxa"/>
          </w:tcPr>
          <w:p w:rsidR="00AC0832" w:rsidRDefault="00AC0832">
            <w:pPr>
              <w:pStyle w:val="CellColumn"/>
            </w:pPr>
            <w:r>
              <w:t>%</w:t>
            </w:r>
          </w:p>
        </w:tc>
        <w:tc>
          <w:tcPr>
            <w:tcW w:w="1300" w:type="dxa"/>
          </w:tcPr>
          <w:p w:rsidR="00AC0832" w:rsidRDefault="00AC0832">
            <w:pPr>
              <w:pStyle w:val="CellColumn"/>
            </w:pPr>
            <w:r>
              <w:t>7%</w:t>
            </w:r>
          </w:p>
        </w:tc>
        <w:tc>
          <w:tcPr>
            <w:tcW w:w="1300" w:type="dxa"/>
          </w:tcPr>
          <w:p w:rsidR="00AC0832" w:rsidRDefault="00AC0832">
            <w:pPr>
              <w:pStyle w:val="CellColumn"/>
            </w:pPr>
            <w:r>
              <w:t>DZRNS</w:t>
            </w:r>
          </w:p>
        </w:tc>
        <w:tc>
          <w:tcPr>
            <w:tcW w:w="1300" w:type="dxa"/>
          </w:tcPr>
          <w:p w:rsidR="00AC0832" w:rsidRDefault="00AC0832">
            <w:pPr>
              <w:pStyle w:val="CellColumn"/>
            </w:pPr>
            <w:r>
              <w:t>6%</w:t>
            </w:r>
          </w:p>
        </w:tc>
        <w:tc>
          <w:tcPr>
            <w:tcW w:w="1300" w:type="dxa"/>
          </w:tcPr>
          <w:p w:rsidR="00AC0832" w:rsidRDefault="00AC0832">
            <w:pPr>
              <w:pStyle w:val="CellColumn"/>
            </w:pPr>
            <w:r>
              <w:t>7%</w:t>
            </w:r>
          </w:p>
        </w:tc>
      </w:tr>
      <w:tr w:rsidR="00AC0832" w:rsidTr="00BE20ED">
        <w:trPr>
          <w:jc w:val="center"/>
        </w:trPr>
        <w:tc>
          <w:tcPr>
            <w:tcW w:w="1300" w:type="dxa"/>
          </w:tcPr>
          <w:p w:rsidR="00AC0832" w:rsidRDefault="00AC0832">
            <w:pPr>
              <w:pStyle w:val="CellColumn"/>
            </w:pPr>
            <w:r>
              <w:t>mjerna oprema ispravna i umjerena</w:t>
            </w:r>
          </w:p>
        </w:tc>
        <w:tc>
          <w:tcPr>
            <w:tcW w:w="1300" w:type="dxa"/>
          </w:tcPr>
          <w:p w:rsidR="00AC0832" w:rsidRDefault="00AC0832">
            <w:pPr>
              <w:pStyle w:val="CellColumn"/>
            </w:pPr>
            <w:r>
              <w:t>postotak mjernih uređaja koji su u funkciji i umjereni</w:t>
            </w:r>
          </w:p>
        </w:tc>
        <w:tc>
          <w:tcPr>
            <w:tcW w:w="1300" w:type="dxa"/>
          </w:tcPr>
          <w:p w:rsidR="00AC0832" w:rsidRDefault="00AC0832">
            <w:pPr>
              <w:pStyle w:val="CellColumn"/>
            </w:pPr>
            <w:r>
              <w:t>%</w:t>
            </w:r>
          </w:p>
        </w:tc>
        <w:tc>
          <w:tcPr>
            <w:tcW w:w="1300" w:type="dxa"/>
          </w:tcPr>
          <w:p w:rsidR="00AC0832" w:rsidRDefault="00AC0832">
            <w:pPr>
              <w:pStyle w:val="CellColumn"/>
            </w:pPr>
            <w:r>
              <w:t>60%</w:t>
            </w:r>
          </w:p>
        </w:tc>
        <w:tc>
          <w:tcPr>
            <w:tcW w:w="1300" w:type="dxa"/>
          </w:tcPr>
          <w:p w:rsidR="00AC0832" w:rsidRDefault="00AC0832">
            <w:pPr>
              <w:pStyle w:val="CellColumn"/>
            </w:pPr>
            <w:r>
              <w:t>DZRNS</w:t>
            </w:r>
          </w:p>
        </w:tc>
        <w:tc>
          <w:tcPr>
            <w:tcW w:w="1300" w:type="dxa"/>
          </w:tcPr>
          <w:p w:rsidR="00AC0832" w:rsidRDefault="00AC0832">
            <w:pPr>
              <w:pStyle w:val="CellColumn"/>
            </w:pPr>
            <w:r>
              <w:t>70%</w:t>
            </w:r>
          </w:p>
        </w:tc>
        <w:tc>
          <w:tcPr>
            <w:tcW w:w="1300" w:type="dxa"/>
          </w:tcPr>
          <w:p w:rsidR="00AC0832" w:rsidRDefault="00AC0832">
            <w:pPr>
              <w:pStyle w:val="CellColumn"/>
            </w:pPr>
            <w:r>
              <w:t>70%</w:t>
            </w:r>
          </w:p>
        </w:tc>
      </w:tr>
      <w:tr w:rsidR="00AC0832" w:rsidTr="00BE20ED">
        <w:trPr>
          <w:jc w:val="center"/>
        </w:trPr>
        <w:tc>
          <w:tcPr>
            <w:tcW w:w="1300" w:type="dxa"/>
          </w:tcPr>
          <w:p w:rsidR="00AC0832" w:rsidRDefault="00AC0832">
            <w:pPr>
              <w:pStyle w:val="CellColumn"/>
            </w:pPr>
            <w:r>
              <w:t>svi alati za procjenu rizika u funkciji</w:t>
            </w:r>
          </w:p>
        </w:tc>
        <w:tc>
          <w:tcPr>
            <w:tcW w:w="1300" w:type="dxa"/>
          </w:tcPr>
          <w:p w:rsidR="00AC0832" w:rsidRDefault="00AC0832">
            <w:pPr>
              <w:pStyle w:val="CellColumn"/>
            </w:pPr>
            <w:r>
              <w:t>InteRAS osuvremenjen, uvedena nova inačica RODOS-a i JRODOS</w:t>
            </w:r>
          </w:p>
        </w:tc>
        <w:tc>
          <w:tcPr>
            <w:tcW w:w="1300" w:type="dxa"/>
          </w:tcPr>
          <w:p w:rsidR="00AC0832" w:rsidRDefault="00AC0832">
            <w:pPr>
              <w:pStyle w:val="CellColumn"/>
            </w:pPr>
            <w:r>
              <w:t>%</w:t>
            </w:r>
          </w:p>
        </w:tc>
        <w:tc>
          <w:tcPr>
            <w:tcW w:w="1300" w:type="dxa"/>
          </w:tcPr>
          <w:p w:rsidR="00AC0832" w:rsidRDefault="00AC0832">
            <w:pPr>
              <w:pStyle w:val="CellColumn"/>
            </w:pPr>
            <w:r>
              <w:t>50%</w:t>
            </w:r>
          </w:p>
        </w:tc>
        <w:tc>
          <w:tcPr>
            <w:tcW w:w="1300" w:type="dxa"/>
          </w:tcPr>
          <w:p w:rsidR="00AC0832" w:rsidRDefault="00AC0832">
            <w:pPr>
              <w:pStyle w:val="CellColumn"/>
            </w:pPr>
            <w:r>
              <w:t>DZRNS</w:t>
            </w:r>
          </w:p>
        </w:tc>
        <w:tc>
          <w:tcPr>
            <w:tcW w:w="1300" w:type="dxa"/>
          </w:tcPr>
          <w:p w:rsidR="00AC0832" w:rsidRDefault="00AC0832">
            <w:pPr>
              <w:pStyle w:val="CellColumn"/>
            </w:pPr>
            <w:r>
              <w:t>60%</w:t>
            </w:r>
          </w:p>
        </w:tc>
        <w:tc>
          <w:tcPr>
            <w:tcW w:w="1300" w:type="dxa"/>
          </w:tcPr>
          <w:p w:rsidR="00AC0832" w:rsidRDefault="00AC0832">
            <w:pPr>
              <w:pStyle w:val="CellColumn"/>
            </w:pPr>
            <w:r>
              <w:t>60%</w:t>
            </w:r>
          </w:p>
        </w:tc>
      </w:tr>
      <w:tr w:rsidR="00AC0832" w:rsidTr="00BE20ED">
        <w:trPr>
          <w:jc w:val="center"/>
        </w:trPr>
        <w:tc>
          <w:tcPr>
            <w:tcW w:w="1300" w:type="dxa"/>
          </w:tcPr>
          <w:p w:rsidR="00AC0832" w:rsidRDefault="00AC0832">
            <w:pPr>
              <w:pStyle w:val="CellColumn"/>
            </w:pPr>
            <w:r>
              <w:t>održani seminari</w:t>
            </w:r>
          </w:p>
        </w:tc>
        <w:tc>
          <w:tcPr>
            <w:tcW w:w="1300" w:type="dxa"/>
          </w:tcPr>
          <w:p w:rsidR="00AC0832" w:rsidRDefault="00AC0832">
            <w:pPr>
              <w:pStyle w:val="CellColumn"/>
            </w:pPr>
            <w:r>
              <w:t>broj održanih seminara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0</w:t>
            </w:r>
          </w:p>
        </w:tc>
        <w:tc>
          <w:tcPr>
            <w:tcW w:w="1300" w:type="dxa"/>
          </w:tcPr>
          <w:p w:rsidR="00AC0832" w:rsidRDefault="00AC0832">
            <w:pPr>
              <w:pStyle w:val="CellColumn"/>
            </w:pPr>
            <w:r>
              <w:t>DZRNS</w:t>
            </w:r>
          </w:p>
        </w:tc>
        <w:tc>
          <w:tcPr>
            <w:tcW w:w="1300" w:type="dxa"/>
          </w:tcPr>
          <w:p w:rsidR="00AC0832" w:rsidRDefault="00AC0832">
            <w:pPr>
              <w:pStyle w:val="CellColumn"/>
            </w:pPr>
            <w:r>
              <w:t>3</w:t>
            </w:r>
          </w:p>
        </w:tc>
        <w:tc>
          <w:tcPr>
            <w:tcW w:w="1300" w:type="dxa"/>
          </w:tcPr>
          <w:p w:rsidR="00AC0832" w:rsidRDefault="00AC0832">
            <w:pPr>
              <w:pStyle w:val="CellColumn"/>
            </w:pPr>
            <w:r>
              <w:t>1</w:t>
            </w:r>
          </w:p>
        </w:tc>
      </w:tr>
      <w:tr w:rsidR="00AC0832" w:rsidTr="00BE20ED">
        <w:trPr>
          <w:jc w:val="center"/>
        </w:trPr>
        <w:tc>
          <w:tcPr>
            <w:tcW w:w="1300" w:type="dxa"/>
          </w:tcPr>
          <w:p w:rsidR="00AC0832" w:rsidRDefault="00AC0832">
            <w:pPr>
              <w:pStyle w:val="CellColumn"/>
            </w:pPr>
            <w:r>
              <w:t>provedeni izobrazba i trening carinika</w:t>
            </w:r>
          </w:p>
        </w:tc>
        <w:tc>
          <w:tcPr>
            <w:tcW w:w="1300" w:type="dxa"/>
          </w:tcPr>
          <w:p w:rsidR="00AC0832" w:rsidRDefault="00AC0832">
            <w:pPr>
              <w:pStyle w:val="CellColumn"/>
            </w:pPr>
            <w:r>
              <w:t>broj carinika koji su  prošli izobrazbu i trening</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100</w:t>
            </w:r>
          </w:p>
        </w:tc>
        <w:tc>
          <w:tcPr>
            <w:tcW w:w="1300" w:type="dxa"/>
          </w:tcPr>
          <w:p w:rsidR="00AC0832" w:rsidRDefault="00AC0832">
            <w:pPr>
              <w:pStyle w:val="CellColumn"/>
            </w:pPr>
            <w:r>
              <w:t>DZRNS/ Carinska uprava</w:t>
            </w:r>
          </w:p>
        </w:tc>
        <w:tc>
          <w:tcPr>
            <w:tcW w:w="1300" w:type="dxa"/>
          </w:tcPr>
          <w:p w:rsidR="00AC0832" w:rsidRDefault="00AC0832">
            <w:pPr>
              <w:pStyle w:val="CellColumn"/>
            </w:pPr>
            <w:r>
              <w:t>150</w:t>
            </w:r>
          </w:p>
        </w:tc>
        <w:tc>
          <w:tcPr>
            <w:tcW w:w="1300" w:type="dxa"/>
          </w:tcPr>
          <w:p w:rsidR="00AC0832" w:rsidRDefault="00AC0832">
            <w:pPr>
              <w:pStyle w:val="CellColumn"/>
            </w:pPr>
            <w:r>
              <w:t>100</w:t>
            </w:r>
          </w:p>
        </w:tc>
      </w:tr>
    </w:tbl>
    <w:p w:rsidR="00AC0832" w:rsidRDefault="00AC0832">
      <w:pPr>
        <w:jc w:val="left"/>
      </w:pPr>
    </w:p>
    <w:p w:rsidR="00AC0832" w:rsidRDefault="00AC0832">
      <w:pPr>
        <w:jc w:val="left"/>
      </w:pPr>
    </w:p>
    <w:p w:rsidR="00AC0832" w:rsidRDefault="00AC0832">
      <w:pPr>
        <w:jc w:val="left"/>
      </w:pPr>
    </w:p>
    <w:p w:rsidR="00AC0832" w:rsidRDefault="00AC0832">
      <w:pPr>
        <w:pStyle w:val="Heading6"/>
      </w:pPr>
      <w:r>
        <w:t>A849022 SURADNJA U OKVIRU MEĐUNARODNIH SPORAZUMA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A849022-SURADNJA U OKVIRU MEĐUNARODNIH SPORAZUMA</w:t>
            </w:r>
          </w:p>
        </w:tc>
        <w:tc>
          <w:tcPr>
            <w:tcW w:w="2322" w:type="dxa"/>
          </w:tcPr>
          <w:p w:rsidR="00AC0832" w:rsidRDefault="00AC0832">
            <w:pPr>
              <w:pStyle w:val="CellColumn"/>
            </w:pPr>
            <w:r>
              <w:t>50.000</w:t>
            </w:r>
          </w:p>
        </w:tc>
        <w:tc>
          <w:tcPr>
            <w:tcW w:w="2322" w:type="dxa"/>
          </w:tcPr>
          <w:p w:rsidR="00AC0832" w:rsidRDefault="00AC0832">
            <w:pPr>
              <w:pStyle w:val="CellColumn"/>
            </w:pPr>
            <w:r>
              <w:t>00</w:t>
            </w:r>
          </w:p>
        </w:tc>
        <w:tc>
          <w:tcPr>
            <w:tcW w:w="2322" w:type="dxa"/>
          </w:tcPr>
          <w:p w:rsidR="00AC0832" w:rsidRDefault="00AC0832">
            <w:pPr>
              <w:pStyle w:val="CellColumn"/>
            </w:pPr>
            <w:r>
              <w:t>0,0</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Državni zavod za radiološku i nuklearnu sigurnost (DZRNS) provodi i koordinira provođenje obveza koje je Republika Hrvatska preuzela prema međunarodnim konvencijama i sporazumima, a odnose se na zaštitu od ionizirajućeg zračenja i nuklearnu sigurnost. U 2012. godini prezentirano je Nacionalno izvješće o primjeni obveza iz Zajedničke konvencije o sigurnosti zbrinjavanja istrošenog goriva i sigurnosti zbrinjavanja radioaktivnog otpada. </w:t>
      </w:r>
    </w:p>
    <w:p w:rsidR="00AC0832" w:rsidRDefault="00AC0832">
      <w:pPr>
        <w:pStyle w:val="Normal6"/>
      </w:pPr>
      <w:r>
        <w:t xml:space="preserve">DZRNS također provodi i koordinira provođenje obveza koje je Republika Hrvatska preuzela prema bilateralnim sporazumima, a odnose se na zaštitu od ionizirajućeg zračenja i nuklearnu sigurnost, te surađuje s regulatornim tijelima drugih zemalja nadležnim za poslove s tih područja. U 2012. godini predstavnici RH imenovani od strane DZRNS sudjelovali su u provedbi stress-testa nuklearnih elektrana na razini EU.  </w:t>
      </w:r>
    </w:p>
    <w:p w:rsidR="00AC0832" w:rsidRDefault="00AC0832">
      <w:pPr>
        <w:pStyle w:val="Normal6"/>
      </w:pPr>
      <w:r>
        <w:t>Zbog organizacijskih promjena koje su nastupile u okviru DZRNS (nova Uredba o unutarnjem ustrojstvu i novi Pravilnik o unutarnjem redu) nisu organizirana i održana dva bilateralna sastanka prema Sporazumu RH i R. Slovenije o pravodobnoj razmjeni informacija u slučaju radiološke opasnosti i Sporazumu između Vlade RH i Vlade R. Mađarske o pravodobnoj razmjeni informacija u slučaju radiološke opasnosti, što je utjecalo na izvršenje plana na ovom projektu. Organizacija i održavanje ova dva bilateralna sastanka planirano je za 2013. godinu.</w:t>
      </w:r>
    </w:p>
    <w:p w:rsidR="00AC0832" w:rsidRDefault="00AC0832">
      <w:pPr>
        <w:pStyle w:val="Heading6"/>
      </w:pPr>
      <w:r>
        <w:t>A849024 STRATEGIJA NUKLEARNE SIGURNOSTI I FIZIČKOG OSIGURANJA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A849024-STRATEGIJA NUKLEARNE SIGURNOSTI I FIZIČKOG OSIGURANJA</w:t>
            </w:r>
          </w:p>
        </w:tc>
        <w:tc>
          <w:tcPr>
            <w:tcW w:w="2322" w:type="dxa"/>
          </w:tcPr>
          <w:p w:rsidR="00AC0832" w:rsidRDefault="00AC0832">
            <w:pPr>
              <w:pStyle w:val="CellColumn"/>
            </w:pPr>
            <w:r>
              <w:t>588.000</w:t>
            </w:r>
          </w:p>
        </w:tc>
        <w:tc>
          <w:tcPr>
            <w:tcW w:w="2322" w:type="dxa"/>
          </w:tcPr>
          <w:p w:rsidR="00AC0832" w:rsidRDefault="00AC0832">
            <w:pPr>
              <w:pStyle w:val="CellColumn"/>
            </w:pPr>
            <w:r>
              <w:t>277.917</w:t>
            </w:r>
          </w:p>
        </w:tc>
        <w:tc>
          <w:tcPr>
            <w:tcW w:w="2322" w:type="dxa"/>
          </w:tcPr>
          <w:p w:rsidR="00AC0832" w:rsidRDefault="00AC0832">
            <w:pPr>
              <w:pStyle w:val="CellColumn"/>
            </w:pPr>
            <w:r>
              <w:t>47,3</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Dio utrošenih sredstva odnosi se na završetak aktivnosti koje je Republika Hrvatska preuzela u sklopu europske procjene rizika i nuklearne sigurnosti, odnosno Nuclear </w:t>
      </w:r>
    </w:p>
    <w:p w:rsidR="00AC0832" w:rsidRDefault="00AC0832">
      <w:pPr>
        <w:pStyle w:val="Normal6"/>
      </w:pPr>
      <w:r>
        <w:t xml:space="preserve">stress test – a. Naime, Europska komisija je pozvala susjedne zemlje EU koje imaju </w:t>
      </w:r>
    </w:p>
    <w:p w:rsidR="00AC0832" w:rsidRDefault="00AC0832">
      <w:pPr>
        <w:pStyle w:val="Normal6"/>
      </w:pPr>
      <w:r>
        <w:t xml:space="preserve">nuklearna postrojenja ili imaju planove o razvijanju nuklearne energije da se na </w:t>
      </w:r>
    </w:p>
    <w:p w:rsidR="00AC0832" w:rsidRDefault="00AC0832">
      <w:pPr>
        <w:pStyle w:val="Normal6"/>
      </w:pPr>
      <w:r>
        <w:t xml:space="preserve">dobrovoljnoj razini priključe europskoj procjeni rizika i nuklearne sigurnosti, </w:t>
      </w:r>
    </w:p>
    <w:p w:rsidR="00AC0832" w:rsidRDefault="00AC0832">
      <w:pPr>
        <w:pStyle w:val="Normal6"/>
      </w:pPr>
      <w:r>
        <w:t xml:space="preserve">odnosno Nuclear stress test-a što je Republika Hrvatska i službeno prihvatila. Na tehničkom sastanku održanom u Briselu 22. srpnja 2011. predloženi su načini i vremenski okviri </w:t>
      </w:r>
    </w:p>
    <w:p w:rsidR="00AC0832" w:rsidRDefault="00AC0832">
      <w:pPr>
        <w:pStyle w:val="Normal6"/>
      </w:pPr>
      <w:r>
        <w:t xml:space="preserve">uključivanja za susjedne zemlje EU u provedbi Nuclear stress test-a. U 2012. godini završene su aktivnosti koje su se odnosile na financiranje tri hrvatska eksperta iz tri ovlaštene stručne organizacije iz područja nuklearne sigurnosti (APOSS d.o.o., ENCONET d.o.o. i FER) u radu povjerenstva za tri različita područja kroz koja su izvršeni pregledi nacionalnih izvješća zemalja članica Europske Unije koje imaju nuklearna postrojenja a koja su bila predmet Nuclear stress testa. </w:t>
      </w:r>
    </w:p>
    <w:p w:rsidR="00AC0832" w:rsidRDefault="00AC0832">
      <w:pPr>
        <w:pStyle w:val="Normal6"/>
      </w:pPr>
      <w:r>
        <w:t xml:space="preserve">Državni zavod za radiološku i nuklearnu sigurnost (DZRNS) je tijekom 2012. godine u suradnji s priznatim stručnjacima iz područja radioterapije izradio prijedlog Upute za izradu priručnika za provedbu kontrole kvalitete linearnog akceleratora u radioterapiji u medicini, Upute za izradu priručnika za provedbu kontrole kvalitete sustava za planiranje radioterapije u medicini, Upute za uspostavljanje programa osiguranja kontrole kvalitete procesa radioterapije u medicini i Upute za izradu priručnika za provedbu kontrole kvalitete konvencionalnog simulatora u radioterapiji u medicini za što je utrošeno ukupno 187.500,00 kn. Upute su namijenjene zdravstvenim ustanovama za </w:t>
      </w:r>
    </w:p>
    <w:p w:rsidR="00AC0832" w:rsidRDefault="00AC0832">
      <w:pPr>
        <w:pStyle w:val="Normal6"/>
      </w:pPr>
      <w:r>
        <w:t>uspostavljanje programa osiguranja kvalitete, odnosno provedbe kontrole kvalitete izvora ionizirajućeg zračenja koji se koriste za terapiju u medicini, a tijekom 2013. godine bit će objavljene na način da budu dostupne javnosti.</w:t>
      </w: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8"/>
        <w:gridCol w:w="1495"/>
        <w:gridCol w:w="913"/>
        <w:gridCol w:w="1029"/>
        <w:gridCol w:w="2381"/>
        <w:gridCol w:w="1029"/>
        <w:gridCol w:w="1093"/>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Uspostavljeni programi kontrole kvalitete i provođenje kontrole kvalitete</w:t>
            </w:r>
          </w:p>
        </w:tc>
        <w:tc>
          <w:tcPr>
            <w:tcW w:w="1300" w:type="dxa"/>
          </w:tcPr>
          <w:p w:rsidR="00AC0832" w:rsidRDefault="00AC0832">
            <w:pPr>
              <w:pStyle w:val="CellColumn"/>
            </w:pPr>
            <w:r>
              <w:t>Postotak zdravstvenih ustanova koje provode dijagnostičke i terapijske postupke uporabom izvora ionizirajućeg zračenja, a koje su uspostavile program kontrole kvalitete i provode kontrolu kvalitete</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DZRNS/SAFU/EU/vanjski stručnjaci</w:t>
            </w:r>
          </w:p>
        </w:tc>
        <w:tc>
          <w:tcPr>
            <w:tcW w:w="1300" w:type="dxa"/>
          </w:tcPr>
          <w:p w:rsidR="00AC0832" w:rsidRDefault="00AC0832">
            <w:pPr>
              <w:pStyle w:val="CellColumn"/>
            </w:pPr>
            <w:r>
              <w:t>0</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Izrađene preporučene vrijednosti doza za pojedine dijagnostičke postupke i raspodjela procjenjenih pojedinačnih doza od medicinskog ozračenja</w:t>
            </w:r>
          </w:p>
        </w:tc>
        <w:tc>
          <w:tcPr>
            <w:tcW w:w="1300" w:type="dxa"/>
          </w:tcPr>
          <w:p w:rsidR="00AC0832" w:rsidRDefault="00AC0832">
            <w:pPr>
              <w:pStyle w:val="CellColumn"/>
            </w:pPr>
            <w:r>
              <w:t>Preporučene vrijednosti doza za pojedine dijagnostičke postupke poboljšat će zaštitu pacijenata, a rezultati raspodjele procjene doza od medicinskog ozračenja bit će pokazatelj poštivanja načela optimizacije pri provođenju tih postupaka</w:t>
            </w:r>
          </w:p>
        </w:tc>
        <w:tc>
          <w:tcPr>
            <w:tcW w:w="1300" w:type="dxa"/>
          </w:tcPr>
          <w:p w:rsidR="00AC0832" w:rsidRDefault="00AC0832">
            <w:pPr>
              <w:pStyle w:val="CellColumn"/>
            </w:pPr>
            <w:r>
              <w:t>%</w:t>
            </w:r>
          </w:p>
        </w:tc>
        <w:tc>
          <w:tcPr>
            <w:tcW w:w="1300" w:type="dxa"/>
          </w:tcPr>
          <w:p w:rsidR="00AC0832" w:rsidRDefault="00AC0832">
            <w:pPr>
              <w:pStyle w:val="CellColumn"/>
            </w:pPr>
            <w:r>
              <w:t>5</w:t>
            </w:r>
          </w:p>
        </w:tc>
        <w:tc>
          <w:tcPr>
            <w:tcW w:w="1300" w:type="dxa"/>
          </w:tcPr>
          <w:p w:rsidR="00AC0832" w:rsidRDefault="00AC0832">
            <w:pPr>
              <w:pStyle w:val="CellColumn"/>
            </w:pPr>
            <w:r>
              <w:t>DZRNS/vanjski stručnjaci</w:t>
            </w:r>
          </w:p>
        </w:tc>
        <w:tc>
          <w:tcPr>
            <w:tcW w:w="1300" w:type="dxa"/>
          </w:tcPr>
          <w:p w:rsidR="00AC0832" w:rsidRDefault="00AC0832">
            <w:pPr>
              <w:pStyle w:val="CellColumn"/>
            </w:pPr>
            <w:r>
              <w:t>20</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 Izrađene preporučene efektivne doze za izložene radnike</w:t>
            </w:r>
          </w:p>
        </w:tc>
        <w:tc>
          <w:tcPr>
            <w:tcW w:w="1300" w:type="dxa"/>
          </w:tcPr>
          <w:p w:rsidR="00AC0832" w:rsidRDefault="00AC0832">
            <w:pPr>
              <w:pStyle w:val="CellColumn"/>
            </w:pPr>
            <w:r>
              <w:t>Postavljanjem preporučenih efektivnih doza dodatno će se optimizirati zaštita izloženih radnika od ionizirajućeg zračenja.</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DZRNS/vanjski stručnjaci</w:t>
            </w:r>
          </w:p>
        </w:tc>
        <w:tc>
          <w:tcPr>
            <w:tcW w:w="1300" w:type="dxa"/>
          </w:tcPr>
          <w:p w:rsidR="00AC0832" w:rsidRDefault="00AC0832">
            <w:pPr>
              <w:pStyle w:val="CellColumn"/>
            </w:pPr>
            <w:r>
              <w:t>10</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Informativni materijali distribuirani svim pravnim ili fizičkim osobama koje za obavljanju svoje djelatnosti koriste izvore ionizirajućeg zračenja i objavljeni na internetskim stranicama</w:t>
            </w:r>
          </w:p>
        </w:tc>
        <w:tc>
          <w:tcPr>
            <w:tcW w:w="1300" w:type="dxa"/>
          </w:tcPr>
          <w:p w:rsidR="00AC0832" w:rsidRDefault="00AC0832">
            <w:pPr>
              <w:pStyle w:val="CellColumn"/>
            </w:pPr>
            <w:r>
              <w:t>Informativni materijali sadržavat će najbitnije informacije o obvezama vezano uz uporabu izvora ionizirajućeg zračenja te o načinu postupanja po prestanku njihove uporabe čime će se dodatno unaprijediti upotreba izvora ionizirajućeg zračenja na siguran način.</w:t>
            </w:r>
          </w:p>
        </w:tc>
        <w:tc>
          <w:tcPr>
            <w:tcW w:w="1300" w:type="dxa"/>
          </w:tcPr>
          <w:p w:rsidR="00AC0832" w:rsidRDefault="00AC0832">
            <w:pPr>
              <w:pStyle w:val="CellColumn"/>
            </w:pPr>
            <w:r>
              <w:t>%</w:t>
            </w:r>
          </w:p>
        </w:tc>
        <w:tc>
          <w:tcPr>
            <w:tcW w:w="1300" w:type="dxa"/>
          </w:tcPr>
          <w:p w:rsidR="00AC0832" w:rsidRDefault="00AC0832">
            <w:pPr>
              <w:pStyle w:val="CellColumn"/>
            </w:pPr>
            <w:r>
              <w:t>0</w:t>
            </w:r>
          </w:p>
        </w:tc>
        <w:tc>
          <w:tcPr>
            <w:tcW w:w="1300" w:type="dxa"/>
          </w:tcPr>
          <w:p w:rsidR="00AC0832" w:rsidRDefault="00AC0832">
            <w:pPr>
              <w:pStyle w:val="CellColumn"/>
            </w:pPr>
            <w:r>
              <w:t>DZRNS</w:t>
            </w:r>
          </w:p>
        </w:tc>
        <w:tc>
          <w:tcPr>
            <w:tcW w:w="1300" w:type="dxa"/>
          </w:tcPr>
          <w:p w:rsidR="00AC0832" w:rsidRDefault="00AC0832">
            <w:pPr>
              <w:pStyle w:val="CellColumn"/>
            </w:pPr>
            <w:r>
              <w:t>0</w:t>
            </w:r>
          </w:p>
        </w:tc>
        <w:tc>
          <w:tcPr>
            <w:tcW w:w="1300" w:type="dxa"/>
          </w:tcPr>
          <w:p w:rsidR="00AC0832" w:rsidRDefault="00AC0832">
            <w:pPr>
              <w:pStyle w:val="CellColumn"/>
            </w:pPr>
            <w:r>
              <w:t>0</w:t>
            </w:r>
          </w:p>
        </w:tc>
      </w:tr>
      <w:tr w:rsidR="00AC0832" w:rsidTr="00BE20ED">
        <w:trPr>
          <w:jc w:val="center"/>
        </w:trPr>
        <w:tc>
          <w:tcPr>
            <w:tcW w:w="1300" w:type="dxa"/>
          </w:tcPr>
          <w:p w:rsidR="00AC0832" w:rsidRDefault="00AC0832">
            <w:pPr>
              <w:pStyle w:val="CellColumn"/>
            </w:pPr>
            <w:r>
              <w:t>Postotak izvršenja plana inspekcijskih nadzora</w:t>
            </w:r>
          </w:p>
        </w:tc>
        <w:tc>
          <w:tcPr>
            <w:tcW w:w="1300" w:type="dxa"/>
          </w:tcPr>
          <w:p w:rsidR="00AC0832" w:rsidRDefault="00AC0832">
            <w:pPr>
              <w:pStyle w:val="CellColumn"/>
            </w:pPr>
            <w:r>
              <w:t>Postotak izvršenih inspekcijskih nadzora u odnosu na predviđeno godišnjim planom</w:t>
            </w:r>
          </w:p>
        </w:tc>
        <w:tc>
          <w:tcPr>
            <w:tcW w:w="1300" w:type="dxa"/>
          </w:tcPr>
          <w:p w:rsidR="00AC0832" w:rsidRDefault="00AC0832">
            <w:pPr>
              <w:pStyle w:val="CellColumn"/>
            </w:pPr>
            <w:r>
              <w:t>%</w:t>
            </w:r>
          </w:p>
        </w:tc>
        <w:tc>
          <w:tcPr>
            <w:tcW w:w="1300" w:type="dxa"/>
          </w:tcPr>
          <w:p w:rsidR="00AC0832" w:rsidRDefault="00AC0832">
            <w:pPr>
              <w:pStyle w:val="CellColumn"/>
            </w:pPr>
            <w:r>
              <w:t>n/a</w:t>
            </w:r>
          </w:p>
        </w:tc>
        <w:tc>
          <w:tcPr>
            <w:tcW w:w="1300" w:type="dxa"/>
          </w:tcPr>
          <w:p w:rsidR="00AC0832" w:rsidRDefault="00AC0832">
            <w:pPr>
              <w:pStyle w:val="CellColumn"/>
            </w:pPr>
            <w:r>
              <w:t>DZRNS</w:t>
            </w:r>
          </w:p>
        </w:tc>
        <w:tc>
          <w:tcPr>
            <w:tcW w:w="1300" w:type="dxa"/>
          </w:tcPr>
          <w:p w:rsidR="00AC0832" w:rsidRDefault="00AC0832">
            <w:pPr>
              <w:pStyle w:val="CellColumn"/>
            </w:pPr>
            <w:r>
              <w:t>80</w:t>
            </w:r>
          </w:p>
        </w:tc>
        <w:tc>
          <w:tcPr>
            <w:tcW w:w="1300" w:type="dxa"/>
          </w:tcPr>
          <w:p w:rsidR="00AC0832" w:rsidRDefault="00AC0832">
            <w:pPr>
              <w:pStyle w:val="CellColumn"/>
            </w:pPr>
            <w:r>
              <w:t>80</w:t>
            </w:r>
          </w:p>
        </w:tc>
      </w:tr>
      <w:tr w:rsidR="00AC0832" w:rsidTr="00BE20ED">
        <w:trPr>
          <w:jc w:val="center"/>
        </w:trPr>
        <w:tc>
          <w:tcPr>
            <w:tcW w:w="1300" w:type="dxa"/>
          </w:tcPr>
          <w:p w:rsidR="00AC0832" w:rsidRDefault="00AC0832">
            <w:pPr>
              <w:pStyle w:val="CellColumn"/>
            </w:pPr>
            <w:r>
              <w:t>certifikacija sedam ovlaštenih organizacija u području radiološke i nuklearne sigurnosti</w:t>
            </w:r>
          </w:p>
        </w:tc>
        <w:tc>
          <w:tcPr>
            <w:tcW w:w="1300" w:type="dxa"/>
          </w:tcPr>
          <w:p w:rsidR="00AC0832" w:rsidRDefault="00AC0832">
            <w:pPr>
              <w:pStyle w:val="CellColumn"/>
            </w:pPr>
            <w:r>
              <w:t>Sukladno propisima provesti postupak ovlašćivanja vanjskih organizacija za poslove iz područja radiološke i nuklearne sigurnosti</w:t>
            </w:r>
          </w:p>
        </w:tc>
        <w:tc>
          <w:tcPr>
            <w:tcW w:w="1300" w:type="dxa"/>
          </w:tcPr>
          <w:p w:rsidR="00AC0832" w:rsidRDefault="00AC0832">
            <w:pPr>
              <w:pStyle w:val="CellColumn"/>
            </w:pPr>
            <w:r>
              <w:t>broj</w:t>
            </w:r>
          </w:p>
        </w:tc>
        <w:tc>
          <w:tcPr>
            <w:tcW w:w="1300" w:type="dxa"/>
          </w:tcPr>
          <w:p w:rsidR="00AC0832" w:rsidRDefault="00AC0832">
            <w:pPr>
              <w:pStyle w:val="CellColumn"/>
            </w:pPr>
            <w:r>
              <w:t>4</w:t>
            </w:r>
          </w:p>
        </w:tc>
        <w:tc>
          <w:tcPr>
            <w:tcW w:w="1300" w:type="dxa"/>
          </w:tcPr>
          <w:p w:rsidR="00AC0832" w:rsidRDefault="00AC0832">
            <w:pPr>
              <w:pStyle w:val="CellColumn"/>
            </w:pPr>
            <w:r>
              <w:t>DZRNS</w:t>
            </w:r>
          </w:p>
        </w:tc>
        <w:tc>
          <w:tcPr>
            <w:tcW w:w="1300" w:type="dxa"/>
          </w:tcPr>
          <w:p w:rsidR="00AC0832" w:rsidRDefault="00AC0832">
            <w:pPr>
              <w:pStyle w:val="CellColumn"/>
            </w:pPr>
            <w:r>
              <w:t>5</w:t>
            </w:r>
          </w:p>
        </w:tc>
        <w:tc>
          <w:tcPr>
            <w:tcW w:w="1300" w:type="dxa"/>
          </w:tcPr>
          <w:p w:rsidR="00AC0832" w:rsidRDefault="00AC0832">
            <w:pPr>
              <w:pStyle w:val="CellColumn"/>
            </w:pPr>
            <w:r>
              <w:t>4</w:t>
            </w:r>
          </w:p>
        </w:tc>
      </w:tr>
      <w:tr w:rsidR="00AC0832" w:rsidTr="00BE20ED">
        <w:trPr>
          <w:jc w:val="center"/>
        </w:trPr>
        <w:tc>
          <w:tcPr>
            <w:tcW w:w="1300" w:type="dxa"/>
          </w:tcPr>
          <w:p w:rsidR="00AC0832" w:rsidRDefault="00AC0832">
            <w:pPr>
              <w:pStyle w:val="CellColumn"/>
            </w:pPr>
            <w:r>
              <w:t>Procjena rizika i izrada akcijskog plana popunjavanja utvrđenih nedostataka</w:t>
            </w:r>
          </w:p>
        </w:tc>
        <w:tc>
          <w:tcPr>
            <w:tcW w:w="1300" w:type="dxa"/>
          </w:tcPr>
          <w:p w:rsidR="00AC0832" w:rsidRDefault="00AC0832">
            <w:pPr>
              <w:pStyle w:val="CellColumn"/>
            </w:pPr>
            <w:r>
              <w:t>Sukladno Zakonu o informacijskoj sigurnosti i Uredbi o mjerama informacijske sigurnosti, DZRNS će provesti procjenu rizika i utvrditi nedostatke u sustavu informacijske sigurnosti, te sukladno nalazima provesti radnje potrebne za uvođenje Sustava informacijske sigurnosti</w:t>
            </w:r>
          </w:p>
        </w:tc>
        <w:tc>
          <w:tcPr>
            <w:tcW w:w="1300" w:type="dxa"/>
          </w:tcPr>
          <w:p w:rsidR="00AC0832" w:rsidRDefault="00AC0832">
            <w:pPr>
              <w:pStyle w:val="CellColumn"/>
            </w:pPr>
            <w:r>
              <w:t>%</w:t>
            </w:r>
          </w:p>
        </w:tc>
        <w:tc>
          <w:tcPr>
            <w:tcW w:w="1300" w:type="dxa"/>
          </w:tcPr>
          <w:p w:rsidR="00AC0832" w:rsidRDefault="00AC0832">
            <w:pPr>
              <w:pStyle w:val="CellColumn"/>
            </w:pPr>
            <w:r>
              <w:t>50</w:t>
            </w:r>
          </w:p>
        </w:tc>
        <w:tc>
          <w:tcPr>
            <w:tcW w:w="1300" w:type="dxa"/>
          </w:tcPr>
          <w:p w:rsidR="00AC0832" w:rsidRDefault="00AC0832">
            <w:pPr>
              <w:pStyle w:val="CellColumn"/>
            </w:pPr>
            <w:r>
              <w:t>DZRNS</w:t>
            </w:r>
          </w:p>
        </w:tc>
        <w:tc>
          <w:tcPr>
            <w:tcW w:w="1300" w:type="dxa"/>
          </w:tcPr>
          <w:p w:rsidR="00AC0832" w:rsidRDefault="00AC0832">
            <w:pPr>
              <w:pStyle w:val="CellColumn"/>
            </w:pPr>
            <w:r>
              <w:t>80</w:t>
            </w:r>
          </w:p>
        </w:tc>
        <w:tc>
          <w:tcPr>
            <w:tcW w:w="1300" w:type="dxa"/>
          </w:tcPr>
          <w:p w:rsidR="00AC0832" w:rsidRDefault="00AC0832">
            <w:pPr>
              <w:pStyle w:val="CellColumn"/>
            </w:pPr>
            <w:r>
              <w:t>50</w:t>
            </w:r>
          </w:p>
        </w:tc>
      </w:tr>
      <w:tr w:rsidR="00AC0832" w:rsidTr="00BE20ED">
        <w:trPr>
          <w:jc w:val="center"/>
        </w:trPr>
        <w:tc>
          <w:tcPr>
            <w:tcW w:w="1300" w:type="dxa"/>
          </w:tcPr>
          <w:p w:rsidR="00AC0832" w:rsidRDefault="00AC0832">
            <w:pPr>
              <w:pStyle w:val="CellColumn"/>
            </w:pPr>
            <w:r>
              <w:t>Donošenje pravilnika i uputa</w:t>
            </w:r>
          </w:p>
        </w:tc>
        <w:tc>
          <w:tcPr>
            <w:tcW w:w="1300" w:type="dxa"/>
          </w:tcPr>
          <w:p w:rsidR="00AC0832" w:rsidRDefault="00AC0832">
            <w:pPr>
              <w:pStyle w:val="CellColumn"/>
            </w:pPr>
            <w:r>
              <w:t>U narednom planskom razdoblju predviđena je izrada stručnih podloga na osnovu međunarodnih preporuka, normi i standarda, a u svrhu donošenja potrebnih pravilnika i uputa za provedbu istih</w:t>
            </w:r>
          </w:p>
        </w:tc>
        <w:tc>
          <w:tcPr>
            <w:tcW w:w="1300" w:type="dxa"/>
          </w:tcPr>
          <w:p w:rsidR="00AC0832" w:rsidRDefault="00AC0832">
            <w:pPr>
              <w:pStyle w:val="CellColumn"/>
            </w:pPr>
            <w:r>
              <w:t>%</w:t>
            </w:r>
          </w:p>
        </w:tc>
        <w:tc>
          <w:tcPr>
            <w:tcW w:w="1300" w:type="dxa"/>
          </w:tcPr>
          <w:p w:rsidR="00AC0832" w:rsidRDefault="00AC0832">
            <w:pPr>
              <w:pStyle w:val="CellColumn"/>
            </w:pPr>
            <w:r>
              <w:t>60</w:t>
            </w:r>
          </w:p>
        </w:tc>
        <w:tc>
          <w:tcPr>
            <w:tcW w:w="1300" w:type="dxa"/>
          </w:tcPr>
          <w:p w:rsidR="00AC0832" w:rsidRDefault="00AC0832">
            <w:pPr>
              <w:pStyle w:val="CellColumn"/>
            </w:pPr>
            <w:r>
              <w:t>DZRNS</w:t>
            </w:r>
          </w:p>
        </w:tc>
        <w:tc>
          <w:tcPr>
            <w:tcW w:w="1300" w:type="dxa"/>
          </w:tcPr>
          <w:p w:rsidR="00AC0832" w:rsidRDefault="00AC0832">
            <w:pPr>
              <w:pStyle w:val="CellColumn"/>
            </w:pPr>
            <w:r>
              <w:t>80</w:t>
            </w:r>
          </w:p>
        </w:tc>
        <w:tc>
          <w:tcPr>
            <w:tcW w:w="1300" w:type="dxa"/>
          </w:tcPr>
          <w:p w:rsidR="00AC0832" w:rsidRDefault="00AC0832">
            <w:pPr>
              <w:pStyle w:val="CellColumn"/>
            </w:pPr>
            <w:r>
              <w:t>80</w:t>
            </w:r>
          </w:p>
        </w:tc>
      </w:tr>
      <w:tr w:rsidR="00AC0832" w:rsidTr="00BE20ED">
        <w:trPr>
          <w:jc w:val="center"/>
        </w:trPr>
        <w:tc>
          <w:tcPr>
            <w:tcW w:w="1300" w:type="dxa"/>
          </w:tcPr>
          <w:p w:rsidR="00AC0832" w:rsidRDefault="00AC0832">
            <w:pPr>
              <w:pStyle w:val="CellColumn"/>
            </w:pPr>
            <w:r>
              <w:t>. Broj sigurnosnih planova i učinkovitost mjera fizičko-tehničke zaštite obzirom na ukupan broj korisnika i prijevoznika radioaktivnih izvora i nuklearnog materijala</w:t>
            </w:r>
          </w:p>
        </w:tc>
        <w:tc>
          <w:tcPr>
            <w:tcW w:w="1300" w:type="dxa"/>
          </w:tcPr>
          <w:p w:rsidR="00AC0832" w:rsidRDefault="00AC0832">
            <w:pPr>
              <w:pStyle w:val="CellColumn"/>
            </w:pPr>
            <w:r>
              <w:t>Putem suradnje s međunarodnim organizacijama i drugim državama pratiti aktualnu situaciju vezanu uz pitanja fizičke sigurnosti u svijetu i po mogućnosti osigurati tehničku pomoć korisnicima i prijevoznicima izvora ionizirajućeg zračenja u RH.</w:t>
            </w:r>
          </w:p>
        </w:tc>
        <w:tc>
          <w:tcPr>
            <w:tcW w:w="1300" w:type="dxa"/>
          </w:tcPr>
          <w:p w:rsidR="00AC0832" w:rsidRDefault="00AC0832">
            <w:pPr>
              <w:pStyle w:val="CellColumn"/>
            </w:pPr>
            <w:r>
              <w:t>%</w:t>
            </w:r>
          </w:p>
        </w:tc>
        <w:tc>
          <w:tcPr>
            <w:tcW w:w="1300" w:type="dxa"/>
          </w:tcPr>
          <w:p w:rsidR="00AC0832" w:rsidRDefault="00AC0832">
            <w:pPr>
              <w:pStyle w:val="CellColumn"/>
            </w:pPr>
            <w:r>
              <w:t>50</w:t>
            </w:r>
          </w:p>
        </w:tc>
        <w:tc>
          <w:tcPr>
            <w:tcW w:w="1300" w:type="dxa"/>
          </w:tcPr>
          <w:p w:rsidR="00AC0832" w:rsidRDefault="00AC0832">
            <w:pPr>
              <w:pStyle w:val="CellColumn"/>
            </w:pPr>
            <w:r>
              <w:t>DZRNS</w:t>
            </w:r>
          </w:p>
        </w:tc>
        <w:tc>
          <w:tcPr>
            <w:tcW w:w="1300" w:type="dxa"/>
          </w:tcPr>
          <w:p w:rsidR="00AC0832" w:rsidRDefault="00AC0832">
            <w:pPr>
              <w:pStyle w:val="CellColumn"/>
            </w:pPr>
            <w:r>
              <w:t>60</w:t>
            </w:r>
          </w:p>
        </w:tc>
        <w:tc>
          <w:tcPr>
            <w:tcW w:w="1300" w:type="dxa"/>
          </w:tcPr>
          <w:p w:rsidR="00AC0832" w:rsidRDefault="00AC0832">
            <w:pPr>
              <w:pStyle w:val="CellColumn"/>
            </w:pPr>
            <w:r>
              <w:t>60</w:t>
            </w:r>
          </w:p>
        </w:tc>
      </w:tr>
    </w:tbl>
    <w:p w:rsidR="00AC0832" w:rsidRDefault="00AC0832">
      <w:pPr>
        <w:jc w:val="left"/>
      </w:pPr>
    </w:p>
    <w:p w:rsidR="00AC0832" w:rsidRDefault="00AC0832">
      <w:pPr>
        <w:pStyle w:val="Heading6"/>
      </w:pPr>
      <w:r>
        <w:t>A849025 IPA 2008 JAČANJE ADMINISTRATIVNIH KAPACITETA DRŽAVNOG ZAVODA ZA RADIOLOŠKU I NUKLEARNU SIGURNOST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A849025-IPA 2008 JAČANJE ADMINISTRATIVNIH KAPACITETA DRŽAVNOG ZAVODA ZA RADIOLOŠKU I NUKLEARNU SIGURNOST</w:t>
            </w:r>
          </w:p>
        </w:tc>
        <w:tc>
          <w:tcPr>
            <w:tcW w:w="2322" w:type="dxa"/>
          </w:tcPr>
          <w:p w:rsidR="00AC0832" w:rsidRDefault="00AC0832">
            <w:pPr>
              <w:pStyle w:val="CellColumn"/>
            </w:pPr>
            <w:r>
              <w:t>816.850</w:t>
            </w:r>
          </w:p>
        </w:tc>
        <w:tc>
          <w:tcPr>
            <w:tcW w:w="2322" w:type="dxa"/>
          </w:tcPr>
          <w:p w:rsidR="00AC0832" w:rsidRDefault="00AC0832">
            <w:pPr>
              <w:pStyle w:val="CellColumn"/>
            </w:pPr>
            <w:r>
              <w:t>642.977</w:t>
            </w:r>
          </w:p>
        </w:tc>
        <w:tc>
          <w:tcPr>
            <w:tcW w:w="2322" w:type="dxa"/>
          </w:tcPr>
          <w:p w:rsidR="00AC0832" w:rsidRDefault="00AC0832">
            <w:pPr>
              <w:pStyle w:val="CellColumn"/>
            </w:pPr>
            <w:r>
              <w:t>78,7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Aktivnosti vezano uz projekt IPA 2008 Jačanje administrativnih kapaciteta </w:t>
      </w:r>
    </w:p>
    <w:p w:rsidR="00AC0832" w:rsidRDefault="00AC0832">
      <w:pPr>
        <w:pStyle w:val="Normal6"/>
      </w:pPr>
      <w:r>
        <w:t xml:space="preserve">Državnog zavoda za radiološku i nuklearnu sigurnost provodi se prema planu aktivnosti. Projekt je ugovoren na vrijeme i u 2012. godini je izrađen i odobren plan projekta kao i uvodno izvješće. Razlika između planirane i realizirane financijske vrijednosti je posljedica ostvarene niže nabavne cijene izvođenja projekta od izvorno planirane kroz postupak javne nabave. </w:t>
      </w:r>
    </w:p>
    <w:p w:rsidR="00AC0832" w:rsidRDefault="00AC0832">
      <w:pPr>
        <w:pStyle w:val="Normal6"/>
      </w:pPr>
      <w:r>
        <w:t xml:space="preserve">Isplaćena proračunska sredstava odnose se na nacionalnu komponentu unutar predpristupnih </w:t>
      </w:r>
    </w:p>
    <w:p w:rsidR="00AC0832" w:rsidRDefault="00AC0832">
      <w:pPr>
        <w:pStyle w:val="Normal6"/>
      </w:pPr>
      <w:r>
        <w:t>programa nuklearne sigurnosti IPA 2008.</w:t>
      </w:r>
    </w:p>
    <w:p w:rsidR="00AC0832" w:rsidRDefault="00AC0832">
      <w:pPr>
        <w:pStyle w:val="Heading6"/>
      </w:pPr>
      <w:r>
        <w:t>K849007 GRANIČNA KONTROLA NUKLEARNIH I OSTALIH RADIOAKTIVNIH MATERIJALA STACIONARNIM MONITORIMA - PHARE 2006.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K849007-GRANIČNA KONTROLA NUKLEARNIH I OSTALIH RADIOAKTIVNIH MATERIJALA STACIONARNIM MONITORIMA - PHARE 2006.</w:t>
            </w:r>
          </w:p>
        </w:tc>
        <w:tc>
          <w:tcPr>
            <w:tcW w:w="2322" w:type="dxa"/>
          </w:tcPr>
          <w:p w:rsidR="00AC0832" w:rsidRDefault="00AC0832">
            <w:pPr>
              <w:pStyle w:val="CellColumn"/>
            </w:pPr>
            <w:r>
              <w:t>120.400</w:t>
            </w:r>
          </w:p>
        </w:tc>
        <w:tc>
          <w:tcPr>
            <w:tcW w:w="2322" w:type="dxa"/>
          </w:tcPr>
          <w:p w:rsidR="00AC0832" w:rsidRDefault="00AC0832">
            <w:pPr>
              <w:pStyle w:val="CellColumn"/>
            </w:pPr>
            <w:r>
              <w:t>5.710</w:t>
            </w:r>
          </w:p>
        </w:tc>
        <w:tc>
          <w:tcPr>
            <w:tcW w:w="2322" w:type="dxa"/>
          </w:tcPr>
          <w:p w:rsidR="00AC0832" w:rsidRDefault="00AC0832">
            <w:pPr>
              <w:pStyle w:val="CellColumn"/>
            </w:pPr>
            <w:r>
              <w:t>4,7</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Planirana financijska sredstva u 2012. godini odnosila su se na održavanje opreme koja je nabavljena kroz program predpristupne pomoću u okviru PHARE programa (Izvršena je nabavka i instalacija većeg broja portalnih monitora namijenjenih otkrivanju nedozvoljenog prometa nuklearnog i drugog radioaktivnog materijala na graničnim prijelazima). Nakon potpisivanja ugovora s Ministarstvom financija, Carinska uprava, kojim se preuzima na korištenje i održavanje navedena oprema, nije bilo potrebno ugovoriti te isplatiti planirani iznos za održavanje opreme.</w:t>
      </w:r>
    </w:p>
    <w:p w:rsidR="00AC0832" w:rsidRDefault="00AC0832">
      <w:pPr>
        <w:pStyle w:val="Heading6"/>
      </w:pPr>
      <w:r>
        <w:t>K849008 ZAŠTITA OD ZRAČENJA PRILIKOM MEDICINSKOG OZRAČIVANJA IPA 2008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K849008-ZAŠTITA OD ZRAČENJA PRILIKOM MEDICINSKOG OZRAČIVANJA IPA 2008</w:t>
            </w:r>
          </w:p>
        </w:tc>
        <w:tc>
          <w:tcPr>
            <w:tcW w:w="2322" w:type="dxa"/>
          </w:tcPr>
          <w:p w:rsidR="00AC0832" w:rsidRDefault="00AC0832">
            <w:pPr>
              <w:pStyle w:val="CellColumn"/>
            </w:pPr>
            <w:r>
              <w:t>3.361.650</w:t>
            </w:r>
          </w:p>
        </w:tc>
        <w:tc>
          <w:tcPr>
            <w:tcW w:w="2322" w:type="dxa"/>
          </w:tcPr>
          <w:p w:rsidR="00AC0832" w:rsidRDefault="00AC0832">
            <w:pPr>
              <w:pStyle w:val="CellColumn"/>
            </w:pPr>
            <w:r>
              <w:t>2.047.216</w:t>
            </w:r>
          </w:p>
        </w:tc>
        <w:tc>
          <w:tcPr>
            <w:tcW w:w="2322" w:type="dxa"/>
          </w:tcPr>
          <w:p w:rsidR="00AC0832" w:rsidRDefault="00AC0832">
            <w:pPr>
              <w:pStyle w:val="CellColumn"/>
            </w:pPr>
            <w:r>
              <w:t>60,9</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 xml:space="preserve">Cilj projekta je postići usklađenost s općim principima i osnovnim mjerama zaštite ljudi od opasnosti ionizirajućeg zračenja kod dijagnostičkih postupaka u medicini u procesu implementacije relevantnog zakonodavstva EU, a ostvarit će se kroz izgradnju kapaciteta relevantnih tijela državne uprave, javnih zdravstvenih ustanova i ovlaštenih stručnih tehničkih servisa za procjenu doze od medicinskog ozračenja i ispravnu primjenu principa opravdanosti i optimalizacije. Osnovni rezultati uključuju </w:t>
      </w:r>
    </w:p>
    <w:p w:rsidR="00AC0832" w:rsidRDefault="00AC0832">
      <w:pPr>
        <w:pStyle w:val="Normal6"/>
      </w:pPr>
      <w:r>
        <w:t>izradu, promociju i implementaciju programa osiguranja kvalitete, nabavku opreme potrebne za provođenje kontrole kvalitete za javne zdravstvene ustanove, informiranje i jačanje svijesti javnosti te procjenu doza pacijenata, kroz dvije komonente - ugovor TA (Technical Assistance) i ugovor TS (Technical Suply). Projekt je ugovoren u rujnu 2012. godine i započela je njegova implementacija. Po ugovorima za nabavku opreme i tehničku pomoć je u 2012. godini isplaćeno 2.047.216 kn.</w:t>
      </w:r>
    </w:p>
    <w:p w:rsidR="00AC0832" w:rsidRDefault="00AC0832">
      <w:pPr>
        <w:pStyle w:val="Heading6"/>
      </w:pPr>
      <w:r>
        <w:t>K849023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K849023-INFORMATIZACIJA</w:t>
            </w:r>
          </w:p>
        </w:tc>
        <w:tc>
          <w:tcPr>
            <w:tcW w:w="2322" w:type="dxa"/>
          </w:tcPr>
          <w:p w:rsidR="00AC0832" w:rsidRDefault="00AC0832">
            <w:pPr>
              <w:pStyle w:val="CellColumn"/>
            </w:pPr>
            <w:r>
              <w:t>417.374</w:t>
            </w:r>
          </w:p>
        </w:tc>
        <w:tc>
          <w:tcPr>
            <w:tcW w:w="2322" w:type="dxa"/>
          </w:tcPr>
          <w:p w:rsidR="00AC0832" w:rsidRDefault="00AC0832">
            <w:pPr>
              <w:pStyle w:val="CellColumn"/>
            </w:pPr>
            <w:r>
              <w:t>305.366</w:t>
            </w:r>
          </w:p>
        </w:tc>
        <w:tc>
          <w:tcPr>
            <w:tcW w:w="2322" w:type="dxa"/>
          </w:tcPr>
          <w:p w:rsidR="00AC0832" w:rsidRDefault="00AC0832">
            <w:pPr>
              <w:pStyle w:val="CellColumn"/>
            </w:pPr>
            <w:r>
              <w:t>73,2</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Vezano uz obnovu i konsolidaciju poslovnog informacijskog sustava, nabavljene su potrebne licence (VMware, RedHat)  te instairan odgovarajući softver. Web stranice (CMS) su preseljene na server (virtualnu mašinu) u prostorijama i pod kontrolom Zavoda. Zbog nedostatnih i tijekom 2012. dodatno smanjenih ljudskih resursa planirano osuvremenjivanje i dopunu aplikacije kojom se preko Interneta pristupa propisanim evidencijama te izradu modula unutar postojećeg CMS-a za dizajn, popunjavanje i potpisivanje e-obrazaca nije bilo moguće napraviti.  Veći dio troškova zato čine troškovi usluga vezanih uz održavanje sistemske podrške (Linux OS na 7 servera, Linux H-A, DRBD, Hearbeat), kontrolu rada mrežnih sustava te kontrolu i konfiguriranje servisnih programa, troškovi vezani uz održavanje CMS, preseljenje WEB-a te aktivnosti vezane uz konsolidaciju servera. Obuhvaćeni su i troškovi održavanja za Oracle licence (baza i forms) te za nabavku stolnih i prijenosnih računala s potrebnim Windows i Office licencama, licence za MS Visual Studio i druge sitne nabavke. Kroz ovu se aktivnost financira provjera i održavanje programske podrške Centra za izvanredne događaje te održavanje i unapređenje sustava za praćenje stacionarnih portalnih monitora na graničnim prijelazima.</w:t>
      </w:r>
    </w:p>
    <w:p w:rsidR="00AC0832" w:rsidRDefault="00AC0832">
      <w:pPr>
        <w:pStyle w:val="Heading2"/>
      </w:pPr>
      <w:r>
        <w:t>25705 Agencija za regulaciju tržišta željezničkih usluga</w:t>
      </w:r>
    </w:p>
    <w:p w:rsidR="00AC0832" w:rsidRDefault="00AC0832">
      <w:pPr>
        <w:pStyle w:val="Heading4"/>
      </w:pPr>
      <w:r>
        <w:t>Uvod</w:t>
      </w:r>
    </w:p>
    <w:p w:rsidR="00AC0832" w:rsidRDefault="00AC0832">
      <w:pPr>
        <w:pStyle w:val="Normal3"/>
      </w:pPr>
      <w:r>
        <w:t>Agencija za regulaciju tržišta željezničkih usluga (dalje: Agencija) osnovana je Zakonom o Agenciji za regulaciju tržišta željezničkih usluga (Narodne novine, br. 79/07, 75/09 i 61/11, dalje: Zakon o Agenciji) kao samostalna i neovisna javna ustanova, radi osiguravanja preglednog i nepristranog obavljanja djelatnosti željezničkog prijevoza i osiguravanja otvorenog i nediskriminirajućeg ponašanja između upravitelja infrastrukture i željezničkih prijevoznika. Djelatnost Agencije čine poslovi rješavanja o žalbama željezničkih prijevoznika na odluke upravitelja infrastrukture, nadzor nad pregovorima upravitelja infrastrukture i željezničkog prijevoznika, nadzor kvalitete pružanja željezničkih usluga željezničkog prijevoznika, davanje prethodne suglasnosti na imenovanje i razrješenje članova upravljačkog tijela upravitelja infrastrukture i analiza i praćenje stanja konkurentnosti na tržištu željezničkih usluga. Agencija je za svoj rad odgovorna Hrvatskom saboru. Djelatnost Agencije od posebnog je interesa za Republiku Hrvatsku, a poslove iz svoje djelatnosti Agencija obavlja kao javnu ovlast.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25705-Agencija za regulaciju tržišta željezničkih usluga</w:t>
            </w:r>
          </w:p>
        </w:tc>
        <w:tc>
          <w:tcPr>
            <w:tcW w:w="2322" w:type="dxa"/>
          </w:tcPr>
          <w:p w:rsidR="00AC0832" w:rsidRDefault="00AC0832">
            <w:pPr>
              <w:pStyle w:val="CellColumn"/>
            </w:pPr>
            <w:r>
              <w:t>2.368.000</w:t>
            </w:r>
          </w:p>
        </w:tc>
        <w:tc>
          <w:tcPr>
            <w:tcW w:w="2322" w:type="dxa"/>
          </w:tcPr>
          <w:p w:rsidR="00AC0832" w:rsidRDefault="00AC0832">
            <w:pPr>
              <w:pStyle w:val="CellColumn"/>
            </w:pPr>
            <w:r>
              <w:t>2.094.194</w:t>
            </w:r>
          </w:p>
        </w:tc>
        <w:tc>
          <w:tcPr>
            <w:tcW w:w="2322" w:type="dxa"/>
          </w:tcPr>
          <w:p w:rsidR="00AC0832" w:rsidRDefault="00AC0832">
            <w:pPr>
              <w:pStyle w:val="CellColumn"/>
            </w:pPr>
            <w:r>
              <w:t>88,4</w:t>
            </w:r>
          </w:p>
        </w:tc>
      </w:tr>
      <w:tr w:rsidR="00AC0832" w:rsidTr="00BE20ED">
        <w:trPr>
          <w:jc w:val="center"/>
        </w:trPr>
        <w:tc>
          <w:tcPr>
            <w:tcW w:w="2322" w:type="dxa"/>
          </w:tcPr>
          <w:p w:rsidR="00AC0832" w:rsidRDefault="00AC0832">
            <w:pPr>
              <w:pStyle w:val="CellColumnSmall"/>
            </w:pPr>
            <w:r>
              <w:t>3108-REGULACIJA TRŽIŠTA ŽELJEZNIČKIH USLUGA</w:t>
            </w:r>
          </w:p>
        </w:tc>
        <w:tc>
          <w:tcPr>
            <w:tcW w:w="2322" w:type="dxa"/>
          </w:tcPr>
          <w:p w:rsidR="00AC0832" w:rsidRDefault="00AC0832">
            <w:pPr>
              <w:pStyle w:val="CellColumnSmall"/>
            </w:pPr>
            <w:r>
              <w:t>2.368.000</w:t>
            </w:r>
          </w:p>
        </w:tc>
        <w:tc>
          <w:tcPr>
            <w:tcW w:w="2322" w:type="dxa"/>
          </w:tcPr>
          <w:p w:rsidR="00AC0832" w:rsidRDefault="00AC0832">
            <w:pPr>
              <w:pStyle w:val="CellColumnSmall"/>
            </w:pPr>
            <w:r>
              <w:t>2.094.194</w:t>
            </w:r>
          </w:p>
        </w:tc>
        <w:tc>
          <w:tcPr>
            <w:tcW w:w="2322" w:type="dxa"/>
          </w:tcPr>
          <w:p w:rsidR="00AC0832" w:rsidRDefault="00AC0832">
            <w:pPr>
              <w:pStyle w:val="CellColumnSmall"/>
            </w:pPr>
            <w:r>
              <w:t>88,4</w:t>
            </w:r>
          </w:p>
        </w:tc>
      </w:tr>
    </w:tbl>
    <w:p w:rsidR="00AC0832" w:rsidRDefault="00AC0832">
      <w:pPr>
        <w:jc w:val="left"/>
      </w:pPr>
    </w:p>
    <w:p w:rsidR="00AC0832" w:rsidRDefault="00AC0832">
      <w:pPr>
        <w:pStyle w:val="Heading4"/>
      </w:pPr>
      <w:r>
        <w:t>OBRAZLOŽENJE PROGRAMA</w:t>
      </w:r>
    </w:p>
    <w:p w:rsidR="00AC0832" w:rsidRDefault="00AC0832">
      <w:pPr>
        <w:pStyle w:val="Heading5"/>
      </w:pPr>
      <w:r>
        <w:t>3108 REGULACIJA TRŽIŠTA ŽELJEZNIČKIH USLUGA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3108-REGULACIJA TRŽIŠTA ŽELJEZNIČKIH USLUGA</w:t>
            </w:r>
          </w:p>
        </w:tc>
        <w:tc>
          <w:tcPr>
            <w:tcW w:w="2322" w:type="dxa"/>
          </w:tcPr>
          <w:p w:rsidR="00AC0832" w:rsidRDefault="00AC0832">
            <w:pPr>
              <w:pStyle w:val="CellColumn"/>
            </w:pPr>
            <w:r>
              <w:t>2.368.000</w:t>
            </w:r>
          </w:p>
        </w:tc>
        <w:tc>
          <w:tcPr>
            <w:tcW w:w="2322" w:type="dxa"/>
          </w:tcPr>
          <w:p w:rsidR="00AC0832" w:rsidRDefault="00AC0832">
            <w:pPr>
              <w:pStyle w:val="CellColumn"/>
            </w:pPr>
            <w:r>
              <w:t>2.094.194</w:t>
            </w:r>
          </w:p>
        </w:tc>
        <w:tc>
          <w:tcPr>
            <w:tcW w:w="2322" w:type="dxa"/>
          </w:tcPr>
          <w:p w:rsidR="00AC0832" w:rsidRDefault="00AC0832">
            <w:pPr>
              <w:pStyle w:val="CellColumn"/>
            </w:pPr>
            <w:r>
              <w:t>88,4</w:t>
            </w:r>
          </w:p>
        </w:tc>
      </w:tr>
    </w:tbl>
    <w:p w:rsidR="00AC0832" w:rsidRDefault="00AC0832">
      <w:pPr>
        <w:jc w:val="left"/>
      </w:pPr>
    </w:p>
    <w:p w:rsidR="00AC0832" w:rsidRDefault="00AC0832">
      <w:pPr>
        <w:pStyle w:val="Heading6"/>
      </w:pPr>
      <w:r>
        <w:t>Opis programa</w:t>
      </w:r>
    </w:p>
    <w:p w:rsidR="00AC0832" w:rsidRDefault="00AC0832">
      <w:pPr>
        <w:pStyle w:val="Normal5"/>
      </w:pPr>
      <w:r>
        <w:t>Program obuhvaća poslove rješavanja žalbi željezničkih prijevoznika na odluke upravitelja infrastrukture, nadzor nad pregovorima upravitelja infrastrukture i željezničkog prijevoznika, nadzor kvalitete pružanja željezničkih usluga željezničkog prijevoznika, davanje prethodne suglasnosti na imenovanje i razrješenje članova upravljačkog tijela upravitelja infrastrukture i analiza i praćenje stanja konkurentnosti na tržištu željezničkih usluga.</w:t>
      </w:r>
    </w:p>
    <w:p w:rsidR="00AC0832" w:rsidRDefault="00AC0832">
      <w:pPr>
        <w:pStyle w:val="Heading6"/>
      </w:pPr>
      <w:r>
        <w:t>Zakonske i druge pravne osnove</w:t>
      </w:r>
    </w:p>
    <w:p w:rsidR="00AC0832" w:rsidRDefault="00AC0832">
      <w:pPr>
        <w:pStyle w:val="Normal5"/>
      </w:pPr>
      <w:r>
        <w:t xml:space="preserve">- Zakon o željeznici (NN, br. 123/03, 30/04, 79/07 i 75/09), </w:t>
      </w:r>
    </w:p>
    <w:p w:rsidR="00AC0832" w:rsidRDefault="00AC0832">
      <w:pPr>
        <w:pStyle w:val="Normal5"/>
      </w:pPr>
      <w:r>
        <w:t>- Zakon o Agenciji za regulaciju tržišta željezničkih usluga (NN, br. 79/07, 75/09 i 61/11).</w:t>
      </w:r>
    </w:p>
    <w:p w:rsidR="00AC0832" w:rsidRDefault="00AC0832">
      <w:pPr>
        <w:pStyle w:val="Heading7"/>
      </w:pPr>
      <w:r>
        <w:t>Cilj 1. Jačanje administrativnih sposobnosti Agencije</w:t>
      </w:r>
    </w:p>
    <w:p w:rsidR="00AC0832" w:rsidRDefault="00AC0832">
      <w:pPr>
        <w:pStyle w:val="Heading8"/>
        <w:jc w:val="left"/>
      </w:pPr>
      <w:r>
        <w:t>Opis provedbe cilja programa</w:t>
      </w:r>
    </w:p>
    <w:p w:rsidR="00AC0832" w:rsidRDefault="00AC0832">
      <w:pPr>
        <w:pStyle w:val="Normal6"/>
      </w:pPr>
      <w:r>
        <w:t>U izvršenju funkcije nadzora tržišta željezničkih usluga Agencija vodi postupke po službenoj dužnosti u kojima utvrđuje stanja potencijalnih poteškoća u funkcioniranju tržišta, iste prati i nalaže korekciju. Agencija odlučuje o žalbama željezničkih prijevoznika na potencijalne slučajeve diskriminacije i netransparentnosti. Konstantno radi na razvoju organizacijskih i administrativnih kapaciteta zaposlenih i provodi intenzivnu međunarodnu i interresornu suradnju. U 2012. zaposlenici Agenciju prisustvovali su na 15 radionica, seminara i tečajeva.</w:t>
      </w:r>
    </w:p>
    <w:p w:rsidR="00AC0832" w:rsidRDefault="00AC0832">
      <w:pPr>
        <w:pStyle w:val="Heading8"/>
        <w:jc w:val="left"/>
      </w:pPr>
      <w: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28"/>
        <w:gridCol w:w="1300"/>
        <w:gridCol w:w="1300"/>
        <w:gridCol w:w="1300"/>
        <w:gridCol w:w="1300"/>
        <w:gridCol w:w="1300"/>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učinka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radionice</w:t>
            </w:r>
          </w:p>
        </w:tc>
        <w:tc>
          <w:tcPr>
            <w:tcW w:w="1300" w:type="dxa"/>
          </w:tcPr>
          <w:p w:rsidR="00AC0832" w:rsidRDefault="00AC0832">
            <w:pPr>
              <w:pStyle w:val="CellColumn"/>
            </w:pPr>
            <w:r>
              <w:t>edukacija zaposlenika kroz sudjelovanje na radionicama</w:t>
            </w:r>
          </w:p>
        </w:tc>
        <w:tc>
          <w:tcPr>
            <w:tcW w:w="1300" w:type="dxa"/>
          </w:tcPr>
          <w:p w:rsidR="00AC0832" w:rsidRDefault="00AC0832">
            <w:pPr>
              <w:pStyle w:val="CellColumn"/>
            </w:pPr>
            <w:r>
              <w:t>broj</w:t>
            </w:r>
          </w:p>
        </w:tc>
        <w:tc>
          <w:tcPr>
            <w:tcW w:w="1300" w:type="dxa"/>
          </w:tcPr>
          <w:p w:rsidR="00AC0832" w:rsidRDefault="00AC0832">
            <w:pPr>
              <w:pStyle w:val="CellColumn"/>
            </w:pPr>
            <w:r>
              <w:t>7</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18</w:t>
            </w:r>
          </w:p>
        </w:tc>
        <w:tc>
          <w:tcPr>
            <w:tcW w:w="1300" w:type="dxa"/>
          </w:tcPr>
          <w:p w:rsidR="00AC0832" w:rsidRDefault="00AC0832">
            <w:pPr>
              <w:pStyle w:val="CellColumn"/>
            </w:pPr>
            <w:r>
              <w:t>15</w:t>
            </w:r>
          </w:p>
        </w:tc>
      </w:tr>
    </w:tbl>
    <w:p w:rsidR="00AC0832" w:rsidRDefault="00AC0832">
      <w:pPr>
        <w:jc w:val="left"/>
      </w:pPr>
    </w:p>
    <w:p w:rsidR="00AC0832" w:rsidRDefault="00AC0832">
      <w:pPr>
        <w:pStyle w:val="Heading6"/>
      </w:pPr>
      <w:r>
        <w:t>A856001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AC0832" w:rsidTr="00BE20ED">
        <w:trPr>
          <w:jc w:val="center"/>
        </w:trPr>
        <w:tc>
          <w:tcPr>
            <w:tcW w:w="2322" w:type="dxa"/>
            <w:shd w:val="clear" w:color="auto" w:fill="B5C0D8"/>
          </w:tcPr>
          <w:p w:rsidR="00AC0832" w:rsidRDefault="00AC0832">
            <w:pPr>
              <w:pStyle w:val="CellHeader"/>
            </w:pPr>
            <w:r>
              <w:t>Naziv aktivnosti</w:t>
            </w:r>
          </w:p>
        </w:tc>
        <w:tc>
          <w:tcPr>
            <w:tcW w:w="2322" w:type="dxa"/>
            <w:shd w:val="clear" w:color="auto" w:fill="B5C0D8"/>
          </w:tcPr>
          <w:p w:rsidR="00AC0832" w:rsidRDefault="00AC0832">
            <w:pPr>
              <w:pStyle w:val="CellHeader"/>
            </w:pPr>
            <w:r>
              <w:t>Plan 2012. (kn)</w:t>
            </w:r>
          </w:p>
        </w:tc>
        <w:tc>
          <w:tcPr>
            <w:tcW w:w="2322" w:type="dxa"/>
            <w:shd w:val="clear" w:color="auto" w:fill="B5C0D8"/>
          </w:tcPr>
          <w:p w:rsidR="00AC0832" w:rsidRDefault="00AC0832">
            <w:pPr>
              <w:pStyle w:val="CellHeader"/>
            </w:pPr>
            <w:r>
              <w:t>Izvršenje 2012. (kn)</w:t>
            </w:r>
          </w:p>
        </w:tc>
        <w:tc>
          <w:tcPr>
            <w:tcW w:w="2322" w:type="dxa"/>
            <w:shd w:val="clear" w:color="auto" w:fill="B5C0D8"/>
          </w:tcPr>
          <w:p w:rsidR="00AC0832" w:rsidRDefault="00AC0832">
            <w:pPr>
              <w:pStyle w:val="CellHeader"/>
            </w:pPr>
            <w:r>
              <w:t>Indeks izvršenje/plan</w:t>
            </w:r>
          </w:p>
        </w:tc>
      </w:tr>
      <w:tr w:rsidR="00AC0832" w:rsidTr="00BE20ED">
        <w:trPr>
          <w:jc w:val="center"/>
        </w:trPr>
        <w:tc>
          <w:tcPr>
            <w:tcW w:w="2322" w:type="dxa"/>
          </w:tcPr>
          <w:p w:rsidR="00AC0832" w:rsidRDefault="00AC0832">
            <w:pPr>
              <w:pStyle w:val="CellColumn"/>
            </w:pPr>
            <w:r>
              <w:t>A856001-ADMINISTRACIJA I UPRAVLJANJE</w:t>
            </w:r>
          </w:p>
        </w:tc>
        <w:tc>
          <w:tcPr>
            <w:tcW w:w="2322" w:type="dxa"/>
          </w:tcPr>
          <w:p w:rsidR="00AC0832" w:rsidRDefault="00AC0832">
            <w:pPr>
              <w:pStyle w:val="CellColumn"/>
            </w:pPr>
            <w:r>
              <w:t>2.368.000</w:t>
            </w:r>
          </w:p>
        </w:tc>
        <w:tc>
          <w:tcPr>
            <w:tcW w:w="2322" w:type="dxa"/>
          </w:tcPr>
          <w:p w:rsidR="00AC0832" w:rsidRDefault="00AC0832">
            <w:pPr>
              <w:pStyle w:val="CellColumn"/>
            </w:pPr>
            <w:r>
              <w:t>2.094.194</w:t>
            </w:r>
          </w:p>
        </w:tc>
        <w:tc>
          <w:tcPr>
            <w:tcW w:w="2322" w:type="dxa"/>
          </w:tcPr>
          <w:p w:rsidR="00AC0832" w:rsidRDefault="00AC0832">
            <w:pPr>
              <w:pStyle w:val="CellColumn"/>
            </w:pPr>
            <w:r>
              <w:t>88,4</w:t>
            </w:r>
          </w:p>
        </w:tc>
      </w:tr>
    </w:tbl>
    <w:p w:rsidR="00AC0832" w:rsidRDefault="00AC0832">
      <w:pPr>
        <w:jc w:val="left"/>
      </w:pPr>
    </w:p>
    <w:p w:rsidR="00AC0832" w:rsidRDefault="00AC0832">
      <w:pPr>
        <w:pStyle w:val="Heading8"/>
        <w:jc w:val="left"/>
      </w:pPr>
      <w:r>
        <w:t>Opis provedbe aktivnosti / projekta</w:t>
      </w:r>
    </w:p>
    <w:p w:rsidR="00AC0832" w:rsidRDefault="00AC0832">
      <w:pPr>
        <w:pStyle w:val="Normal6"/>
      </w:pPr>
      <w:r>
        <w:t>Zaposlenici Agencije u 2012. nastavili su s edukacijom tako da je ostvarena ciljana vrijednost osposobljenosti zaposlenika posebnim znanjima</w:t>
      </w:r>
    </w:p>
    <w:p w:rsidR="00AC0832" w:rsidRDefault="00AC0832">
      <w:pPr>
        <w:pStyle w:val="Heading8"/>
        <w:jc w:val="left"/>
      </w:pPr>
    </w:p>
    <w:p w:rsidR="00AC0832" w:rsidRDefault="00AC0832">
      <w:pPr>
        <w:pStyle w:val="Heading8"/>
        <w:jc w:val="left"/>
      </w:pPr>
    </w:p>
    <w:p w:rsidR="00AC0832" w:rsidRDefault="00AC0832">
      <w:pPr>
        <w:pStyle w:val="Heading8"/>
        <w:jc w:val="left"/>
      </w:pPr>
      <w: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5"/>
        <w:gridCol w:w="1280"/>
        <w:gridCol w:w="1275"/>
        <w:gridCol w:w="1284"/>
        <w:gridCol w:w="1281"/>
        <w:gridCol w:w="1284"/>
        <w:gridCol w:w="1289"/>
      </w:tblGrid>
      <w:tr w:rsidR="00AC0832" w:rsidTr="00BE20ED">
        <w:trPr>
          <w:jc w:val="center"/>
        </w:trPr>
        <w:tc>
          <w:tcPr>
            <w:tcW w:w="1300" w:type="dxa"/>
            <w:shd w:val="clear" w:color="auto" w:fill="B5C0D8"/>
          </w:tcPr>
          <w:p w:rsidR="00AC0832" w:rsidRPr="00BE20ED" w:rsidRDefault="00AC0832">
            <w:pPr>
              <w:rPr>
                <w:sz w:val="20"/>
                <w:lang w:eastAsia="hr-HR"/>
              </w:rPr>
            </w:pPr>
            <w:r w:rsidRPr="00BE20ED">
              <w:rPr>
                <w:sz w:val="20"/>
                <w:lang w:eastAsia="hr-HR"/>
              </w:rPr>
              <w:t>Pokazatelj rezultata</w:t>
            </w:r>
          </w:p>
        </w:tc>
        <w:tc>
          <w:tcPr>
            <w:tcW w:w="1300" w:type="dxa"/>
            <w:shd w:val="clear" w:color="auto" w:fill="B5C0D8"/>
          </w:tcPr>
          <w:p w:rsidR="00AC0832" w:rsidRDefault="00AC0832">
            <w:pPr>
              <w:pStyle w:val="CellHeader"/>
            </w:pPr>
            <w:r>
              <w:t>Definicija</w:t>
            </w:r>
          </w:p>
        </w:tc>
        <w:tc>
          <w:tcPr>
            <w:tcW w:w="1300" w:type="dxa"/>
            <w:shd w:val="clear" w:color="auto" w:fill="B5C0D8"/>
          </w:tcPr>
          <w:p w:rsidR="00AC0832" w:rsidRDefault="00AC0832">
            <w:pPr>
              <w:pStyle w:val="CellHeader"/>
            </w:pPr>
            <w:r>
              <w:t>Jedinica</w:t>
            </w:r>
          </w:p>
        </w:tc>
        <w:tc>
          <w:tcPr>
            <w:tcW w:w="1300" w:type="dxa"/>
            <w:shd w:val="clear" w:color="auto" w:fill="B5C0D8"/>
          </w:tcPr>
          <w:p w:rsidR="00AC0832" w:rsidRDefault="00AC0832">
            <w:pPr>
              <w:pStyle w:val="CellHeader"/>
            </w:pPr>
            <w:r>
              <w:t>Polazna vrijednost</w:t>
            </w:r>
          </w:p>
        </w:tc>
        <w:tc>
          <w:tcPr>
            <w:tcW w:w="1300" w:type="dxa"/>
            <w:shd w:val="clear" w:color="auto" w:fill="B5C0D8"/>
          </w:tcPr>
          <w:p w:rsidR="00AC0832" w:rsidRDefault="00AC0832">
            <w:pPr>
              <w:pStyle w:val="CellHeader"/>
            </w:pPr>
            <w:r>
              <w:t>Izvor podataka</w:t>
            </w:r>
          </w:p>
        </w:tc>
        <w:tc>
          <w:tcPr>
            <w:tcW w:w="1300" w:type="dxa"/>
            <w:shd w:val="clear" w:color="auto" w:fill="B5C0D8"/>
          </w:tcPr>
          <w:p w:rsidR="00AC0832" w:rsidRDefault="00AC0832">
            <w:pPr>
              <w:pStyle w:val="CellHeader"/>
            </w:pPr>
            <w:r>
              <w:t>Ciljana vrijednost (2012.)</w:t>
            </w:r>
          </w:p>
        </w:tc>
        <w:tc>
          <w:tcPr>
            <w:tcW w:w="1300" w:type="dxa"/>
            <w:shd w:val="clear" w:color="auto" w:fill="B5C0D8"/>
          </w:tcPr>
          <w:p w:rsidR="00AC0832" w:rsidRDefault="00AC0832">
            <w:pPr>
              <w:pStyle w:val="CellHeader"/>
            </w:pPr>
            <w:r>
              <w:t>Ostvarena vrijednost (2012.)</w:t>
            </w:r>
          </w:p>
        </w:tc>
      </w:tr>
      <w:tr w:rsidR="00AC0832" w:rsidTr="00BE20ED">
        <w:trPr>
          <w:jc w:val="center"/>
        </w:trPr>
        <w:tc>
          <w:tcPr>
            <w:tcW w:w="1300" w:type="dxa"/>
          </w:tcPr>
          <w:p w:rsidR="00AC0832" w:rsidRDefault="00AC0832">
            <w:pPr>
              <w:pStyle w:val="CellColumn"/>
            </w:pPr>
            <w:r>
              <w:t xml:space="preserve">Stupanj osposobljenosti </w:t>
            </w:r>
          </w:p>
          <w:p w:rsidR="00AC0832" w:rsidRDefault="00AC0832">
            <w:pPr>
              <w:pStyle w:val="CellColumn"/>
            </w:pPr>
            <w:r>
              <w:t xml:space="preserve">zaposlenika posebnim </w:t>
            </w:r>
          </w:p>
          <w:p w:rsidR="00AC0832" w:rsidRDefault="00AC0832">
            <w:pPr>
              <w:pStyle w:val="CellColumn"/>
            </w:pPr>
            <w:r>
              <w:t>znanjima</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w:t>
            </w:r>
          </w:p>
        </w:tc>
        <w:tc>
          <w:tcPr>
            <w:tcW w:w="1300" w:type="dxa"/>
          </w:tcPr>
          <w:p w:rsidR="00AC0832" w:rsidRDefault="00AC0832">
            <w:pPr>
              <w:pStyle w:val="CellColumn"/>
            </w:pPr>
            <w:r>
              <w:t>10</w:t>
            </w:r>
          </w:p>
        </w:tc>
        <w:tc>
          <w:tcPr>
            <w:tcW w:w="1300" w:type="dxa"/>
          </w:tcPr>
          <w:p w:rsidR="00AC0832" w:rsidRPr="00BE20ED" w:rsidRDefault="00AC0832" w:rsidP="00BE20ED">
            <w:pPr>
              <w:jc w:val="left"/>
              <w:rPr>
                <w:sz w:val="20"/>
                <w:lang w:eastAsia="hr-HR"/>
              </w:rPr>
            </w:pPr>
          </w:p>
        </w:tc>
        <w:tc>
          <w:tcPr>
            <w:tcW w:w="1300" w:type="dxa"/>
          </w:tcPr>
          <w:p w:rsidR="00AC0832" w:rsidRDefault="00AC0832">
            <w:pPr>
              <w:pStyle w:val="CellColumn"/>
            </w:pPr>
            <w:r>
              <w:t>50%</w:t>
            </w:r>
          </w:p>
        </w:tc>
        <w:tc>
          <w:tcPr>
            <w:tcW w:w="1300" w:type="dxa"/>
          </w:tcPr>
          <w:p w:rsidR="00AC0832" w:rsidRDefault="00AC0832">
            <w:pPr>
              <w:pStyle w:val="CellColumn"/>
            </w:pPr>
            <w:r>
              <w:t>50%</w:t>
            </w:r>
          </w:p>
        </w:tc>
      </w:tr>
    </w:tbl>
    <w:p w:rsidR="00AC0832" w:rsidRDefault="00AC0832">
      <w:pPr>
        <w:jc w:val="left"/>
      </w:pPr>
    </w:p>
    <w:sectPr w:rsidR="00AC0832" w:rsidSect="00ED14B2">
      <w:footerReference w:type="even" r:id="rId6"/>
      <w:footerReference w:type="default" r:id="rId7"/>
      <w:pgSz w:w="11906" w:h="16838"/>
      <w:pgMar w:top="1417" w:right="1417" w:bottom="1417" w:left="1417"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0832" w:rsidRDefault="00AC0832" w:rsidP="00F352E6">
      <w:pPr>
        <w:spacing w:before="0" w:after="0"/>
      </w:pPr>
      <w:r>
        <w:separator/>
      </w:r>
    </w:p>
  </w:endnote>
  <w:endnote w:type="continuationSeparator" w:id="0">
    <w:p w:rsidR="00AC0832" w:rsidRDefault="00AC0832" w:rsidP="00F352E6">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832" w:rsidRDefault="00AC0832" w:rsidP="00C144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C0832" w:rsidRDefault="00AC083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832" w:rsidRDefault="00AC0832" w:rsidP="00C144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727</w:t>
    </w:r>
    <w:r>
      <w:rPr>
        <w:rStyle w:val="PageNumber"/>
      </w:rPr>
      <w:fldChar w:fldCharType="end"/>
    </w:r>
  </w:p>
  <w:p w:rsidR="00AC0832" w:rsidRDefault="00AC08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0832" w:rsidRDefault="00AC0832" w:rsidP="00F352E6">
      <w:pPr>
        <w:spacing w:before="0" w:after="0"/>
      </w:pPr>
      <w:r>
        <w:separator/>
      </w:r>
    </w:p>
  </w:footnote>
  <w:footnote w:type="continuationSeparator" w:id="0">
    <w:p w:rsidR="00AC0832" w:rsidRDefault="00AC0832" w:rsidP="00F352E6">
      <w:pPr>
        <w:spacing w:before="0"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80C76"/>
    <w:rsid w:val="000E3C8A"/>
    <w:rsid w:val="00202F40"/>
    <w:rsid w:val="00273446"/>
    <w:rsid w:val="00300B80"/>
    <w:rsid w:val="00311AA1"/>
    <w:rsid w:val="0032374B"/>
    <w:rsid w:val="00386953"/>
    <w:rsid w:val="00392240"/>
    <w:rsid w:val="00480C76"/>
    <w:rsid w:val="00567110"/>
    <w:rsid w:val="00595050"/>
    <w:rsid w:val="006610CD"/>
    <w:rsid w:val="00712567"/>
    <w:rsid w:val="007173C2"/>
    <w:rsid w:val="007665AA"/>
    <w:rsid w:val="00802732"/>
    <w:rsid w:val="00847495"/>
    <w:rsid w:val="008B7C82"/>
    <w:rsid w:val="009135EC"/>
    <w:rsid w:val="009359F2"/>
    <w:rsid w:val="00A021A2"/>
    <w:rsid w:val="00A04093"/>
    <w:rsid w:val="00A1146D"/>
    <w:rsid w:val="00A31EFA"/>
    <w:rsid w:val="00A47D80"/>
    <w:rsid w:val="00A76BBA"/>
    <w:rsid w:val="00AC0832"/>
    <w:rsid w:val="00B43923"/>
    <w:rsid w:val="00B735A3"/>
    <w:rsid w:val="00BB139C"/>
    <w:rsid w:val="00BD3220"/>
    <w:rsid w:val="00BE20ED"/>
    <w:rsid w:val="00BF0E33"/>
    <w:rsid w:val="00C14448"/>
    <w:rsid w:val="00C63D4C"/>
    <w:rsid w:val="00C672A7"/>
    <w:rsid w:val="00C7470A"/>
    <w:rsid w:val="00D219DB"/>
    <w:rsid w:val="00DC582D"/>
    <w:rsid w:val="00DF0D8F"/>
    <w:rsid w:val="00E21AA1"/>
    <w:rsid w:val="00ED14B2"/>
    <w:rsid w:val="00F352E6"/>
    <w:rsid w:val="00FE3A1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C76"/>
    <w:pPr>
      <w:overflowPunct w:val="0"/>
      <w:autoSpaceDE w:val="0"/>
      <w:autoSpaceDN w:val="0"/>
      <w:adjustRightInd w:val="0"/>
      <w:spacing w:before="120" w:after="120"/>
      <w:jc w:val="both"/>
      <w:textAlignment w:val="baseline"/>
    </w:pPr>
    <w:rPr>
      <w:rFonts w:ascii="Times New Roman" w:eastAsia="Times New Roman" w:hAnsi="Times New Roman"/>
      <w:szCs w:val="20"/>
      <w:lang w:val="sl-SI" w:eastAsia="en-US"/>
    </w:rPr>
  </w:style>
  <w:style w:type="paragraph" w:styleId="Heading1">
    <w:name w:val="heading 1"/>
    <w:basedOn w:val="Normal"/>
    <w:next w:val="Normal"/>
    <w:link w:val="Heading1Char"/>
    <w:uiPriority w:val="99"/>
    <w:qFormat/>
    <w:rsid w:val="00480C76"/>
    <w:pPr>
      <w:keepNext/>
      <w:keepLines/>
      <w:pageBreakBefore/>
      <w:pBdr>
        <w:top w:val="single" w:sz="4" w:space="1" w:color="auto"/>
        <w:bottom w:val="single" w:sz="4" w:space="1" w:color="auto"/>
      </w:pBdr>
      <w:shd w:val="clear" w:color="auto" w:fill="E6E6E6"/>
      <w:ind w:left="658" w:hanging="658"/>
      <w:jc w:val="left"/>
      <w:outlineLvl w:val="0"/>
    </w:pPr>
    <w:rPr>
      <w:b/>
      <w:spacing w:val="20"/>
      <w:sz w:val="32"/>
      <w:szCs w:val="32"/>
    </w:rPr>
  </w:style>
  <w:style w:type="paragraph" w:styleId="Heading2">
    <w:name w:val="heading 2"/>
    <w:basedOn w:val="Normal"/>
    <w:next w:val="Normal"/>
    <w:link w:val="Heading2Char"/>
    <w:uiPriority w:val="99"/>
    <w:qFormat/>
    <w:rsid w:val="00480C76"/>
    <w:pPr>
      <w:keepNext/>
      <w:pBdr>
        <w:top w:val="single" w:sz="4" w:space="1" w:color="auto"/>
        <w:bottom w:val="single" w:sz="4" w:space="1" w:color="auto"/>
      </w:pBdr>
      <w:shd w:val="clear" w:color="auto" w:fill="E6E6E6"/>
      <w:spacing w:before="360"/>
      <w:ind w:left="1134" w:hanging="953"/>
      <w:jc w:val="left"/>
      <w:outlineLvl w:val="1"/>
    </w:pPr>
    <w:rPr>
      <w:b/>
      <w:spacing w:val="20"/>
      <w:sz w:val="30"/>
      <w:szCs w:val="30"/>
    </w:rPr>
  </w:style>
  <w:style w:type="paragraph" w:styleId="Heading3">
    <w:name w:val="heading 3"/>
    <w:basedOn w:val="Normal"/>
    <w:next w:val="Normal"/>
    <w:link w:val="Heading3Char"/>
    <w:uiPriority w:val="99"/>
    <w:qFormat/>
    <w:rsid w:val="00480C76"/>
    <w:pPr>
      <w:keepNext/>
      <w:keepLines/>
      <w:shd w:val="clear" w:color="auto" w:fill="E6E6E6"/>
      <w:overflowPunct/>
      <w:autoSpaceDE/>
      <w:autoSpaceDN/>
      <w:adjustRightInd/>
      <w:spacing w:line="288" w:lineRule="auto"/>
      <w:ind w:left="2340" w:hanging="1983"/>
      <w:jc w:val="left"/>
      <w:textAlignment w:val="auto"/>
      <w:outlineLvl w:val="2"/>
    </w:pPr>
    <w:rPr>
      <w:rFonts w:cs="Arial"/>
      <w:b/>
      <w:iCs/>
      <w:spacing w:val="20"/>
      <w:sz w:val="28"/>
      <w:szCs w:val="28"/>
    </w:rPr>
  </w:style>
  <w:style w:type="paragraph" w:styleId="Heading4">
    <w:name w:val="heading 4"/>
    <w:basedOn w:val="Normal"/>
    <w:next w:val="Normal"/>
    <w:link w:val="Heading4Char"/>
    <w:uiPriority w:val="99"/>
    <w:qFormat/>
    <w:rsid w:val="00480C76"/>
    <w:pPr>
      <w:keepNext/>
      <w:keepLines/>
      <w:pBdr>
        <w:top w:val="single" w:sz="4" w:space="1" w:color="auto"/>
        <w:bottom w:val="single" w:sz="4" w:space="1" w:color="auto"/>
      </w:pBdr>
      <w:overflowPunct/>
      <w:autoSpaceDE/>
      <w:autoSpaceDN/>
      <w:adjustRightInd/>
      <w:spacing w:before="360"/>
      <w:ind w:left="658" w:hanging="301"/>
      <w:jc w:val="left"/>
      <w:textAlignment w:val="auto"/>
      <w:outlineLvl w:val="3"/>
    </w:pPr>
    <w:rPr>
      <w:b/>
      <w:bCs/>
      <w:sz w:val="28"/>
      <w:szCs w:val="28"/>
    </w:rPr>
  </w:style>
  <w:style w:type="paragraph" w:styleId="Heading5">
    <w:name w:val="heading 5"/>
    <w:basedOn w:val="Normal"/>
    <w:next w:val="Normal"/>
    <w:link w:val="Heading5Char"/>
    <w:uiPriority w:val="99"/>
    <w:qFormat/>
    <w:rsid w:val="00480C76"/>
    <w:pPr>
      <w:keepNext/>
      <w:keepLines/>
      <w:spacing w:before="360"/>
      <w:ind w:left="975" w:hanging="618"/>
      <w:jc w:val="left"/>
      <w:outlineLvl w:val="4"/>
    </w:pPr>
    <w:rPr>
      <w:b/>
      <w:sz w:val="26"/>
      <w:szCs w:val="26"/>
    </w:rPr>
  </w:style>
  <w:style w:type="paragraph" w:styleId="Heading6">
    <w:name w:val="heading 6"/>
    <w:basedOn w:val="Normal"/>
    <w:next w:val="Normal"/>
    <w:link w:val="Heading6Char"/>
    <w:uiPriority w:val="99"/>
    <w:qFormat/>
    <w:rsid w:val="00480C76"/>
    <w:pPr>
      <w:keepNext/>
      <w:spacing w:before="240" w:after="0"/>
      <w:ind w:left="539"/>
      <w:jc w:val="left"/>
      <w:outlineLvl w:val="5"/>
    </w:pPr>
    <w:rPr>
      <w:b/>
      <w:sz w:val="24"/>
      <w:szCs w:val="24"/>
    </w:rPr>
  </w:style>
  <w:style w:type="paragraph" w:styleId="Heading7">
    <w:name w:val="heading 7"/>
    <w:basedOn w:val="Normal"/>
    <w:next w:val="Normal"/>
    <w:link w:val="Heading7Char"/>
    <w:uiPriority w:val="99"/>
    <w:qFormat/>
    <w:rsid w:val="00480C76"/>
    <w:pPr>
      <w:keepNext/>
      <w:spacing w:before="240" w:after="0"/>
      <w:ind w:left="1582" w:hanging="862"/>
      <w:jc w:val="left"/>
      <w:outlineLvl w:val="6"/>
    </w:pPr>
    <w:rPr>
      <w:b/>
      <w:spacing w:val="24"/>
      <w:szCs w:val="22"/>
    </w:rPr>
  </w:style>
  <w:style w:type="paragraph" w:styleId="Heading8">
    <w:name w:val="heading 8"/>
    <w:basedOn w:val="Normal6"/>
    <w:next w:val="Normal"/>
    <w:link w:val="Heading8Char"/>
    <w:uiPriority w:val="99"/>
    <w:qFormat/>
    <w:rsid w:val="00386953"/>
    <w:pPr>
      <w:outlineLvl w:val="7"/>
    </w:pPr>
    <w:rPr>
      <w: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0C76"/>
    <w:rPr>
      <w:rFonts w:ascii="Times New Roman" w:hAnsi="Times New Roman" w:cs="Times New Roman"/>
      <w:b/>
      <w:spacing w:val="20"/>
      <w:sz w:val="32"/>
      <w:szCs w:val="32"/>
      <w:shd w:val="clear" w:color="auto" w:fill="E6E6E6"/>
      <w:lang w:val="sl-SI"/>
    </w:rPr>
  </w:style>
  <w:style w:type="character" w:customStyle="1" w:styleId="Heading2Char">
    <w:name w:val="Heading 2 Char"/>
    <w:basedOn w:val="DefaultParagraphFont"/>
    <w:link w:val="Heading2"/>
    <w:uiPriority w:val="99"/>
    <w:locked/>
    <w:rsid w:val="00480C76"/>
    <w:rPr>
      <w:rFonts w:ascii="Times New Roman" w:hAnsi="Times New Roman" w:cs="Times New Roman"/>
      <w:b/>
      <w:spacing w:val="20"/>
      <w:sz w:val="30"/>
      <w:szCs w:val="30"/>
      <w:shd w:val="clear" w:color="auto" w:fill="E6E6E6"/>
      <w:lang w:val="sl-SI"/>
    </w:rPr>
  </w:style>
  <w:style w:type="character" w:customStyle="1" w:styleId="Heading3Char">
    <w:name w:val="Heading 3 Char"/>
    <w:basedOn w:val="DefaultParagraphFont"/>
    <w:link w:val="Heading3"/>
    <w:uiPriority w:val="99"/>
    <w:locked/>
    <w:rsid w:val="00480C76"/>
    <w:rPr>
      <w:rFonts w:ascii="Times New Roman" w:hAnsi="Times New Roman" w:cs="Arial"/>
      <w:b/>
      <w:iCs/>
      <w:spacing w:val="20"/>
      <w:sz w:val="28"/>
      <w:szCs w:val="28"/>
      <w:shd w:val="clear" w:color="auto" w:fill="E6E6E6"/>
      <w:lang w:val="sl-SI"/>
    </w:rPr>
  </w:style>
  <w:style w:type="character" w:customStyle="1" w:styleId="Heading4Char">
    <w:name w:val="Heading 4 Char"/>
    <w:basedOn w:val="DefaultParagraphFont"/>
    <w:link w:val="Heading4"/>
    <w:uiPriority w:val="99"/>
    <w:locked/>
    <w:rsid w:val="00480C76"/>
    <w:rPr>
      <w:rFonts w:ascii="Times New Roman" w:hAnsi="Times New Roman" w:cs="Times New Roman"/>
      <w:b/>
      <w:bCs/>
      <w:sz w:val="28"/>
      <w:szCs w:val="28"/>
      <w:lang w:val="sl-SI"/>
    </w:rPr>
  </w:style>
  <w:style w:type="character" w:customStyle="1" w:styleId="Heading5Char">
    <w:name w:val="Heading 5 Char"/>
    <w:basedOn w:val="DefaultParagraphFont"/>
    <w:link w:val="Heading5"/>
    <w:uiPriority w:val="99"/>
    <w:locked/>
    <w:rsid w:val="00480C76"/>
    <w:rPr>
      <w:rFonts w:ascii="Times New Roman" w:hAnsi="Times New Roman" w:cs="Times New Roman"/>
      <w:b/>
      <w:sz w:val="26"/>
      <w:szCs w:val="26"/>
      <w:lang w:val="sl-SI"/>
    </w:rPr>
  </w:style>
  <w:style w:type="character" w:customStyle="1" w:styleId="Heading6Char">
    <w:name w:val="Heading 6 Char"/>
    <w:basedOn w:val="DefaultParagraphFont"/>
    <w:link w:val="Heading6"/>
    <w:uiPriority w:val="99"/>
    <w:locked/>
    <w:rsid w:val="00480C76"/>
    <w:rPr>
      <w:rFonts w:ascii="Times New Roman" w:hAnsi="Times New Roman" w:cs="Times New Roman"/>
      <w:b/>
      <w:sz w:val="24"/>
      <w:szCs w:val="24"/>
      <w:lang w:val="sl-SI"/>
    </w:rPr>
  </w:style>
  <w:style w:type="character" w:customStyle="1" w:styleId="Heading7Char">
    <w:name w:val="Heading 7 Char"/>
    <w:basedOn w:val="DefaultParagraphFont"/>
    <w:link w:val="Heading7"/>
    <w:uiPriority w:val="99"/>
    <w:locked/>
    <w:rsid w:val="00480C76"/>
    <w:rPr>
      <w:rFonts w:ascii="Times New Roman" w:hAnsi="Times New Roman" w:cs="Times New Roman"/>
      <w:b/>
      <w:spacing w:val="24"/>
      <w:lang w:val="sl-SI"/>
    </w:rPr>
  </w:style>
  <w:style w:type="character" w:customStyle="1" w:styleId="Heading8Char">
    <w:name w:val="Heading 8 Char"/>
    <w:basedOn w:val="DefaultParagraphFont"/>
    <w:link w:val="Heading8"/>
    <w:uiPriority w:val="99"/>
    <w:locked/>
    <w:rsid w:val="00386953"/>
    <w:rPr>
      <w:rFonts w:ascii="Times New Roman" w:hAnsi="Times New Roman" w:cs="Times New Roman"/>
      <w:b/>
      <w:sz w:val="20"/>
      <w:szCs w:val="20"/>
      <w:lang w:val="sl-SI"/>
    </w:rPr>
  </w:style>
  <w:style w:type="paragraph" w:customStyle="1" w:styleId="KAZALO">
    <w:name w:val="KAZALO"/>
    <w:basedOn w:val="Normal"/>
    <w:uiPriority w:val="99"/>
    <w:rsid w:val="00480C76"/>
    <w:pPr>
      <w:keepNext/>
      <w:spacing w:after="240"/>
      <w:jc w:val="center"/>
    </w:pPr>
    <w:rPr>
      <w:b/>
      <w:bCs/>
      <w:sz w:val="32"/>
      <w:szCs w:val="32"/>
    </w:rPr>
  </w:style>
  <w:style w:type="paragraph" w:styleId="Header">
    <w:name w:val="header"/>
    <w:basedOn w:val="Normal"/>
    <w:link w:val="HeaderChar"/>
    <w:uiPriority w:val="99"/>
    <w:semiHidden/>
    <w:rsid w:val="00480C76"/>
    <w:pPr>
      <w:pBdr>
        <w:bottom w:val="single" w:sz="4" w:space="1" w:color="auto"/>
      </w:pBdr>
      <w:tabs>
        <w:tab w:val="center" w:pos="4536"/>
        <w:tab w:val="right" w:pos="9072"/>
      </w:tabs>
    </w:pPr>
    <w:rPr>
      <w:sz w:val="16"/>
    </w:rPr>
  </w:style>
  <w:style w:type="character" w:customStyle="1" w:styleId="HeaderChar">
    <w:name w:val="Header Char"/>
    <w:basedOn w:val="DefaultParagraphFont"/>
    <w:link w:val="Header"/>
    <w:uiPriority w:val="99"/>
    <w:semiHidden/>
    <w:locked/>
    <w:rsid w:val="00480C76"/>
    <w:rPr>
      <w:rFonts w:ascii="Times New Roman" w:hAnsi="Times New Roman" w:cs="Times New Roman"/>
      <w:sz w:val="20"/>
      <w:szCs w:val="20"/>
      <w:lang w:val="sl-SI"/>
    </w:rPr>
  </w:style>
  <w:style w:type="paragraph" w:styleId="Footer">
    <w:name w:val="footer"/>
    <w:basedOn w:val="Normal"/>
    <w:link w:val="FooterChar"/>
    <w:uiPriority w:val="99"/>
    <w:semiHidden/>
    <w:rsid w:val="00480C76"/>
    <w:pPr>
      <w:pBdr>
        <w:top w:val="single" w:sz="4" w:space="1" w:color="auto"/>
      </w:pBdr>
      <w:tabs>
        <w:tab w:val="right" w:pos="9540"/>
      </w:tabs>
      <w:ind w:right="-21"/>
      <w:jc w:val="left"/>
    </w:pPr>
    <w:rPr>
      <w:sz w:val="20"/>
    </w:rPr>
  </w:style>
  <w:style w:type="character" w:customStyle="1" w:styleId="FooterChar">
    <w:name w:val="Footer Char"/>
    <w:basedOn w:val="DefaultParagraphFont"/>
    <w:link w:val="Footer"/>
    <w:uiPriority w:val="99"/>
    <w:semiHidden/>
    <w:locked/>
    <w:rsid w:val="00480C76"/>
    <w:rPr>
      <w:rFonts w:ascii="Times New Roman" w:hAnsi="Times New Roman" w:cs="Times New Roman"/>
      <w:sz w:val="20"/>
      <w:szCs w:val="20"/>
      <w:lang w:val="sl-SI"/>
    </w:rPr>
  </w:style>
  <w:style w:type="character" w:styleId="PageNumber">
    <w:name w:val="page number"/>
    <w:basedOn w:val="DefaultParagraphFont"/>
    <w:uiPriority w:val="99"/>
    <w:semiHidden/>
    <w:rsid w:val="00480C76"/>
    <w:rPr>
      <w:rFonts w:cs="Times New Roman"/>
    </w:rPr>
  </w:style>
  <w:style w:type="paragraph" w:customStyle="1" w:styleId="Normal3">
    <w:name w:val="Normal 3"/>
    <w:basedOn w:val="Normal"/>
    <w:link w:val="Normal3Char"/>
    <w:uiPriority w:val="99"/>
    <w:rsid w:val="00480C76"/>
    <w:pPr>
      <w:ind w:left="360"/>
    </w:pPr>
  </w:style>
  <w:style w:type="paragraph" w:customStyle="1" w:styleId="Normal4">
    <w:name w:val="Normal 4"/>
    <w:basedOn w:val="Normal"/>
    <w:link w:val="Normal4Char"/>
    <w:uiPriority w:val="99"/>
    <w:rsid w:val="00480C76"/>
    <w:pPr>
      <w:ind w:left="540"/>
    </w:pPr>
  </w:style>
  <w:style w:type="paragraph" w:customStyle="1" w:styleId="Normal5">
    <w:name w:val="Normal 5"/>
    <w:basedOn w:val="Normal"/>
    <w:link w:val="Normal5Char"/>
    <w:uiPriority w:val="99"/>
    <w:rsid w:val="00480C76"/>
    <w:pPr>
      <w:ind w:left="720"/>
    </w:pPr>
  </w:style>
  <w:style w:type="paragraph" w:customStyle="1" w:styleId="Normal6">
    <w:name w:val="Normal 6"/>
    <w:basedOn w:val="Normal"/>
    <w:link w:val="Normal6Char"/>
    <w:uiPriority w:val="99"/>
    <w:rsid w:val="00480C76"/>
    <w:pPr>
      <w:ind w:left="1080"/>
    </w:pPr>
  </w:style>
  <w:style w:type="character" w:customStyle="1" w:styleId="Normal3Char">
    <w:name w:val="Normal 3 Char"/>
    <w:basedOn w:val="DefaultParagraphFont"/>
    <w:link w:val="Normal3"/>
    <w:uiPriority w:val="99"/>
    <w:locked/>
    <w:rsid w:val="00480C76"/>
    <w:rPr>
      <w:rFonts w:ascii="Times New Roman" w:hAnsi="Times New Roman" w:cs="Times New Roman"/>
      <w:sz w:val="20"/>
      <w:szCs w:val="20"/>
      <w:lang w:val="sl-SI"/>
    </w:rPr>
  </w:style>
  <w:style w:type="character" w:customStyle="1" w:styleId="Normal5Char">
    <w:name w:val="Normal 5 Char"/>
    <w:basedOn w:val="DefaultParagraphFont"/>
    <w:link w:val="Normal5"/>
    <w:uiPriority w:val="99"/>
    <w:locked/>
    <w:rsid w:val="00480C76"/>
    <w:rPr>
      <w:rFonts w:ascii="Times New Roman" w:hAnsi="Times New Roman" w:cs="Times New Roman"/>
      <w:sz w:val="20"/>
      <w:szCs w:val="20"/>
      <w:lang w:val="sl-SI"/>
    </w:rPr>
  </w:style>
  <w:style w:type="character" w:customStyle="1" w:styleId="Normal4Char">
    <w:name w:val="Normal 4 Char"/>
    <w:basedOn w:val="DefaultParagraphFont"/>
    <w:link w:val="Normal4"/>
    <w:uiPriority w:val="99"/>
    <w:locked/>
    <w:rsid w:val="00480C76"/>
    <w:rPr>
      <w:rFonts w:ascii="Times New Roman" w:hAnsi="Times New Roman" w:cs="Times New Roman"/>
      <w:sz w:val="20"/>
      <w:szCs w:val="20"/>
      <w:lang w:val="sl-SI"/>
    </w:rPr>
  </w:style>
  <w:style w:type="character" w:styleId="Emphasis">
    <w:name w:val="Emphasis"/>
    <w:basedOn w:val="DefaultParagraphFont"/>
    <w:uiPriority w:val="99"/>
    <w:qFormat/>
    <w:rsid w:val="00480C76"/>
    <w:rPr>
      <w:rFonts w:cs="Times New Roman"/>
      <w:b/>
      <w:bCs/>
    </w:rPr>
  </w:style>
  <w:style w:type="character" w:styleId="Strong">
    <w:name w:val="Strong"/>
    <w:basedOn w:val="DefaultParagraphFont"/>
    <w:uiPriority w:val="99"/>
    <w:qFormat/>
    <w:rsid w:val="00480C76"/>
    <w:rPr>
      <w:rFonts w:cs="Times New Roman"/>
      <w:b/>
      <w:bCs/>
    </w:rPr>
  </w:style>
  <w:style w:type="character" w:styleId="Hyperlink">
    <w:name w:val="Hyperlink"/>
    <w:basedOn w:val="DefaultParagraphFont"/>
    <w:uiPriority w:val="99"/>
    <w:rsid w:val="00480C76"/>
    <w:rPr>
      <w:rFonts w:cs="Times New Roman"/>
      <w:color w:val="0000FF"/>
      <w:u w:val="single"/>
    </w:rPr>
  </w:style>
  <w:style w:type="table" w:styleId="TableGrid">
    <w:name w:val="Table Grid"/>
    <w:basedOn w:val="TableNormal"/>
    <w:uiPriority w:val="99"/>
    <w:rsid w:val="00480C7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6Char">
    <w:name w:val="Normal 6 Char"/>
    <w:basedOn w:val="DefaultParagraphFont"/>
    <w:link w:val="Normal6"/>
    <w:uiPriority w:val="99"/>
    <w:locked/>
    <w:rsid w:val="00480C76"/>
    <w:rPr>
      <w:rFonts w:ascii="Times New Roman" w:hAnsi="Times New Roman" w:cs="Times New Roman"/>
      <w:sz w:val="20"/>
      <w:szCs w:val="20"/>
      <w:lang w:val="sl-SI"/>
    </w:rPr>
  </w:style>
  <w:style w:type="paragraph" w:customStyle="1" w:styleId="CellHeader">
    <w:name w:val="CellHeader"/>
    <w:basedOn w:val="Normal"/>
    <w:link w:val="CellHeaderChar"/>
    <w:uiPriority w:val="99"/>
    <w:rsid w:val="00480C76"/>
    <w:rPr>
      <w:rFonts w:ascii="Arial" w:hAnsi="Arial" w:cs="Arial"/>
      <w:bCs/>
      <w:sz w:val="20"/>
      <w:szCs w:val="22"/>
      <w:lang w:eastAsia="hr-HR"/>
    </w:rPr>
  </w:style>
  <w:style w:type="paragraph" w:customStyle="1" w:styleId="CellColumn">
    <w:name w:val="CellColumn"/>
    <w:basedOn w:val="CellHeader"/>
    <w:link w:val="CellColumnChar"/>
    <w:uiPriority w:val="99"/>
    <w:rsid w:val="00480C76"/>
  </w:style>
  <w:style w:type="paragraph" w:customStyle="1" w:styleId="CellColumnSmall">
    <w:name w:val="CellColumnSmall"/>
    <w:basedOn w:val="CellColumn"/>
    <w:link w:val="CellColumnSmallChar"/>
    <w:uiPriority w:val="99"/>
    <w:rsid w:val="008B7C82"/>
  </w:style>
  <w:style w:type="character" w:customStyle="1" w:styleId="CellHeaderChar">
    <w:name w:val="CellHeader Char"/>
    <w:basedOn w:val="DefaultParagraphFont"/>
    <w:link w:val="CellHeader"/>
    <w:uiPriority w:val="99"/>
    <w:locked/>
    <w:rsid w:val="00BD3220"/>
    <w:rPr>
      <w:rFonts w:ascii="Arial" w:hAnsi="Arial" w:cs="Arial"/>
      <w:bCs/>
      <w:sz w:val="20"/>
      <w:lang w:val="sl-SI" w:eastAsia="hr-HR"/>
    </w:rPr>
  </w:style>
  <w:style w:type="character" w:customStyle="1" w:styleId="CellColumnChar">
    <w:name w:val="CellColumn Char"/>
    <w:basedOn w:val="CellHeaderChar"/>
    <w:link w:val="CellColumn"/>
    <w:uiPriority w:val="99"/>
    <w:locked/>
    <w:rsid w:val="00BD3220"/>
  </w:style>
  <w:style w:type="character" w:customStyle="1" w:styleId="CellColumnSmallChar">
    <w:name w:val="CellColumnSmall Char"/>
    <w:basedOn w:val="CellColumnChar"/>
    <w:link w:val="CellColumnSmall"/>
    <w:uiPriority w:val="99"/>
    <w:locked/>
    <w:rsid w:val="008B7C8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78</TotalTime>
  <Pages>1235</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 Knežević</dc:creator>
  <cp:keywords/>
  <dc:description/>
  <cp:lastModifiedBy>mfkor</cp:lastModifiedBy>
  <cp:revision>15</cp:revision>
  <dcterms:created xsi:type="dcterms:W3CDTF">2011-03-16T11:30:00Z</dcterms:created>
  <dcterms:modified xsi:type="dcterms:W3CDTF">2013-05-09T07:57:00Z</dcterms:modified>
</cp:coreProperties>
</file>